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15F" w:rsidRDefault="00E80911">
      <w:r>
        <w:rPr>
          <w:noProof/>
          <w:lang w:eastAsia="zh-TW"/>
        </w:rPr>
        <w:pict>
          <v:roundrect id="_x0000_s1026" style="position:absolute;margin-left:-17.65pt;margin-top:-5.45pt;width:578.05pt;height:38.7pt;z-index:251660288;mso-width-relative:margin;mso-height-relative:margin" arcsize="10923f" fillcolor="#548dd4 [1951]" strokecolor="#f2f2f2 [3041]" strokeweight="3pt">
            <v:shadow on="t" type="perspective" color="#243f60 [1604]" opacity=".5" offset="1pt" offset2="-1pt"/>
            <v:textbox>
              <w:txbxContent>
                <w:p w:rsidR="004358BF" w:rsidRPr="00BE5B3B" w:rsidRDefault="004358BF" w:rsidP="00BE5B3B">
                  <w:pPr>
                    <w:jc w:val="center"/>
                    <w:rPr>
                      <w:b/>
                      <w:color w:val="EEECE1" w:themeColor="background2"/>
                      <w:sz w:val="36"/>
                      <w:szCs w:val="36"/>
                    </w:rPr>
                  </w:pPr>
                  <w:r w:rsidRPr="00BE5B3B">
                    <w:rPr>
                      <w:b/>
                      <w:color w:val="EEECE1" w:themeColor="background2"/>
                      <w:sz w:val="36"/>
                      <w:szCs w:val="36"/>
                    </w:rPr>
                    <w:t xml:space="preserve">Key </w:t>
                  </w:r>
                  <w:r>
                    <w:rPr>
                      <w:b/>
                      <w:color w:val="EEECE1" w:themeColor="background2"/>
                      <w:sz w:val="36"/>
                      <w:szCs w:val="36"/>
                    </w:rPr>
                    <w:t xml:space="preserve">FY18 </w:t>
                  </w:r>
                  <w:r w:rsidRPr="00BE5B3B">
                    <w:rPr>
                      <w:b/>
                      <w:color w:val="EEECE1" w:themeColor="background2"/>
                      <w:sz w:val="36"/>
                      <w:szCs w:val="36"/>
                    </w:rPr>
                    <w:t xml:space="preserve">changes to Title II, Part </w:t>
                  </w:r>
                  <w:proofErr w:type="gramStart"/>
                  <w:r w:rsidRPr="00BE5B3B">
                    <w:rPr>
                      <w:b/>
                      <w:color w:val="EEECE1" w:themeColor="background2"/>
                      <w:sz w:val="36"/>
                      <w:szCs w:val="36"/>
                    </w:rPr>
                    <w:t>A</w:t>
                  </w:r>
                  <w:proofErr w:type="gramEnd"/>
                  <w:r w:rsidRPr="00BE5B3B">
                    <w:rPr>
                      <w:b/>
                      <w:color w:val="EEECE1" w:themeColor="background2"/>
                      <w:sz w:val="36"/>
                      <w:szCs w:val="36"/>
                    </w:rPr>
                    <w:t xml:space="preserve"> under </w:t>
                  </w:r>
                  <w:r>
                    <w:rPr>
                      <w:b/>
                      <w:color w:val="EEECE1" w:themeColor="background2"/>
                      <w:sz w:val="36"/>
                      <w:szCs w:val="36"/>
                    </w:rPr>
                    <w:t>the Every Student Succeeds Act (ESSA)</w:t>
                  </w:r>
                </w:p>
              </w:txbxContent>
            </v:textbox>
          </v:roundrect>
        </w:pict>
      </w:r>
    </w:p>
    <w:p w:rsidR="009E015F" w:rsidRDefault="00E80911">
      <w:r>
        <w:rPr>
          <w:noProof/>
          <w:lang w:eastAsia="zh-TW"/>
        </w:rPr>
        <w:pict>
          <v:shapetype id="_x0000_t202" coordsize="21600,21600" o:spt="202" path="m,l,21600r21600,l21600,xe">
            <v:stroke joinstyle="miter"/>
            <v:path gradientshapeok="t" o:connecttype="rect"/>
          </v:shapetype>
          <v:shape id="_x0000_s1028" type="#_x0000_t202" style="position:absolute;margin-left:-7.45pt;margin-top:17.35pt;width:567.85pt;height:86.45pt;z-index:251664384;mso-width-relative:margin;mso-height-relative:margin" stroked="f">
            <v:textbox style="mso-next-textbox:#_x0000_s1028">
              <w:txbxContent>
                <w:p w:rsidR="004358BF" w:rsidRPr="002571F0" w:rsidRDefault="004358BF" w:rsidP="00F829C9">
                  <w:pPr>
                    <w:spacing w:after="0" w:line="240" w:lineRule="auto"/>
                    <w:rPr>
                      <w:color w:val="1F497D" w:themeColor="text2"/>
                      <w:sz w:val="26"/>
                      <w:szCs w:val="26"/>
                    </w:rPr>
                  </w:pPr>
                  <w:r w:rsidRPr="002571F0">
                    <w:rPr>
                      <w:color w:val="1F497D" w:themeColor="text2"/>
                      <w:sz w:val="26"/>
                      <w:szCs w:val="26"/>
                    </w:rPr>
                    <w:t>This reference guide provides examples of changes to Title IIA under ESSA. While the list is not comprehensive, it includes items that districts may want to consider now as they plan for the FY18 grant. ESE is currently seeking additional information from the US Education Department about a range of ESSA changes, and will provide updates to school districts as we learn more.</w:t>
                  </w:r>
                  <w:r w:rsidR="002571F0" w:rsidRPr="002571F0">
                    <w:rPr>
                      <w:color w:val="1F497D" w:themeColor="text2"/>
                      <w:sz w:val="26"/>
                      <w:szCs w:val="26"/>
                    </w:rPr>
                    <w:t xml:space="preserve"> </w:t>
                  </w:r>
                  <w:r w:rsidRPr="002571F0">
                    <w:rPr>
                      <w:color w:val="1F497D" w:themeColor="text2"/>
                      <w:sz w:val="26"/>
                      <w:szCs w:val="26"/>
                    </w:rPr>
                    <w:t xml:space="preserve">For more information, we invite you to see the </w:t>
                  </w:r>
                  <w:hyperlink r:id="rId12" w:history="1">
                    <w:r w:rsidRPr="002571F0">
                      <w:rPr>
                        <w:rStyle w:val="Hyperlink"/>
                        <w:sz w:val="26"/>
                        <w:szCs w:val="26"/>
                      </w:rPr>
                      <w:t>USED</w:t>
                    </w:r>
                    <w:r w:rsidR="002571F0" w:rsidRPr="002571F0">
                      <w:rPr>
                        <w:rStyle w:val="Hyperlink"/>
                        <w:sz w:val="26"/>
                        <w:szCs w:val="26"/>
                      </w:rPr>
                      <w:t xml:space="preserve"> Non-Regulatory Guidance for Title II, Part A</w:t>
                    </w:r>
                  </w:hyperlink>
                  <w:r w:rsidRPr="002571F0">
                    <w:rPr>
                      <w:color w:val="1F497D" w:themeColor="text2"/>
                      <w:sz w:val="26"/>
                      <w:szCs w:val="26"/>
                    </w:rPr>
                    <w:t xml:space="preserve"> and </w:t>
                  </w:r>
                  <w:hyperlink r:id="rId13" w:history="1">
                    <w:r w:rsidRPr="002571F0">
                      <w:rPr>
                        <w:rStyle w:val="Hyperlink"/>
                        <w:sz w:val="26"/>
                        <w:szCs w:val="26"/>
                      </w:rPr>
                      <w:t>ESSA full text</w:t>
                    </w:r>
                  </w:hyperlink>
                  <w:r w:rsidRPr="002571F0">
                    <w:rPr>
                      <w:color w:val="1F497D" w:themeColor="text2"/>
                      <w:sz w:val="26"/>
                      <w:szCs w:val="26"/>
                    </w:rPr>
                    <w:t>.</w:t>
                  </w:r>
                </w:p>
                <w:p w:rsidR="004358BF" w:rsidRPr="00657F6F" w:rsidRDefault="004358BF" w:rsidP="00F829C9">
                  <w:pPr>
                    <w:spacing w:after="0" w:line="240" w:lineRule="auto"/>
                    <w:rPr>
                      <w:color w:val="1F497D" w:themeColor="text2"/>
                      <w:sz w:val="26"/>
                      <w:szCs w:val="26"/>
                    </w:rPr>
                  </w:pPr>
                </w:p>
                <w:p w:rsidR="00E74CFA" w:rsidRDefault="00E74CFA"/>
              </w:txbxContent>
            </v:textbox>
          </v:shape>
        </w:pict>
      </w:r>
    </w:p>
    <w:p w:rsidR="009E015F" w:rsidRDefault="009E015F"/>
    <w:p w:rsidR="00E47EFA" w:rsidRDefault="004468CF">
      <w:r>
        <w:rPr>
          <w:rStyle w:val="FootnoteReference"/>
        </w:rPr>
        <w:footnoteReference w:id="1"/>
      </w:r>
    </w:p>
    <w:p w:rsidR="00D43546" w:rsidRDefault="00D43546"/>
    <w:p w:rsidR="00D43546" w:rsidRDefault="00E80911">
      <w:r>
        <w:rPr>
          <w:noProof/>
          <w:lang w:eastAsia="zh-TW"/>
        </w:rPr>
        <w:pict>
          <v:roundrect id="_x0000_s1031" style="position:absolute;margin-left:251.1pt;margin-top:286.95pt;width:280.35pt;height:79.8pt;z-index:251670528;mso-width-relative:margin;mso-height-relative:margin" arcsize="10923f" strokecolor="#8db3e2 [1311]" strokeweight="1.5pt">
            <v:shadow on="t" opacity=".5"/>
            <v:textbox style="mso-next-textbox:#_x0000_s1031">
              <w:txbxContent>
                <w:p w:rsidR="004358BF" w:rsidRPr="00FB39F5" w:rsidRDefault="004358BF" w:rsidP="00D53F70">
                  <w:r>
                    <w:rPr>
                      <w:b/>
                      <w:color w:val="8DB3E2" w:themeColor="text2" w:themeTint="66"/>
                      <w:sz w:val="26"/>
                      <w:szCs w:val="26"/>
                    </w:rPr>
                    <w:t xml:space="preserve">HQT </w:t>
                  </w:r>
                  <w:r w:rsidRPr="004358BF">
                    <w:rPr>
                      <w:sz w:val="20"/>
                    </w:rPr>
                    <w:t>requirements no longer apply</w:t>
                  </w:r>
                  <w:r w:rsidR="00FB39F5">
                    <w:rPr>
                      <w:sz w:val="20"/>
                    </w:rPr>
                    <w:t>.</w:t>
                  </w:r>
                  <w:r w:rsidR="00440F82">
                    <w:rPr>
                      <w:sz w:val="20"/>
                    </w:rPr>
                    <w:t xml:space="preserve"> A</w:t>
                  </w:r>
                  <w:r>
                    <w:rPr>
                      <w:sz w:val="20"/>
                    </w:rPr>
                    <w:t>s a result</w:t>
                  </w:r>
                  <w:r w:rsidR="00440F82">
                    <w:rPr>
                      <w:sz w:val="20"/>
                    </w:rPr>
                    <w:t>,</w:t>
                  </w:r>
                  <w:r>
                    <w:rPr>
                      <w:sz w:val="20"/>
                    </w:rPr>
                    <w:t xml:space="preserve"> n</w:t>
                  </w:r>
                  <w:r w:rsidRPr="004358BF">
                    <w:rPr>
                      <w:sz w:val="20"/>
                    </w:rPr>
                    <w:t>otifications of non-</w:t>
                  </w:r>
                  <w:r w:rsidR="00FB39F5">
                    <w:rPr>
                      <w:sz w:val="20"/>
                    </w:rPr>
                    <w:t>HQ</w:t>
                  </w:r>
                  <w:r w:rsidRPr="004358BF">
                    <w:rPr>
                      <w:sz w:val="20"/>
                    </w:rPr>
                    <w:t xml:space="preserve"> </w:t>
                  </w:r>
                  <w:r w:rsidR="00440F82">
                    <w:rPr>
                      <w:sz w:val="20"/>
                    </w:rPr>
                    <w:t>Teachers are no longer required; h</w:t>
                  </w:r>
                  <w:r>
                    <w:rPr>
                      <w:sz w:val="20"/>
                    </w:rPr>
                    <w:t xml:space="preserve">owever, </w:t>
                  </w:r>
                  <w:r w:rsidR="00FB39F5">
                    <w:rPr>
                      <w:sz w:val="20"/>
                    </w:rPr>
                    <w:t xml:space="preserve">districts must notify parents if a student is taught for 4+ weeks by a teacher who doesn’t meet </w:t>
                  </w:r>
                  <w:r w:rsidR="00FB39F5">
                    <w:rPr>
                      <w:i/>
                      <w:sz w:val="20"/>
                    </w:rPr>
                    <w:t>licensure requirements</w:t>
                  </w:r>
                  <w:r w:rsidR="00FB39F5" w:rsidRPr="00BD4A46">
                    <w:rPr>
                      <w:sz w:val="20"/>
                    </w:rPr>
                    <w:t>.</w:t>
                  </w:r>
                </w:p>
              </w:txbxContent>
            </v:textbox>
          </v:roundrect>
        </w:pict>
      </w:r>
      <w:r>
        <w:rPr>
          <w:noProof/>
          <w:lang w:eastAsia="zh-TW"/>
        </w:rPr>
        <w:pict>
          <v:shape id="_x0000_s1029" type="#_x0000_t202" style="position:absolute;margin-left:251.1pt;margin-top:100.5pt;width:280.35pt;height:179.15pt;z-index:251666432;mso-width-relative:margin;mso-height-relative:margin" strokecolor="#0070c0" strokeweight="1.5pt">
            <v:shadow on="t" opacity=".5"/>
            <v:textbox style="mso-next-textbox:#_x0000_s1029">
              <w:txbxContent>
                <w:p w:rsidR="004358BF" w:rsidRPr="000375AD" w:rsidRDefault="004358BF" w:rsidP="00682377">
                  <w:pPr>
                    <w:spacing w:after="0"/>
                    <w:contextualSpacing/>
                    <w:rPr>
                      <w:b/>
                      <w:color w:val="0070C0"/>
                      <w:sz w:val="26"/>
                      <w:szCs w:val="26"/>
                    </w:rPr>
                  </w:pPr>
                  <w:r>
                    <w:rPr>
                      <w:b/>
                      <w:color w:val="0070C0"/>
                      <w:sz w:val="26"/>
                      <w:szCs w:val="26"/>
                    </w:rPr>
                    <w:t xml:space="preserve">Beginning in FY18, </w:t>
                  </w:r>
                  <w:r w:rsidRPr="000375AD">
                    <w:rPr>
                      <w:b/>
                      <w:color w:val="0070C0"/>
                      <w:sz w:val="26"/>
                      <w:szCs w:val="26"/>
                    </w:rPr>
                    <w:t xml:space="preserve">districts </w:t>
                  </w:r>
                  <w:r>
                    <w:rPr>
                      <w:b/>
                      <w:color w:val="0070C0"/>
                      <w:sz w:val="26"/>
                      <w:szCs w:val="26"/>
                    </w:rPr>
                    <w:t>will be able to flex:</w:t>
                  </w:r>
                  <w:r w:rsidRPr="000375AD">
                    <w:rPr>
                      <w:noProof/>
                      <w:color w:val="0070C0"/>
                      <w:sz w:val="26"/>
                      <w:szCs w:val="26"/>
                    </w:rPr>
                    <w:t xml:space="preserve"> </w:t>
                  </w:r>
                </w:p>
                <w:p w:rsidR="004358BF" w:rsidRDefault="004358BF" w:rsidP="00682377">
                  <w:pPr>
                    <w:pStyle w:val="ListParagraph"/>
                    <w:numPr>
                      <w:ilvl w:val="0"/>
                      <w:numId w:val="3"/>
                    </w:numPr>
                    <w:spacing w:after="0"/>
                  </w:pPr>
                  <w:r>
                    <w:t>Up to 100% of TIIA allocation into TI, TIII, TIVA, TV</w:t>
                  </w:r>
                </w:p>
                <w:p w:rsidR="004358BF" w:rsidRDefault="004358BF" w:rsidP="00D43546">
                  <w:pPr>
                    <w:pStyle w:val="ListParagraph"/>
                    <w:numPr>
                      <w:ilvl w:val="0"/>
                      <w:numId w:val="3"/>
                    </w:numPr>
                  </w:pPr>
                  <w:r>
                    <w:t>Up to 100% of their TIVA funds into TIIA</w:t>
                  </w:r>
                </w:p>
                <w:p w:rsidR="004358BF" w:rsidRPr="000375AD" w:rsidRDefault="004358BF" w:rsidP="000375AD">
                  <w:pPr>
                    <w:pStyle w:val="ListParagraph"/>
                    <w:rPr>
                      <w:sz w:val="10"/>
                      <w:szCs w:val="10"/>
                    </w:rPr>
                  </w:pPr>
                  <w:r w:rsidRPr="000375AD">
                    <w:rPr>
                      <w:sz w:val="10"/>
                      <w:szCs w:val="10"/>
                    </w:rPr>
                    <w:t xml:space="preserve"> </w:t>
                  </w:r>
                  <w:r>
                    <w:rPr>
                      <w:noProof/>
                      <w:lang w:eastAsia="zh-CN"/>
                    </w:rPr>
                    <w:drawing>
                      <wp:inline distT="0" distB="0" distL="0" distR="0">
                        <wp:extent cx="2934587" cy="1339850"/>
                        <wp:effectExtent l="0" t="0" r="0" b="31750"/>
                        <wp:docPr id="2" name="Diagram 1" descr="TIIA allocation into TI, TIII, TIVA, TV&#10;TIVA funds into TIIA&#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358BF" w:rsidRDefault="004358BF" w:rsidP="00323699">
                  <w:pPr>
                    <w:pStyle w:val="ListParagraph"/>
                  </w:pPr>
                </w:p>
                <w:p w:rsidR="004358BF" w:rsidRDefault="004358BF" w:rsidP="00323699">
                  <w:pPr>
                    <w:pStyle w:val="ListParagraph"/>
                  </w:pPr>
                </w:p>
                <w:p w:rsidR="004358BF" w:rsidRDefault="004358BF" w:rsidP="00323699">
                  <w:pPr>
                    <w:pStyle w:val="ListParagraph"/>
                  </w:pPr>
                </w:p>
              </w:txbxContent>
            </v:textbox>
          </v:shape>
        </w:pict>
      </w:r>
      <w:r>
        <w:rPr>
          <w:noProof/>
          <w:lang w:eastAsia="zh-TW"/>
        </w:rPr>
        <w:pict>
          <v:shape id="_x0000_s1027" type="#_x0000_t202" style="position:absolute;margin-left:-7.45pt;margin-top:7.9pt;width:242.8pt;height:358.85pt;z-index:251662336;mso-width-relative:margin;mso-height-relative:margin" strokecolor="#548dd4 [1951]" strokeweight="1.5pt">
            <v:shadow on="t" opacity=".5"/>
            <v:textbox style="mso-next-textbox:#_x0000_s1027">
              <w:txbxContent>
                <w:p w:rsidR="004358BF" w:rsidRPr="00F829C9" w:rsidRDefault="004358BF" w:rsidP="00682377">
                  <w:pPr>
                    <w:spacing w:after="0"/>
                    <w:contextualSpacing/>
                    <w:rPr>
                      <w:b/>
                      <w:color w:val="548DD4" w:themeColor="text2" w:themeTint="99"/>
                      <w:sz w:val="26"/>
                      <w:szCs w:val="26"/>
                    </w:rPr>
                  </w:pPr>
                  <w:r w:rsidRPr="00F829C9">
                    <w:rPr>
                      <w:b/>
                      <w:color w:val="548DD4" w:themeColor="text2" w:themeTint="99"/>
                      <w:sz w:val="26"/>
                      <w:szCs w:val="26"/>
                    </w:rPr>
                    <w:t>Allowable uses expanded to include:</w:t>
                  </w:r>
                </w:p>
                <w:p w:rsidR="004358BF" w:rsidRDefault="004358BF" w:rsidP="00682377">
                  <w:pPr>
                    <w:pStyle w:val="ListParagraph"/>
                    <w:numPr>
                      <w:ilvl w:val="0"/>
                      <w:numId w:val="1"/>
                    </w:numPr>
                    <w:spacing w:after="0"/>
                    <w:ind w:left="360" w:hanging="270"/>
                  </w:pPr>
                  <w:r>
                    <w:t xml:space="preserve">PD for all educators, </w:t>
                  </w:r>
                  <w:r>
                    <w:rPr>
                      <w:b/>
                    </w:rPr>
                    <w:t>not just core academic teachers</w:t>
                  </w:r>
                </w:p>
                <w:p w:rsidR="004358BF" w:rsidRDefault="004358BF" w:rsidP="004468CF">
                  <w:pPr>
                    <w:pStyle w:val="ListParagraph"/>
                    <w:numPr>
                      <w:ilvl w:val="0"/>
                      <w:numId w:val="1"/>
                    </w:numPr>
                    <w:ind w:left="360" w:hanging="270"/>
                  </w:pPr>
                  <w:r>
                    <w:t xml:space="preserve">Training for leaders, teachers and paraprofessionals serving </w:t>
                  </w:r>
                  <w:r w:rsidRPr="009E015F">
                    <w:rPr>
                      <w:b/>
                    </w:rPr>
                    <w:t>early childhood education</w:t>
                  </w:r>
                  <w:r>
                    <w:t xml:space="preserve"> (from birth)*</w:t>
                  </w:r>
                </w:p>
                <w:p w:rsidR="004358BF" w:rsidRPr="004468CF" w:rsidRDefault="004358BF" w:rsidP="004468CF">
                  <w:pPr>
                    <w:pStyle w:val="ListParagraph"/>
                    <w:numPr>
                      <w:ilvl w:val="0"/>
                      <w:numId w:val="1"/>
                    </w:numPr>
                    <w:ind w:left="360" w:hanging="270"/>
                  </w:pPr>
                  <w:r>
                    <w:t xml:space="preserve">Stipends and/or substitute coverage that allows </w:t>
                  </w:r>
                  <w:r w:rsidRPr="004468CF">
                    <w:rPr>
                      <w:b/>
                    </w:rPr>
                    <w:t>collaborative educator work</w:t>
                  </w:r>
                  <w:r>
                    <w:t xml:space="preserve">, such as planning, observations and </w:t>
                  </w:r>
                  <w:r>
                    <w:rPr>
                      <w:b/>
                    </w:rPr>
                    <w:t>curriculum writing</w:t>
                  </w:r>
                </w:p>
                <w:p w:rsidR="004358BF" w:rsidRPr="00C97908" w:rsidRDefault="004358BF" w:rsidP="004468CF">
                  <w:pPr>
                    <w:pStyle w:val="ListParagraph"/>
                    <w:numPr>
                      <w:ilvl w:val="0"/>
                      <w:numId w:val="1"/>
                    </w:numPr>
                    <w:ind w:left="360" w:hanging="270"/>
                  </w:pPr>
                  <w:r>
                    <w:t xml:space="preserve">Definition of “PD” now more closely aligns with MA definition: </w:t>
                  </w:r>
                  <w:r w:rsidRPr="0080048C">
                    <w:rPr>
                      <w:b/>
                    </w:rPr>
                    <w:t>job-embedded, sustained, not stand-alone</w:t>
                  </w:r>
                  <w:r>
                    <w:t xml:space="preserve">, </w:t>
                  </w:r>
                  <w:r>
                    <w:rPr>
                      <w:b/>
                    </w:rPr>
                    <w:t xml:space="preserve">intensive, collaborative, data-driven </w:t>
                  </w:r>
                  <w:r>
                    <w:t xml:space="preserve">and </w:t>
                  </w:r>
                  <w:r>
                    <w:rPr>
                      <w:b/>
                    </w:rPr>
                    <w:t>classroom-focused</w:t>
                  </w:r>
                </w:p>
                <w:p w:rsidR="004358BF" w:rsidRDefault="004358BF" w:rsidP="004468CF">
                  <w:pPr>
                    <w:pStyle w:val="ListParagraph"/>
                    <w:numPr>
                      <w:ilvl w:val="0"/>
                      <w:numId w:val="1"/>
                    </w:numPr>
                    <w:ind w:left="360" w:hanging="270"/>
                  </w:pPr>
                  <w:r>
                    <w:t xml:space="preserve">USED and ESE </w:t>
                  </w:r>
                  <w:r>
                    <w:rPr>
                      <w:b/>
                    </w:rPr>
                    <w:t xml:space="preserve">strongly encourage </w:t>
                  </w:r>
                  <w:r>
                    <w:t>districts to use TIIA funds to address inequities in student subgroups’ access to high-quality educators</w:t>
                  </w:r>
                </w:p>
                <w:p w:rsidR="004358BF" w:rsidRPr="00F829C9" w:rsidRDefault="004358BF" w:rsidP="00682377">
                  <w:pPr>
                    <w:spacing w:after="0"/>
                    <w:contextualSpacing/>
                    <w:rPr>
                      <w:b/>
                      <w:color w:val="548DD4" w:themeColor="text2" w:themeTint="99"/>
                      <w:sz w:val="26"/>
                      <w:szCs w:val="26"/>
                    </w:rPr>
                  </w:pPr>
                  <w:r>
                    <w:rPr>
                      <w:b/>
                      <w:color w:val="548DD4" w:themeColor="text2" w:themeTint="99"/>
                      <w:sz w:val="26"/>
                      <w:szCs w:val="26"/>
                    </w:rPr>
                    <w:t xml:space="preserve">Change to allowable use for </w:t>
                  </w:r>
                  <w:r w:rsidRPr="00F829C9">
                    <w:rPr>
                      <w:b/>
                      <w:color w:val="548DD4" w:themeColor="text2" w:themeTint="99"/>
                      <w:sz w:val="26"/>
                      <w:szCs w:val="26"/>
                    </w:rPr>
                    <w:t>Class-Size Reduction:</w:t>
                  </w:r>
                </w:p>
                <w:p w:rsidR="004358BF" w:rsidRPr="004468CF" w:rsidRDefault="004358BF" w:rsidP="004468CF">
                  <w:pPr>
                    <w:pStyle w:val="ListParagraph"/>
                    <w:numPr>
                      <w:ilvl w:val="0"/>
                      <w:numId w:val="1"/>
                    </w:numPr>
                    <w:ind w:left="360" w:hanging="270"/>
                  </w:pPr>
                  <w:r>
                    <w:t xml:space="preserve">Only for uses that are </w:t>
                  </w:r>
                  <w:r w:rsidRPr="004468CF">
                    <w:rPr>
                      <w:b/>
                    </w:rPr>
                    <w:t>“evidence based</w:t>
                  </w:r>
                  <w:r>
                    <w:rPr>
                      <w:b/>
                    </w:rPr>
                    <w:t>,</w:t>
                  </w:r>
                  <w:r w:rsidRPr="004468CF">
                    <w:rPr>
                      <w:b/>
                    </w:rPr>
                    <w:t>”</w:t>
                  </w:r>
                  <w:r>
                    <w:t xml:space="preserve"> (i.e. student growth and educator performance data)*</w:t>
                  </w:r>
                </w:p>
              </w:txbxContent>
            </v:textbox>
          </v:shape>
        </w:pict>
      </w:r>
      <w:r>
        <w:rPr>
          <w:noProof/>
          <w:lang w:eastAsia="zh-TW"/>
        </w:rPr>
        <w:pict>
          <v:shape id="_x0000_s1032" type="#_x0000_t202" style="position:absolute;margin-left:251.1pt;margin-top:7.9pt;width:275.65pt;height:89.2pt;z-index:251659263;mso-width-relative:margin;mso-height-relative:margin" strokecolor="#8db3e2 [1311]">
            <v:stroke dashstyle="dash"/>
            <v:textbox style="mso-next-textbox:#_x0000_s1032">
              <w:txbxContent>
                <w:p w:rsidR="004358BF" w:rsidRPr="00232883" w:rsidRDefault="002571F0" w:rsidP="0080048C">
                  <w:pPr>
                    <w:spacing w:after="0" w:line="240" w:lineRule="auto"/>
                    <w:rPr>
                      <w:sz w:val="26"/>
                      <w:szCs w:val="26"/>
                    </w:rPr>
                  </w:pPr>
                  <w:r>
                    <w:rPr>
                      <w:color w:val="4F81BD" w:themeColor="accent1"/>
                      <w:sz w:val="26"/>
                      <w:szCs w:val="26"/>
                    </w:rPr>
                    <w:t xml:space="preserve">Slides from the Nov. 3, 2016, </w:t>
                  </w:r>
                  <w:r w:rsidR="004358BF" w:rsidRPr="00232883">
                    <w:rPr>
                      <w:color w:val="4F81BD" w:themeColor="accent1"/>
                      <w:sz w:val="26"/>
                      <w:szCs w:val="26"/>
                    </w:rPr>
                    <w:t xml:space="preserve">presentation on this topic are available at </w:t>
                  </w:r>
                  <w:hyperlink r:id="rId19" w:history="1">
                    <w:r w:rsidR="004358BF" w:rsidRPr="00232883">
                      <w:rPr>
                        <w:rStyle w:val="Hyperlink"/>
                        <w:sz w:val="26"/>
                        <w:szCs w:val="26"/>
                      </w:rPr>
                      <w:t>http://www.doe.mass.edu/educators/title-iia/</w:t>
                    </w:r>
                  </w:hyperlink>
                  <w:r w:rsidR="004358BF" w:rsidRPr="00232883">
                    <w:rPr>
                      <w:sz w:val="26"/>
                      <w:szCs w:val="26"/>
                    </w:rPr>
                    <w:t xml:space="preserve">. </w:t>
                  </w:r>
                  <w:r w:rsidR="004358BF" w:rsidRPr="00232883">
                    <w:rPr>
                      <w:color w:val="4F81BD" w:themeColor="accent1"/>
                      <w:sz w:val="26"/>
                      <w:szCs w:val="26"/>
                    </w:rPr>
                    <w:t>Contact</w:t>
                  </w:r>
                  <w:r w:rsidR="004358BF" w:rsidRPr="00232883">
                    <w:rPr>
                      <w:sz w:val="26"/>
                      <w:szCs w:val="26"/>
                    </w:rPr>
                    <w:t xml:space="preserve"> </w:t>
                  </w:r>
                  <w:hyperlink r:id="rId20" w:history="1">
                    <w:r w:rsidR="004358BF" w:rsidRPr="00232883">
                      <w:rPr>
                        <w:rStyle w:val="Hyperlink"/>
                        <w:sz w:val="26"/>
                        <w:szCs w:val="26"/>
                      </w:rPr>
                      <w:t>TitleIIAGrants@doe.mass.edu</w:t>
                    </w:r>
                  </w:hyperlink>
                  <w:r w:rsidR="004358BF" w:rsidRPr="00232883">
                    <w:rPr>
                      <w:sz w:val="26"/>
                      <w:szCs w:val="26"/>
                    </w:rPr>
                    <w:t xml:space="preserve"> </w:t>
                  </w:r>
                  <w:r w:rsidR="004358BF" w:rsidRPr="00232883">
                    <w:rPr>
                      <w:color w:val="4F81BD" w:themeColor="accent1"/>
                      <w:sz w:val="26"/>
                      <w:szCs w:val="26"/>
                    </w:rPr>
                    <w:t>with questions.</w:t>
                  </w:r>
                </w:p>
              </w:txbxContent>
            </v:textbox>
          </v:shape>
        </w:pict>
      </w:r>
      <w:r>
        <w:rPr>
          <w:noProof/>
          <w:lang w:eastAsia="zh-TW"/>
        </w:rPr>
        <w:pict>
          <v:roundrect id="_x0000_s1030" style="position:absolute;margin-left:-17.65pt;margin-top:380.15pt;width:556.65pt;height:185.85pt;z-index:251668480;mso-width-relative:margin;mso-height-relative:margin" arcsize="10923f" strokecolor="#1f497d [3215]" strokeweight="1.5pt">
            <v:shadow on="t" opacity=".5"/>
            <v:textbox style="mso-next-textbox:#_x0000_s1030">
              <w:txbxContent>
                <w:p w:rsidR="004358BF" w:rsidRPr="00F829C9" w:rsidRDefault="004358BF" w:rsidP="00682377">
                  <w:pPr>
                    <w:spacing w:after="0"/>
                    <w:contextualSpacing/>
                    <w:rPr>
                      <w:b/>
                      <w:color w:val="1F497D" w:themeColor="text2"/>
                      <w:sz w:val="26"/>
                      <w:szCs w:val="26"/>
                    </w:rPr>
                  </w:pPr>
                  <w:r>
                    <w:rPr>
                      <w:b/>
                      <w:color w:val="1F497D" w:themeColor="text2"/>
                      <w:sz w:val="26"/>
                      <w:szCs w:val="26"/>
                    </w:rPr>
                    <w:t>Funding changes</w:t>
                  </w:r>
                  <w:r w:rsidRPr="00F829C9">
                    <w:rPr>
                      <w:b/>
                      <w:color w:val="1F497D" w:themeColor="text2"/>
                      <w:sz w:val="26"/>
                      <w:szCs w:val="26"/>
                    </w:rPr>
                    <w:t>:</w:t>
                  </w:r>
                </w:p>
                <w:p w:rsidR="004358BF" w:rsidRPr="00477844" w:rsidRDefault="004358BF" w:rsidP="00477844">
                  <w:pPr>
                    <w:spacing w:after="0"/>
                    <w:rPr>
                      <w:b/>
                      <w:sz w:val="24"/>
                    </w:rPr>
                  </w:pPr>
                  <w:r w:rsidRPr="00477844">
                    <w:rPr>
                      <w:b/>
                      <w:sz w:val="24"/>
                    </w:rPr>
                    <w:t>Beginning in FY18, calculations will begin to shift incrementally each year, so that…</w:t>
                  </w:r>
                </w:p>
                <w:p w:rsidR="004358BF" w:rsidRPr="00CF5803" w:rsidRDefault="004358BF" w:rsidP="00682377">
                  <w:pPr>
                    <w:pStyle w:val="ListParagraph"/>
                    <w:numPr>
                      <w:ilvl w:val="0"/>
                      <w:numId w:val="4"/>
                    </w:numPr>
                    <w:spacing w:after="0"/>
                    <w:ind w:left="360" w:hanging="270"/>
                  </w:pPr>
                  <w:r>
                    <w:t xml:space="preserve">By 2021, the calculation will be based on: </w:t>
                  </w:r>
                  <w:r w:rsidRPr="004D4EF6">
                    <w:rPr>
                      <w:b/>
                    </w:rPr>
                    <w:t xml:space="preserve">student population (20%) and population of students in </w:t>
                  </w:r>
                  <w:r w:rsidRPr="004574AC">
                    <w:rPr>
                      <w:b/>
                    </w:rPr>
                    <w:t>poverty (80%)</w:t>
                  </w:r>
                </w:p>
                <w:p w:rsidR="004358BF" w:rsidRDefault="004358BF" w:rsidP="00405A87">
                  <w:pPr>
                    <w:pStyle w:val="ListParagraph"/>
                    <w:numPr>
                      <w:ilvl w:val="0"/>
                      <w:numId w:val="4"/>
                    </w:numPr>
                    <w:ind w:left="360" w:hanging="270"/>
                  </w:pPr>
                  <w:r>
                    <w:t>By 2022, the guarantee that states will receive at least as much funding as in 2001 will be phased out; overall, MA’s allocation will decrease by $6 million gradually over four years</w:t>
                  </w:r>
                </w:p>
                <w:p w:rsidR="004358BF" w:rsidRDefault="004358BF" w:rsidP="00405A87">
                  <w:pPr>
                    <w:pStyle w:val="ListParagraph"/>
                    <w:numPr>
                      <w:ilvl w:val="0"/>
                      <w:numId w:val="4"/>
                    </w:numPr>
                    <w:ind w:left="360" w:hanging="270"/>
                  </w:pPr>
                  <w:r>
                    <w:t xml:space="preserve">Beginning in FY18, </w:t>
                  </w:r>
                  <w:r>
                    <w:rPr>
                      <w:b/>
                    </w:rPr>
                    <w:t>p</w:t>
                  </w:r>
                  <w:r w:rsidRPr="00402134">
                    <w:rPr>
                      <w:b/>
                    </w:rPr>
                    <w:t>rivate schools</w:t>
                  </w:r>
                  <w:r>
                    <w:t xml:space="preserve"> will receive a </w:t>
                  </w:r>
                  <w:r>
                    <w:rPr>
                      <w:b/>
                    </w:rPr>
                    <w:t xml:space="preserve">proportion of the </w:t>
                  </w:r>
                  <w:r w:rsidRPr="00D969DB">
                    <w:rPr>
                      <w:b/>
                      <w:u w:val="single"/>
                    </w:rPr>
                    <w:t>total</w:t>
                  </w:r>
                  <w:r>
                    <w:rPr>
                      <w:b/>
                    </w:rPr>
                    <w:t xml:space="preserve"> district allocation</w:t>
                  </w:r>
                  <w:r>
                    <w:t>, regardless of how the district spends its allocation (i.e. flexing, program administration, or class-size reduction)</w:t>
                  </w:r>
                </w:p>
                <w:p w:rsidR="004358BF" w:rsidRPr="00CF5803" w:rsidRDefault="004358BF" w:rsidP="00405A87">
                  <w:pPr>
                    <w:pStyle w:val="ListParagraph"/>
                    <w:numPr>
                      <w:ilvl w:val="0"/>
                      <w:numId w:val="4"/>
                    </w:numPr>
                    <w:ind w:left="360" w:hanging="270"/>
                  </w:pPr>
                  <w:r>
                    <w:t>Beginning in FY18, states can hold back 3% for principal and school leader support; which will primarily be sent back to districts through competitive grants</w:t>
                  </w:r>
                </w:p>
              </w:txbxContent>
            </v:textbox>
          </v:roundrect>
        </w:pict>
      </w:r>
    </w:p>
    <w:sectPr w:rsidR="00D43546" w:rsidSect="00BE5B3B">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11C" w:rsidRDefault="0022511C" w:rsidP="004468CF">
      <w:pPr>
        <w:spacing w:after="0" w:line="240" w:lineRule="auto"/>
      </w:pPr>
      <w:r>
        <w:separator/>
      </w:r>
    </w:p>
  </w:endnote>
  <w:endnote w:type="continuationSeparator" w:id="0">
    <w:p w:rsidR="0022511C" w:rsidRDefault="0022511C" w:rsidP="00446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11C" w:rsidRDefault="0022511C" w:rsidP="004468CF">
      <w:pPr>
        <w:spacing w:after="0" w:line="240" w:lineRule="auto"/>
      </w:pPr>
      <w:r>
        <w:separator/>
      </w:r>
    </w:p>
  </w:footnote>
  <w:footnote w:type="continuationSeparator" w:id="0">
    <w:p w:rsidR="0022511C" w:rsidRDefault="0022511C" w:rsidP="004468CF">
      <w:pPr>
        <w:spacing w:after="0" w:line="240" w:lineRule="auto"/>
      </w:pPr>
      <w:r>
        <w:continuationSeparator/>
      </w:r>
    </w:p>
  </w:footnote>
  <w:footnote w:id="1">
    <w:p w:rsidR="004358BF" w:rsidRDefault="004358BF">
      <w:pPr>
        <w:pStyle w:val="FootnoteText"/>
      </w:pPr>
      <w:r>
        <w:rPr>
          <w:rStyle w:val="FootnoteReference"/>
        </w:rPr>
        <w:t>*</w:t>
      </w:r>
      <w:r>
        <w:t xml:space="preserve"> ESE is currently seeking additional information from USED on this topic, and will share information with districts as we learn more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5749"/>
    <w:multiLevelType w:val="hybridMultilevel"/>
    <w:tmpl w:val="25AE0488"/>
    <w:lvl w:ilvl="0" w:tplc="21564D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A7BF6"/>
    <w:multiLevelType w:val="hybridMultilevel"/>
    <w:tmpl w:val="21E80708"/>
    <w:lvl w:ilvl="0" w:tplc="C226CF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CA083C"/>
    <w:multiLevelType w:val="hybridMultilevel"/>
    <w:tmpl w:val="533A6CAA"/>
    <w:lvl w:ilvl="0" w:tplc="E40657F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872F68"/>
    <w:multiLevelType w:val="hybridMultilevel"/>
    <w:tmpl w:val="87404D76"/>
    <w:lvl w:ilvl="0" w:tplc="05F836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BD1FFB"/>
    <w:multiLevelType w:val="hybridMultilevel"/>
    <w:tmpl w:val="61FA2B48"/>
    <w:lvl w:ilvl="0" w:tplc="83FCC0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EE11D5"/>
    <w:multiLevelType w:val="hybridMultilevel"/>
    <w:tmpl w:val="663ED1C0"/>
    <w:lvl w:ilvl="0" w:tplc="A252A2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734C0"/>
    <w:rsid w:val="00021D8D"/>
    <w:rsid w:val="000375AD"/>
    <w:rsid w:val="00067133"/>
    <w:rsid w:val="000D5961"/>
    <w:rsid w:val="000F10F2"/>
    <w:rsid w:val="00115805"/>
    <w:rsid w:val="00131B57"/>
    <w:rsid w:val="00173F26"/>
    <w:rsid w:val="001A67DE"/>
    <w:rsid w:val="001A6811"/>
    <w:rsid w:val="001B41E6"/>
    <w:rsid w:val="001B70BC"/>
    <w:rsid w:val="001C1094"/>
    <w:rsid w:val="001C2981"/>
    <w:rsid w:val="0022511C"/>
    <w:rsid w:val="00232883"/>
    <w:rsid w:val="0025283B"/>
    <w:rsid w:val="002571F0"/>
    <w:rsid w:val="00261522"/>
    <w:rsid w:val="002D1CFF"/>
    <w:rsid w:val="002D7C17"/>
    <w:rsid w:val="00307168"/>
    <w:rsid w:val="00323699"/>
    <w:rsid w:val="00402134"/>
    <w:rsid w:val="00405A87"/>
    <w:rsid w:val="0041570A"/>
    <w:rsid w:val="004358BF"/>
    <w:rsid w:val="00440F82"/>
    <w:rsid w:val="004468CF"/>
    <w:rsid w:val="004574AC"/>
    <w:rsid w:val="0047646B"/>
    <w:rsid w:val="00477844"/>
    <w:rsid w:val="004C30C3"/>
    <w:rsid w:val="004C7A5A"/>
    <w:rsid w:val="004D4EF6"/>
    <w:rsid w:val="005B40B6"/>
    <w:rsid w:val="005D2ECF"/>
    <w:rsid w:val="00657F6F"/>
    <w:rsid w:val="0068150F"/>
    <w:rsid w:val="00682377"/>
    <w:rsid w:val="006D6353"/>
    <w:rsid w:val="00705712"/>
    <w:rsid w:val="007510B6"/>
    <w:rsid w:val="00771ED2"/>
    <w:rsid w:val="00794420"/>
    <w:rsid w:val="007C6CD6"/>
    <w:rsid w:val="007F3BF9"/>
    <w:rsid w:val="0080048C"/>
    <w:rsid w:val="008438B8"/>
    <w:rsid w:val="00891D54"/>
    <w:rsid w:val="008A03BD"/>
    <w:rsid w:val="008F04F9"/>
    <w:rsid w:val="008F59C2"/>
    <w:rsid w:val="00912FC1"/>
    <w:rsid w:val="00923600"/>
    <w:rsid w:val="009559DB"/>
    <w:rsid w:val="009A09A9"/>
    <w:rsid w:val="009C00C8"/>
    <w:rsid w:val="009E015F"/>
    <w:rsid w:val="009F1027"/>
    <w:rsid w:val="00A01332"/>
    <w:rsid w:val="00A277DC"/>
    <w:rsid w:val="00A73093"/>
    <w:rsid w:val="00A879DD"/>
    <w:rsid w:val="00A915E9"/>
    <w:rsid w:val="00AB275B"/>
    <w:rsid w:val="00AC6C7D"/>
    <w:rsid w:val="00AF0AEB"/>
    <w:rsid w:val="00B00D29"/>
    <w:rsid w:val="00B115F6"/>
    <w:rsid w:val="00B25967"/>
    <w:rsid w:val="00BD4A46"/>
    <w:rsid w:val="00BE5B3B"/>
    <w:rsid w:val="00C14283"/>
    <w:rsid w:val="00C53900"/>
    <w:rsid w:val="00C70C2F"/>
    <w:rsid w:val="00C82B18"/>
    <w:rsid w:val="00C97908"/>
    <w:rsid w:val="00CF5803"/>
    <w:rsid w:val="00D204D9"/>
    <w:rsid w:val="00D42AD8"/>
    <w:rsid w:val="00D43546"/>
    <w:rsid w:val="00D46031"/>
    <w:rsid w:val="00D53F70"/>
    <w:rsid w:val="00D969DB"/>
    <w:rsid w:val="00E4023C"/>
    <w:rsid w:val="00E47EFA"/>
    <w:rsid w:val="00E734C0"/>
    <w:rsid w:val="00E74CFA"/>
    <w:rsid w:val="00E80911"/>
    <w:rsid w:val="00E96261"/>
    <w:rsid w:val="00EC4908"/>
    <w:rsid w:val="00F15D1C"/>
    <w:rsid w:val="00F74B68"/>
    <w:rsid w:val="00F829C9"/>
    <w:rsid w:val="00F917F7"/>
    <w:rsid w:val="00FB2851"/>
    <w:rsid w:val="00FB39F5"/>
    <w:rsid w:val="00FC02FD"/>
    <w:rsid w:val="00FE4A7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951]" stroke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E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B3B"/>
    <w:rPr>
      <w:rFonts w:ascii="Tahoma" w:hAnsi="Tahoma" w:cs="Tahoma"/>
      <w:sz w:val="16"/>
      <w:szCs w:val="16"/>
    </w:rPr>
  </w:style>
  <w:style w:type="paragraph" w:styleId="ListParagraph">
    <w:name w:val="List Paragraph"/>
    <w:basedOn w:val="Normal"/>
    <w:uiPriority w:val="34"/>
    <w:qFormat/>
    <w:rsid w:val="009E015F"/>
    <w:pPr>
      <w:ind w:left="720"/>
      <w:contextualSpacing/>
    </w:pPr>
  </w:style>
  <w:style w:type="paragraph" w:styleId="FootnoteText">
    <w:name w:val="footnote text"/>
    <w:basedOn w:val="Normal"/>
    <w:link w:val="FootnoteTextChar"/>
    <w:uiPriority w:val="99"/>
    <w:semiHidden/>
    <w:unhideWhenUsed/>
    <w:rsid w:val="004468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68CF"/>
    <w:rPr>
      <w:sz w:val="20"/>
      <w:szCs w:val="20"/>
    </w:rPr>
  </w:style>
  <w:style w:type="character" w:styleId="FootnoteReference">
    <w:name w:val="footnote reference"/>
    <w:basedOn w:val="DefaultParagraphFont"/>
    <w:uiPriority w:val="99"/>
    <w:semiHidden/>
    <w:unhideWhenUsed/>
    <w:rsid w:val="004468CF"/>
    <w:rPr>
      <w:vertAlign w:val="superscript"/>
    </w:rPr>
  </w:style>
  <w:style w:type="character" w:styleId="Hyperlink">
    <w:name w:val="Hyperlink"/>
    <w:basedOn w:val="DefaultParagraphFont"/>
    <w:uiPriority w:val="99"/>
    <w:unhideWhenUsed/>
    <w:rsid w:val="0080048C"/>
    <w:rPr>
      <w:color w:val="0000FF" w:themeColor="hyperlink"/>
      <w:u w:val="single"/>
    </w:rPr>
  </w:style>
  <w:style w:type="character" w:styleId="FollowedHyperlink">
    <w:name w:val="FollowedHyperlink"/>
    <w:basedOn w:val="DefaultParagraphFont"/>
    <w:uiPriority w:val="99"/>
    <w:semiHidden/>
    <w:unhideWhenUsed/>
    <w:rsid w:val="001A67D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2.ed.gov/documents/essa-act-of-1965.pdf"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2.ed.gov/policy/elsec/leg/essa/essatitleiipartaguidance.pdf"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mailto:TitleIIAGrant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Layout" Target="diagrams/layout1.xml"/><Relationship Id="rId10" Type="http://schemas.openxmlformats.org/officeDocument/2006/relationships/footnotes" Target="footnotes.xml"/><Relationship Id="rId19" Type="http://schemas.openxmlformats.org/officeDocument/2006/relationships/hyperlink" Target="http://www.doe.mass.edu/educators/title-ii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47545E-3681-42A6-8120-9705CC961307}" type="doc">
      <dgm:prSet loTypeId="urn:microsoft.com/office/officeart/2005/8/layout/cycle2" loCatId="cycle" qsTypeId="urn:microsoft.com/office/officeart/2005/8/quickstyle/simple4" qsCatId="simple" csTypeId="urn:microsoft.com/office/officeart/2005/8/colors/accent1_2" csCatId="accent1" phldr="1"/>
      <dgm:spPr/>
      <dgm:t>
        <a:bodyPr/>
        <a:lstStyle/>
        <a:p>
          <a:endParaRPr lang="en-US"/>
        </a:p>
      </dgm:t>
    </dgm:pt>
    <dgm:pt modelId="{83CA49DE-0688-4F4C-BDED-B44B6B111485}">
      <dgm:prSet phldrT="[Text]"/>
      <dgm:spPr/>
      <dgm:t>
        <a:bodyPr/>
        <a:lstStyle/>
        <a:p>
          <a:r>
            <a:rPr lang="en-US"/>
            <a:t>TIII</a:t>
          </a:r>
        </a:p>
      </dgm:t>
    </dgm:pt>
    <dgm:pt modelId="{C547E5F7-4B15-4AD0-A818-DAC7C8CC7749}" type="parTrans" cxnId="{B630BF5B-F0AE-4698-90E6-937B9BB23FCF}">
      <dgm:prSet/>
      <dgm:spPr/>
      <dgm:t>
        <a:bodyPr/>
        <a:lstStyle/>
        <a:p>
          <a:endParaRPr lang="en-US"/>
        </a:p>
      </dgm:t>
    </dgm:pt>
    <dgm:pt modelId="{5CC1265B-9904-4BCF-9278-B43B23849267}" type="sibTrans" cxnId="{B630BF5B-F0AE-4698-90E6-937B9BB23FCF}">
      <dgm:prSet/>
      <dgm:spPr/>
      <dgm:t>
        <a:bodyPr/>
        <a:lstStyle/>
        <a:p>
          <a:endParaRPr lang="en-US"/>
        </a:p>
      </dgm:t>
    </dgm:pt>
    <dgm:pt modelId="{67959983-0C12-4688-9CBE-DDE4B9CE0341}">
      <dgm:prSet phldrT="[Text]"/>
      <dgm:spPr/>
      <dgm:t>
        <a:bodyPr/>
        <a:lstStyle/>
        <a:p>
          <a:r>
            <a:rPr lang="en-US"/>
            <a:t>TIIA</a:t>
          </a:r>
        </a:p>
      </dgm:t>
    </dgm:pt>
    <dgm:pt modelId="{8476CE90-BA02-41F8-B6B9-3ECF87E54C6D}" type="parTrans" cxnId="{168E5E5A-1A32-4E90-A4D3-C97F8A2965BB}">
      <dgm:prSet/>
      <dgm:spPr/>
      <dgm:t>
        <a:bodyPr/>
        <a:lstStyle/>
        <a:p>
          <a:endParaRPr lang="en-US"/>
        </a:p>
      </dgm:t>
    </dgm:pt>
    <dgm:pt modelId="{D32FE550-13E7-40AA-BF15-4628F5D11F54}" type="sibTrans" cxnId="{168E5E5A-1A32-4E90-A4D3-C97F8A2965BB}">
      <dgm:prSet/>
      <dgm:spPr/>
      <dgm:t>
        <a:bodyPr/>
        <a:lstStyle/>
        <a:p>
          <a:endParaRPr lang="en-US"/>
        </a:p>
      </dgm:t>
    </dgm:pt>
    <dgm:pt modelId="{3D65638C-89CC-404D-8E90-9BA652D64DBF}">
      <dgm:prSet phldrT="[Text]"/>
      <dgm:spPr/>
      <dgm:t>
        <a:bodyPr/>
        <a:lstStyle/>
        <a:p>
          <a:r>
            <a:rPr lang="en-US"/>
            <a:t>TI</a:t>
          </a:r>
        </a:p>
      </dgm:t>
    </dgm:pt>
    <dgm:pt modelId="{A84C8347-9205-42E4-A9BA-AD6434C17C5E}" type="parTrans" cxnId="{C02999CB-6365-43B3-B839-E0EE0D5FE106}">
      <dgm:prSet/>
      <dgm:spPr/>
      <dgm:t>
        <a:bodyPr/>
        <a:lstStyle/>
        <a:p>
          <a:endParaRPr lang="en-US"/>
        </a:p>
      </dgm:t>
    </dgm:pt>
    <dgm:pt modelId="{F42C0B09-41A0-46E1-86CD-21FCAEBF1049}" type="sibTrans" cxnId="{C02999CB-6365-43B3-B839-E0EE0D5FE106}">
      <dgm:prSet/>
      <dgm:spPr/>
      <dgm:t>
        <a:bodyPr/>
        <a:lstStyle/>
        <a:p>
          <a:endParaRPr lang="en-US"/>
        </a:p>
      </dgm:t>
    </dgm:pt>
    <dgm:pt modelId="{9CBCFACC-38AC-4B08-9C6D-6828F8BBD047}">
      <dgm:prSet phldrT="[Text]"/>
      <dgm:spPr/>
      <dgm:t>
        <a:bodyPr/>
        <a:lstStyle/>
        <a:p>
          <a:r>
            <a:rPr lang="en-US"/>
            <a:t>TIVA</a:t>
          </a:r>
        </a:p>
      </dgm:t>
    </dgm:pt>
    <dgm:pt modelId="{1727D052-F208-4F40-A0AB-585AED6BAA97}" type="parTrans" cxnId="{4ED4D71A-C850-40CD-9A39-01AC00F01353}">
      <dgm:prSet/>
      <dgm:spPr/>
      <dgm:t>
        <a:bodyPr/>
        <a:lstStyle/>
        <a:p>
          <a:endParaRPr lang="en-US"/>
        </a:p>
      </dgm:t>
    </dgm:pt>
    <dgm:pt modelId="{B56E16CD-5A41-431E-A3EF-77F0F91EA5EF}" type="sibTrans" cxnId="{4ED4D71A-C850-40CD-9A39-01AC00F01353}">
      <dgm:prSet/>
      <dgm:spPr/>
      <dgm:t>
        <a:bodyPr/>
        <a:lstStyle/>
        <a:p>
          <a:endParaRPr lang="en-US"/>
        </a:p>
      </dgm:t>
    </dgm:pt>
    <dgm:pt modelId="{DC2F54AE-1258-4336-9D61-6AC92B8EB7E4}">
      <dgm:prSet phldrT="[Text]"/>
      <dgm:spPr/>
      <dgm:t>
        <a:bodyPr/>
        <a:lstStyle/>
        <a:p>
          <a:r>
            <a:rPr lang="en-US"/>
            <a:t>TV</a:t>
          </a:r>
        </a:p>
      </dgm:t>
    </dgm:pt>
    <dgm:pt modelId="{B3866D77-0B11-4F66-A6A6-3AC73B02FC53}" type="parTrans" cxnId="{04C37965-B31F-40A8-8CA4-8E887244F632}">
      <dgm:prSet/>
      <dgm:spPr/>
      <dgm:t>
        <a:bodyPr/>
        <a:lstStyle/>
        <a:p>
          <a:endParaRPr lang="en-US"/>
        </a:p>
      </dgm:t>
    </dgm:pt>
    <dgm:pt modelId="{F2C3CEDB-A9C9-43D6-989C-B2FA41F7FBDA}" type="sibTrans" cxnId="{04C37965-B31F-40A8-8CA4-8E887244F632}">
      <dgm:prSet/>
      <dgm:spPr>
        <a:noFill/>
        <a:ln>
          <a:noFill/>
        </a:ln>
      </dgm:spPr>
      <dgm:t>
        <a:bodyPr/>
        <a:lstStyle/>
        <a:p>
          <a:endParaRPr lang="en-US"/>
        </a:p>
      </dgm:t>
    </dgm:pt>
    <dgm:pt modelId="{0D30506A-F601-48AA-80EF-6DD0964B36C3}" type="pres">
      <dgm:prSet presAssocID="{7047545E-3681-42A6-8120-9705CC961307}" presName="cycle" presStyleCnt="0">
        <dgm:presLayoutVars>
          <dgm:dir/>
          <dgm:resizeHandles val="exact"/>
        </dgm:presLayoutVars>
      </dgm:prSet>
      <dgm:spPr/>
      <dgm:t>
        <a:bodyPr/>
        <a:lstStyle/>
        <a:p>
          <a:endParaRPr lang="en-US"/>
        </a:p>
      </dgm:t>
    </dgm:pt>
    <dgm:pt modelId="{8713BF3F-2364-4056-ADB5-A0408471589B}" type="pres">
      <dgm:prSet presAssocID="{DC2F54AE-1258-4336-9D61-6AC92B8EB7E4}" presName="node" presStyleLbl="node1" presStyleIdx="0" presStyleCnt="5">
        <dgm:presLayoutVars>
          <dgm:bulletEnabled val="1"/>
        </dgm:presLayoutVars>
      </dgm:prSet>
      <dgm:spPr/>
      <dgm:t>
        <a:bodyPr/>
        <a:lstStyle/>
        <a:p>
          <a:endParaRPr lang="en-US"/>
        </a:p>
      </dgm:t>
    </dgm:pt>
    <dgm:pt modelId="{E8148A99-E171-4FC2-A955-4A7F08A6A14E}" type="pres">
      <dgm:prSet presAssocID="{F2C3CEDB-A9C9-43D6-989C-B2FA41F7FBDA}" presName="sibTrans" presStyleLbl="sibTrans2D1" presStyleIdx="0" presStyleCnt="5" custScaleX="156493" custScaleY="33528"/>
      <dgm:spPr/>
      <dgm:t>
        <a:bodyPr/>
        <a:lstStyle/>
        <a:p>
          <a:endParaRPr lang="en-US"/>
        </a:p>
      </dgm:t>
    </dgm:pt>
    <dgm:pt modelId="{575AA8D2-670E-4B0B-B162-574C5536017B}" type="pres">
      <dgm:prSet presAssocID="{F2C3CEDB-A9C9-43D6-989C-B2FA41F7FBDA}" presName="connectorText" presStyleLbl="sibTrans2D1" presStyleIdx="0" presStyleCnt="5"/>
      <dgm:spPr/>
      <dgm:t>
        <a:bodyPr/>
        <a:lstStyle/>
        <a:p>
          <a:endParaRPr lang="en-US"/>
        </a:p>
      </dgm:t>
    </dgm:pt>
    <dgm:pt modelId="{9A07C5BF-B4BD-447C-BBEE-0F39F7391B79}" type="pres">
      <dgm:prSet presAssocID="{9CBCFACC-38AC-4B08-9C6D-6828F8BBD047}" presName="node" presStyleLbl="node1" presStyleIdx="1" presStyleCnt="5">
        <dgm:presLayoutVars>
          <dgm:bulletEnabled val="1"/>
        </dgm:presLayoutVars>
      </dgm:prSet>
      <dgm:spPr/>
      <dgm:t>
        <a:bodyPr/>
        <a:lstStyle/>
        <a:p>
          <a:endParaRPr lang="en-US"/>
        </a:p>
      </dgm:t>
    </dgm:pt>
    <dgm:pt modelId="{45E0D228-ABBA-4AA4-82E5-8344516940DE}" type="pres">
      <dgm:prSet presAssocID="{B56E16CD-5A41-431E-A3EF-77F0F91EA5EF}" presName="sibTrans" presStyleLbl="sibTrans2D1" presStyleIdx="1" presStyleCnt="5" custAng="12018580" custScaleX="598375" custScaleY="109243" custLinFactX="-300000" custLinFactY="-40104" custLinFactNeighborX="-338970" custLinFactNeighborY="-100000"/>
      <dgm:spPr/>
      <dgm:t>
        <a:bodyPr/>
        <a:lstStyle/>
        <a:p>
          <a:endParaRPr lang="en-US"/>
        </a:p>
      </dgm:t>
    </dgm:pt>
    <dgm:pt modelId="{7D5B429E-1790-4B41-BA3B-3891B6D787B6}" type="pres">
      <dgm:prSet presAssocID="{B56E16CD-5A41-431E-A3EF-77F0F91EA5EF}" presName="connectorText" presStyleLbl="sibTrans2D1" presStyleIdx="1" presStyleCnt="5"/>
      <dgm:spPr/>
      <dgm:t>
        <a:bodyPr/>
        <a:lstStyle/>
        <a:p>
          <a:endParaRPr lang="en-US"/>
        </a:p>
      </dgm:t>
    </dgm:pt>
    <dgm:pt modelId="{17F49726-ABDA-4AF1-B887-570C4687220E}" type="pres">
      <dgm:prSet presAssocID="{83CA49DE-0688-4F4C-BDED-B44B6B111485}" presName="node" presStyleLbl="node1" presStyleIdx="2" presStyleCnt="5" custRadScaleRad="112061" custRadScaleInc="-21459">
        <dgm:presLayoutVars>
          <dgm:bulletEnabled val="1"/>
        </dgm:presLayoutVars>
      </dgm:prSet>
      <dgm:spPr/>
      <dgm:t>
        <a:bodyPr/>
        <a:lstStyle/>
        <a:p>
          <a:endParaRPr lang="en-US"/>
        </a:p>
      </dgm:t>
    </dgm:pt>
    <dgm:pt modelId="{0FDC7C96-F263-40A1-A025-B224E02DAC42}" type="pres">
      <dgm:prSet presAssocID="{5CC1265B-9904-4BCF-9278-B43B23849267}" presName="sibTrans" presStyleLbl="sibTrans2D1" presStyleIdx="2" presStyleCnt="5" custAng="1672222" custFlipVert="1" custScaleX="302646" custScaleY="103771" custLinFactY="-100000" custLinFactNeighborX="15526" custLinFactNeighborY="-103976"/>
      <dgm:spPr>
        <a:prstGeom prst="leftRightArrow">
          <a:avLst/>
        </a:prstGeom>
      </dgm:spPr>
      <dgm:t>
        <a:bodyPr/>
        <a:lstStyle/>
        <a:p>
          <a:endParaRPr lang="en-US"/>
        </a:p>
      </dgm:t>
    </dgm:pt>
    <dgm:pt modelId="{84DDDCD7-DEC1-47E2-A49E-1363AD2B19DA}" type="pres">
      <dgm:prSet presAssocID="{5CC1265B-9904-4BCF-9278-B43B23849267}" presName="connectorText" presStyleLbl="sibTrans2D1" presStyleIdx="2" presStyleCnt="5"/>
      <dgm:spPr/>
      <dgm:t>
        <a:bodyPr/>
        <a:lstStyle/>
        <a:p>
          <a:endParaRPr lang="en-US"/>
        </a:p>
      </dgm:t>
    </dgm:pt>
    <dgm:pt modelId="{DC22F79C-7521-4456-B748-1F82905FD5AC}" type="pres">
      <dgm:prSet presAssocID="{67959983-0C12-4688-9CBE-DDE4B9CE0341}" presName="node" presStyleLbl="node1" presStyleIdx="3" presStyleCnt="5" custRadScaleRad="113659" custRadScaleInc="23353">
        <dgm:presLayoutVars>
          <dgm:bulletEnabled val="1"/>
        </dgm:presLayoutVars>
      </dgm:prSet>
      <dgm:spPr/>
      <dgm:t>
        <a:bodyPr/>
        <a:lstStyle/>
        <a:p>
          <a:endParaRPr lang="en-US"/>
        </a:p>
      </dgm:t>
    </dgm:pt>
    <dgm:pt modelId="{6FC21BBE-8B84-41F6-90CD-D3415AEA1292}" type="pres">
      <dgm:prSet presAssocID="{D32FE550-13E7-40AA-BF15-4628F5D11F54}" presName="sibTrans" presStyleLbl="sibTrans2D1" presStyleIdx="3" presStyleCnt="5" custScaleX="172892" custScaleY="96317"/>
      <dgm:spPr/>
      <dgm:t>
        <a:bodyPr/>
        <a:lstStyle/>
        <a:p>
          <a:endParaRPr lang="en-US"/>
        </a:p>
      </dgm:t>
    </dgm:pt>
    <dgm:pt modelId="{6953C3C7-A129-4A02-AE38-012540517690}" type="pres">
      <dgm:prSet presAssocID="{D32FE550-13E7-40AA-BF15-4628F5D11F54}" presName="connectorText" presStyleLbl="sibTrans2D1" presStyleIdx="3" presStyleCnt="5"/>
      <dgm:spPr/>
      <dgm:t>
        <a:bodyPr/>
        <a:lstStyle/>
        <a:p>
          <a:endParaRPr lang="en-US"/>
        </a:p>
      </dgm:t>
    </dgm:pt>
    <dgm:pt modelId="{55219423-C6A1-4E0B-89F3-6FE44292EE33}" type="pres">
      <dgm:prSet presAssocID="{3D65638C-89CC-404D-8E90-9BA652D64DBF}" presName="node" presStyleLbl="node1" presStyleIdx="4" presStyleCnt="5" custRadScaleRad="95826" custRadScaleInc="-53">
        <dgm:presLayoutVars>
          <dgm:bulletEnabled val="1"/>
        </dgm:presLayoutVars>
      </dgm:prSet>
      <dgm:spPr/>
      <dgm:t>
        <a:bodyPr/>
        <a:lstStyle/>
        <a:p>
          <a:endParaRPr lang="en-US"/>
        </a:p>
      </dgm:t>
    </dgm:pt>
    <dgm:pt modelId="{E90E7025-90BE-4F11-AD63-0877C0B06D9B}" type="pres">
      <dgm:prSet presAssocID="{F42C0B09-41A0-46E1-86CD-21FCAEBF1049}" presName="sibTrans" presStyleLbl="sibTrans2D1" presStyleIdx="4" presStyleCnt="5" custAng="13379669" custFlipHor="1" custScaleX="336050" custScaleY="93072" custLinFactX="100000" custLinFactY="224738" custLinFactNeighborX="114377" custLinFactNeighborY="300000"/>
      <dgm:spPr/>
      <dgm:t>
        <a:bodyPr/>
        <a:lstStyle/>
        <a:p>
          <a:endParaRPr lang="en-US"/>
        </a:p>
      </dgm:t>
    </dgm:pt>
    <dgm:pt modelId="{A943F589-7E2C-4B99-972A-8ED36B5070DB}" type="pres">
      <dgm:prSet presAssocID="{F42C0B09-41A0-46E1-86CD-21FCAEBF1049}" presName="connectorText" presStyleLbl="sibTrans2D1" presStyleIdx="4" presStyleCnt="5"/>
      <dgm:spPr/>
      <dgm:t>
        <a:bodyPr/>
        <a:lstStyle/>
        <a:p>
          <a:endParaRPr lang="en-US"/>
        </a:p>
      </dgm:t>
    </dgm:pt>
  </dgm:ptLst>
  <dgm:cxnLst>
    <dgm:cxn modelId="{168E5E5A-1A32-4E90-A4D3-C97F8A2965BB}" srcId="{7047545E-3681-42A6-8120-9705CC961307}" destId="{67959983-0C12-4688-9CBE-DDE4B9CE0341}" srcOrd="3" destOrd="0" parTransId="{8476CE90-BA02-41F8-B6B9-3ECF87E54C6D}" sibTransId="{D32FE550-13E7-40AA-BF15-4628F5D11F54}"/>
    <dgm:cxn modelId="{390B31F9-2A32-4E46-93B9-820495FCCBF8}" type="presOf" srcId="{F2C3CEDB-A9C9-43D6-989C-B2FA41F7FBDA}" destId="{E8148A99-E171-4FC2-A955-4A7F08A6A14E}" srcOrd="0" destOrd="0" presId="urn:microsoft.com/office/officeart/2005/8/layout/cycle2"/>
    <dgm:cxn modelId="{60EDE23C-F350-41D8-A7A7-7316AAC02C39}" type="presOf" srcId="{D32FE550-13E7-40AA-BF15-4628F5D11F54}" destId="{6FC21BBE-8B84-41F6-90CD-D3415AEA1292}" srcOrd="0" destOrd="0" presId="urn:microsoft.com/office/officeart/2005/8/layout/cycle2"/>
    <dgm:cxn modelId="{2FB785F5-41D6-4CFB-9747-411C733E001D}" type="presOf" srcId="{B56E16CD-5A41-431E-A3EF-77F0F91EA5EF}" destId="{45E0D228-ABBA-4AA4-82E5-8344516940DE}" srcOrd="0" destOrd="0" presId="urn:microsoft.com/office/officeart/2005/8/layout/cycle2"/>
    <dgm:cxn modelId="{04C37965-B31F-40A8-8CA4-8E887244F632}" srcId="{7047545E-3681-42A6-8120-9705CC961307}" destId="{DC2F54AE-1258-4336-9D61-6AC92B8EB7E4}" srcOrd="0" destOrd="0" parTransId="{B3866D77-0B11-4F66-A6A6-3AC73B02FC53}" sibTransId="{F2C3CEDB-A9C9-43D6-989C-B2FA41F7FBDA}"/>
    <dgm:cxn modelId="{C737FA38-3461-4865-B096-D0F9FBBDEFDB}" type="presOf" srcId="{F42C0B09-41A0-46E1-86CD-21FCAEBF1049}" destId="{A943F589-7E2C-4B99-972A-8ED36B5070DB}" srcOrd="1" destOrd="0" presId="urn:microsoft.com/office/officeart/2005/8/layout/cycle2"/>
    <dgm:cxn modelId="{44E1D882-E58E-4284-98B1-C5E134220CFF}" type="presOf" srcId="{5CC1265B-9904-4BCF-9278-B43B23849267}" destId="{84DDDCD7-DEC1-47E2-A49E-1363AD2B19DA}" srcOrd="1" destOrd="0" presId="urn:microsoft.com/office/officeart/2005/8/layout/cycle2"/>
    <dgm:cxn modelId="{C02999CB-6365-43B3-B839-E0EE0D5FE106}" srcId="{7047545E-3681-42A6-8120-9705CC961307}" destId="{3D65638C-89CC-404D-8E90-9BA652D64DBF}" srcOrd="4" destOrd="0" parTransId="{A84C8347-9205-42E4-A9BA-AD6434C17C5E}" sibTransId="{F42C0B09-41A0-46E1-86CD-21FCAEBF1049}"/>
    <dgm:cxn modelId="{18C332FD-7857-444F-BAAB-BC14CBD3F818}" type="presOf" srcId="{D32FE550-13E7-40AA-BF15-4628F5D11F54}" destId="{6953C3C7-A129-4A02-AE38-012540517690}" srcOrd="1" destOrd="0" presId="urn:microsoft.com/office/officeart/2005/8/layout/cycle2"/>
    <dgm:cxn modelId="{5670F4D1-4D98-436A-A70B-4952C74D0F9E}" type="presOf" srcId="{7047545E-3681-42A6-8120-9705CC961307}" destId="{0D30506A-F601-48AA-80EF-6DD0964B36C3}" srcOrd="0" destOrd="0" presId="urn:microsoft.com/office/officeart/2005/8/layout/cycle2"/>
    <dgm:cxn modelId="{CF8F953F-DA31-4CB9-875B-A6FD156BC016}" type="presOf" srcId="{B56E16CD-5A41-431E-A3EF-77F0F91EA5EF}" destId="{7D5B429E-1790-4B41-BA3B-3891B6D787B6}" srcOrd="1" destOrd="0" presId="urn:microsoft.com/office/officeart/2005/8/layout/cycle2"/>
    <dgm:cxn modelId="{7D1D1B12-97B0-4CAD-A481-BD9E3776DCE3}" type="presOf" srcId="{DC2F54AE-1258-4336-9D61-6AC92B8EB7E4}" destId="{8713BF3F-2364-4056-ADB5-A0408471589B}" srcOrd="0" destOrd="0" presId="urn:microsoft.com/office/officeart/2005/8/layout/cycle2"/>
    <dgm:cxn modelId="{5ED07901-D38B-4365-91BC-EE0F1FEFC7CF}" type="presOf" srcId="{F2C3CEDB-A9C9-43D6-989C-B2FA41F7FBDA}" destId="{575AA8D2-670E-4B0B-B162-574C5536017B}" srcOrd="1" destOrd="0" presId="urn:microsoft.com/office/officeart/2005/8/layout/cycle2"/>
    <dgm:cxn modelId="{4ED4D71A-C850-40CD-9A39-01AC00F01353}" srcId="{7047545E-3681-42A6-8120-9705CC961307}" destId="{9CBCFACC-38AC-4B08-9C6D-6828F8BBD047}" srcOrd="1" destOrd="0" parTransId="{1727D052-F208-4F40-A0AB-585AED6BAA97}" sibTransId="{B56E16CD-5A41-431E-A3EF-77F0F91EA5EF}"/>
    <dgm:cxn modelId="{B645BD30-5752-4C32-B29B-9BA300F860EE}" type="presOf" srcId="{3D65638C-89CC-404D-8E90-9BA652D64DBF}" destId="{55219423-C6A1-4E0B-89F3-6FE44292EE33}" srcOrd="0" destOrd="0" presId="urn:microsoft.com/office/officeart/2005/8/layout/cycle2"/>
    <dgm:cxn modelId="{41B49C30-6A96-458F-9D91-411178B8F81D}" type="presOf" srcId="{83CA49DE-0688-4F4C-BDED-B44B6B111485}" destId="{17F49726-ABDA-4AF1-B887-570C4687220E}" srcOrd="0" destOrd="0" presId="urn:microsoft.com/office/officeart/2005/8/layout/cycle2"/>
    <dgm:cxn modelId="{4674AFC0-E91D-4064-BD24-E4F64891E902}" type="presOf" srcId="{F42C0B09-41A0-46E1-86CD-21FCAEBF1049}" destId="{E90E7025-90BE-4F11-AD63-0877C0B06D9B}" srcOrd="0" destOrd="0" presId="urn:microsoft.com/office/officeart/2005/8/layout/cycle2"/>
    <dgm:cxn modelId="{148159B8-2E1C-4B5E-BE29-3EB84699FE2E}" type="presOf" srcId="{67959983-0C12-4688-9CBE-DDE4B9CE0341}" destId="{DC22F79C-7521-4456-B748-1F82905FD5AC}" srcOrd="0" destOrd="0" presId="urn:microsoft.com/office/officeart/2005/8/layout/cycle2"/>
    <dgm:cxn modelId="{1D6A77A2-812A-4B99-979A-F7940904CE12}" type="presOf" srcId="{5CC1265B-9904-4BCF-9278-B43B23849267}" destId="{0FDC7C96-F263-40A1-A025-B224E02DAC42}" srcOrd="0" destOrd="0" presId="urn:microsoft.com/office/officeart/2005/8/layout/cycle2"/>
    <dgm:cxn modelId="{B630BF5B-F0AE-4698-90E6-937B9BB23FCF}" srcId="{7047545E-3681-42A6-8120-9705CC961307}" destId="{83CA49DE-0688-4F4C-BDED-B44B6B111485}" srcOrd="2" destOrd="0" parTransId="{C547E5F7-4B15-4AD0-A818-DAC7C8CC7749}" sibTransId="{5CC1265B-9904-4BCF-9278-B43B23849267}"/>
    <dgm:cxn modelId="{597F258D-C6C8-449E-B7CA-EEB41260AC78}" type="presOf" srcId="{9CBCFACC-38AC-4B08-9C6D-6828F8BBD047}" destId="{9A07C5BF-B4BD-447C-BBEE-0F39F7391B79}" srcOrd="0" destOrd="0" presId="urn:microsoft.com/office/officeart/2005/8/layout/cycle2"/>
    <dgm:cxn modelId="{02E8FCBB-959F-4772-887A-3E7FE752678B}" type="presParOf" srcId="{0D30506A-F601-48AA-80EF-6DD0964B36C3}" destId="{8713BF3F-2364-4056-ADB5-A0408471589B}" srcOrd="0" destOrd="0" presId="urn:microsoft.com/office/officeart/2005/8/layout/cycle2"/>
    <dgm:cxn modelId="{39AA3FBF-20D1-4FA6-A407-0532D8126D05}" type="presParOf" srcId="{0D30506A-F601-48AA-80EF-6DD0964B36C3}" destId="{E8148A99-E171-4FC2-A955-4A7F08A6A14E}" srcOrd="1" destOrd="0" presId="urn:microsoft.com/office/officeart/2005/8/layout/cycle2"/>
    <dgm:cxn modelId="{CE9139CB-84BB-4AAA-97E8-F880C52879E7}" type="presParOf" srcId="{E8148A99-E171-4FC2-A955-4A7F08A6A14E}" destId="{575AA8D2-670E-4B0B-B162-574C5536017B}" srcOrd="0" destOrd="0" presId="urn:microsoft.com/office/officeart/2005/8/layout/cycle2"/>
    <dgm:cxn modelId="{319AEFF1-99EA-4FB6-8495-E1B1349F9B51}" type="presParOf" srcId="{0D30506A-F601-48AA-80EF-6DD0964B36C3}" destId="{9A07C5BF-B4BD-447C-BBEE-0F39F7391B79}" srcOrd="2" destOrd="0" presId="urn:microsoft.com/office/officeart/2005/8/layout/cycle2"/>
    <dgm:cxn modelId="{A881E76D-234C-499E-BD1D-2345FD9BBEF4}" type="presParOf" srcId="{0D30506A-F601-48AA-80EF-6DD0964B36C3}" destId="{45E0D228-ABBA-4AA4-82E5-8344516940DE}" srcOrd="3" destOrd="0" presId="urn:microsoft.com/office/officeart/2005/8/layout/cycle2"/>
    <dgm:cxn modelId="{D581816C-4946-4D74-9756-2D980645F4E5}" type="presParOf" srcId="{45E0D228-ABBA-4AA4-82E5-8344516940DE}" destId="{7D5B429E-1790-4B41-BA3B-3891B6D787B6}" srcOrd="0" destOrd="0" presId="urn:microsoft.com/office/officeart/2005/8/layout/cycle2"/>
    <dgm:cxn modelId="{53B49DAB-BACA-47F4-BBCF-F7602E7A29F2}" type="presParOf" srcId="{0D30506A-F601-48AA-80EF-6DD0964B36C3}" destId="{17F49726-ABDA-4AF1-B887-570C4687220E}" srcOrd="4" destOrd="0" presId="urn:microsoft.com/office/officeart/2005/8/layout/cycle2"/>
    <dgm:cxn modelId="{AC30BFB7-89E2-4537-95C3-1A1A701CBBFC}" type="presParOf" srcId="{0D30506A-F601-48AA-80EF-6DD0964B36C3}" destId="{0FDC7C96-F263-40A1-A025-B224E02DAC42}" srcOrd="5" destOrd="0" presId="urn:microsoft.com/office/officeart/2005/8/layout/cycle2"/>
    <dgm:cxn modelId="{36E46876-E67F-4C9B-9741-8A7205C1EC1D}" type="presParOf" srcId="{0FDC7C96-F263-40A1-A025-B224E02DAC42}" destId="{84DDDCD7-DEC1-47E2-A49E-1363AD2B19DA}" srcOrd="0" destOrd="0" presId="urn:microsoft.com/office/officeart/2005/8/layout/cycle2"/>
    <dgm:cxn modelId="{B2B9D6CC-FE3A-4901-8EA9-9B10AA3A5D35}" type="presParOf" srcId="{0D30506A-F601-48AA-80EF-6DD0964B36C3}" destId="{DC22F79C-7521-4456-B748-1F82905FD5AC}" srcOrd="6" destOrd="0" presId="urn:microsoft.com/office/officeart/2005/8/layout/cycle2"/>
    <dgm:cxn modelId="{7A054C1B-2564-425D-91E0-066A59A8BD0E}" type="presParOf" srcId="{0D30506A-F601-48AA-80EF-6DD0964B36C3}" destId="{6FC21BBE-8B84-41F6-90CD-D3415AEA1292}" srcOrd="7" destOrd="0" presId="urn:microsoft.com/office/officeart/2005/8/layout/cycle2"/>
    <dgm:cxn modelId="{C9FEBCEA-A84A-4BA5-838F-AEEF79CDAE80}" type="presParOf" srcId="{6FC21BBE-8B84-41F6-90CD-D3415AEA1292}" destId="{6953C3C7-A129-4A02-AE38-012540517690}" srcOrd="0" destOrd="0" presId="urn:microsoft.com/office/officeart/2005/8/layout/cycle2"/>
    <dgm:cxn modelId="{04A82AF0-6BF0-4FD0-A227-3BA701FFEC81}" type="presParOf" srcId="{0D30506A-F601-48AA-80EF-6DD0964B36C3}" destId="{55219423-C6A1-4E0B-89F3-6FE44292EE33}" srcOrd="8" destOrd="0" presId="urn:microsoft.com/office/officeart/2005/8/layout/cycle2"/>
    <dgm:cxn modelId="{4473E85C-5A5D-40DC-B63C-F782034707A9}" type="presParOf" srcId="{0D30506A-F601-48AA-80EF-6DD0964B36C3}" destId="{E90E7025-90BE-4F11-AD63-0877C0B06D9B}" srcOrd="9" destOrd="0" presId="urn:microsoft.com/office/officeart/2005/8/layout/cycle2"/>
    <dgm:cxn modelId="{25F9A4D3-3F45-4554-8386-79E17DDC9CDC}" type="presParOf" srcId="{E90E7025-90BE-4F11-AD63-0877C0B06D9B}" destId="{A943F589-7E2C-4B99-972A-8ED36B5070DB}" srcOrd="0" destOrd="0" presId="urn:microsoft.com/office/officeart/2005/8/layout/cycle2"/>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713BF3F-2364-4056-ADB5-A0408471589B}">
      <dsp:nvSpPr>
        <dsp:cNvPr id="0" name=""/>
        <dsp:cNvSpPr/>
      </dsp:nvSpPr>
      <dsp:spPr>
        <a:xfrm>
          <a:off x="1265254" y="271"/>
          <a:ext cx="404078" cy="40407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TV</a:t>
          </a:r>
        </a:p>
      </dsp:txBody>
      <dsp:txXfrm>
        <a:off x="1265254" y="271"/>
        <a:ext cx="404078" cy="404078"/>
      </dsp:txXfrm>
    </dsp:sp>
    <dsp:sp modelId="{E8148A99-E171-4FC2-A955-4A7F08A6A14E}">
      <dsp:nvSpPr>
        <dsp:cNvPr id="0" name=""/>
        <dsp:cNvSpPr/>
      </dsp:nvSpPr>
      <dsp:spPr>
        <a:xfrm rot="2160000">
          <a:off x="1626198" y="356265"/>
          <a:ext cx="168926" cy="45724"/>
        </a:xfrm>
        <a:prstGeom prst="rightArrow">
          <a:avLst>
            <a:gd name="adj1" fmla="val 60000"/>
            <a:gd name="adj2" fmla="val 50000"/>
          </a:avLst>
        </a:prstGeom>
        <a:no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2160000">
        <a:off x="1626198" y="356265"/>
        <a:ext cx="168926" cy="45724"/>
      </dsp:txXfrm>
    </dsp:sp>
    <dsp:sp modelId="{9A07C5BF-B4BD-447C-BBEE-0F39F7391B79}">
      <dsp:nvSpPr>
        <dsp:cNvPr id="0" name=""/>
        <dsp:cNvSpPr/>
      </dsp:nvSpPr>
      <dsp:spPr>
        <a:xfrm>
          <a:off x="1756932" y="357496"/>
          <a:ext cx="404078" cy="40407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TIVA</a:t>
          </a:r>
        </a:p>
      </dsp:txBody>
      <dsp:txXfrm>
        <a:off x="1756932" y="357496"/>
        <a:ext cx="404078" cy="404078"/>
      </dsp:txXfrm>
    </dsp:sp>
    <dsp:sp modelId="{45E0D228-ABBA-4AA4-82E5-8344516940DE}">
      <dsp:nvSpPr>
        <dsp:cNvPr id="0" name=""/>
        <dsp:cNvSpPr/>
      </dsp:nvSpPr>
      <dsp:spPr>
        <a:xfrm rot="17956564">
          <a:off x="1012063" y="580426"/>
          <a:ext cx="575129" cy="148981"/>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7956564">
        <a:off x="1012063" y="580426"/>
        <a:ext cx="575129" cy="148981"/>
      </dsp:txXfrm>
    </dsp:sp>
    <dsp:sp modelId="{17F49726-ABDA-4AF1-B887-570C4687220E}">
      <dsp:nvSpPr>
        <dsp:cNvPr id="0" name=""/>
        <dsp:cNvSpPr/>
      </dsp:nvSpPr>
      <dsp:spPr>
        <a:xfrm>
          <a:off x="1665690" y="935771"/>
          <a:ext cx="404078" cy="40407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TIII</a:t>
          </a:r>
        </a:p>
      </dsp:txBody>
      <dsp:txXfrm>
        <a:off x="1665690" y="935771"/>
        <a:ext cx="404078" cy="404078"/>
      </dsp:txXfrm>
    </dsp:sp>
    <dsp:sp modelId="{0FDC7C96-F263-40A1-A025-B224E02DAC42}">
      <dsp:nvSpPr>
        <dsp:cNvPr id="0" name=""/>
        <dsp:cNvSpPr/>
      </dsp:nvSpPr>
      <dsp:spPr>
        <a:xfrm rot="9127778" flipV="1">
          <a:off x="1174730" y="788875"/>
          <a:ext cx="653686" cy="141519"/>
        </a:xfrm>
        <a:prstGeom prst="leftRightArrow">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9127778" flipV="1">
        <a:off x="1174730" y="788875"/>
        <a:ext cx="653686" cy="141519"/>
      </dsp:txXfrm>
    </dsp:sp>
    <dsp:sp modelId="{DC22F79C-7521-4456-B748-1F82905FD5AC}">
      <dsp:nvSpPr>
        <dsp:cNvPr id="0" name=""/>
        <dsp:cNvSpPr/>
      </dsp:nvSpPr>
      <dsp:spPr>
        <a:xfrm>
          <a:off x="854082" y="935771"/>
          <a:ext cx="404078" cy="40407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TIIA</a:t>
          </a:r>
        </a:p>
      </dsp:txBody>
      <dsp:txXfrm>
        <a:off x="854082" y="935771"/>
        <a:ext cx="404078" cy="404078"/>
      </dsp:txXfrm>
    </dsp:sp>
    <dsp:sp modelId="{6FC21BBE-8B84-41F6-90CD-D3415AEA1292}">
      <dsp:nvSpPr>
        <dsp:cNvPr id="0" name=""/>
        <dsp:cNvSpPr/>
      </dsp:nvSpPr>
      <dsp:spPr>
        <a:xfrm rot="15840155">
          <a:off x="948247" y="788952"/>
          <a:ext cx="156247" cy="131353"/>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15840155">
        <a:off x="948247" y="788952"/>
        <a:ext cx="156247" cy="131353"/>
      </dsp:txXfrm>
    </dsp:sp>
    <dsp:sp modelId="{55219423-C6A1-4E0B-89F3-6FE44292EE33}">
      <dsp:nvSpPr>
        <dsp:cNvPr id="0" name=""/>
        <dsp:cNvSpPr/>
      </dsp:nvSpPr>
      <dsp:spPr>
        <a:xfrm>
          <a:off x="794047" y="364321"/>
          <a:ext cx="404078" cy="404078"/>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TI</a:t>
          </a:r>
        </a:p>
      </dsp:txBody>
      <dsp:txXfrm>
        <a:off x="794047" y="364321"/>
        <a:ext cx="404078" cy="404078"/>
      </dsp:txXfrm>
    </dsp:sp>
    <dsp:sp modelId="{E90E7025-90BE-4F11-AD63-0877C0B06D9B}">
      <dsp:nvSpPr>
        <dsp:cNvPr id="0" name=""/>
        <dsp:cNvSpPr/>
      </dsp:nvSpPr>
      <dsp:spPr>
        <a:xfrm rot="10481694" flipH="1">
          <a:off x="1276433" y="1038246"/>
          <a:ext cx="340856" cy="126928"/>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10481694" flipH="1">
        <a:off x="1276433" y="1038246"/>
        <a:ext cx="340856" cy="12692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DESE-231-30552</_dlc_DocId>
    <_dlc_DocIdUrl xmlns="733efe1c-5bbe-4968-87dc-d400e65c879f">
      <Url>https://sharepoint.doemass.org/ese/webteam/cps/_layouts/DocIdRedir.aspx?ID=DESE-231-30552</Url>
      <Description>DESE-231-30552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82D22-AE47-4E4E-A44A-3FD48A639EA4}">
  <ds:schemaRefs>
    <ds:schemaRef ds:uri="http://schemas.microsoft.com/sharepoint/v3/contenttype/forms"/>
  </ds:schemaRefs>
</ds:datastoreItem>
</file>

<file path=customXml/itemProps2.xml><?xml version="1.0" encoding="utf-8"?>
<ds:datastoreItem xmlns:ds="http://schemas.openxmlformats.org/officeDocument/2006/customXml" ds:itemID="{3521CF09-4BF4-4191-9159-D8D3C6BC8D8A}">
  <ds:schemaRefs>
    <ds:schemaRef ds:uri="http://schemas.microsoft.com/sharepoint/events"/>
  </ds:schemaRefs>
</ds:datastoreItem>
</file>

<file path=customXml/itemProps3.xml><?xml version="1.0" encoding="utf-8"?>
<ds:datastoreItem xmlns:ds="http://schemas.openxmlformats.org/officeDocument/2006/customXml" ds:itemID="{3A6469B1-807C-4F50-B7A6-38C50D6D6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1DE8E-6C65-4CF2-B04F-71BBE962F21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C0272B5-F67B-413C-8272-A840556F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Words>
  <Characters>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TIIA changes under ESSA</vt:lpstr>
    </vt:vector>
  </TitlesOfParts>
  <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TIIA changes under ESSA</dc:title>
  <dc:creator>ESE</dc:creator>
  <cp:lastModifiedBy>dzou</cp:lastModifiedBy>
  <cp:revision>4</cp:revision>
  <dcterms:created xsi:type="dcterms:W3CDTF">2017-01-11T16:30:00Z</dcterms:created>
  <dcterms:modified xsi:type="dcterms:W3CDTF">2017-01-11T19:29:00Z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2017</vt:lpwstr>
  </property>
</Properties>
</file>