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28" w:type="dxa"/>
        <w:tblLook w:val="00A0" w:firstRow="1" w:lastRow="0" w:firstColumn="1" w:lastColumn="0" w:noHBand="0" w:noVBand="0"/>
      </w:tblPr>
      <w:tblGrid>
        <w:gridCol w:w="3130"/>
        <w:gridCol w:w="6698"/>
      </w:tblGrid>
      <w:tr w:rsidR="005319D3" w:rsidRPr="009F42A4" w14:paraId="50204EDD" w14:textId="77777777" w:rsidTr="0023792D">
        <w:tc>
          <w:tcPr>
            <w:tcW w:w="3130" w:type="dxa"/>
          </w:tcPr>
          <w:p w14:paraId="50204EDB" w14:textId="77777777" w:rsidR="00811774" w:rsidRPr="009F42A4" w:rsidRDefault="009A619D" w:rsidP="009F42A4">
            <w:pPr>
              <w:pStyle w:val="Header"/>
              <w:tabs>
                <w:tab w:val="clear" w:pos="4320"/>
                <w:tab w:val="clear" w:pos="8640"/>
              </w:tabs>
              <w:rPr>
                <w:rFonts w:ascii="Arial" w:hAnsi="Arial" w:cs="Arial"/>
              </w:rPr>
            </w:pPr>
            <w:r>
              <w:rPr>
                <w:rFonts w:ascii="Arial" w:hAnsi="Arial" w:cs="Arial"/>
                <w:noProof/>
              </w:rPr>
              <w:drawing>
                <wp:inline distT="0" distB="0" distL="0" distR="0" wp14:anchorId="5020517B" wp14:editId="55F483B1">
                  <wp:extent cx="1829435" cy="894080"/>
                  <wp:effectExtent l="0" t="0" r="0" b="0"/>
                  <wp:docPr id="2" name="Picture 1"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Full%20Logo/695x338/Master-Logo_695x338_color.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9435" cy="894080"/>
                          </a:xfrm>
                          <a:prstGeom prst="rect">
                            <a:avLst/>
                          </a:prstGeom>
                          <a:noFill/>
                          <a:ln w="9525">
                            <a:noFill/>
                            <a:miter lim="800000"/>
                            <a:headEnd/>
                            <a:tailEnd/>
                          </a:ln>
                        </pic:spPr>
                      </pic:pic>
                    </a:graphicData>
                  </a:graphic>
                </wp:inline>
              </w:drawing>
            </w:r>
          </w:p>
        </w:tc>
        <w:tc>
          <w:tcPr>
            <w:tcW w:w="6698" w:type="dxa"/>
          </w:tcPr>
          <w:p w14:paraId="129C2BDC" w14:textId="77777777" w:rsidR="0020154C" w:rsidRDefault="001F1CC9" w:rsidP="001F1CC9">
            <w:pPr>
              <w:pStyle w:val="Heading3"/>
            </w:pPr>
            <w:bookmarkStart w:id="0" w:name="OLE_LINK1"/>
            <w:r w:rsidRPr="001F1CC9">
              <w:rPr>
                <w:iCs/>
                <w:color w:val="000000"/>
                <w:shd w:val="clear" w:color="auto" w:fill="FFFFFF"/>
              </w:rPr>
              <w:t>Guide to Understanding the Annual Measurable Achievement Objectives (AMAO</w:t>
            </w:r>
            <w:r w:rsidR="00094F67">
              <w:rPr>
                <w:iCs/>
                <w:color w:val="000000"/>
                <w:shd w:val="clear" w:color="auto" w:fill="FFFFFF"/>
              </w:rPr>
              <w:t>s</w:t>
            </w:r>
            <w:r w:rsidRPr="001F1CC9">
              <w:rPr>
                <w:iCs/>
                <w:color w:val="000000"/>
                <w:shd w:val="clear" w:color="auto" w:fill="FFFFFF"/>
              </w:rPr>
              <w:t xml:space="preserve">) </w:t>
            </w:r>
            <w:bookmarkEnd w:id="0"/>
            <w:r w:rsidR="00936DAE">
              <w:t>in Massachusetts</w:t>
            </w:r>
            <w:r w:rsidR="00F54E09">
              <w:t xml:space="preserve"> in 2014</w:t>
            </w:r>
            <w:r w:rsidR="00F9459B">
              <w:t xml:space="preserve"> and Beyond</w:t>
            </w:r>
            <w:r w:rsidR="0020154C">
              <w:t xml:space="preserve"> </w:t>
            </w:r>
          </w:p>
          <w:p w14:paraId="50204EDC" w14:textId="206D0D19" w:rsidR="00437386" w:rsidRPr="00437386" w:rsidRDefault="00437386" w:rsidP="00437386">
            <w:bookmarkStart w:id="1" w:name="_GoBack"/>
            <w:bookmarkEnd w:id="1"/>
          </w:p>
        </w:tc>
      </w:tr>
    </w:tbl>
    <w:p w14:paraId="50204EDE" w14:textId="77777777" w:rsidR="000E62C8" w:rsidRDefault="000E62C8">
      <w:r>
        <w:t xml:space="preserve">This document describes </w:t>
      </w:r>
      <w:r w:rsidR="00641DE4">
        <w:t xml:space="preserve">the </w:t>
      </w:r>
      <w:r>
        <w:t>method</w:t>
      </w:r>
      <w:r w:rsidR="000D60C1">
        <w:t>s</w:t>
      </w:r>
      <w:r>
        <w:t xml:space="preserve"> </w:t>
      </w:r>
      <w:r w:rsidR="006E5BD7">
        <w:t xml:space="preserve">for </w:t>
      </w:r>
      <w:r>
        <w:t>establish</w:t>
      </w:r>
      <w:r w:rsidR="006E5BD7">
        <w:t>ing</w:t>
      </w:r>
      <w:r>
        <w:t xml:space="preserve"> Annual Measurable Achievement Objectives (AMAOs) </w:t>
      </w:r>
      <w:r w:rsidR="006E5BD7">
        <w:t xml:space="preserve">for Title III districts </w:t>
      </w:r>
      <w:r w:rsidR="00F9459B">
        <w:t>in Massachusetts</w:t>
      </w:r>
      <w:r w:rsidR="006E5BD7">
        <w:t>, beginning with reporting for the 2013</w:t>
      </w:r>
      <w:r w:rsidR="006E5BD7">
        <w:sym w:font="Symbol" w:char="F02D"/>
      </w:r>
      <w:r w:rsidR="006E5BD7">
        <w:t>2014 school year.</w:t>
      </w:r>
    </w:p>
    <w:p w14:paraId="50204EDF" w14:textId="77777777" w:rsidR="00A53A4D" w:rsidRPr="00A53A4D" w:rsidRDefault="00A53A4D" w:rsidP="00A53A4D">
      <w:pPr>
        <w:pStyle w:val="Heading1"/>
        <w:rPr>
          <w:rFonts w:ascii="Arial" w:hAnsi="Arial" w:cs="Arial"/>
          <w:b/>
          <w:bCs/>
          <w:sz w:val="22"/>
          <w:u w:val="none"/>
        </w:rPr>
      </w:pPr>
    </w:p>
    <w:p w14:paraId="50204EE0" w14:textId="77777777" w:rsidR="00A53A4D" w:rsidRPr="009728D6" w:rsidRDefault="00A53A4D" w:rsidP="00A53A4D">
      <w:pPr>
        <w:pStyle w:val="Heading1"/>
        <w:rPr>
          <w:rFonts w:ascii="Arial" w:hAnsi="Arial" w:cs="Arial"/>
          <w:b/>
          <w:bCs/>
          <w:sz w:val="28"/>
          <w:u w:val="none"/>
        </w:rPr>
      </w:pPr>
      <w:r w:rsidRPr="009728D6">
        <w:rPr>
          <w:rFonts w:ascii="Arial" w:hAnsi="Arial" w:cs="Arial"/>
          <w:b/>
          <w:bCs/>
          <w:sz w:val="28"/>
          <w:u w:val="none"/>
        </w:rPr>
        <w:t>Title III Districts in Massachusetts</w:t>
      </w:r>
    </w:p>
    <w:p w14:paraId="50204EE1" w14:textId="77777777" w:rsidR="00A53A4D" w:rsidRPr="009728D6" w:rsidRDefault="00A53A4D" w:rsidP="00A53A4D">
      <w:pPr>
        <w:rPr>
          <w:sz w:val="22"/>
        </w:rPr>
      </w:pPr>
    </w:p>
    <w:p w14:paraId="50204EE2" w14:textId="77777777" w:rsidR="00A53A4D" w:rsidRPr="00A53A4D" w:rsidRDefault="00A53A4D" w:rsidP="00A53A4D">
      <w:pPr>
        <w:pStyle w:val="BodyText"/>
        <w:rPr>
          <w:rFonts w:ascii="Times New Roman" w:hAnsi="Times New Roman" w:cs="Times New Roman"/>
          <w:sz w:val="24"/>
        </w:rPr>
      </w:pPr>
      <w:r w:rsidRPr="009728D6">
        <w:rPr>
          <w:rFonts w:ascii="Times New Roman" w:hAnsi="Times New Roman" w:cs="Times New Roman"/>
          <w:sz w:val="24"/>
        </w:rPr>
        <w:t xml:space="preserve">In 2014, there were </w:t>
      </w:r>
      <w:r w:rsidRPr="002867D0">
        <w:rPr>
          <w:rFonts w:ascii="Times New Roman" w:hAnsi="Times New Roman" w:cs="Times New Roman"/>
          <w:sz w:val="24"/>
        </w:rPr>
        <w:t>7</w:t>
      </w:r>
      <w:r w:rsidR="009728D6" w:rsidRPr="002867D0">
        <w:rPr>
          <w:rFonts w:ascii="Times New Roman" w:hAnsi="Times New Roman" w:cs="Times New Roman"/>
          <w:sz w:val="24"/>
        </w:rPr>
        <w:t>9</w:t>
      </w:r>
      <w:r w:rsidRPr="009728D6">
        <w:rPr>
          <w:rFonts w:ascii="Times New Roman" w:hAnsi="Times New Roman" w:cs="Times New Roman"/>
          <w:sz w:val="24"/>
        </w:rPr>
        <w:t xml:space="preserve"> public school districts </w:t>
      </w:r>
      <w:r w:rsidR="00882F52">
        <w:rPr>
          <w:rFonts w:ascii="Times New Roman" w:hAnsi="Times New Roman" w:cs="Times New Roman"/>
          <w:sz w:val="24"/>
        </w:rPr>
        <w:t xml:space="preserve">and district consortia </w:t>
      </w:r>
      <w:r w:rsidRPr="009728D6">
        <w:rPr>
          <w:rFonts w:ascii="Times New Roman" w:hAnsi="Times New Roman" w:cs="Times New Roman"/>
          <w:sz w:val="24"/>
        </w:rPr>
        <w:t xml:space="preserve">that reported one hundred or more English language learners (ELLs) to the Department. This represents an increase of </w:t>
      </w:r>
      <w:r w:rsidR="00CF4372">
        <w:rPr>
          <w:rFonts w:ascii="Times New Roman" w:hAnsi="Times New Roman" w:cs="Times New Roman"/>
          <w:sz w:val="24"/>
        </w:rPr>
        <w:t>nine</w:t>
      </w:r>
      <w:r w:rsidR="00CF4372" w:rsidRPr="009728D6">
        <w:rPr>
          <w:rFonts w:ascii="Times New Roman" w:hAnsi="Times New Roman" w:cs="Times New Roman"/>
          <w:sz w:val="24"/>
        </w:rPr>
        <w:t>teen</w:t>
      </w:r>
      <w:r w:rsidRPr="009728D6">
        <w:rPr>
          <w:rFonts w:ascii="Times New Roman" w:hAnsi="Times New Roman" w:cs="Times New Roman"/>
          <w:sz w:val="24"/>
        </w:rPr>
        <w:t xml:space="preserve"> districts since 2013. </w:t>
      </w:r>
      <w:r w:rsidR="00882F52" w:rsidRPr="00882F52">
        <w:rPr>
          <w:rFonts w:ascii="Times New Roman" w:hAnsi="Times New Roman" w:cs="Times New Roman"/>
          <w:sz w:val="24"/>
        </w:rPr>
        <w:t>In 2015, 81</w:t>
      </w:r>
      <w:r w:rsidR="00896C09" w:rsidRPr="00882F52">
        <w:rPr>
          <w:rFonts w:ascii="Times New Roman" w:hAnsi="Times New Roman" w:cs="Times New Roman"/>
          <w:sz w:val="24"/>
        </w:rPr>
        <w:t xml:space="preserve"> districts </w:t>
      </w:r>
      <w:r w:rsidR="00882F52" w:rsidRPr="00882F52">
        <w:rPr>
          <w:rFonts w:ascii="Times New Roman" w:hAnsi="Times New Roman" w:cs="Times New Roman"/>
          <w:sz w:val="24"/>
        </w:rPr>
        <w:t xml:space="preserve">and consortia </w:t>
      </w:r>
      <w:r w:rsidR="00896C09" w:rsidRPr="00882F52">
        <w:rPr>
          <w:rFonts w:ascii="Times New Roman" w:hAnsi="Times New Roman" w:cs="Times New Roman"/>
          <w:sz w:val="24"/>
        </w:rPr>
        <w:t>reported one hundred or more ELLs</w:t>
      </w:r>
      <w:r w:rsidR="002867D0" w:rsidRPr="00882F52">
        <w:rPr>
          <w:rFonts w:ascii="Times New Roman" w:hAnsi="Times New Roman" w:cs="Times New Roman"/>
          <w:sz w:val="24"/>
        </w:rPr>
        <w:t>.</w:t>
      </w:r>
      <w:r w:rsidR="002867D0">
        <w:rPr>
          <w:rFonts w:ascii="Times New Roman" w:hAnsi="Times New Roman" w:cs="Times New Roman"/>
          <w:sz w:val="24"/>
        </w:rPr>
        <w:t xml:space="preserve"> </w:t>
      </w:r>
      <w:r w:rsidRPr="009728D6">
        <w:rPr>
          <w:rFonts w:ascii="Times New Roman" w:hAnsi="Times New Roman" w:cs="Times New Roman"/>
          <w:sz w:val="24"/>
        </w:rPr>
        <w:t xml:space="preserve">The </w:t>
      </w:r>
      <w:r w:rsidR="00641DE4">
        <w:rPr>
          <w:rFonts w:ascii="Times New Roman" w:hAnsi="Times New Roman" w:cs="Times New Roman"/>
          <w:sz w:val="24"/>
        </w:rPr>
        <w:t xml:space="preserve">Title III </w:t>
      </w:r>
      <w:r w:rsidRPr="009728D6">
        <w:rPr>
          <w:rFonts w:ascii="Times New Roman" w:hAnsi="Times New Roman" w:cs="Times New Roman"/>
          <w:sz w:val="24"/>
        </w:rPr>
        <w:t xml:space="preserve">districts </w:t>
      </w:r>
      <w:r w:rsidR="00641DE4">
        <w:rPr>
          <w:rFonts w:ascii="Times New Roman" w:hAnsi="Times New Roman" w:cs="Times New Roman"/>
          <w:sz w:val="24"/>
        </w:rPr>
        <w:t xml:space="preserve">and consortia </w:t>
      </w:r>
      <w:r w:rsidRPr="009728D6">
        <w:rPr>
          <w:rFonts w:ascii="Times New Roman" w:hAnsi="Times New Roman" w:cs="Times New Roman"/>
          <w:sz w:val="24"/>
        </w:rPr>
        <w:t>a</w:t>
      </w:r>
      <w:r w:rsidR="00EC0873">
        <w:rPr>
          <w:rFonts w:ascii="Times New Roman" w:hAnsi="Times New Roman" w:cs="Times New Roman"/>
          <w:sz w:val="24"/>
        </w:rPr>
        <w:t xml:space="preserve">re listed in </w:t>
      </w:r>
      <w:r w:rsidR="002867D0">
        <w:rPr>
          <w:rFonts w:ascii="Times New Roman" w:hAnsi="Times New Roman" w:cs="Times New Roman"/>
          <w:sz w:val="24"/>
        </w:rPr>
        <w:t>the a</w:t>
      </w:r>
      <w:r w:rsidRPr="009728D6">
        <w:rPr>
          <w:rFonts w:ascii="Times New Roman" w:hAnsi="Times New Roman" w:cs="Times New Roman"/>
          <w:sz w:val="24"/>
        </w:rPr>
        <w:t>ppendi</w:t>
      </w:r>
      <w:r w:rsidR="002867D0">
        <w:rPr>
          <w:rFonts w:ascii="Times New Roman" w:hAnsi="Times New Roman" w:cs="Times New Roman"/>
          <w:sz w:val="24"/>
        </w:rPr>
        <w:t>ces</w:t>
      </w:r>
      <w:r w:rsidR="00EC0873">
        <w:rPr>
          <w:rFonts w:ascii="Times New Roman" w:hAnsi="Times New Roman" w:cs="Times New Roman"/>
          <w:sz w:val="24"/>
        </w:rPr>
        <w:t xml:space="preserve"> </w:t>
      </w:r>
      <w:r w:rsidRPr="009728D6">
        <w:rPr>
          <w:rFonts w:ascii="Times New Roman" w:hAnsi="Times New Roman" w:cs="Times New Roman"/>
          <w:sz w:val="24"/>
        </w:rPr>
        <w:t>of this document.</w:t>
      </w:r>
    </w:p>
    <w:p w14:paraId="50204EE3" w14:textId="77777777" w:rsidR="00A53A4D" w:rsidRDefault="00A53A4D" w:rsidP="00A53A4D">
      <w:pPr>
        <w:pStyle w:val="BodyText"/>
        <w:rPr>
          <w:rFonts w:ascii="Times New Roman" w:hAnsi="Times New Roman" w:cs="Times New Roman"/>
          <w:sz w:val="24"/>
        </w:rPr>
      </w:pPr>
    </w:p>
    <w:p w14:paraId="50204EE4" w14:textId="77777777" w:rsidR="00A53A4D" w:rsidRDefault="00A53A4D">
      <w:pPr>
        <w:pStyle w:val="BodyText"/>
        <w:rPr>
          <w:rFonts w:ascii="Times New Roman" w:hAnsi="Times New Roman" w:cs="Times New Roman"/>
        </w:rPr>
      </w:pPr>
      <w:r w:rsidRPr="00A53A4D">
        <w:rPr>
          <w:b/>
          <w:sz w:val="28"/>
        </w:rPr>
        <w:t>Background: ACCESS for ELLs</w:t>
      </w:r>
      <w:r w:rsidR="00EC0873">
        <w:rPr>
          <w:b/>
          <w:sz w:val="28"/>
        </w:rPr>
        <w:t xml:space="preserve"> Assessments</w:t>
      </w:r>
    </w:p>
    <w:p w14:paraId="50204EE5" w14:textId="77777777" w:rsidR="00882F52" w:rsidRPr="00A53A4D" w:rsidRDefault="00882F52">
      <w:pPr>
        <w:pStyle w:val="BodyText"/>
        <w:rPr>
          <w:rFonts w:ascii="Times New Roman" w:hAnsi="Times New Roman" w:cs="Times New Roman"/>
        </w:rPr>
      </w:pPr>
    </w:p>
    <w:p w14:paraId="50204EE6" w14:textId="77777777" w:rsidR="003800DA" w:rsidRDefault="002867D0" w:rsidP="003800DA">
      <w:r>
        <w:t xml:space="preserve">Massachusetts has been a member of the </w:t>
      </w:r>
      <w:r w:rsidR="00BA56B9">
        <w:t xml:space="preserve">World-class Instructional Design and Assessment (WIDA) </w:t>
      </w:r>
      <w:r>
        <w:t xml:space="preserve">consortium since May 2012. </w:t>
      </w:r>
      <w:r w:rsidR="000D60C1">
        <w:t xml:space="preserve">ACCESS for ELLs (“ACCESS”) tests have been administered </w:t>
      </w:r>
      <w:r w:rsidR="00BA56B9">
        <w:t xml:space="preserve">each year beginning in </w:t>
      </w:r>
      <w:r w:rsidR="000D60C1">
        <w:t>2013</w:t>
      </w:r>
      <w:r w:rsidR="000D60C1" w:rsidRPr="00AA42F4">
        <w:t xml:space="preserve"> </w:t>
      </w:r>
      <w:r w:rsidR="000D60C1">
        <w:t xml:space="preserve">to </w:t>
      </w:r>
      <w:proofErr w:type="gramStart"/>
      <w:r w:rsidR="000D60C1">
        <w:t>publicly-funded</w:t>
      </w:r>
      <w:proofErr w:type="gramEnd"/>
      <w:r w:rsidR="000D60C1">
        <w:t xml:space="preserve"> </w:t>
      </w:r>
      <w:r>
        <w:t xml:space="preserve">Massachusetts ELL </w:t>
      </w:r>
      <w:r w:rsidR="000D60C1">
        <w:t xml:space="preserve">students in grades kindergarten through grade 12. ACCESS </w:t>
      </w:r>
      <w:r w:rsidR="00BA56B9">
        <w:t xml:space="preserve">assessments </w:t>
      </w:r>
      <w:r w:rsidR="000D60C1">
        <w:t xml:space="preserve">are developed by </w:t>
      </w:r>
      <w:r w:rsidR="00014C31">
        <w:t>WIDA</w:t>
      </w:r>
      <w:r w:rsidR="000D60C1">
        <w:t xml:space="preserve">, </w:t>
      </w:r>
      <w:r>
        <w:t>which is based at the Wisconsin Center for Educational Research (WCER) at the University of Wisconsin. The assessments</w:t>
      </w:r>
      <w:r w:rsidR="000D60C1">
        <w:t xml:space="preserve"> are based on </w:t>
      </w:r>
      <w:r w:rsidR="00686D6A">
        <w:t xml:space="preserve">the WIDA </w:t>
      </w:r>
      <w:r w:rsidR="00014C31">
        <w:t xml:space="preserve">English language development standards </w:t>
      </w:r>
      <w:r w:rsidR="00BA56B9">
        <w:t xml:space="preserve">and </w:t>
      </w:r>
      <w:r w:rsidR="00686D6A">
        <w:t>a</w:t>
      </w:r>
      <w:r w:rsidR="00014C31">
        <w:t xml:space="preserve">re </w:t>
      </w:r>
      <w:r w:rsidR="00F9459B">
        <w:t xml:space="preserve">aligned with </w:t>
      </w:r>
      <w:r w:rsidR="000555B2">
        <w:t xml:space="preserve">the </w:t>
      </w:r>
      <w:r w:rsidR="000D60C1">
        <w:t>Common Core State Standards</w:t>
      </w:r>
      <w:r w:rsidR="00686D6A">
        <w:t>.</w:t>
      </w:r>
      <w:r w:rsidR="003800DA">
        <w:t xml:space="preserve"> WIDA has also developed an Alternate ACCESS assessment to measure the English proficiency of students with significant cognitive disabilities. The ACCESS tests are administered in Massachusetts schools during January and February each academic year to all ELL students in grades K–12, as required by the federal Title III law and Massachusetts Chapter 71A. </w:t>
      </w:r>
    </w:p>
    <w:p w14:paraId="50204EE7" w14:textId="77777777" w:rsidR="00EE3C4E" w:rsidRDefault="00EE3C4E">
      <w:pPr>
        <w:pStyle w:val="BodyText"/>
        <w:ind w:right="-270"/>
        <w:rPr>
          <w:rFonts w:ascii="Times New Roman" w:hAnsi="Times New Roman" w:cs="Times New Roman"/>
          <w:sz w:val="24"/>
        </w:rPr>
      </w:pPr>
    </w:p>
    <w:p w14:paraId="50204EE8" w14:textId="77777777" w:rsidR="00EE3C4E" w:rsidRDefault="002867D0">
      <w:pPr>
        <w:pStyle w:val="BodyText"/>
        <w:rPr>
          <w:rFonts w:ascii="Times New Roman" w:hAnsi="Times New Roman" w:cs="Times New Roman"/>
          <w:sz w:val="24"/>
        </w:rPr>
      </w:pPr>
      <w:r>
        <w:rPr>
          <w:rFonts w:ascii="Times New Roman" w:hAnsi="Times New Roman" w:cs="Times New Roman"/>
          <w:sz w:val="24"/>
        </w:rPr>
        <w:t xml:space="preserve">ACCESS test scores are reported as follows: </w:t>
      </w:r>
      <w:proofErr w:type="spellStart"/>
      <w:r w:rsidR="00641DE4" w:rsidRPr="00641DE4">
        <w:rPr>
          <w:rFonts w:ascii="Times New Roman" w:hAnsi="Times New Roman" w:cs="Times New Roman"/>
          <w:i/>
          <w:sz w:val="24"/>
        </w:rPr>
        <w:t>subscores</w:t>
      </w:r>
      <w:proofErr w:type="spellEnd"/>
      <w:r w:rsidR="00641DE4">
        <w:rPr>
          <w:rFonts w:ascii="Times New Roman" w:hAnsi="Times New Roman" w:cs="Times New Roman"/>
          <w:sz w:val="24"/>
        </w:rPr>
        <w:t xml:space="preserve"> </w:t>
      </w:r>
      <w:r>
        <w:rPr>
          <w:rFonts w:ascii="Times New Roman" w:hAnsi="Times New Roman" w:cs="Times New Roman"/>
          <w:sz w:val="24"/>
        </w:rPr>
        <w:t xml:space="preserve">in </w:t>
      </w:r>
      <w:r w:rsidRPr="00641DE4">
        <w:rPr>
          <w:rFonts w:ascii="Times New Roman" w:hAnsi="Times New Roman" w:cs="Times New Roman"/>
          <w:sz w:val="24"/>
        </w:rPr>
        <w:t>each of four domains</w:t>
      </w:r>
      <w:r>
        <w:rPr>
          <w:rFonts w:ascii="Times New Roman" w:hAnsi="Times New Roman" w:cs="Times New Roman"/>
          <w:sz w:val="24"/>
        </w:rPr>
        <w:t xml:space="preserve"> of the ACCESS test</w:t>
      </w:r>
      <w:r w:rsidR="00641DE4">
        <w:rPr>
          <w:rFonts w:ascii="Times New Roman" w:hAnsi="Times New Roman" w:cs="Times New Roman"/>
          <w:sz w:val="24"/>
        </w:rPr>
        <w:t>s</w:t>
      </w:r>
      <w:r>
        <w:rPr>
          <w:rFonts w:ascii="Times New Roman" w:hAnsi="Times New Roman" w:cs="Times New Roman"/>
          <w:sz w:val="24"/>
        </w:rPr>
        <w:t xml:space="preserve"> (speaking, listening, reading, and writing); </w:t>
      </w:r>
      <w:r w:rsidRPr="00481207">
        <w:rPr>
          <w:rFonts w:ascii="Times New Roman" w:hAnsi="Times New Roman" w:cs="Times New Roman"/>
          <w:i/>
          <w:sz w:val="24"/>
        </w:rPr>
        <w:t>composite scores</w:t>
      </w:r>
      <w:r>
        <w:rPr>
          <w:rFonts w:ascii="Times New Roman" w:hAnsi="Times New Roman" w:cs="Times New Roman"/>
          <w:sz w:val="24"/>
        </w:rPr>
        <w:t xml:space="preserve"> in comprehension (listening and reading), oral language (speaking and listening), and literacy (reading and writing); and an </w:t>
      </w:r>
      <w:r w:rsidRPr="00481207">
        <w:rPr>
          <w:rFonts w:ascii="Times New Roman" w:hAnsi="Times New Roman" w:cs="Times New Roman"/>
          <w:i/>
          <w:sz w:val="24"/>
        </w:rPr>
        <w:t>overall composite</w:t>
      </w:r>
      <w:r>
        <w:rPr>
          <w:rFonts w:ascii="Times New Roman" w:hAnsi="Times New Roman" w:cs="Times New Roman"/>
          <w:sz w:val="24"/>
        </w:rPr>
        <w:t xml:space="preserve"> </w:t>
      </w:r>
      <w:r w:rsidRPr="00641DE4">
        <w:rPr>
          <w:rFonts w:ascii="Times New Roman" w:hAnsi="Times New Roman" w:cs="Times New Roman"/>
          <w:i/>
          <w:sz w:val="24"/>
        </w:rPr>
        <w:t>score</w:t>
      </w:r>
      <w:r>
        <w:rPr>
          <w:rFonts w:ascii="Times New Roman" w:hAnsi="Times New Roman" w:cs="Times New Roman"/>
          <w:sz w:val="24"/>
        </w:rPr>
        <w:t>.</w:t>
      </w:r>
    </w:p>
    <w:p w14:paraId="50204EE9" w14:textId="77777777" w:rsidR="002867D0" w:rsidRDefault="002867D0" w:rsidP="003800DA">
      <w:pPr>
        <w:pStyle w:val="BodyText"/>
        <w:rPr>
          <w:rFonts w:ascii="Times New Roman" w:hAnsi="Times New Roman" w:cs="Times New Roman"/>
          <w:sz w:val="24"/>
        </w:rPr>
      </w:pPr>
    </w:p>
    <w:p w14:paraId="50204EEA" w14:textId="77777777" w:rsidR="00283CA8" w:rsidRDefault="00283CA8" w:rsidP="00882F52">
      <w:pPr>
        <w:pStyle w:val="Heading1"/>
        <w:rPr>
          <w:rFonts w:ascii="Arial" w:hAnsi="Arial" w:cs="Arial"/>
          <w:b/>
          <w:bCs/>
          <w:sz w:val="28"/>
          <w:u w:val="none"/>
        </w:rPr>
      </w:pPr>
      <w:r>
        <w:rPr>
          <w:rFonts w:ascii="Arial" w:hAnsi="Arial" w:cs="Arial"/>
          <w:b/>
          <w:bCs/>
          <w:sz w:val="28"/>
          <w:u w:val="none"/>
        </w:rPr>
        <w:t>Annual Measurable Achievement Objectives (AMAOs)</w:t>
      </w:r>
    </w:p>
    <w:p w14:paraId="50204EEB" w14:textId="77777777" w:rsidR="007D53BC" w:rsidRDefault="007D53BC" w:rsidP="007D53BC"/>
    <w:p w14:paraId="50204EEC" w14:textId="77777777" w:rsidR="00283CA8" w:rsidRDefault="007D53BC" w:rsidP="00BB32BD">
      <w:r>
        <w:t xml:space="preserve">Massachusetts is required </w:t>
      </w:r>
      <w:r w:rsidR="003E7F5C">
        <w:t>under</w:t>
      </w:r>
      <w:r>
        <w:t xml:space="preserve"> Title III of the N</w:t>
      </w:r>
      <w:r w:rsidR="00F71841">
        <w:t xml:space="preserve">o </w:t>
      </w:r>
      <w:r>
        <w:t>C</w:t>
      </w:r>
      <w:r w:rsidR="00F71841">
        <w:t xml:space="preserve">hild </w:t>
      </w:r>
      <w:r>
        <w:t>L</w:t>
      </w:r>
      <w:r w:rsidR="00F71841">
        <w:t xml:space="preserve">eft </w:t>
      </w:r>
      <w:r>
        <w:t>B</w:t>
      </w:r>
      <w:r w:rsidR="00F71841">
        <w:t>ehind (NCLB) law</w:t>
      </w:r>
      <w:r>
        <w:t xml:space="preserve"> to establish AMAOs for the English language acquisition and academic achievement of students</w:t>
      </w:r>
      <w:r w:rsidR="00B32A6E">
        <w:t xml:space="preserve"> who are </w:t>
      </w:r>
      <w:r w:rsidR="000D04E7">
        <w:t xml:space="preserve">classified as </w:t>
      </w:r>
      <w:r w:rsidR="00B32A6E">
        <w:t>English language learners</w:t>
      </w:r>
      <w:r w:rsidR="00641DE4">
        <w:t xml:space="preserve"> in Title III districts</w:t>
      </w:r>
      <w:r>
        <w:t>. AMAOs are established for students in grades K</w:t>
      </w:r>
      <w:r w:rsidR="00A52948">
        <w:t>–</w:t>
      </w:r>
      <w:r>
        <w:t>12 in three categories: (1) progress toward acquiring English language proficiency</w:t>
      </w:r>
      <w:r w:rsidR="00F9459B">
        <w:t xml:space="preserve"> from one year to the next</w:t>
      </w:r>
      <w:r>
        <w:t>; (2) attainment of English</w:t>
      </w:r>
      <w:r w:rsidR="003E7F5C">
        <w:t xml:space="preserve"> </w:t>
      </w:r>
      <w:r w:rsidR="003800DA">
        <w:t>proficiency</w:t>
      </w:r>
      <w:r w:rsidR="00B32A6E">
        <w:t xml:space="preserve">; and </w:t>
      </w:r>
      <w:r w:rsidR="006344E3">
        <w:t xml:space="preserve">(3) </w:t>
      </w:r>
      <w:r w:rsidR="00B32A6E">
        <w:t xml:space="preserve">performance </w:t>
      </w:r>
      <w:r w:rsidR="003800DA">
        <w:t>by the ELL</w:t>
      </w:r>
      <w:r w:rsidR="00882F52">
        <w:t xml:space="preserve"> and former ELL</w:t>
      </w:r>
      <w:r w:rsidR="003800DA">
        <w:t xml:space="preserve"> subgroup</w:t>
      </w:r>
      <w:r w:rsidR="00882F52">
        <w:t xml:space="preserve"> </w:t>
      </w:r>
      <w:r w:rsidR="00B32A6E">
        <w:t xml:space="preserve">on statewide </w:t>
      </w:r>
      <w:r w:rsidR="00F9459B">
        <w:t xml:space="preserve">academic </w:t>
      </w:r>
      <w:r w:rsidR="00B32A6E">
        <w:t xml:space="preserve">tests </w:t>
      </w:r>
      <w:r w:rsidR="00F9459B">
        <w:t xml:space="preserve">(i.e., </w:t>
      </w:r>
      <w:r w:rsidR="003800DA">
        <w:t xml:space="preserve">either </w:t>
      </w:r>
      <w:r w:rsidR="00F9459B">
        <w:t xml:space="preserve">MCAS </w:t>
      </w:r>
      <w:r w:rsidR="00530266">
        <w:t xml:space="preserve">or </w:t>
      </w:r>
      <w:r w:rsidR="00F9459B">
        <w:t>PARCC</w:t>
      </w:r>
      <w:r w:rsidR="00E4647B">
        <w:t xml:space="preserve"> in 2015</w:t>
      </w:r>
      <w:r w:rsidR="004779F6">
        <w:t>;</w:t>
      </w:r>
      <w:r w:rsidR="00E4647B">
        <w:t xml:space="preserve"> </w:t>
      </w:r>
      <w:r w:rsidR="004779F6">
        <w:t xml:space="preserve">and </w:t>
      </w:r>
      <w:r w:rsidR="00E4647B">
        <w:t>possible transition to PARCC in 2016</w:t>
      </w:r>
      <w:r w:rsidR="00F9459B">
        <w:t>)</w:t>
      </w:r>
      <w:r w:rsidR="00B32A6E">
        <w:t>.</w:t>
      </w:r>
    </w:p>
    <w:p w14:paraId="50204EED" w14:textId="77777777" w:rsidR="00882F52" w:rsidRDefault="00882F52" w:rsidP="00BB32BD"/>
    <w:p w14:paraId="50204EEE" w14:textId="77777777" w:rsidR="003800DA" w:rsidRDefault="003800DA" w:rsidP="00BB32BD"/>
    <w:p w14:paraId="50204EEF" w14:textId="77777777" w:rsidR="007326DB" w:rsidRDefault="00B0502E">
      <w:pPr>
        <w:pStyle w:val="BodyText"/>
        <w:rPr>
          <w:b/>
          <w:bCs/>
          <w:sz w:val="28"/>
        </w:rPr>
      </w:pPr>
      <w:r w:rsidRPr="00672486">
        <w:rPr>
          <w:b/>
          <w:bCs/>
          <w:sz w:val="32"/>
        </w:rPr>
        <w:lastRenderedPageBreak/>
        <w:t xml:space="preserve">AMAO 1: </w:t>
      </w:r>
      <w:r w:rsidR="007326DB">
        <w:rPr>
          <w:b/>
          <w:bCs/>
          <w:sz w:val="28"/>
        </w:rPr>
        <w:t xml:space="preserve">Progress </w:t>
      </w:r>
      <w:r w:rsidR="00353E5C">
        <w:rPr>
          <w:b/>
          <w:bCs/>
          <w:sz w:val="28"/>
        </w:rPr>
        <w:t xml:space="preserve">Determinations and </w:t>
      </w:r>
      <w:r w:rsidR="007326DB">
        <w:rPr>
          <w:b/>
          <w:bCs/>
          <w:sz w:val="28"/>
        </w:rPr>
        <w:t>Targets</w:t>
      </w:r>
    </w:p>
    <w:p w14:paraId="50204EF0" w14:textId="77777777" w:rsidR="007326DB" w:rsidRDefault="007326DB">
      <w:pPr>
        <w:pStyle w:val="BodyText"/>
      </w:pPr>
    </w:p>
    <w:p w14:paraId="50204EF1" w14:textId="77777777" w:rsidR="00846CF1" w:rsidRDefault="00846CF1" w:rsidP="003800DA">
      <w:pPr>
        <w:pStyle w:val="Heading1"/>
        <w:rPr>
          <w:rFonts w:ascii="Arial" w:hAnsi="Arial" w:cs="Arial"/>
          <w:b/>
          <w:u w:val="none"/>
        </w:rPr>
      </w:pPr>
      <w:r w:rsidRPr="00812A58">
        <w:rPr>
          <w:rFonts w:ascii="Arial" w:hAnsi="Arial" w:cs="Arial"/>
          <w:b/>
          <w:u w:val="none"/>
        </w:rPr>
        <w:t>Overview</w:t>
      </w:r>
    </w:p>
    <w:p w14:paraId="50204EF2" w14:textId="77777777" w:rsidR="00291D95" w:rsidRDefault="00291D95" w:rsidP="00C70731"/>
    <w:p w14:paraId="50204EF3" w14:textId="77777777" w:rsidR="00A6400A" w:rsidRPr="00A6400A" w:rsidRDefault="00291D95" w:rsidP="00A6400A">
      <w:pPr>
        <w:pStyle w:val="BodyText"/>
        <w:spacing w:after="120"/>
        <w:ind w:right="-187"/>
        <w:rPr>
          <w:rFonts w:ascii="Times New Roman" w:hAnsi="Times New Roman" w:cs="Times New Roman"/>
          <w:sz w:val="24"/>
        </w:rPr>
      </w:pPr>
      <w:r w:rsidRPr="00A6400A">
        <w:rPr>
          <w:rFonts w:ascii="Times New Roman" w:hAnsi="Times New Roman" w:cs="Times New Roman"/>
          <w:sz w:val="24"/>
        </w:rPr>
        <w:t xml:space="preserve">The </w:t>
      </w:r>
      <w:r w:rsidR="003800DA" w:rsidRPr="00A6400A">
        <w:rPr>
          <w:rFonts w:ascii="Times New Roman" w:hAnsi="Times New Roman" w:cs="Times New Roman"/>
          <w:sz w:val="24"/>
        </w:rPr>
        <w:t xml:space="preserve">revised </w:t>
      </w:r>
      <w:r w:rsidRPr="00A6400A">
        <w:rPr>
          <w:rFonts w:ascii="Times New Roman" w:hAnsi="Times New Roman" w:cs="Times New Roman"/>
          <w:sz w:val="24"/>
        </w:rPr>
        <w:t xml:space="preserve">approach </w:t>
      </w:r>
      <w:r w:rsidR="006E5BD7" w:rsidRPr="00A6400A">
        <w:rPr>
          <w:rFonts w:ascii="Times New Roman" w:hAnsi="Times New Roman" w:cs="Times New Roman"/>
          <w:sz w:val="24"/>
        </w:rPr>
        <w:t xml:space="preserve">for calculating AMAO 1 </w:t>
      </w:r>
      <w:r w:rsidR="00882F52" w:rsidRPr="00A6400A">
        <w:rPr>
          <w:rFonts w:ascii="Times New Roman" w:hAnsi="Times New Roman" w:cs="Times New Roman"/>
          <w:sz w:val="24"/>
        </w:rPr>
        <w:t>include</w:t>
      </w:r>
      <w:r w:rsidR="006E5BD7" w:rsidRPr="00A6400A">
        <w:rPr>
          <w:rFonts w:ascii="Times New Roman" w:hAnsi="Times New Roman" w:cs="Times New Roman"/>
          <w:sz w:val="24"/>
        </w:rPr>
        <w:t>s</w:t>
      </w:r>
      <w:r w:rsidR="003800DA" w:rsidRPr="00A6400A">
        <w:rPr>
          <w:rFonts w:ascii="Times New Roman" w:hAnsi="Times New Roman" w:cs="Times New Roman"/>
          <w:sz w:val="24"/>
        </w:rPr>
        <w:t xml:space="preserve"> the </w:t>
      </w:r>
      <w:r w:rsidRPr="00A6400A">
        <w:rPr>
          <w:rFonts w:ascii="Times New Roman" w:hAnsi="Times New Roman" w:cs="Times New Roman"/>
          <w:sz w:val="24"/>
        </w:rPr>
        <w:t>use</w:t>
      </w:r>
      <w:r w:rsidR="003800DA" w:rsidRPr="00A6400A">
        <w:rPr>
          <w:rFonts w:ascii="Times New Roman" w:hAnsi="Times New Roman" w:cs="Times New Roman"/>
          <w:sz w:val="24"/>
        </w:rPr>
        <w:t xml:space="preserve"> of</w:t>
      </w:r>
      <w:r w:rsidRPr="00A6400A">
        <w:rPr>
          <w:rFonts w:ascii="Times New Roman" w:hAnsi="Times New Roman" w:cs="Times New Roman"/>
          <w:sz w:val="24"/>
        </w:rPr>
        <w:t xml:space="preserve"> </w:t>
      </w:r>
      <w:r w:rsidR="00A6400A" w:rsidRPr="00A6400A">
        <w:rPr>
          <w:rFonts w:ascii="Times New Roman" w:hAnsi="Times New Roman" w:cs="Times New Roman"/>
          <w:sz w:val="24"/>
        </w:rPr>
        <w:t>S</w:t>
      </w:r>
      <w:r w:rsidRPr="00A6400A">
        <w:rPr>
          <w:rFonts w:ascii="Times New Roman" w:hAnsi="Times New Roman" w:cs="Times New Roman"/>
          <w:sz w:val="24"/>
        </w:rPr>
        <w:t xml:space="preserve">tudent </w:t>
      </w:r>
      <w:r w:rsidR="00A6400A" w:rsidRPr="00A6400A">
        <w:rPr>
          <w:rFonts w:ascii="Times New Roman" w:hAnsi="Times New Roman" w:cs="Times New Roman"/>
          <w:sz w:val="24"/>
        </w:rPr>
        <w:t>G</w:t>
      </w:r>
      <w:r w:rsidRPr="00A6400A">
        <w:rPr>
          <w:rFonts w:ascii="Times New Roman" w:hAnsi="Times New Roman" w:cs="Times New Roman"/>
          <w:sz w:val="24"/>
        </w:rPr>
        <w:t xml:space="preserve">rowth </w:t>
      </w:r>
      <w:r w:rsidR="00A6400A" w:rsidRPr="00A6400A">
        <w:rPr>
          <w:rFonts w:ascii="Times New Roman" w:hAnsi="Times New Roman" w:cs="Times New Roman"/>
          <w:sz w:val="24"/>
        </w:rPr>
        <w:t>P</w:t>
      </w:r>
      <w:r w:rsidRPr="00A6400A">
        <w:rPr>
          <w:rFonts w:ascii="Times New Roman" w:hAnsi="Times New Roman" w:cs="Times New Roman"/>
          <w:sz w:val="24"/>
        </w:rPr>
        <w:t xml:space="preserve">ercentiles </w:t>
      </w:r>
      <w:r w:rsidR="006E5BD7" w:rsidRPr="00A6400A">
        <w:rPr>
          <w:rFonts w:ascii="Times New Roman" w:hAnsi="Times New Roman" w:cs="Times New Roman"/>
          <w:sz w:val="24"/>
        </w:rPr>
        <w:t xml:space="preserve">for </w:t>
      </w:r>
      <w:r w:rsidR="00C722E9">
        <w:rPr>
          <w:rFonts w:ascii="Times New Roman" w:hAnsi="Times New Roman" w:cs="Times New Roman"/>
          <w:sz w:val="24"/>
        </w:rPr>
        <w:t>ACCESS</w:t>
      </w:r>
      <w:r w:rsidRPr="00A6400A">
        <w:rPr>
          <w:rFonts w:ascii="Times New Roman" w:hAnsi="Times New Roman" w:cs="Times New Roman"/>
          <w:sz w:val="24"/>
        </w:rPr>
        <w:t xml:space="preserve"> (SGPAs) </w:t>
      </w:r>
      <w:r w:rsidR="0076476C">
        <w:rPr>
          <w:rFonts w:ascii="Times New Roman" w:hAnsi="Times New Roman" w:cs="Times New Roman"/>
          <w:sz w:val="24"/>
        </w:rPr>
        <w:t xml:space="preserve">for each Massachusetts student that </w:t>
      </w:r>
      <w:r w:rsidRPr="00A6400A">
        <w:rPr>
          <w:rFonts w:ascii="Times New Roman" w:hAnsi="Times New Roman" w:cs="Times New Roman"/>
          <w:sz w:val="24"/>
        </w:rPr>
        <w:t>measure</w:t>
      </w:r>
      <w:r w:rsidR="0076476C">
        <w:rPr>
          <w:rFonts w:ascii="Times New Roman" w:hAnsi="Times New Roman" w:cs="Times New Roman"/>
          <w:sz w:val="24"/>
        </w:rPr>
        <w:t>s their relative growth</w:t>
      </w:r>
      <w:r w:rsidR="003800DA" w:rsidRPr="00A6400A">
        <w:rPr>
          <w:rFonts w:ascii="Times New Roman" w:hAnsi="Times New Roman" w:cs="Times New Roman"/>
          <w:sz w:val="24"/>
        </w:rPr>
        <w:t xml:space="preserve"> one year to the next</w:t>
      </w:r>
      <w:r w:rsidR="0076476C">
        <w:rPr>
          <w:rFonts w:ascii="Times New Roman" w:hAnsi="Times New Roman" w:cs="Times New Roman"/>
          <w:sz w:val="24"/>
        </w:rPr>
        <w:t xml:space="preserve">; and whether the student’s SGPA meets or exceeds the student’s specific </w:t>
      </w:r>
      <w:r w:rsidR="00A6400A" w:rsidRPr="00A6400A">
        <w:rPr>
          <w:rFonts w:ascii="Times New Roman" w:hAnsi="Times New Roman" w:cs="Times New Roman"/>
          <w:sz w:val="24"/>
        </w:rPr>
        <w:t>Growth-to-</w:t>
      </w:r>
      <w:r w:rsidR="0076476C">
        <w:rPr>
          <w:rFonts w:ascii="Times New Roman" w:hAnsi="Times New Roman" w:cs="Times New Roman"/>
          <w:sz w:val="24"/>
        </w:rPr>
        <w:t>P</w:t>
      </w:r>
      <w:r w:rsidR="00A6400A" w:rsidRPr="00A6400A">
        <w:rPr>
          <w:rFonts w:ascii="Times New Roman" w:hAnsi="Times New Roman" w:cs="Times New Roman"/>
          <w:sz w:val="24"/>
        </w:rPr>
        <w:t xml:space="preserve">roficiency target </w:t>
      </w:r>
      <w:r w:rsidR="0076476C">
        <w:rPr>
          <w:rFonts w:ascii="Times New Roman" w:hAnsi="Times New Roman" w:cs="Times New Roman"/>
          <w:sz w:val="24"/>
        </w:rPr>
        <w:t>to attain Level 5 on ACCESS within 6 years. This approach</w:t>
      </w:r>
      <w:r w:rsidR="00C722E9">
        <w:rPr>
          <w:rFonts w:ascii="Times New Roman" w:hAnsi="Times New Roman" w:cs="Times New Roman"/>
          <w:sz w:val="24"/>
        </w:rPr>
        <w:t xml:space="preserve"> will </w:t>
      </w:r>
      <w:r w:rsidR="00A6400A" w:rsidRPr="00A6400A">
        <w:rPr>
          <w:rFonts w:ascii="Times New Roman" w:hAnsi="Times New Roman" w:cs="Times New Roman"/>
          <w:sz w:val="24"/>
        </w:rPr>
        <w:t xml:space="preserve">allow the Department to: </w:t>
      </w:r>
    </w:p>
    <w:p w14:paraId="50204EF4" w14:textId="77777777" w:rsidR="00A6400A" w:rsidRDefault="00A6400A" w:rsidP="00492D90">
      <w:pPr>
        <w:pStyle w:val="BodyText"/>
        <w:numPr>
          <w:ilvl w:val="0"/>
          <w:numId w:val="13"/>
        </w:numPr>
        <w:spacing w:after="120"/>
        <w:ind w:left="720" w:right="-187"/>
        <w:rPr>
          <w:rFonts w:ascii="Times New Roman" w:hAnsi="Times New Roman" w:cs="Times New Roman"/>
          <w:sz w:val="24"/>
        </w:rPr>
      </w:pPr>
      <w:r>
        <w:rPr>
          <w:rFonts w:ascii="Times New Roman" w:hAnsi="Times New Roman" w:cs="Times New Roman"/>
          <w:sz w:val="24"/>
        </w:rPr>
        <w:t>Set growth</w:t>
      </w:r>
      <w:r w:rsidR="0076476C">
        <w:rPr>
          <w:rFonts w:ascii="Times New Roman" w:hAnsi="Times New Roman" w:cs="Times New Roman"/>
          <w:sz w:val="24"/>
        </w:rPr>
        <w:t>-to-proficiency</w:t>
      </w:r>
      <w:r>
        <w:rPr>
          <w:rFonts w:ascii="Times New Roman" w:hAnsi="Times New Roman" w:cs="Times New Roman"/>
          <w:sz w:val="24"/>
        </w:rPr>
        <w:t xml:space="preserve"> </w:t>
      </w:r>
      <w:r w:rsidR="0076476C">
        <w:rPr>
          <w:rFonts w:ascii="Times New Roman" w:hAnsi="Times New Roman" w:cs="Times New Roman"/>
          <w:sz w:val="24"/>
        </w:rPr>
        <w:t xml:space="preserve">SGPA </w:t>
      </w:r>
      <w:r>
        <w:rPr>
          <w:rFonts w:ascii="Times New Roman" w:hAnsi="Times New Roman" w:cs="Times New Roman"/>
          <w:sz w:val="24"/>
        </w:rPr>
        <w:t>targets for Massachusetts students using historical</w:t>
      </w:r>
      <w:r w:rsidR="0076476C">
        <w:rPr>
          <w:rFonts w:ascii="Times New Roman" w:hAnsi="Times New Roman" w:cs="Times New Roman"/>
          <w:sz w:val="24"/>
        </w:rPr>
        <w:t xml:space="preserve"> </w:t>
      </w:r>
      <w:r>
        <w:rPr>
          <w:rFonts w:ascii="Times New Roman" w:hAnsi="Times New Roman" w:cs="Times New Roman"/>
          <w:sz w:val="24"/>
        </w:rPr>
        <w:t xml:space="preserve">data </w:t>
      </w:r>
      <w:r w:rsidR="00C722E9">
        <w:rPr>
          <w:rFonts w:ascii="Times New Roman" w:hAnsi="Times New Roman" w:cs="Times New Roman"/>
          <w:sz w:val="24"/>
        </w:rPr>
        <w:t xml:space="preserve">from </w:t>
      </w:r>
      <w:r w:rsidR="0076476C">
        <w:rPr>
          <w:rFonts w:ascii="Times New Roman" w:hAnsi="Times New Roman" w:cs="Times New Roman"/>
          <w:sz w:val="24"/>
        </w:rPr>
        <w:t xml:space="preserve">other </w:t>
      </w:r>
      <w:r>
        <w:rPr>
          <w:rFonts w:ascii="Times New Roman" w:hAnsi="Times New Roman" w:cs="Times New Roman"/>
          <w:sz w:val="24"/>
        </w:rPr>
        <w:t xml:space="preserve">WIDA </w:t>
      </w:r>
      <w:r w:rsidR="00C722E9">
        <w:rPr>
          <w:rFonts w:ascii="Times New Roman" w:hAnsi="Times New Roman" w:cs="Times New Roman"/>
          <w:sz w:val="24"/>
        </w:rPr>
        <w:t xml:space="preserve">member </w:t>
      </w:r>
      <w:r>
        <w:rPr>
          <w:rFonts w:ascii="Times New Roman" w:hAnsi="Times New Roman" w:cs="Times New Roman"/>
          <w:sz w:val="24"/>
        </w:rPr>
        <w:t>states;</w:t>
      </w:r>
    </w:p>
    <w:p w14:paraId="50204EF5" w14:textId="77777777" w:rsidR="00A6400A" w:rsidRDefault="00A6400A" w:rsidP="00492D90">
      <w:pPr>
        <w:pStyle w:val="BodyText"/>
        <w:numPr>
          <w:ilvl w:val="0"/>
          <w:numId w:val="13"/>
        </w:numPr>
        <w:spacing w:after="120"/>
        <w:ind w:left="720" w:right="-187"/>
        <w:rPr>
          <w:rFonts w:ascii="Times New Roman" w:hAnsi="Times New Roman" w:cs="Times New Roman"/>
          <w:sz w:val="24"/>
        </w:rPr>
      </w:pPr>
      <w:r>
        <w:rPr>
          <w:rFonts w:ascii="Times New Roman" w:hAnsi="Times New Roman" w:cs="Times New Roman"/>
          <w:sz w:val="24"/>
        </w:rPr>
        <w:t>D</w:t>
      </w:r>
      <w:r w:rsidRPr="00363397">
        <w:rPr>
          <w:rFonts w:ascii="Times New Roman" w:hAnsi="Times New Roman" w:cs="Times New Roman"/>
          <w:sz w:val="24"/>
        </w:rPr>
        <w:t xml:space="preserve">etermine whether </w:t>
      </w:r>
      <w:r>
        <w:rPr>
          <w:rFonts w:ascii="Times New Roman" w:hAnsi="Times New Roman" w:cs="Times New Roman"/>
          <w:sz w:val="24"/>
        </w:rPr>
        <w:t xml:space="preserve">each Massachusetts student’s growth </w:t>
      </w:r>
      <w:r w:rsidR="0076476C">
        <w:rPr>
          <w:rFonts w:ascii="Times New Roman" w:hAnsi="Times New Roman" w:cs="Times New Roman"/>
          <w:sz w:val="24"/>
        </w:rPr>
        <w:t xml:space="preserve">on ACCESS </w:t>
      </w:r>
      <w:r w:rsidR="00C722E9">
        <w:rPr>
          <w:rFonts w:ascii="Times New Roman" w:hAnsi="Times New Roman" w:cs="Times New Roman"/>
          <w:sz w:val="24"/>
        </w:rPr>
        <w:t xml:space="preserve">was </w:t>
      </w:r>
      <w:r>
        <w:rPr>
          <w:rFonts w:ascii="Times New Roman" w:hAnsi="Times New Roman" w:cs="Times New Roman"/>
          <w:sz w:val="24"/>
        </w:rPr>
        <w:t xml:space="preserve">sufficient </w:t>
      </w:r>
      <w:r w:rsidR="0076476C">
        <w:rPr>
          <w:rFonts w:ascii="Times New Roman" w:hAnsi="Times New Roman" w:cs="Times New Roman"/>
          <w:sz w:val="24"/>
        </w:rPr>
        <w:t xml:space="preserve">from one year to the next </w:t>
      </w:r>
      <w:r w:rsidRPr="00363397">
        <w:rPr>
          <w:rFonts w:ascii="Times New Roman" w:hAnsi="Times New Roman" w:cs="Times New Roman"/>
          <w:sz w:val="24"/>
        </w:rPr>
        <w:t xml:space="preserve">to be “on track” to attain English proficiency </w:t>
      </w:r>
      <w:r w:rsidR="00C722E9">
        <w:rPr>
          <w:rFonts w:ascii="Times New Roman" w:hAnsi="Times New Roman" w:cs="Times New Roman"/>
          <w:sz w:val="24"/>
        </w:rPr>
        <w:t>(i.e., Level 5 on the ACCESS test)</w:t>
      </w:r>
      <w:r w:rsidR="0076476C">
        <w:rPr>
          <w:rFonts w:ascii="Times New Roman" w:hAnsi="Times New Roman" w:cs="Times New Roman"/>
          <w:sz w:val="24"/>
        </w:rPr>
        <w:t xml:space="preserve"> in six years</w:t>
      </w:r>
      <w:r>
        <w:rPr>
          <w:rFonts w:ascii="Times New Roman" w:hAnsi="Times New Roman" w:cs="Times New Roman"/>
          <w:sz w:val="24"/>
        </w:rPr>
        <w:t>;</w:t>
      </w:r>
    </w:p>
    <w:p w14:paraId="50204EF6" w14:textId="77777777" w:rsidR="00A6400A" w:rsidRPr="001F394D" w:rsidRDefault="00A6400A" w:rsidP="00492D90">
      <w:pPr>
        <w:pStyle w:val="BodyText"/>
        <w:numPr>
          <w:ilvl w:val="0"/>
          <w:numId w:val="13"/>
        </w:numPr>
        <w:spacing w:after="240"/>
        <w:ind w:left="720" w:right="-187"/>
        <w:rPr>
          <w:rFonts w:ascii="Times New Roman" w:hAnsi="Times New Roman" w:cs="Times New Roman"/>
          <w:sz w:val="24"/>
        </w:rPr>
      </w:pPr>
      <w:r>
        <w:rPr>
          <w:rFonts w:ascii="Times New Roman" w:hAnsi="Times New Roman" w:cs="Times New Roman"/>
          <w:sz w:val="24"/>
        </w:rPr>
        <w:t>D</w:t>
      </w:r>
      <w:r w:rsidRPr="00363397">
        <w:rPr>
          <w:rFonts w:ascii="Times New Roman" w:hAnsi="Times New Roman" w:cs="Times New Roman"/>
          <w:sz w:val="24"/>
        </w:rPr>
        <w:t xml:space="preserve">etermine whether </w:t>
      </w:r>
      <w:r>
        <w:rPr>
          <w:rFonts w:ascii="Times New Roman" w:hAnsi="Times New Roman" w:cs="Times New Roman"/>
          <w:sz w:val="24"/>
        </w:rPr>
        <w:t>each Massachusetts Title III district</w:t>
      </w:r>
      <w:r w:rsidR="00C722E9">
        <w:rPr>
          <w:rFonts w:ascii="Times New Roman" w:hAnsi="Times New Roman" w:cs="Times New Roman"/>
          <w:sz w:val="24"/>
        </w:rPr>
        <w:t xml:space="preserve"> has made AMAO 1, based on </w:t>
      </w:r>
      <w:r w:rsidR="0076476C">
        <w:rPr>
          <w:rFonts w:ascii="Times New Roman" w:hAnsi="Times New Roman" w:cs="Times New Roman"/>
          <w:sz w:val="24"/>
        </w:rPr>
        <w:t xml:space="preserve">a sufficient percentage of students meeting their </w:t>
      </w:r>
      <w:r w:rsidR="00C722E9">
        <w:rPr>
          <w:rFonts w:ascii="Times New Roman" w:hAnsi="Times New Roman" w:cs="Times New Roman"/>
          <w:sz w:val="24"/>
        </w:rPr>
        <w:t>growth-to-proficiency targets</w:t>
      </w:r>
      <w:r>
        <w:rPr>
          <w:rFonts w:ascii="Times New Roman" w:hAnsi="Times New Roman" w:cs="Times New Roman"/>
          <w:sz w:val="24"/>
        </w:rPr>
        <w:t>.</w:t>
      </w:r>
    </w:p>
    <w:p w14:paraId="50204EF7" w14:textId="77777777" w:rsidR="00F87784" w:rsidRDefault="00882F52" w:rsidP="00C70731">
      <w:r w:rsidRPr="00C36889">
        <w:t xml:space="preserve">The following </w:t>
      </w:r>
      <w:r w:rsidR="006E5BD7" w:rsidRPr="00C36889">
        <w:t xml:space="preserve">information </w:t>
      </w:r>
      <w:r w:rsidRPr="00C36889">
        <w:t>describe</w:t>
      </w:r>
      <w:r w:rsidR="006E5BD7" w:rsidRPr="00C36889">
        <w:t>s</w:t>
      </w:r>
      <w:r w:rsidR="00C722E9">
        <w:t xml:space="preserve"> in detail</w:t>
      </w:r>
      <w:r w:rsidRPr="00C36889">
        <w:t xml:space="preserve"> how AMAO 1 </w:t>
      </w:r>
      <w:r w:rsidR="006E5BD7" w:rsidRPr="00C36889">
        <w:t>will be</w:t>
      </w:r>
      <w:r w:rsidRPr="00C36889">
        <w:t xml:space="preserve"> calculated</w:t>
      </w:r>
      <w:r w:rsidR="00D32F23" w:rsidRPr="00C36889">
        <w:t>:</w:t>
      </w:r>
    </w:p>
    <w:p w14:paraId="50204EF8" w14:textId="77777777" w:rsidR="00F87784" w:rsidRDefault="00F87784" w:rsidP="00C70731"/>
    <w:p w14:paraId="50204EF9" w14:textId="77777777" w:rsidR="00FE760D" w:rsidRDefault="00C722E9" w:rsidP="00F87784">
      <w:pPr>
        <w:pStyle w:val="NoSpacing"/>
        <w:numPr>
          <w:ilvl w:val="0"/>
          <w:numId w:val="14"/>
        </w:numPr>
        <w:spacing w:after="120"/>
        <w:rPr>
          <w:rFonts w:ascii="Times New Roman" w:hAnsi="Times New Roman"/>
          <w:sz w:val="24"/>
          <w:szCs w:val="24"/>
        </w:rPr>
      </w:pPr>
      <w:r w:rsidRPr="004779F6">
        <w:rPr>
          <w:rFonts w:ascii="Times New Roman" w:hAnsi="Times New Roman"/>
          <w:b/>
          <w:sz w:val="24"/>
          <w:szCs w:val="24"/>
        </w:rPr>
        <w:t>G</w:t>
      </w:r>
      <w:r w:rsidR="00FE760D" w:rsidRPr="004779F6">
        <w:rPr>
          <w:rFonts w:ascii="Times New Roman" w:hAnsi="Times New Roman"/>
          <w:b/>
          <w:sz w:val="24"/>
          <w:szCs w:val="24"/>
        </w:rPr>
        <w:t>rowth</w:t>
      </w:r>
      <w:r w:rsidR="00641DE4" w:rsidRPr="004779F6">
        <w:rPr>
          <w:rFonts w:ascii="Times New Roman" w:hAnsi="Times New Roman"/>
          <w:b/>
          <w:sz w:val="24"/>
          <w:szCs w:val="24"/>
        </w:rPr>
        <w:t>-to-proficiency</w:t>
      </w:r>
      <w:r w:rsidR="00FE760D" w:rsidRPr="004779F6">
        <w:rPr>
          <w:rFonts w:ascii="Times New Roman" w:hAnsi="Times New Roman"/>
          <w:b/>
          <w:sz w:val="24"/>
          <w:szCs w:val="24"/>
        </w:rPr>
        <w:t xml:space="preserve"> targets</w:t>
      </w:r>
      <w:r w:rsidR="00FE760D" w:rsidRPr="00907BAA">
        <w:rPr>
          <w:rFonts w:ascii="Times New Roman" w:hAnsi="Times New Roman"/>
          <w:sz w:val="24"/>
          <w:szCs w:val="24"/>
        </w:rPr>
        <w:t xml:space="preserve"> </w:t>
      </w:r>
      <w:r w:rsidR="004779F6">
        <w:rPr>
          <w:rFonts w:ascii="Times New Roman" w:hAnsi="Times New Roman"/>
          <w:sz w:val="24"/>
          <w:szCs w:val="24"/>
        </w:rPr>
        <w:t>between</w:t>
      </w:r>
      <w:r w:rsidR="00641DE4">
        <w:rPr>
          <w:rFonts w:ascii="Times New Roman" w:hAnsi="Times New Roman"/>
          <w:sz w:val="24"/>
          <w:szCs w:val="24"/>
        </w:rPr>
        <w:t xml:space="preserve"> 0</w:t>
      </w:r>
      <w:r w:rsidR="00641DE4">
        <w:rPr>
          <w:rFonts w:ascii="Times New Roman" w:hAnsi="Times New Roman"/>
          <w:sz w:val="24"/>
          <w:szCs w:val="24"/>
        </w:rPr>
        <w:sym w:font="Symbol" w:char="F02D"/>
      </w:r>
      <w:r w:rsidR="00641DE4">
        <w:rPr>
          <w:rFonts w:ascii="Times New Roman" w:hAnsi="Times New Roman"/>
          <w:sz w:val="24"/>
          <w:szCs w:val="24"/>
        </w:rPr>
        <w:t xml:space="preserve">99 </w:t>
      </w:r>
      <w:proofErr w:type="gramStart"/>
      <w:r>
        <w:rPr>
          <w:rFonts w:ascii="Times New Roman" w:hAnsi="Times New Roman"/>
          <w:sz w:val="24"/>
          <w:szCs w:val="24"/>
        </w:rPr>
        <w:t>were</w:t>
      </w:r>
      <w:proofErr w:type="gramEnd"/>
      <w:r w:rsidR="00FE760D">
        <w:rPr>
          <w:rFonts w:ascii="Times New Roman" w:hAnsi="Times New Roman"/>
          <w:sz w:val="24"/>
          <w:szCs w:val="24"/>
        </w:rPr>
        <w:t xml:space="preserve"> calculated </w:t>
      </w:r>
      <w:r w:rsidR="00641DE4">
        <w:rPr>
          <w:rFonts w:ascii="Times New Roman" w:hAnsi="Times New Roman"/>
          <w:sz w:val="24"/>
          <w:szCs w:val="24"/>
        </w:rPr>
        <w:t xml:space="preserve">using </w:t>
      </w:r>
      <w:r w:rsidR="004779F6">
        <w:rPr>
          <w:rFonts w:ascii="Times New Roman" w:hAnsi="Times New Roman"/>
          <w:sz w:val="24"/>
          <w:szCs w:val="24"/>
        </w:rPr>
        <w:t xml:space="preserve">the test results of </w:t>
      </w:r>
      <w:r>
        <w:rPr>
          <w:rFonts w:ascii="Times New Roman" w:hAnsi="Times New Roman"/>
          <w:sz w:val="24"/>
          <w:szCs w:val="24"/>
        </w:rPr>
        <w:t xml:space="preserve">ELLs </w:t>
      </w:r>
      <w:r w:rsidR="004779F6">
        <w:rPr>
          <w:rFonts w:ascii="Times New Roman" w:hAnsi="Times New Roman"/>
          <w:sz w:val="24"/>
          <w:szCs w:val="24"/>
        </w:rPr>
        <w:t xml:space="preserve">who took the ACCESS tests from 2011 through 2014 </w:t>
      </w:r>
      <w:r>
        <w:rPr>
          <w:rFonts w:ascii="Times New Roman" w:hAnsi="Times New Roman"/>
          <w:sz w:val="24"/>
          <w:szCs w:val="24"/>
        </w:rPr>
        <w:t xml:space="preserve">in </w:t>
      </w:r>
      <w:r w:rsidR="00E62A47">
        <w:rPr>
          <w:rFonts w:ascii="Times New Roman" w:hAnsi="Times New Roman"/>
          <w:sz w:val="24"/>
          <w:szCs w:val="24"/>
        </w:rPr>
        <w:t xml:space="preserve">about 30 </w:t>
      </w:r>
      <w:r w:rsidR="004779F6">
        <w:rPr>
          <w:rFonts w:ascii="Times New Roman" w:hAnsi="Times New Roman"/>
          <w:sz w:val="24"/>
          <w:szCs w:val="24"/>
        </w:rPr>
        <w:t xml:space="preserve">WIDA consortium states. Targets were </w:t>
      </w:r>
      <w:r w:rsidR="00641DE4">
        <w:rPr>
          <w:rFonts w:ascii="Times New Roman" w:hAnsi="Times New Roman"/>
          <w:sz w:val="24"/>
          <w:szCs w:val="24"/>
        </w:rPr>
        <w:t xml:space="preserve">based on the growth needed </w:t>
      </w:r>
      <w:r w:rsidR="00FE760D" w:rsidRPr="00907BAA">
        <w:rPr>
          <w:rFonts w:ascii="Times New Roman" w:hAnsi="Times New Roman"/>
          <w:sz w:val="24"/>
          <w:szCs w:val="24"/>
        </w:rPr>
        <w:t>to reach English language proficiency (ACCESS Level 5) within six years.</w:t>
      </w:r>
      <w:r w:rsidR="00AA0053">
        <w:rPr>
          <w:rStyle w:val="FootnoteReference"/>
          <w:rFonts w:ascii="Times New Roman" w:hAnsi="Times New Roman"/>
          <w:sz w:val="24"/>
          <w:szCs w:val="24"/>
        </w:rPr>
        <w:footnoteReference w:id="1"/>
      </w:r>
      <w:r w:rsidR="004779F6">
        <w:rPr>
          <w:rFonts w:ascii="Times New Roman" w:hAnsi="Times New Roman"/>
          <w:sz w:val="24"/>
          <w:szCs w:val="24"/>
        </w:rPr>
        <w:t xml:space="preserve"> These targets will remain constant for 2014 and in future years. Growth-to-proficiency targets are listed in </w:t>
      </w:r>
      <w:r w:rsidR="004779F6" w:rsidRPr="00342B60">
        <w:rPr>
          <w:rFonts w:ascii="Times New Roman" w:hAnsi="Times New Roman"/>
          <w:b/>
          <w:sz w:val="24"/>
          <w:szCs w:val="24"/>
        </w:rPr>
        <w:t>Table 1</w:t>
      </w:r>
      <w:r w:rsidR="004779F6">
        <w:rPr>
          <w:rFonts w:ascii="Times New Roman" w:hAnsi="Times New Roman"/>
          <w:sz w:val="24"/>
          <w:szCs w:val="24"/>
        </w:rPr>
        <w:t xml:space="preserve"> and are based on prior year ACCESS test results (Levels 1 through Level 6) and the number of years a student has attended a Massachusetts school.</w:t>
      </w:r>
    </w:p>
    <w:p w14:paraId="50204EFA" w14:textId="77777777" w:rsidR="00641DE4" w:rsidRPr="00907BAA" w:rsidRDefault="00E62A47" w:rsidP="00342B60">
      <w:pPr>
        <w:pStyle w:val="NoSpacing"/>
        <w:spacing w:after="120"/>
        <w:ind w:left="720"/>
        <w:rPr>
          <w:rFonts w:ascii="Times New Roman" w:hAnsi="Times New Roman"/>
          <w:sz w:val="24"/>
          <w:szCs w:val="24"/>
        </w:rPr>
      </w:pPr>
      <w:r>
        <w:rPr>
          <w:rFonts w:ascii="Times New Roman" w:hAnsi="Times New Roman"/>
          <w:sz w:val="24"/>
          <w:szCs w:val="24"/>
        </w:rPr>
        <w:t>G</w:t>
      </w:r>
      <w:r w:rsidR="00641DE4" w:rsidRPr="00907BAA">
        <w:rPr>
          <w:rFonts w:ascii="Times New Roman" w:hAnsi="Times New Roman"/>
          <w:sz w:val="24"/>
          <w:szCs w:val="24"/>
        </w:rPr>
        <w:t>rowth</w:t>
      </w:r>
      <w:r w:rsidR="00641DE4">
        <w:rPr>
          <w:rFonts w:ascii="Times New Roman" w:hAnsi="Times New Roman"/>
          <w:sz w:val="24"/>
          <w:szCs w:val="24"/>
        </w:rPr>
        <w:t>-to-proficiency</w:t>
      </w:r>
      <w:r w:rsidR="00641DE4" w:rsidRPr="00907BAA">
        <w:rPr>
          <w:rFonts w:ascii="Times New Roman" w:hAnsi="Times New Roman"/>
          <w:sz w:val="24"/>
          <w:szCs w:val="24"/>
        </w:rPr>
        <w:t xml:space="preserve"> </w:t>
      </w:r>
      <w:r w:rsidR="00641DE4">
        <w:rPr>
          <w:rFonts w:ascii="Times New Roman" w:hAnsi="Times New Roman"/>
          <w:sz w:val="24"/>
          <w:szCs w:val="24"/>
        </w:rPr>
        <w:t>target</w:t>
      </w:r>
      <w:r>
        <w:rPr>
          <w:rFonts w:ascii="Times New Roman" w:hAnsi="Times New Roman"/>
          <w:sz w:val="24"/>
          <w:szCs w:val="24"/>
        </w:rPr>
        <w:t>s</w:t>
      </w:r>
      <w:r w:rsidR="00641DE4">
        <w:rPr>
          <w:rFonts w:ascii="Times New Roman" w:hAnsi="Times New Roman"/>
          <w:sz w:val="24"/>
          <w:szCs w:val="24"/>
        </w:rPr>
        <w:t xml:space="preserve"> </w:t>
      </w:r>
      <w:r>
        <w:rPr>
          <w:rFonts w:ascii="Times New Roman" w:hAnsi="Times New Roman"/>
          <w:sz w:val="24"/>
          <w:szCs w:val="24"/>
        </w:rPr>
        <w:t>represent</w:t>
      </w:r>
      <w:r w:rsidR="00641DE4" w:rsidRPr="00907BAA">
        <w:rPr>
          <w:rFonts w:ascii="Times New Roman" w:hAnsi="Times New Roman"/>
          <w:sz w:val="24"/>
          <w:szCs w:val="24"/>
        </w:rPr>
        <w:t xml:space="preserve"> the </w:t>
      </w:r>
      <w:r w:rsidR="00641DE4" w:rsidRPr="00812A58">
        <w:rPr>
          <w:rFonts w:ascii="Times New Roman" w:hAnsi="Times New Roman"/>
          <w:sz w:val="24"/>
          <w:szCs w:val="24"/>
        </w:rPr>
        <w:t xml:space="preserve">minimum </w:t>
      </w:r>
      <w:r w:rsidR="00641DE4">
        <w:rPr>
          <w:rFonts w:ascii="Times New Roman" w:hAnsi="Times New Roman"/>
          <w:sz w:val="24"/>
          <w:szCs w:val="24"/>
        </w:rPr>
        <w:t xml:space="preserve">SGPA needed </w:t>
      </w:r>
      <w:r w:rsidR="00641DE4" w:rsidRPr="00907BAA">
        <w:rPr>
          <w:rFonts w:ascii="Times New Roman" w:hAnsi="Times New Roman"/>
          <w:sz w:val="24"/>
          <w:szCs w:val="24"/>
        </w:rPr>
        <w:t xml:space="preserve">by </w:t>
      </w:r>
      <w:r w:rsidR="00641DE4">
        <w:rPr>
          <w:rFonts w:ascii="Times New Roman" w:hAnsi="Times New Roman"/>
          <w:sz w:val="24"/>
          <w:szCs w:val="24"/>
        </w:rPr>
        <w:t xml:space="preserve">a </w:t>
      </w:r>
      <w:r w:rsidR="00641DE4" w:rsidRPr="00907BAA">
        <w:rPr>
          <w:rFonts w:ascii="Times New Roman" w:hAnsi="Times New Roman"/>
          <w:sz w:val="24"/>
          <w:szCs w:val="24"/>
        </w:rPr>
        <w:t xml:space="preserve">student to </w:t>
      </w:r>
      <w:r w:rsidR="00641DE4">
        <w:rPr>
          <w:rFonts w:ascii="Times New Roman" w:hAnsi="Times New Roman"/>
          <w:sz w:val="24"/>
          <w:szCs w:val="24"/>
        </w:rPr>
        <w:t xml:space="preserve">attain </w:t>
      </w:r>
      <w:r w:rsidR="00190AF5">
        <w:rPr>
          <w:rFonts w:ascii="Times New Roman" w:hAnsi="Times New Roman"/>
          <w:sz w:val="24"/>
          <w:szCs w:val="24"/>
        </w:rPr>
        <w:t xml:space="preserve">English </w:t>
      </w:r>
      <w:r w:rsidR="00641DE4">
        <w:rPr>
          <w:rFonts w:ascii="Times New Roman" w:hAnsi="Times New Roman"/>
          <w:sz w:val="24"/>
          <w:szCs w:val="24"/>
        </w:rPr>
        <w:t>proficiency (i.e., Level 5</w:t>
      </w:r>
      <w:r w:rsidR="00342B60">
        <w:rPr>
          <w:rFonts w:ascii="Times New Roman" w:hAnsi="Times New Roman"/>
          <w:sz w:val="24"/>
          <w:szCs w:val="24"/>
        </w:rPr>
        <w:t xml:space="preserve"> on ACCESS</w:t>
      </w:r>
      <w:r w:rsidR="00641DE4">
        <w:rPr>
          <w:rFonts w:ascii="Times New Roman" w:hAnsi="Times New Roman"/>
          <w:sz w:val="24"/>
          <w:szCs w:val="24"/>
        </w:rPr>
        <w:t>),</w:t>
      </w:r>
      <w:r w:rsidR="00641DE4" w:rsidRPr="00907BAA">
        <w:rPr>
          <w:rFonts w:ascii="Times New Roman" w:hAnsi="Times New Roman"/>
          <w:sz w:val="24"/>
          <w:szCs w:val="24"/>
        </w:rPr>
        <w:t xml:space="preserve"> given his</w:t>
      </w:r>
      <w:r w:rsidR="00641DE4">
        <w:rPr>
          <w:rFonts w:ascii="Times New Roman" w:hAnsi="Times New Roman"/>
          <w:sz w:val="24"/>
          <w:szCs w:val="24"/>
        </w:rPr>
        <w:t xml:space="preserve"> or </w:t>
      </w:r>
      <w:r w:rsidR="00641DE4" w:rsidRPr="00907BAA">
        <w:rPr>
          <w:rFonts w:ascii="Times New Roman" w:hAnsi="Times New Roman"/>
          <w:sz w:val="24"/>
          <w:szCs w:val="24"/>
        </w:rPr>
        <w:t xml:space="preserve">her prior number of years in </w:t>
      </w:r>
      <w:r w:rsidR="00190AF5">
        <w:rPr>
          <w:rFonts w:ascii="Times New Roman" w:hAnsi="Times New Roman"/>
          <w:sz w:val="24"/>
          <w:szCs w:val="24"/>
        </w:rPr>
        <w:t xml:space="preserve">a Massachusetts school </w:t>
      </w:r>
      <w:r w:rsidR="00641DE4" w:rsidRPr="00907BAA">
        <w:rPr>
          <w:rFonts w:ascii="Times New Roman" w:hAnsi="Times New Roman"/>
          <w:sz w:val="24"/>
          <w:szCs w:val="24"/>
        </w:rPr>
        <w:t xml:space="preserve">and </w:t>
      </w:r>
      <w:r w:rsidR="00190AF5">
        <w:rPr>
          <w:rFonts w:ascii="Times New Roman" w:hAnsi="Times New Roman"/>
          <w:sz w:val="24"/>
          <w:szCs w:val="24"/>
        </w:rPr>
        <w:t>the student’s prior year</w:t>
      </w:r>
      <w:r w:rsidR="00342B60">
        <w:rPr>
          <w:rFonts w:ascii="Times New Roman" w:hAnsi="Times New Roman"/>
          <w:sz w:val="24"/>
          <w:szCs w:val="24"/>
        </w:rPr>
        <w:t>’s</w:t>
      </w:r>
      <w:r w:rsidR="00641DE4" w:rsidRPr="00907BAA">
        <w:rPr>
          <w:rFonts w:ascii="Times New Roman" w:hAnsi="Times New Roman"/>
          <w:sz w:val="24"/>
          <w:szCs w:val="24"/>
        </w:rPr>
        <w:t xml:space="preserve"> proficiency level on the ACCESS assessment.</w:t>
      </w:r>
    </w:p>
    <w:p w14:paraId="50204EFB" w14:textId="77777777" w:rsidR="00342B60" w:rsidRDefault="00342B60" w:rsidP="00342B60">
      <w:pPr>
        <w:pStyle w:val="NoSpacing"/>
        <w:numPr>
          <w:ilvl w:val="0"/>
          <w:numId w:val="14"/>
        </w:numPr>
        <w:spacing w:after="120"/>
        <w:rPr>
          <w:rFonts w:ascii="Times New Roman" w:hAnsi="Times New Roman"/>
          <w:sz w:val="24"/>
          <w:szCs w:val="24"/>
        </w:rPr>
      </w:pPr>
      <w:r w:rsidRPr="004779F6">
        <w:rPr>
          <w:rFonts w:ascii="Times New Roman" w:hAnsi="Times New Roman"/>
          <w:b/>
          <w:sz w:val="24"/>
          <w:szCs w:val="24"/>
        </w:rPr>
        <w:t>Student Growth Percentiles for ACCESS</w:t>
      </w:r>
      <w:r>
        <w:rPr>
          <w:rFonts w:ascii="Times New Roman" w:hAnsi="Times New Roman"/>
          <w:sz w:val="24"/>
          <w:szCs w:val="24"/>
        </w:rPr>
        <w:t xml:space="preserve"> (SGPAs) between 0</w:t>
      </w:r>
      <w:r>
        <w:rPr>
          <w:rFonts w:ascii="Times New Roman" w:hAnsi="Times New Roman"/>
          <w:sz w:val="24"/>
          <w:szCs w:val="24"/>
        </w:rPr>
        <w:sym w:font="Symbol" w:char="F02D"/>
      </w:r>
      <w:r>
        <w:rPr>
          <w:rFonts w:ascii="Times New Roman" w:hAnsi="Times New Roman"/>
          <w:sz w:val="24"/>
          <w:szCs w:val="24"/>
        </w:rPr>
        <w:t xml:space="preserve">99 were then calculated for each Massachusetts student who took ACCESS tests in two successive years and compared with the Growth-to-Proficiency target for students at that proficiency level who have attended a Massachusetts school for one through five (or more) years. </w:t>
      </w:r>
    </w:p>
    <w:p w14:paraId="50204EFC" w14:textId="77777777" w:rsidR="00F87784" w:rsidRDefault="00F87784" w:rsidP="00F87784">
      <w:pPr>
        <w:pStyle w:val="NoSpacing"/>
        <w:numPr>
          <w:ilvl w:val="0"/>
          <w:numId w:val="14"/>
        </w:numPr>
        <w:spacing w:after="120"/>
        <w:rPr>
          <w:rFonts w:ascii="Times New Roman" w:hAnsi="Times New Roman"/>
          <w:sz w:val="24"/>
          <w:szCs w:val="24"/>
        </w:rPr>
      </w:pPr>
      <w:r w:rsidRPr="00907BAA">
        <w:rPr>
          <w:rFonts w:ascii="Times New Roman" w:hAnsi="Times New Roman"/>
          <w:sz w:val="24"/>
          <w:szCs w:val="24"/>
        </w:rPr>
        <w:t xml:space="preserve">An ELL student is considered </w:t>
      </w:r>
      <w:r w:rsidR="00FE760D">
        <w:rPr>
          <w:rFonts w:ascii="Times New Roman" w:hAnsi="Times New Roman"/>
          <w:sz w:val="24"/>
          <w:szCs w:val="24"/>
        </w:rPr>
        <w:t xml:space="preserve">to have </w:t>
      </w:r>
      <w:r w:rsidR="0076476C">
        <w:rPr>
          <w:rFonts w:ascii="Times New Roman" w:hAnsi="Times New Roman"/>
          <w:sz w:val="24"/>
          <w:szCs w:val="24"/>
        </w:rPr>
        <w:t xml:space="preserve">“made progress” </w:t>
      </w:r>
      <w:r w:rsidRPr="00907BAA">
        <w:rPr>
          <w:rFonts w:ascii="Times New Roman" w:hAnsi="Times New Roman"/>
          <w:sz w:val="24"/>
          <w:szCs w:val="24"/>
        </w:rPr>
        <w:t>if his or her current year’s SGPA is greater tha</w:t>
      </w:r>
      <w:r w:rsidR="00FE760D">
        <w:rPr>
          <w:rFonts w:ascii="Times New Roman" w:hAnsi="Times New Roman"/>
          <w:sz w:val="24"/>
          <w:szCs w:val="24"/>
        </w:rPr>
        <w:t xml:space="preserve">n or equal to </w:t>
      </w:r>
      <w:r w:rsidR="00190AF5">
        <w:rPr>
          <w:rFonts w:ascii="Times New Roman" w:hAnsi="Times New Roman"/>
          <w:sz w:val="24"/>
          <w:szCs w:val="24"/>
        </w:rPr>
        <w:t xml:space="preserve">the </w:t>
      </w:r>
      <w:r w:rsidRPr="00907BAA">
        <w:rPr>
          <w:rFonts w:ascii="Times New Roman" w:hAnsi="Times New Roman"/>
          <w:sz w:val="24"/>
          <w:szCs w:val="24"/>
        </w:rPr>
        <w:t xml:space="preserve">target </w:t>
      </w:r>
      <w:r w:rsidR="00190AF5">
        <w:rPr>
          <w:rFonts w:ascii="Times New Roman" w:hAnsi="Times New Roman"/>
          <w:sz w:val="24"/>
          <w:szCs w:val="24"/>
        </w:rPr>
        <w:t xml:space="preserve">listed </w:t>
      </w:r>
      <w:r w:rsidR="00492D90">
        <w:rPr>
          <w:rFonts w:ascii="Times New Roman" w:hAnsi="Times New Roman"/>
          <w:sz w:val="24"/>
          <w:szCs w:val="24"/>
        </w:rPr>
        <w:t>in the appropriate area of</w:t>
      </w:r>
      <w:r w:rsidRPr="00907BAA">
        <w:rPr>
          <w:rFonts w:ascii="Times New Roman" w:hAnsi="Times New Roman"/>
          <w:sz w:val="24"/>
          <w:szCs w:val="24"/>
        </w:rPr>
        <w:t xml:space="preserve"> the </w:t>
      </w:r>
      <w:r w:rsidR="00342B60">
        <w:rPr>
          <w:rFonts w:ascii="Times New Roman" w:hAnsi="Times New Roman"/>
          <w:sz w:val="24"/>
          <w:szCs w:val="24"/>
        </w:rPr>
        <w:t xml:space="preserve">matrix shown in </w:t>
      </w:r>
      <w:r w:rsidR="00342B60" w:rsidRPr="00545259">
        <w:rPr>
          <w:rFonts w:ascii="Times New Roman" w:hAnsi="Times New Roman"/>
          <w:b/>
          <w:sz w:val="24"/>
          <w:szCs w:val="24"/>
        </w:rPr>
        <w:t>Table 1</w:t>
      </w:r>
      <w:r w:rsidRPr="00907BAA">
        <w:rPr>
          <w:rFonts w:ascii="Times New Roman" w:hAnsi="Times New Roman"/>
          <w:sz w:val="24"/>
          <w:szCs w:val="24"/>
        </w:rPr>
        <w:t>.</w:t>
      </w:r>
    </w:p>
    <w:p w14:paraId="50204EFD" w14:textId="77777777" w:rsidR="00F87784" w:rsidRPr="00FE760D" w:rsidRDefault="00DB0CA9" w:rsidP="00AD47BE">
      <w:pPr>
        <w:pStyle w:val="NoSpacing"/>
        <w:numPr>
          <w:ilvl w:val="0"/>
          <w:numId w:val="14"/>
        </w:numPr>
        <w:rPr>
          <w:rFonts w:ascii="Times New Roman" w:hAnsi="Times New Roman"/>
          <w:sz w:val="24"/>
          <w:szCs w:val="24"/>
        </w:rPr>
      </w:pPr>
      <w:r>
        <w:rPr>
          <w:rFonts w:ascii="Times New Roman" w:hAnsi="Times New Roman"/>
          <w:sz w:val="24"/>
          <w:szCs w:val="24"/>
        </w:rPr>
        <w:lastRenderedPageBreak/>
        <w:t xml:space="preserve">If </w:t>
      </w:r>
      <w:r w:rsidR="0076476C">
        <w:rPr>
          <w:rFonts w:ascii="Times New Roman" w:hAnsi="Times New Roman"/>
          <w:sz w:val="24"/>
          <w:szCs w:val="24"/>
        </w:rPr>
        <w:t xml:space="preserve">at least </w:t>
      </w:r>
      <w:r w:rsidR="00F87784" w:rsidRPr="00F16459">
        <w:rPr>
          <w:rFonts w:ascii="Times New Roman" w:hAnsi="Times New Roman"/>
          <w:sz w:val="24"/>
          <w:szCs w:val="24"/>
        </w:rPr>
        <w:t>50 percent</w:t>
      </w:r>
      <w:r w:rsidR="00F87784" w:rsidRPr="00812A58">
        <w:rPr>
          <w:rFonts w:ascii="Times New Roman" w:hAnsi="Times New Roman"/>
          <w:sz w:val="24"/>
          <w:szCs w:val="24"/>
        </w:rPr>
        <w:t xml:space="preserve"> of </w:t>
      </w:r>
      <w:r w:rsidR="00F87784" w:rsidRPr="00812A58">
        <w:rPr>
          <w:rFonts w:ascii="Times New Roman" w:hAnsi="Times New Roman"/>
          <w:sz w:val="24"/>
        </w:rPr>
        <w:t xml:space="preserve">ELL </w:t>
      </w:r>
      <w:r w:rsidR="00F87784" w:rsidRPr="00812A58">
        <w:rPr>
          <w:rFonts w:ascii="Times New Roman" w:hAnsi="Times New Roman"/>
          <w:sz w:val="24"/>
          <w:szCs w:val="24"/>
        </w:rPr>
        <w:t xml:space="preserve">students in </w:t>
      </w:r>
      <w:r w:rsidR="00F87784" w:rsidRPr="00812A58">
        <w:rPr>
          <w:rFonts w:ascii="Times New Roman" w:hAnsi="Times New Roman"/>
          <w:sz w:val="24"/>
        </w:rPr>
        <w:t xml:space="preserve">a Title III </w:t>
      </w:r>
      <w:r w:rsidR="00F87784" w:rsidRPr="00812A58">
        <w:rPr>
          <w:rFonts w:ascii="Times New Roman" w:hAnsi="Times New Roman"/>
          <w:sz w:val="24"/>
          <w:szCs w:val="24"/>
        </w:rPr>
        <w:t xml:space="preserve">district </w:t>
      </w:r>
      <w:r w:rsidR="0076476C">
        <w:rPr>
          <w:rFonts w:ascii="Times New Roman" w:hAnsi="Times New Roman"/>
          <w:sz w:val="24"/>
          <w:szCs w:val="24"/>
        </w:rPr>
        <w:t xml:space="preserve">“made progress” by </w:t>
      </w:r>
      <w:r w:rsidR="00F87784" w:rsidRPr="00812A58">
        <w:rPr>
          <w:rFonts w:ascii="Times New Roman" w:hAnsi="Times New Roman"/>
          <w:sz w:val="24"/>
          <w:szCs w:val="24"/>
        </w:rPr>
        <w:t>attain</w:t>
      </w:r>
      <w:r w:rsidR="0076476C">
        <w:rPr>
          <w:rFonts w:ascii="Times New Roman" w:hAnsi="Times New Roman"/>
          <w:sz w:val="24"/>
          <w:szCs w:val="24"/>
        </w:rPr>
        <w:t>ing</w:t>
      </w:r>
      <w:r w:rsidR="00F87784" w:rsidRPr="00812A58">
        <w:rPr>
          <w:rFonts w:ascii="Times New Roman" w:hAnsi="Times New Roman"/>
          <w:sz w:val="24"/>
          <w:szCs w:val="24"/>
        </w:rPr>
        <w:t xml:space="preserve"> their </w:t>
      </w:r>
      <w:r w:rsidR="0076476C">
        <w:rPr>
          <w:rFonts w:ascii="Times New Roman" w:hAnsi="Times New Roman"/>
          <w:sz w:val="24"/>
          <w:szCs w:val="24"/>
        </w:rPr>
        <w:t xml:space="preserve">growth-to-proficiency </w:t>
      </w:r>
      <w:r>
        <w:rPr>
          <w:rFonts w:ascii="Times New Roman" w:hAnsi="Times New Roman"/>
          <w:sz w:val="24"/>
          <w:szCs w:val="24"/>
        </w:rPr>
        <w:t>targets in 2014</w:t>
      </w:r>
      <w:r w:rsidR="00F87784" w:rsidRPr="00812A58">
        <w:rPr>
          <w:rFonts w:ascii="Times New Roman" w:hAnsi="Times New Roman"/>
          <w:sz w:val="24"/>
        </w:rPr>
        <w:t xml:space="preserve">, </w:t>
      </w:r>
      <w:r w:rsidR="00F87784" w:rsidRPr="00812A58">
        <w:rPr>
          <w:rFonts w:ascii="Times New Roman" w:hAnsi="Times New Roman"/>
          <w:sz w:val="24"/>
          <w:szCs w:val="24"/>
        </w:rPr>
        <w:t xml:space="preserve">the district </w:t>
      </w:r>
      <w:r w:rsidR="00F87784" w:rsidRPr="00812A58">
        <w:rPr>
          <w:rFonts w:ascii="Times New Roman" w:hAnsi="Times New Roman"/>
          <w:sz w:val="24"/>
        </w:rPr>
        <w:t xml:space="preserve">will have </w:t>
      </w:r>
      <w:r w:rsidR="00F87784" w:rsidRPr="00812A58">
        <w:rPr>
          <w:rFonts w:ascii="Times New Roman" w:hAnsi="Times New Roman"/>
          <w:sz w:val="24"/>
          <w:szCs w:val="24"/>
        </w:rPr>
        <w:t>made AMAO 1</w:t>
      </w:r>
      <w:r w:rsidR="00342B60">
        <w:rPr>
          <w:rFonts w:ascii="Times New Roman" w:hAnsi="Times New Roman"/>
          <w:sz w:val="24"/>
          <w:szCs w:val="24"/>
        </w:rPr>
        <w:t xml:space="preserve">. The </w:t>
      </w:r>
      <w:r w:rsidR="0076476C">
        <w:rPr>
          <w:rFonts w:ascii="Times New Roman" w:hAnsi="Times New Roman"/>
          <w:sz w:val="24"/>
          <w:szCs w:val="24"/>
        </w:rPr>
        <w:t xml:space="preserve">district </w:t>
      </w:r>
      <w:r w:rsidR="00342B60">
        <w:rPr>
          <w:rFonts w:ascii="Times New Roman" w:hAnsi="Times New Roman"/>
          <w:sz w:val="24"/>
          <w:szCs w:val="24"/>
        </w:rPr>
        <w:t>target will increase one percentage point each year, so that</w:t>
      </w:r>
      <w:r>
        <w:rPr>
          <w:rFonts w:ascii="Times New Roman" w:hAnsi="Times New Roman"/>
          <w:sz w:val="24"/>
          <w:szCs w:val="24"/>
        </w:rPr>
        <w:t xml:space="preserve"> 51 percent of ELLs must attain their targets in 2015; </w:t>
      </w:r>
      <w:r w:rsidR="00342B60">
        <w:rPr>
          <w:rFonts w:ascii="Times New Roman" w:hAnsi="Times New Roman"/>
          <w:sz w:val="24"/>
          <w:szCs w:val="24"/>
        </w:rPr>
        <w:t>52 percent in 2016, etc.</w:t>
      </w:r>
    </w:p>
    <w:p w14:paraId="50204EFE" w14:textId="77777777" w:rsidR="00AD47BE" w:rsidRDefault="00AD47BE" w:rsidP="00C70731"/>
    <w:p w14:paraId="50204EFF" w14:textId="77777777" w:rsidR="00291D95" w:rsidRPr="00A6400A" w:rsidRDefault="00492D90" w:rsidP="00C70731">
      <w:pPr>
        <w:rPr>
          <w:rFonts w:ascii="Arial" w:hAnsi="Arial" w:cs="Arial"/>
          <w:b/>
        </w:rPr>
      </w:pPr>
      <w:r>
        <w:rPr>
          <w:rFonts w:ascii="Arial" w:hAnsi="Arial" w:cs="Arial"/>
          <w:b/>
        </w:rPr>
        <w:t xml:space="preserve">Rules for Calculating </w:t>
      </w:r>
      <w:r w:rsidR="00A6400A" w:rsidRPr="00A6400A">
        <w:rPr>
          <w:rFonts w:ascii="Arial" w:hAnsi="Arial" w:cs="Arial"/>
          <w:b/>
        </w:rPr>
        <w:t>Growth-to-Proficiency</w:t>
      </w:r>
      <w:r>
        <w:rPr>
          <w:rFonts w:ascii="Arial" w:hAnsi="Arial" w:cs="Arial"/>
          <w:b/>
        </w:rPr>
        <w:t xml:space="preserve"> </w:t>
      </w:r>
      <w:r w:rsidR="00A6400A" w:rsidRPr="00A6400A">
        <w:rPr>
          <w:rFonts w:ascii="Arial" w:hAnsi="Arial" w:cs="Arial"/>
          <w:b/>
        </w:rPr>
        <w:t>Targets</w:t>
      </w:r>
    </w:p>
    <w:p w14:paraId="50204F00" w14:textId="77777777" w:rsidR="00A6400A" w:rsidRPr="00A6400A" w:rsidRDefault="00A6400A" w:rsidP="00C70731">
      <w:pPr>
        <w:rPr>
          <w:sz w:val="22"/>
        </w:rPr>
      </w:pPr>
    </w:p>
    <w:p w14:paraId="50204F01" w14:textId="77777777" w:rsidR="00B04445" w:rsidRDefault="00B04445" w:rsidP="00B04445">
      <w:pPr>
        <w:pStyle w:val="BodyText"/>
        <w:spacing w:after="120"/>
        <w:ind w:right="-360"/>
        <w:rPr>
          <w:rFonts w:ascii="Times New Roman" w:hAnsi="Times New Roman" w:cs="Times New Roman"/>
          <w:sz w:val="24"/>
        </w:rPr>
      </w:pPr>
      <w:r>
        <w:rPr>
          <w:rFonts w:ascii="Times New Roman" w:hAnsi="Times New Roman" w:cs="Times New Roman"/>
          <w:sz w:val="24"/>
        </w:rPr>
        <w:t xml:space="preserve">Massachusetts will calculate AMAO 1 based on the results of two administrations of ACCESS tests, including the current and most recent year of administration. All ELL students will be included and counted in AMAO 1 calculations, with the exception of  </w:t>
      </w:r>
      <w:r w:rsidRPr="00171242">
        <w:rPr>
          <w:rFonts w:ascii="Times New Roman" w:hAnsi="Times New Roman" w:cs="Times New Roman"/>
          <w:sz w:val="24"/>
        </w:rPr>
        <w:t xml:space="preserve">“…students who have not participated in two administrations of </w:t>
      </w:r>
      <w:r>
        <w:rPr>
          <w:rFonts w:ascii="Times New Roman" w:hAnsi="Times New Roman" w:cs="Times New Roman"/>
          <w:sz w:val="24"/>
        </w:rPr>
        <w:t>a State’s annual ELP assessment…</w:t>
      </w:r>
      <w:r w:rsidRPr="00171242">
        <w:rPr>
          <w:rFonts w:ascii="Times New Roman" w:hAnsi="Times New Roman" w:cs="Times New Roman"/>
          <w:sz w:val="24"/>
        </w:rPr>
        <w:t>”</w:t>
      </w:r>
      <w:r>
        <w:rPr>
          <w:rStyle w:val="FootnoteReference"/>
          <w:rFonts w:ascii="Times New Roman" w:hAnsi="Times New Roman" w:cs="Times New Roman"/>
          <w:sz w:val="24"/>
        </w:rPr>
        <w:footnoteReference w:id="2"/>
      </w:r>
      <w:r w:rsidRPr="00171242">
        <w:rPr>
          <w:rFonts w:ascii="Times New Roman" w:hAnsi="Times New Roman" w:cs="Times New Roman"/>
          <w:sz w:val="24"/>
        </w:rPr>
        <w:t xml:space="preserve"> and who therefore legitimately have only one data point for the purpose of determining progress for AMAO 1. We are referring </w:t>
      </w:r>
      <w:r>
        <w:rPr>
          <w:rFonts w:ascii="Times New Roman" w:hAnsi="Times New Roman" w:cs="Times New Roman"/>
          <w:sz w:val="24"/>
        </w:rPr>
        <w:t xml:space="preserve">here </w:t>
      </w:r>
      <w:r w:rsidRPr="00171242">
        <w:rPr>
          <w:rFonts w:ascii="Times New Roman" w:hAnsi="Times New Roman" w:cs="Times New Roman"/>
          <w:sz w:val="24"/>
        </w:rPr>
        <w:t xml:space="preserve">to students in Kindergarten, students who are in their first year in the </w:t>
      </w:r>
      <w:r>
        <w:rPr>
          <w:rFonts w:ascii="Times New Roman" w:hAnsi="Times New Roman" w:cs="Times New Roman"/>
          <w:sz w:val="24"/>
        </w:rPr>
        <w:t>U.S.</w:t>
      </w:r>
      <w:r w:rsidRPr="00171242">
        <w:rPr>
          <w:rFonts w:ascii="Times New Roman" w:hAnsi="Times New Roman" w:cs="Times New Roman"/>
          <w:sz w:val="24"/>
        </w:rPr>
        <w:t>, and students who participated in the ACCESS or Alternate ACCESS test for the first time</w:t>
      </w:r>
      <w:r>
        <w:rPr>
          <w:rFonts w:ascii="Times New Roman" w:hAnsi="Times New Roman" w:cs="Times New Roman"/>
          <w:sz w:val="24"/>
        </w:rPr>
        <w:t xml:space="preserve">. </w:t>
      </w:r>
    </w:p>
    <w:p w14:paraId="50204F02" w14:textId="77777777" w:rsidR="00A6400A" w:rsidRPr="00C70731" w:rsidRDefault="00A6400A" w:rsidP="00A6400A">
      <w:r>
        <w:t>General</w:t>
      </w:r>
      <w:r w:rsidR="00492D90">
        <w:t xml:space="preserve"> decision</w:t>
      </w:r>
      <w:r>
        <w:t xml:space="preserve"> rules for calculating SGPAs are described below.</w:t>
      </w:r>
    </w:p>
    <w:p w14:paraId="50204F03" w14:textId="77777777" w:rsidR="00A6400A" w:rsidRPr="00000283" w:rsidRDefault="00A6400A" w:rsidP="00A6400A"/>
    <w:p w14:paraId="50204F04" w14:textId="77777777" w:rsidR="00A6400A" w:rsidRDefault="00A6400A" w:rsidP="00A6400A">
      <w:pPr>
        <w:pStyle w:val="NoSpacing"/>
        <w:numPr>
          <w:ilvl w:val="0"/>
          <w:numId w:val="14"/>
        </w:numPr>
        <w:spacing w:after="120"/>
        <w:rPr>
          <w:rFonts w:ascii="Times New Roman" w:hAnsi="Times New Roman"/>
          <w:sz w:val="24"/>
          <w:szCs w:val="24"/>
        </w:rPr>
      </w:pPr>
      <w:r>
        <w:rPr>
          <w:rFonts w:ascii="Times New Roman" w:hAnsi="Times New Roman"/>
          <w:sz w:val="24"/>
          <w:szCs w:val="24"/>
        </w:rPr>
        <w:t xml:space="preserve">SGPAs are calculated using </w:t>
      </w:r>
      <w:r w:rsidR="00545259">
        <w:rPr>
          <w:rFonts w:ascii="Times New Roman" w:hAnsi="Times New Roman"/>
          <w:sz w:val="24"/>
          <w:szCs w:val="24"/>
        </w:rPr>
        <w:t xml:space="preserve">students’ </w:t>
      </w:r>
      <w:r>
        <w:rPr>
          <w:rFonts w:ascii="Times New Roman" w:hAnsi="Times New Roman"/>
          <w:sz w:val="24"/>
          <w:szCs w:val="24"/>
        </w:rPr>
        <w:t xml:space="preserve">current and prior </w:t>
      </w:r>
      <w:r w:rsidR="00545259">
        <w:rPr>
          <w:rFonts w:ascii="Times New Roman" w:hAnsi="Times New Roman"/>
          <w:sz w:val="24"/>
          <w:szCs w:val="24"/>
        </w:rPr>
        <w:t xml:space="preserve">year’s </w:t>
      </w:r>
      <w:r>
        <w:rPr>
          <w:rFonts w:ascii="Times New Roman" w:hAnsi="Times New Roman"/>
          <w:sz w:val="24"/>
          <w:szCs w:val="24"/>
        </w:rPr>
        <w:t xml:space="preserve">ACCESS results.  </w:t>
      </w:r>
    </w:p>
    <w:p w14:paraId="50204F05" w14:textId="77777777" w:rsidR="00A6400A" w:rsidRDefault="00A6400A" w:rsidP="00A6400A">
      <w:pPr>
        <w:pStyle w:val="NoSpacing"/>
        <w:numPr>
          <w:ilvl w:val="0"/>
          <w:numId w:val="14"/>
        </w:numPr>
        <w:spacing w:after="120"/>
        <w:rPr>
          <w:rFonts w:ascii="Times New Roman" w:hAnsi="Times New Roman"/>
          <w:sz w:val="24"/>
          <w:szCs w:val="24"/>
        </w:rPr>
      </w:pPr>
      <w:r>
        <w:rPr>
          <w:rFonts w:ascii="Times New Roman" w:hAnsi="Times New Roman"/>
          <w:sz w:val="24"/>
          <w:szCs w:val="24"/>
        </w:rPr>
        <w:t xml:space="preserve">To receive an SGPA, students must have a current and a prior ACCESS score, and must have been enrolled in consecutive grades for at least the current and the prior year.  </w:t>
      </w:r>
    </w:p>
    <w:p w14:paraId="50204F06" w14:textId="77777777" w:rsidR="00A6400A" w:rsidRDefault="00A6400A" w:rsidP="00A6400A">
      <w:pPr>
        <w:pStyle w:val="NoSpacing"/>
        <w:numPr>
          <w:ilvl w:val="0"/>
          <w:numId w:val="14"/>
        </w:numPr>
        <w:rPr>
          <w:rFonts w:ascii="Times New Roman" w:hAnsi="Times New Roman"/>
          <w:sz w:val="24"/>
          <w:szCs w:val="24"/>
        </w:rPr>
      </w:pPr>
      <w:r>
        <w:rPr>
          <w:rFonts w:ascii="Times New Roman" w:hAnsi="Times New Roman"/>
          <w:sz w:val="24"/>
          <w:szCs w:val="24"/>
        </w:rPr>
        <w:t>Students enrolled in a Massachusetts school for the current and prior years who do not receive an SGPA due to absence or being in non-consecutive grades will be counted as “not making progress.”</w:t>
      </w:r>
    </w:p>
    <w:p w14:paraId="50204F07" w14:textId="77777777" w:rsidR="00A6400A" w:rsidRDefault="00A6400A" w:rsidP="00A6400A">
      <w:pPr>
        <w:pStyle w:val="BodyText"/>
        <w:ind w:right="-360"/>
        <w:rPr>
          <w:rFonts w:ascii="Times New Roman" w:hAnsi="Times New Roman" w:cs="Times New Roman"/>
          <w:sz w:val="24"/>
        </w:rPr>
      </w:pPr>
    </w:p>
    <w:p w14:paraId="50204F08" w14:textId="77777777" w:rsidR="00B04445" w:rsidRDefault="00B04445" w:rsidP="00492D90">
      <w:pPr>
        <w:pStyle w:val="BodyText"/>
        <w:ind w:right="-360"/>
        <w:rPr>
          <w:rFonts w:ascii="Times New Roman" w:hAnsi="Times New Roman" w:cs="Times New Roman"/>
          <w:sz w:val="24"/>
        </w:rPr>
      </w:pPr>
      <w:r>
        <w:rPr>
          <w:rFonts w:ascii="Times New Roman" w:hAnsi="Times New Roman" w:cs="Times New Roman"/>
          <w:sz w:val="24"/>
        </w:rPr>
        <w:t xml:space="preserve">Students who participated in some, but not </w:t>
      </w:r>
      <w:r w:rsidRPr="001B3848">
        <w:rPr>
          <w:rFonts w:ascii="Times New Roman" w:hAnsi="Times New Roman" w:cs="Times New Roman"/>
          <w:i/>
          <w:sz w:val="24"/>
        </w:rPr>
        <w:t>all</w:t>
      </w:r>
      <w:r>
        <w:rPr>
          <w:rFonts w:ascii="Times New Roman" w:hAnsi="Times New Roman" w:cs="Times New Roman"/>
          <w:sz w:val="24"/>
        </w:rPr>
        <w:t xml:space="preserve"> portions of the ACCESS test (reading, writing, listening, and speaking), as well as students who were enrolled but absent fo</w:t>
      </w:r>
      <w:r w:rsidR="00E62A47">
        <w:rPr>
          <w:rFonts w:ascii="Times New Roman" w:hAnsi="Times New Roman" w:cs="Times New Roman"/>
          <w:sz w:val="24"/>
        </w:rPr>
        <w:t>r an entire test administration</w:t>
      </w:r>
      <w:r>
        <w:rPr>
          <w:rFonts w:ascii="Times New Roman" w:hAnsi="Times New Roman" w:cs="Times New Roman"/>
          <w:sz w:val="24"/>
        </w:rPr>
        <w:t xml:space="preserve"> will be included, as follows:</w:t>
      </w:r>
    </w:p>
    <w:p w14:paraId="50204F09" w14:textId="77777777" w:rsidR="00492D90" w:rsidRDefault="00492D90" w:rsidP="00492D90">
      <w:pPr>
        <w:pStyle w:val="BodyText"/>
        <w:ind w:right="-360"/>
        <w:rPr>
          <w:rFonts w:ascii="Times New Roman" w:hAnsi="Times New Roman" w:cs="Times New Roman"/>
          <w:sz w:val="24"/>
        </w:rPr>
      </w:pPr>
    </w:p>
    <w:p w14:paraId="50204F0A" w14:textId="77777777" w:rsidR="00B04445" w:rsidRDefault="00B04445" w:rsidP="00A6400A">
      <w:pPr>
        <w:pStyle w:val="BodyText"/>
        <w:numPr>
          <w:ilvl w:val="0"/>
          <w:numId w:val="16"/>
        </w:numPr>
        <w:spacing w:after="120"/>
        <w:ind w:right="-360"/>
        <w:rPr>
          <w:rFonts w:ascii="Times New Roman" w:hAnsi="Times New Roman" w:cs="Times New Roman"/>
          <w:sz w:val="24"/>
        </w:rPr>
      </w:pPr>
      <w:r>
        <w:rPr>
          <w:rFonts w:ascii="Times New Roman" w:hAnsi="Times New Roman" w:cs="Times New Roman"/>
          <w:sz w:val="24"/>
        </w:rPr>
        <w:t xml:space="preserve">A student who does not have an overall composite ACCESS score for the </w:t>
      </w:r>
      <w:r w:rsidRPr="00A12D6C">
        <w:rPr>
          <w:rFonts w:ascii="Times New Roman" w:hAnsi="Times New Roman" w:cs="Times New Roman"/>
          <w:b/>
          <w:sz w:val="24"/>
        </w:rPr>
        <w:t>current</w:t>
      </w:r>
      <w:r>
        <w:rPr>
          <w:rFonts w:ascii="Times New Roman" w:hAnsi="Times New Roman" w:cs="Times New Roman"/>
          <w:sz w:val="24"/>
        </w:rPr>
        <w:t xml:space="preserve"> school year because he/she participated in </w:t>
      </w:r>
      <w:r w:rsidRPr="00A12D6C">
        <w:rPr>
          <w:rFonts w:ascii="Times New Roman" w:hAnsi="Times New Roman" w:cs="Times New Roman"/>
          <w:i/>
          <w:sz w:val="24"/>
        </w:rPr>
        <w:t>some</w:t>
      </w:r>
      <w:r>
        <w:rPr>
          <w:rFonts w:ascii="Times New Roman" w:hAnsi="Times New Roman" w:cs="Times New Roman"/>
          <w:i/>
          <w:sz w:val="24"/>
        </w:rPr>
        <w:t>, but not all</w:t>
      </w:r>
      <w:r>
        <w:rPr>
          <w:rFonts w:ascii="Times New Roman" w:hAnsi="Times New Roman" w:cs="Times New Roman"/>
          <w:sz w:val="24"/>
        </w:rPr>
        <w:t xml:space="preserve"> sections of the test; or was enrolled but absent for the entire test administration, will be counted and included as “not making progress</w:t>
      </w:r>
      <w:r w:rsidR="006E5BD7">
        <w:rPr>
          <w:rFonts w:ascii="Times New Roman" w:hAnsi="Times New Roman" w:cs="Times New Roman"/>
          <w:sz w:val="24"/>
        </w:rPr>
        <w:t>;</w:t>
      </w:r>
      <w:r>
        <w:rPr>
          <w:rFonts w:ascii="Times New Roman" w:hAnsi="Times New Roman" w:cs="Times New Roman"/>
          <w:sz w:val="24"/>
        </w:rPr>
        <w:t>”</w:t>
      </w:r>
    </w:p>
    <w:p w14:paraId="50204F0B" w14:textId="77777777" w:rsidR="00B04445" w:rsidRDefault="00B04445" w:rsidP="00B04445">
      <w:pPr>
        <w:pStyle w:val="BodyText"/>
        <w:numPr>
          <w:ilvl w:val="0"/>
          <w:numId w:val="16"/>
        </w:numPr>
        <w:ind w:right="-360"/>
        <w:rPr>
          <w:rFonts w:ascii="Times New Roman" w:hAnsi="Times New Roman" w:cs="Times New Roman"/>
          <w:sz w:val="24"/>
        </w:rPr>
      </w:pPr>
      <w:r>
        <w:rPr>
          <w:rFonts w:ascii="Times New Roman" w:hAnsi="Times New Roman" w:cs="Times New Roman"/>
          <w:sz w:val="24"/>
        </w:rPr>
        <w:t xml:space="preserve">A student who has an overall composite ACCESS score for the </w:t>
      </w:r>
      <w:r w:rsidRPr="00A12D6C">
        <w:rPr>
          <w:rFonts w:ascii="Times New Roman" w:hAnsi="Times New Roman" w:cs="Times New Roman"/>
          <w:b/>
          <w:sz w:val="24"/>
        </w:rPr>
        <w:t>current</w:t>
      </w:r>
      <w:r>
        <w:rPr>
          <w:rFonts w:ascii="Times New Roman" w:hAnsi="Times New Roman" w:cs="Times New Roman"/>
          <w:sz w:val="24"/>
        </w:rPr>
        <w:t xml:space="preserve"> school year, but does not have a composite overall ACCESS score for the </w:t>
      </w:r>
      <w:r w:rsidRPr="00C24ABD">
        <w:rPr>
          <w:rFonts w:ascii="Times New Roman" w:hAnsi="Times New Roman" w:cs="Times New Roman"/>
          <w:b/>
          <w:sz w:val="24"/>
        </w:rPr>
        <w:t>prior</w:t>
      </w:r>
      <w:r>
        <w:rPr>
          <w:rFonts w:ascii="Times New Roman" w:hAnsi="Times New Roman" w:cs="Times New Roman"/>
          <w:sz w:val="24"/>
        </w:rPr>
        <w:t xml:space="preserve"> school year because he/she participated in </w:t>
      </w:r>
      <w:r w:rsidRPr="00A12D6C">
        <w:rPr>
          <w:rFonts w:ascii="Times New Roman" w:hAnsi="Times New Roman" w:cs="Times New Roman"/>
          <w:i/>
          <w:sz w:val="24"/>
        </w:rPr>
        <w:t>some</w:t>
      </w:r>
      <w:r>
        <w:rPr>
          <w:rFonts w:ascii="Times New Roman" w:hAnsi="Times New Roman" w:cs="Times New Roman"/>
          <w:i/>
          <w:sz w:val="24"/>
        </w:rPr>
        <w:t>, but not all</w:t>
      </w:r>
      <w:r>
        <w:rPr>
          <w:rFonts w:ascii="Times New Roman" w:hAnsi="Times New Roman" w:cs="Times New Roman"/>
          <w:sz w:val="24"/>
        </w:rPr>
        <w:t xml:space="preserve"> sections of the previous year’s test; or was enrolled but absent for the entire prior year’s test administration, will be counted and included based on the calculation of progress from the results of the current and most recent ACCESS test administration for which an overall composite score can be determined; if an overall composite score cannot be determined from a previous year, the student will be counted as “not making progress</w:t>
      </w:r>
      <w:r w:rsidR="006E5BD7">
        <w:rPr>
          <w:rFonts w:ascii="Times New Roman" w:hAnsi="Times New Roman" w:cs="Times New Roman"/>
          <w:sz w:val="24"/>
        </w:rPr>
        <w:t>.</w:t>
      </w:r>
      <w:r>
        <w:rPr>
          <w:rFonts w:ascii="Times New Roman" w:hAnsi="Times New Roman" w:cs="Times New Roman"/>
          <w:sz w:val="24"/>
        </w:rPr>
        <w:t>”</w:t>
      </w:r>
    </w:p>
    <w:p w14:paraId="50204F0C" w14:textId="77777777" w:rsidR="00B04445" w:rsidRDefault="00B04445" w:rsidP="00C70731"/>
    <w:p w14:paraId="50204F0D" w14:textId="77777777" w:rsidR="00EC0873" w:rsidRPr="00C57AD2" w:rsidRDefault="00A54C70" w:rsidP="00C57AD2">
      <w:pPr>
        <w:pStyle w:val="BodyText"/>
        <w:ind w:right="-270"/>
        <w:rPr>
          <w:rFonts w:ascii="Times New Roman" w:hAnsi="Times New Roman" w:cs="Times New Roman"/>
          <w:sz w:val="24"/>
        </w:rPr>
      </w:pPr>
      <w:r w:rsidRPr="00C57AD2">
        <w:rPr>
          <w:rFonts w:ascii="Times New Roman" w:hAnsi="Times New Roman" w:cs="Times New Roman"/>
          <w:sz w:val="24"/>
        </w:rPr>
        <w:lastRenderedPageBreak/>
        <w:t>D</w:t>
      </w:r>
      <w:r w:rsidR="001F394D" w:rsidRPr="00C57AD2">
        <w:rPr>
          <w:rFonts w:ascii="Times New Roman" w:hAnsi="Times New Roman" w:cs="Times New Roman"/>
          <w:sz w:val="24"/>
        </w:rPr>
        <w:t xml:space="preserve">ata from </w:t>
      </w:r>
      <w:r w:rsidR="008507AF" w:rsidRPr="00C57AD2">
        <w:rPr>
          <w:rFonts w:ascii="Times New Roman" w:hAnsi="Times New Roman" w:cs="Times New Roman"/>
          <w:sz w:val="24"/>
        </w:rPr>
        <w:t xml:space="preserve">the </w:t>
      </w:r>
      <w:r w:rsidR="000C1FB4" w:rsidRPr="00C57AD2">
        <w:rPr>
          <w:rFonts w:ascii="Times New Roman" w:hAnsi="Times New Roman" w:cs="Times New Roman"/>
          <w:sz w:val="24"/>
        </w:rPr>
        <w:t xml:space="preserve">WIDA </w:t>
      </w:r>
      <w:r w:rsidR="001F394D" w:rsidRPr="00C57AD2">
        <w:rPr>
          <w:rFonts w:ascii="Times New Roman" w:hAnsi="Times New Roman" w:cs="Times New Roman"/>
          <w:sz w:val="24"/>
        </w:rPr>
        <w:t xml:space="preserve">consortium </w:t>
      </w:r>
      <w:r w:rsidR="00545259">
        <w:rPr>
          <w:rFonts w:ascii="Times New Roman" w:hAnsi="Times New Roman" w:cs="Times New Roman"/>
          <w:sz w:val="24"/>
        </w:rPr>
        <w:t>(</w:t>
      </w:r>
      <w:r w:rsidR="000C1FB4" w:rsidRPr="00C57AD2">
        <w:rPr>
          <w:rFonts w:ascii="Times New Roman" w:hAnsi="Times New Roman" w:cs="Times New Roman"/>
          <w:sz w:val="24"/>
        </w:rPr>
        <w:t xml:space="preserve">and </w:t>
      </w:r>
      <w:r w:rsidR="00545259">
        <w:rPr>
          <w:rFonts w:ascii="Times New Roman" w:hAnsi="Times New Roman" w:cs="Times New Roman"/>
          <w:sz w:val="24"/>
        </w:rPr>
        <w:t xml:space="preserve">in </w:t>
      </w:r>
      <w:r w:rsidR="000C1FB4" w:rsidRPr="00C57AD2">
        <w:rPr>
          <w:rFonts w:ascii="Times New Roman" w:hAnsi="Times New Roman" w:cs="Times New Roman"/>
          <w:sz w:val="24"/>
        </w:rPr>
        <w:t>Massachusetts</w:t>
      </w:r>
      <w:r w:rsidR="00545259">
        <w:rPr>
          <w:rFonts w:ascii="Times New Roman" w:hAnsi="Times New Roman" w:cs="Times New Roman"/>
          <w:sz w:val="24"/>
        </w:rPr>
        <w:t>)</w:t>
      </w:r>
      <w:r w:rsidR="000C1FB4" w:rsidRPr="00C57AD2">
        <w:rPr>
          <w:rFonts w:ascii="Times New Roman" w:hAnsi="Times New Roman" w:cs="Times New Roman"/>
          <w:sz w:val="24"/>
        </w:rPr>
        <w:t xml:space="preserve"> indicate that ELL students require between 5</w:t>
      </w:r>
      <w:r w:rsidR="000C1FB4" w:rsidRPr="00C57AD2">
        <w:rPr>
          <w:rFonts w:ascii="Times New Roman" w:hAnsi="Times New Roman" w:cs="Times New Roman"/>
          <w:sz w:val="24"/>
        </w:rPr>
        <w:sym w:font="Symbol" w:char="F02D"/>
      </w:r>
      <w:r w:rsidR="000C1FB4" w:rsidRPr="00C57AD2">
        <w:rPr>
          <w:rFonts w:ascii="Times New Roman" w:hAnsi="Times New Roman" w:cs="Times New Roman"/>
          <w:sz w:val="24"/>
        </w:rPr>
        <w:t xml:space="preserve">7 years </w:t>
      </w:r>
      <w:r w:rsidR="001F394D" w:rsidRPr="00C57AD2">
        <w:rPr>
          <w:rFonts w:ascii="Times New Roman" w:hAnsi="Times New Roman" w:cs="Times New Roman"/>
          <w:sz w:val="24"/>
        </w:rPr>
        <w:t xml:space="preserve">on average </w:t>
      </w:r>
      <w:r w:rsidR="000C1FB4" w:rsidRPr="00C57AD2">
        <w:rPr>
          <w:rFonts w:ascii="Times New Roman" w:hAnsi="Times New Roman" w:cs="Times New Roman"/>
          <w:sz w:val="24"/>
        </w:rPr>
        <w:t xml:space="preserve">to </w:t>
      </w:r>
      <w:r w:rsidR="0014154B" w:rsidRPr="00C57AD2">
        <w:rPr>
          <w:rFonts w:ascii="Times New Roman" w:hAnsi="Times New Roman" w:cs="Times New Roman"/>
          <w:sz w:val="24"/>
        </w:rPr>
        <w:t>attain English proficiency</w:t>
      </w:r>
      <w:r w:rsidRPr="00C57AD2">
        <w:rPr>
          <w:rFonts w:ascii="Times New Roman" w:hAnsi="Times New Roman" w:cs="Times New Roman"/>
          <w:sz w:val="24"/>
        </w:rPr>
        <w:t xml:space="preserve">. Therefore, </w:t>
      </w:r>
      <w:r w:rsidR="0014154B" w:rsidRPr="00C57AD2">
        <w:rPr>
          <w:rFonts w:ascii="Times New Roman" w:hAnsi="Times New Roman" w:cs="Times New Roman"/>
          <w:sz w:val="24"/>
        </w:rPr>
        <w:t>s</w:t>
      </w:r>
      <w:r w:rsidR="000C1FB4" w:rsidRPr="00C57AD2">
        <w:rPr>
          <w:rFonts w:ascii="Times New Roman" w:hAnsi="Times New Roman" w:cs="Times New Roman"/>
          <w:sz w:val="24"/>
        </w:rPr>
        <w:t xml:space="preserve">ix years </w:t>
      </w:r>
      <w:r w:rsidR="0014154B" w:rsidRPr="00C57AD2">
        <w:rPr>
          <w:rFonts w:ascii="Times New Roman" w:hAnsi="Times New Roman" w:cs="Times New Roman"/>
          <w:sz w:val="24"/>
        </w:rPr>
        <w:t xml:space="preserve">was selected </w:t>
      </w:r>
      <w:r w:rsidR="007D6A0F" w:rsidRPr="00C57AD2">
        <w:rPr>
          <w:rFonts w:ascii="Times New Roman" w:hAnsi="Times New Roman" w:cs="Times New Roman"/>
          <w:sz w:val="24"/>
        </w:rPr>
        <w:t xml:space="preserve">as the </w:t>
      </w:r>
      <w:r w:rsidR="00545259">
        <w:rPr>
          <w:rFonts w:ascii="Times New Roman" w:hAnsi="Times New Roman" w:cs="Times New Roman"/>
          <w:sz w:val="24"/>
        </w:rPr>
        <w:t xml:space="preserve">typical period of time for the attainment of English proficiency by an ELL student, and as the </w:t>
      </w:r>
      <w:r w:rsidRPr="00C57AD2">
        <w:rPr>
          <w:rFonts w:ascii="Times New Roman" w:hAnsi="Times New Roman" w:cs="Times New Roman"/>
          <w:sz w:val="24"/>
        </w:rPr>
        <w:t xml:space="preserve">basis for </w:t>
      </w:r>
      <w:r w:rsidR="00545259">
        <w:rPr>
          <w:rFonts w:ascii="Times New Roman" w:hAnsi="Times New Roman" w:cs="Times New Roman"/>
          <w:sz w:val="24"/>
        </w:rPr>
        <w:t xml:space="preserve">the </w:t>
      </w:r>
      <w:r w:rsidRPr="00C57AD2">
        <w:rPr>
          <w:rFonts w:ascii="Times New Roman" w:hAnsi="Times New Roman" w:cs="Times New Roman"/>
          <w:sz w:val="24"/>
        </w:rPr>
        <w:t xml:space="preserve">development of </w:t>
      </w:r>
      <w:r w:rsidR="001F394D" w:rsidRPr="00C57AD2">
        <w:rPr>
          <w:rFonts w:ascii="Times New Roman" w:hAnsi="Times New Roman" w:cs="Times New Roman"/>
          <w:sz w:val="24"/>
        </w:rPr>
        <w:t>growth-to-proficiency targets</w:t>
      </w:r>
      <w:r w:rsidR="008507AF" w:rsidRPr="00C57AD2">
        <w:rPr>
          <w:rFonts w:ascii="Times New Roman" w:hAnsi="Times New Roman" w:cs="Times New Roman"/>
          <w:sz w:val="24"/>
        </w:rPr>
        <w:t xml:space="preserve">. In </w:t>
      </w:r>
      <w:r w:rsidR="007D6A0F" w:rsidRPr="00C57AD2">
        <w:rPr>
          <w:rFonts w:ascii="Times New Roman" w:hAnsi="Times New Roman" w:cs="Times New Roman"/>
          <w:sz w:val="24"/>
        </w:rPr>
        <w:t xml:space="preserve">each successive </w:t>
      </w:r>
      <w:r w:rsidR="0031710E" w:rsidRPr="00C57AD2">
        <w:rPr>
          <w:rFonts w:ascii="Times New Roman" w:hAnsi="Times New Roman" w:cs="Times New Roman"/>
          <w:sz w:val="24"/>
        </w:rPr>
        <w:t xml:space="preserve">year in a U.S. school </w:t>
      </w:r>
      <w:r w:rsidR="007D6A0F" w:rsidRPr="00C57AD2">
        <w:rPr>
          <w:rFonts w:ascii="Times New Roman" w:hAnsi="Times New Roman" w:cs="Times New Roman"/>
          <w:sz w:val="24"/>
        </w:rPr>
        <w:t>(1</w:t>
      </w:r>
      <w:r w:rsidR="007D6A0F" w:rsidRPr="00C57AD2">
        <w:rPr>
          <w:rFonts w:ascii="Times New Roman" w:hAnsi="Times New Roman" w:cs="Times New Roman"/>
          <w:sz w:val="24"/>
        </w:rPr>
        <w:sym w:font="Symbol" w:char="F02D"/>
      </w:r>
      <w:r w:rsidR="007D6A0F" w:rsidRPr="00C57AD2">
        <w:rPr>
          <w:rFonts w:ascii="Times New Roman" w:hAnsi="Times New Roman" w:cs="Times New Roman"/>
          <w:sz w:val="24"/>
        </w:rPr>
        <w:t>5+)</w:t>
      </w:r>
      <w:r w:rsidR="008507AF" w:rsidRPr="00C57AD2">
        <w:rPr>
          <w:rFonts w:ascii="Times New Roman" w:hAnsi="Times New Roman" w:cs="Times New Roman"/>
          <w:sz w:val="24"/>
        </w:rPr>
        <w:t xml:space="preserve">, </w:t>
      </w:r>
      <w:r w:rsidR="00545259">
        <w:rPr>
          <w:rFonts w:ascii="Times New Roman" w:hAnsi="Times New Roman" w:cs="Times New Roman"/>
          <w:sz w:val="24"/>
        </w:rPr>
        <w:t xml:space="preserve">a </w:t>
      </w:r>
      <w:r w:rsidR="008507AF" w:rsidRPr="00C57AD2">
        <w:rPr>
          <w:rFonts w:ascii="Times New Roman" w:hAnsi="Times New Roman" w:cs="Times New Roman"/>
          <w:sz w:val="24"/>
        </w:rPr>
        <w:t>student must attain (or exceed) the SGPA</w:t>
      </w:r>
      <w:r w:rsidR="009D300E" w:rsidRPr="00C57AD2">
        <w:rPr>
          <w:rFonts w:ascii="Times New Roman" w:hAnsi="Times New Roman" w:cs="Times New Roman"/>
          <w:sz w:val="24"/>
        </w:rPr>
        <w:t xml:space="preserve"> target</w:t>
      </w:r>
      <w:r w:rsidR="008507AF" w:rsidRPr="00C57AD2">
        <w:rPr>
          <w:rFonts w:ascii="Times New Roman" w:hAnsi="Times New Roman" w:cs="Times New Roman"/>
          <w:sz w:val="24"/>
        </w:rPr>
        <w:t xml:space="preserve"> listed in the matrix </w:t>
      </w:r>
      <w:r w:rsidR="00545259">
        <w:rPr>
          <w:rFonts w:ascii="Times New Roman" w:hAnsi="Times New Roman" w:cs="Times New Roman"/>
          <w:sz w:val="24"/>
        </w:rPr>
        <w:t xml:space="preserve">in </w:t>
      </w:r>
      <w:r w:rsidR="00545259" w:rsidRPr="00545259">
        <w:rPr>
          <w:rFonts w:ascii="Times New Roman" w:hAnsi="Times New Roman" w:cs="Times New Roman"/>
          <w:b/>
          <w:sz w:val="24"/>
        </w:rPr>
        <w:t>Table 1</w:t>
      </w:r>
      <w:r w:rsidR="00545259">
        <w:rPr>
          <w:rFonts w:ascii="Times New Roman" w:hAnsi="Times New Roman" w:cs="Times New Roman"/>
          <w:sz w:val="24"/>
        </w:rPr>
        <w:t xml:space="preserve"> that corresponds with </w:t>
      </w:r>
      <w:r w:rsidR="008507AF" w:rsidRPr="00C57AD2">
        <w:rPr>
          <w:rFonts w:ascii="Times New Roman" w:hAnsi="Times New Roman" w:cs="Times New Roman"/>
          <w:sz w:val="24"/>
        </w:rPr>
        <w:t xml:space="preserve">a student at </w:t>
      </w:r>
      <w:r w:rsidR="00EC0873" w:rsidRPr="00C57AD2">
        <w:rPr>
          <w:rFonts w:ascii="Times New Roman" w:hAnsi="Times New Roman" w:cs="Times New Roman"/>
          <w:sz w:val="24"/>
        </w:rPr>
        <w:t xml:space="preserve">that </w:t>
      </w:r>
      <w:r w:rsidR="008507AF" w:rsidRPr="00C57AD2">
        <w:rPr>
          <w:rFonts w:ascii="Times New Roman" w:hAnsi="Times New Roman" w:cs="Times New Roman"/>
          <w:sz w:val="24"/>
        </w:rPr>
        <w:t xml:space="preserve">proficiency level </w:t>
      </w:r>
      <w:r w:rsidR="00EC0873" w:rsidRPr="00C57AD2">
        <w:rPr>
          <w:rFonts w:ascii="Times New Roman" w:hAnsi="Times New Roman" w:cs="Times New Roman"/>
          <w:sz w:val="24"/>
        </w:rPr>
        <w:t xml:space="preserve">in order </w:t>
      </w:r>
      <w:r w:rsidR="0031710E" w:rsidRPr="00C57AD2">
        <w:rPr>
          <w:rFonts w:ascii="Times New Roman" w:hAnsi="Times New Roman" w:cs="Times New Roman"/>
          <w:sz w:val="24"/>
        </w:rPr>
        <w:t xml:space="preserve">to be “on </w:t>
      </w:r>
      <w:r w:rsidR="007D6A0F" w:rsidRPr="00C57AD2">
        <w:rPr>
          <w:rFonts w:ascii="Times New Roman" w:hAnsi="Times New Roman" w:cs="Times New Roman"/>
          <w:sz w:val="24"/>
        </w:rPr>
        <w:t>track</w:t>
      </w:r>
      <w:r w:rsidR="0031710E" w:rsidRPr="00C57AD2">
        <w:rPr>
          <w:rFonts w:ascii="Times New Roman" w:hAnsi="Times New Roman" w:cs="Times New Roman"/>
          <w:sz w:val="24"/>
        </w:rPr>
        <w:t xml:space="preserve">” to </w:t>
      </w:r>
      <w:r w:rsidR="006D38D5" w:rsidRPr="00C57AD2">
        <w:rPr>
          <w:rFonts w:ascii="Times New Roman" w:hAnsi="Times New Roman" w:cs="Times New Roman"/>
          <w:sz w:val="24"/>
        </w:rPr>
        <w:t>reach Level 5</w:t>
      </w:r>
      <w:r w:rsidR="008507AF" w:rsidRPr="00C57AD2">
        <w:rPr>
          <w:rFonts w:ascii="Times New Roman" w:hAnsi="Times New Roman" w:cs="Times New Roman"/>
          <w:sz w:val="24"/>
        </w:rPr>
        <w:t xml:space="preserve"> by the end of year 6</w:t>
      </w:r>
      <w:r w:rsidR="007D6A0F" w:rsidRPr="00C57AD2">
        <w:rPr>
          <w:rFonts w:ascii="Times New Roman" w:hAnsi="Times New Roman" w:cs="Times New Roman"/>
          <w:sz w:val="24"/>
        </w:rPr>
        <w:t xml:space="preserve">. </w:t>
      </w:r>
      <w:r w:rsidR="00545259">
        <w:rPr>
          <w:rFonts w:ascii="Times New Roman" w:hAnsi="Times New Roman" w:cs="Times New Roman"/>
          <w:sz w:val="24"/>
        </w:rPr>
        <w:t>Note that the relatively high targets for students with 4+ prior years in Massachusetts who have prior ACCESS levels from 1-3 indicate the strong growth that is needed to reach proficiency within a relatively smaller number of years.</w:t>
      </w:r>
    </w:p>
    <w:p w14:paraId="50204F0E" w14:textId="77777777" w:rsidR="00EC0873" w:rsidRDefault="00EC0873" w:rsidP="00EC0873">
      <w:pPr>
        <w:pStyle w:val="BodyText"/>
        <w:ind w:right="-187"/>
        <w:rPr>
          <w:rFonts w:ascii="Times New Roman" w:hAnsi="Times New Roman" w:cs="Times New Roman"/>
          <w:sz w:val="24"/>
        </w:rPr>
      </w:pPr>
    </w:p>
    <w:p w14:paraId="50204F0F" w14:textId="77777777" w:rsidR="00DB0CA9" w:rsidRPr="00EC0873" w:rsidRDefault="00DB0CA9" w:rsidP="00DB0CA9">
      <w:pPr>
        <w:pStyle w:val="BodyText"/>
        <w:ind w:right="-187"/>
        <w:rPr>
          <w:b/>
        </w:rPr>
      </w:pPr>
      <w:r>
        <w:rPr>
          <w:b/>
        </w:rPr>
        <w:t>Growth-to-Proficiency Targets</w:t>
      </w:r>
    </w:p>
    <w:p w14:paraId="50204F10" w14:textId="77777777" w:rsidR="00DB0CA9" w:rsidRDefault="00DB0CA9" w:rsidP="0054381D">
      <w:pPr>
        <w:pStyle w:val="BodyText"/>
        <w:ind w:right="-180"/>
        <w:rPr>
          <w:rFonts w:ascii="Times New Roman" w:hAnsi="Times New Roman" w:cs="Times New Roman"/>
          <w:sz w:val="24"/>
        </w:rPr>
      </w:pPr>
    </w:p>
    <w:p w14:paraId="50204F11" w14:textId="77777777" w:rsidR="006D38D5" w:rsidRDefault="007D6A0F" w:rsidP="0054381D">
      <w:pPr>
        <w:pStyle w:val="BodyText"/>
        <w:ind w:right="-180"/>
        <w:rPr>
          <w:rFonts w:ascii="Times New Roman" w:hAnsi="Times New Roman" w:cs="Times New Roman"/>
          <w:sz w:val="24"/>
        </w:rPr>
      </w:pPr>
      <w:r>
        <w:rPr>
          <w:rFonts w:ascii="Times New Roman" w:hAnsi="Times New Roman" w:cs="Times New Roman"/>
          <w:sz w:val="24"/>
        </w:rPr>
        <w:t>The SGPA</w:t>
      </w:r>
      <w:r w:rsidR="00A54C70">
        <w:rPr>
          <w:rFonts w:ascii="Times New Roman" w:hAnsi="Times New Roman" w:cs="Times New Roman"/>
          <w:sz w:val="24"/>
        </w:rPr>
        <w:t xml:space="preserve"> target</w:t>
      </w:r>
      <w:r w:rsidR="00EC0873">
        <w:rPr>
          <w:rFonts w:ascii="Times New Roman" w:hAnsi="Times New Roman" w:cs="Times New Roman"/>
          <w:sz w:val="24"/>
        </w:rPr>
        <w:t>s</w:t>
      </w:r>
      <w:r>
        <w:rPr>
          <w:rFonts w:ascii="Times New Roman" w:hAnsi="Times New Roman" w:cs="Times New Roman"/>
          <w:sz w:val="24"/>
        </w:rPr>
        <w:t xml:space="preserve"> </w:t>
      </w:r>
      <w:r w:rsidR="00AC5CFF">
        <w:rPr>
          <w:rFonts w:ascii="Times New Roman" w:hAnsi="Times New Roman" w:cs="Times New Roman"/>
          <w:sz w:val="24"/>
        </w:rPr>
        <w:t xml:space="preserve">needed by </w:t>
      </w:r>
      <w:r w:rsidR="00EC0873">
        <w:rPr>
          <w:rFonts w:ascii="Times New Roman" w:hAnsi="Times New Roman" w:cs="Times New Roman"/>
          <w:sz w:val="24"/>
        </w:rPr>
        <w:t xml:space="preserve">a </w:t>
      </w:r>
      <w:r w:rsidR="00AC5CFF">
        <w:rPr>
          <w:rFonts w:ascii="Times New Roman" w:hAnsi="Times New Roman" w:cs="Times New Roman"/>
          <w:sz w:val="24"/>
        </w:rPr>
        <w:t>student</w:t>
      </w:r>
      <w:r>
        <w:rPr>
          <w:rFonts w:ascii="Times New Roman" w:hAnsi="Times New Roman" w:cs="Times New Roman"/>
          <w:sz w:val="24"/>
        </w:rPr>
        <w:t xml:space="preserve"> in each category </w:t>
      </w:r>
      <w:r w:rsidR="00EC0873">
        <w:rPr>
          <w:rFonts w:ascii="Times New Roman" w:hAnsi="Times New Roman" w:cs="Times New Roman"/>
          <w:sz w:val="24"/>
        </w:rPr>
        <w:t xml:space="preserve">to make </w:t>
      </w:r>
      <w:r w:rsidR="00C57AD2">
        <w:rPr>
          <w:rFonts w:ascii="Times New Roman" w:hAnsi="Times New Roman" w:cs="Times New Roman"/>
          <w:sz w:val="24"/>
        </w:rPr>
        <w:t xml:space="preserve">“growth to </w:t>
      </w:r>
      <w:r w:rsidR="00C36889">
        <w:rPr>
          <w:rFonts w:ascii="Times New Roman" w:hAnsi="Times New Roman" w:cs="Times New Roman"/>
          <w:sz w:val="24"/>
        </w:rPr>
        <w:t>proficiency</w:t>
      </w:r>
      <w:r w:rsidR="00C57AD2">
        <w:rPr>
          <w:rFonts w:ascii="Times New Roman" w:hAnsi="Times New Roman" w:cs="Times New Roman"/>
          <w:sz w:val="24"/>
        </w:rPr>
        <w:t>”</w:t>
      </w:r>
      <w:r w:rsidR="00EC0873">
        <w:rPr>
          <w:rFonts w:ascii="Times New Roman" w:hAnsi="Times New Roman" w:cs="Times New Roman"/>
          <w:sz w:val="24"/>
        </w:rPr>
        <w:t xml:space="preserve"> </w:t>
      </w:r>
      <w:r>
        <w:rPr>
          <w:rFonts w:ascii="Times New Roman" w:hAnsi="Times New Roman" w:cs="Times New Roman"/>
          <w:sz w:val="24"/>
        </w:rPr>
        <w:t xml:space="preserve">are </w:t>
      </w:r>
      <w:r w:rsidR="00331A64">
        <w:rPr>
          <w:rFonts w:ascii="Times New Roman" w:hAnsi="Times New Roman" w:cs="Times New Roman"/>
          <w:sz w:val="24"/>
        </w:rPr>
        <w:t xml:space="preserve">shown </w:t>
      </w:r>
      <w:r w:rsidR="00A6400A">
        <w:rPr>
          <w:rFonts w:ascii="Times New Roman" w:hAnsi="Times New Roman" w:cs="Times New Roman"/>
          <w:sz w:val="24"/>
        </w:rPr>
        <w:t xml:space="preserve">in </w:t>
      </w:r>
      <w:r w:rsidR="00A6400A" w:rsidRPr="00545259">
        <w:rPr>
          <w:rFonts w:ascii="Times New Roman" w:hAnsi="Times New Roman" w:cs="Times New Roman"/>
          <w:b/>
          <w:sz w:val="24"/>
        </w:rPr>
        <w:t>Table 1</w:t>
      </w:r>
      <w:r w:rsidR="006D38D5" w:rsidRPr="006D38D5">
        <w:rPr>
          <w:rFonts w:ascii="Times New Roman" w:hAnsi="Times New Roman" w:cs="Times New Roman"/>
          <w:sz w:val="24"/>
        </w:rPr>
        <w:t>.</w:t>
      </w:r>
      <w:r w:rsidR="006D38D5">
        <w:rPr>
          <w:rFonts w:ascii="Times New Roman" w:hAnsi="Times New Roman" w:cs="Times New Roman"/>
          <w:sz w:val="24"/>
        </w:rPr>
        <w:t xml:space="preserve"> </w:t>
      </w:r>
    </w:p>
    <w:p w14:paraId="50204F12" w14:textId="77777777" w:rsidR="00AC5CFF" w:rsidRPr="00AC5CFF" w:rsidRDefault="00AC5CFF" w:rsidP="00AC5CFF">
      <w:pPr>
        <w:pStyle w:val="BodyText"/>
        <w:ind w:right="-180"/>
        <w:jc w:val="center"/>
        <w:rPr>
          <w:b/>
        </w:rPr>
      </w:pPr>
      <w:r w:rsidRPr="00AC5CFF">
        <w:rPr>
          <w:b/>
        </w:rPr>
        <w:t>Table 1.</w:t>
      </w:r>
    </w:p>
    <w:p w14:paraId="50204F13" w14:textId="77777777" w:rsidR="00655A78" w:rsidRPr="00EC0873" w:rsidRDefault="005816F9" w:rsidP="00EC0873">
      <w:pPr>
        <w:pStyle w:val="BodyText"/>
        <w:spacing w:after="120"/>
        <w:ind w:right="-187"/>
        <w:jc w:val="center"/>
        <w:rPr>
          <w:b/>
        </w:rPr>
      </w:pPr>
      <w:r>
        <w:rPr>
          <w:b/>
        </w:rPr>
        <w:t>Growth</w:t>
      </w:r>
      <w:r w:rsidR="00C57AD2">
        <w:rPr>
          <w:b/>
        </w:rPr>
        <w:t xml:space="preserve"> </w:t>
      </w:r>
      <w:r>
        <w:rPr>
          <w:b/>
        </w:rPr>
        <w:t>to</w:t>
      </w:r>
      <w:r w:rsidR="00C57AD2">
        <w:rPr>
          <w:b/>
        </w:rPr>
        <w:t xml:space="preserve"> </w:t>
      </w:r>
      <w:r>
        <w:rPr>
          <w:b/>
        </w:rPr>
        <w:t>Proficiency</w:t>
      </w:r>
      <w:r w:rsidR="0087076F">
        <w:rPr>
          <w:b/>
        </w:rPr>
        <w:t xml:space="preserve"> Targets</w:t>
      </w:r>
    </w:p>
    <w:tbl>
      <w:tblPr>
        <w:tblW w:w="7680" w:type="dxa"/>
        <w:tblInd w:w="97" w:type="dxa"/>
        <w:tblLook w:val="04A0" w:firstRow="1" w:lastRow="0" w:firstColumn="1" w:lastColumn="0" w:noHBand="0" w:noVBand="1"/>
      </w:tblPr>
      <w:tblGrid>
        <w:gridCol w:w="960"/>
        <w:gridCol w:w="960"/>
        <w:gridCol w:w="960"/>
        <w:gridCol w:w="960"/>
        <w:gridCol w:w="960"/>
        <w:gridCol w:w="960"/>
        <w:gridCol w:w="960"/>
        <w:gridCol w:w="960"/>
      </w:tblGrid>
      <w:tr w:rsidR="0087076F" w:rsidRPr="000D30C6" w14:paraId="50204F17" w14:textId="77777777" w:rsidTr="00171242">
        <w:trPr>
          <w:trHeight w:val="315"/>
        </w:trPr>
        <w:tc>
          <w:tcPr>
            <w:tcW w:w="960" w:type="dxa"/>
            <w:tcBorders>
              <w:top w:val="nil"/>
              <w:left w:val="nil"/>
              <w:bottom w:val="nil"/>
              <w:right w:val="nil"/>
            </w:tcBorders>
            <w:shd w:val="clear" w:color="auto" w:fill="auto"/>
            <w:vAlign w:val="bottom"/>
            <w:hideMark/>
          </w:tcPr>
          <w:p w14:paraId="50204F14" w14:textId="77777777" w:rsidR="0087076F" w:rsidRPr="000D30C6" w:rsidRDefault="0087076F" w:rsidP="00171242">
            <w:pPr>
              <w:rPr>
                <w:rFonts w:ascii="Calibri" w:hAnsi="Calibri"/>
                <w:color w:val="000000"/>
              </w:rPr>
            </w:pPr>
          </w:p>
        </w:tc>
        <w:tc>
          <w:tcPr>
            <w:tcW w:w="960" w:type="dxa"/>
            <w:tcBorders>
              <w:top w:val="nil"/>
              <w:left w:val="nil"/>
              <w:bottom w:val="nil"/>
              <w:right w:val="nil"/>
            </w:tcBorders>
            <w:shd w:val="clear" w:color="auto" w:fill="auto"/>
            <w:vAlign w:val="bottom"/>
            <w:hideMark/>
          </w:tcPr>
          <w:p w14:paraId="50204F15" w14:textId="77777777" w:rsidR="0087076F" w:rsidRPr="000D30C6" w:rsidRDefault="0087076F" w:rsidP="00171242">
            <w:pPr>
              <w:rPr>
                <w:rFonts w:ascii="Calibri" w:hAnsi="Calibri"/>
                <w:color w:val="000000"/>
              </w:rPr>
            </w:pPr>
          </w:p>
        </w:tc>
        <w:tc>
          <w:tcPr>
            <w:tcW w:w="5760" w:type="dxa"/>
            <w:gridSpan w:val="6"/>
            <w:tcBorders>
              <w:top w:val="nil"/>
              <w:left w:val="nil"/>
              <w:bottom w:val="single" w:sz="8" w:space="0" w:color="000000"/>
              <w:right w:val="nil"/>
            </w:tcBorders>
            <w:shd w:val="clear" w:color="auto" w:fill="auto"/>
            <w:vAlign w:val="bottom"/>
            <w:hideMark/>
          </w:tcPr>
          <w:p w14:paraId="50204F16" w14:textId="77777777" w:rsidR="0087076F" w:rsidRPr="000D30C6" w:rsidRDefault="0087076F" w:rsidP="00A023C2">
            <w:pPr>
              <w:spacing w:after="60"/>
              <w:jc w:val="center"/>
              <w:rPr>
                <w:rFonts w:ascii="Calibri" w:hAnsi="Calibri"/>
                <w:i/>
                <w:iCs/>
                <w:color w:val="000000"/>
              </w:rPr>
            </w:pPr>
            <w:r w:rsidRPr="000D30C6">
              <w:rPr>
                <w:rFonts w:ascii="Calibri" w:hAnsi="Calibri"/>
                <w:i/>
                <w:iCs/>
                <w:color w:val="000000"/>
              </w:rPr>
              <w:t>SGP</w:t>
            </w:r>
            <w:r>
              <w:rPr>
                <w:rFonts w:ascii="Calibri" w:hAnsi="Calibri"/>
                <w:i/>
                <w:iCs/>
                <w:color w:val="000000"/>
              </w:rPr>
              <w:t>A</w:t>
            </w:r>
            <w:r w:rsidRPr="000D30C6">
              <w:rPr>
                <w:rFonts w:ascii="Calibri" w:hAnsi="Calibri"/>
                <w:i/>
                <w:iCs/>
                <w:color w:val="000000"/>
              </w:rPr>
              <w:t xml:space="preserve"> Target by Prior Year </w:t>
            </w:r>
            <w:r w:rsidR="00EC0873">
              <w:rPr>
                <w:rFonts w:ascii="Calibri" w:hAnsi="Calibri"/>
                <w:i/>
                <w:iCs/>
                <w:color w:val="000000"/>
              </w:rPr>
              <w:t xml:space="preserve">Proficiency </w:t>
            </w:r>
            <w:r w:rsidRPr="000D30C6">
              <w:rPr>
                <w:rFonts w:ascii="Calibri" w:hAnsi="Calibri"/>
                <w:i/>
                <w:iCs/>
                <w:color w:val="000000"/>
              </w:rPr>
              <w:t xml:space="preserve">Level </w:t>
            </w:r>
          </w:p>
        </w:tc>
      </w:tr>
      <w:tr w:rsidR="0087076F" w:rsidRPr="000D30C6" w14:paraId="50204F20" w14:textId="77777777" w:rsidTr="00171242">
        <w:trPr>
          <w:trHeight w:val="615"/>
        </w:trPr>
        <w:tc>
          <w:tcPr>
            <w:tcW w:w="960" w:type="dxa"/>
            <w:tcBorders>
              <w:top w:val="nil"/>
              <w:left w:val="nil"/>
              <w:bottom w:val="nil"/>
              <w:right w:val="nil"/>
            </w:tcBorders>
            <w:shd w:val="clear" w:color="auto" w:fill="auto"/>
            <w:vAlign w:val="bottom"/>
            <w:hideMark/>
          </w:tcPr>
          <w:p w14:paraId="50204F18" w14:textId="77777777" w:rsidR="0087076F" w:rsidRPr="000D30C6" w:rsidRDefault="0087076F" w:rsidP="00171242">
            <w:pPr>
              <w:rPr>
                <w:rFonts w:ascii="Calibri" w:hAnsi="Calibri"/>
                <w:color w:val="000000"/>
              </w:rPr>
            </w:pPr>
          </w:p>
        </w:tc>
        <w:tc>
          <w:tcPr>
            <w:tcW w:w="960" w:type="dxa"/>
            <w:tcBorders>
              <w:top w:val="nil"/>
              <w:left w:val="nil"/>
              <w:bottom w:val="single" w:sz="8" w:space="0" w:color="000000"/>
              <w:right w:val="single" w:sz="8" w:space="0" w:color="000000"/>
            </w:tcBorders>
            <w:shd w:val="clear" w:color="auto" w:fill="auto"/>
            <w:vAlign w:val="bottom"/>
            <w:hideMark/>
          </w:tcPr>
          <w:p w14:paraId="50204F19" w14:textId="77777777" w:rsidR="0087076F" w:rsidRPr="000D30C6" w:rsidRDefault="0087076F" w:rsidP="00171242">
            <w:pPr>
              <w:rPr>
                <w:rFonts w:ascii="Calibri" w:hAnsi="Calibri"/>
                <w:color w:val="000000"/>
              </w:rPr>
            </w:pPr>
            <w:r w:rsidRPr="000D30C6">
              <w:rPr>
                <w:rFonts w:ascii="Calibri" w:hAnsi="Calibri"/>
                <w:color w:val="000000"/>
              </w:rPr>
              <w:t> </w:t>
            </w:r>
          </w:p>
        </w:tc>
        <w:tc>
          <w:tcPr>
            <w:tcW w:w="960" w:type="dxa"/>
            <w:tcBorders>
              <w:top w:val="nil"/>
              <w:left w:val="nil"/>
              <w:bottom w:val="single" w:sz="8" w:space="0" w:color="000000"/>
              <w:right w:val="single" w:sz="8" w:space="0" w:color="000000"/>
            </w:tcBorders>
            <w:shd w:val="clear" w:color="000000" w:fill="D8E4BC"/>
            <w:vAlign w:val="bottom"/>
            <w:hideMark/>
          </w:tcPr>
          <w:p w14:paraId="50204F1A" w14:textId="77777777" w:rsidR="0087076F" w:rsidRPr="000D30C6" w:rsidRDefault="0087076F" w:rsidP="00171242">
            <w:pPr>
              <w:rPr>
                <w:rFonts w:ascii="Calibri" w:hAnsi="Calibri"/>
                <w:i/>
                <w:iCs/>
                <w:color w:val="000000"/>
              </w:rPr>
            </w:pPr>
            <w:r w:rsidRPr="000D30C6">
              <w:rPr>
                <w:rFonts w:ascii="Calibri" w:hAnsi="Calibri"/>
                <w:i/>
                <w:iCs/>
                <w:color w:val="000000"/>
              </w:rPr>
              <w:t>ACCESS Level 1</w:t>
            </w:r>
          </w:p>
        </w:tc>
        <w:tc>
          <w:tcPr>
            <w:tcW w:w="960" w:type="dxa"/>
            <w:tcBorders>
              <w:top w:val="nil"/>
              <w:left w:val="nil"/>
              <w:bottom w:val="single" w:sz="8" w:space="0" w:color="000000"/>
              <w:right w:val="single" w:sz="8" w:space="0" w:color="000000"/>
            </w:tcBorders>
            <w:shd w:val="clear" w:color="000000" w:fill="D8E4BC"/>
            <w:vAlign w:val="bottom"/>
            <w:hideMark/>
          </w:tcPr>
          <w:p w14:paraId="50204F1B" w14:textId="77777777" w:rsidR="0087076F" w:rsidRPr="000D30C6" w:rsidRDefault="0087076F" w:rsidP="00171242">
            <w:pPr>
              <w:rPr>
                <w:rFonts w:ascii="Calibri" w:hAnsi="Calibri"/>
                <w:i/>
                <w:iCs/>
                <w:color w:val="000000"/>
              </w:rPr>
            </w:pPr>
            <w:r w:rsidRPr="000D30C6">
              <w:rPr>
                <w:rFonts w:ascii="Calibri" w:hAnsi="Calibri"/>
                <w:i/>
                <w:iCs/>
                <w:color w:val="000000"/>
              </w:rPr>
              <w:t>ACCESS Level 2</w:t>
            </w:r>
          </w:p>
        </w:tc>
        <w:tc>
          <w:tcPr>
            <w:tcW w:w="960" w:type="dxa"/>
            <w:tcBorders>
              <w:top w:val="nil"/>
              <w:left w:val="nil"/>
              <w:bottom w:val="single" w:sz="8" w:space="0" w:color="000000"/>
              <w:right w:val="single" w:sz="8" w:space="0" w:color="000000"/>
            </w:tcBorders>
            <w:shd w:val="clear" w:color="000000" w:fill="D8E4BC"/>
            <w:vAlign w:val="bottom"/>
            <w:hideMark/>
          </w:tcPr>
          <w:p w14:paraId="50204F1C" w14:textId="77777777" w:rsidR="0087076F" w:rsidRPr="000D30C6" w:rsidRDefault="0087076F" w:rsidP="00171242">
            <w:pPr>
              <w:rPr>
                <w:rFonts w:ascii="Calibri" w:hAnsi="Calibri"/>
                <w:i/>
                <w:iCs/>
                <w:color w:val="000000"/>
              </w:rPr>
            </w:pPr>
            <w:r w:rsidRPr="000D30C6">
              <w:rPr>
                <w:rFonts w:ascii="Calibri" w:hAnsi="Calibri"/>
                <w:i/>
                <w:iCs/>
                <w:color w:val="000000"/>
              </w:rPr>
              <w:t>ACCESS Level 3</w:t>
            </w:r>
          </w:p>
        </w:tc>
        <w:tc>
          <w:tcPr>
            <w:tcW w:w="960" w:type="dxa"/>
            <w:tcBorders>
              <w:top w:val="nil"/>
              <w:left w:val="nil"/>
              <w:bottom w:val="single" w:sz="8" w:space="0" w:color="000000"/>
              <w:right w:val="single" w:sz="8" w:space="0" w:color="000000"/>
            </w:tcBorders>
            <w:shd w:val="clear" w:color="000000" w:fill="D8E4BC"/>
            <w:vAlign w:val="bottom"/>
            <w:hideMark/>
          </w:tcPr>
          <w:p w14:paraId="50204F1D" w14:textId="77777777" w:rsidR="0087076F" w:rsidRPr="000D30C6" w:rsidRDefault="0087076F" w:rsidP="00171242">
            <w:pPr>
              <w:rPr>
                <w:rFonts w:ascii="Calibri" w:hAnsi="Calibri"/>
                <w:i/>
                <w:iCs/>
                <w:color w:val="000000"/>
              </w:rPr>
            </w:pPr>
            <w:r w:rsidRPr="000D30C6">
              <w:rPr>
                <w:rFonts w:ascii="Calibri" w:hAnsi="Calibri"/>
                <w:i/>
                <w:iCs/>
                <w:color w:val="000000"/>
              </w:rPr>
              <w:t>ACCESS Level 4</w:t>
            </w:r>
          </w:p>
        </w:tc>
        <w:tc>
          <w:tcPr>
            <w:tcW w:w="960" w:type="dxa"/>
            <w:tcBorders>
              <w:top w:val="nil"/>
              <w:left w:val="nil"/>
              <w:bottom w:val="single" w:sz="8" w:space="0" w:color="000000"/>
              <w:right w:val="single" w:sz="8" w:space="0" w:color="000000"/>
            </w:tcBorders>
            <w:shd w:val="clear" w:color="000000" w:fill="D8E4BC"/>
            <w:vAlign w:val="bottom"/>
            <w:hideMark/>
          </w:tcPr>
          <w:p w14:paraId="50204F1E" w14:textId="77777777" w:rsidR="0087076F" w:rsidRPr="000D30C6" w:rsidRDefault="0087076F" w:rsidP="00171242">
            <w:pPr>
              <w:rPr>
                <w:rFonts w:ascii="Calibri" w:hAnsi="Calibri"/>
                <w:i/>
                <w:iCs/>
                <w:color w:val="000000"/>
              </w:rPr>
            </w:pPr>
            <w:r w:rsidRPr="000D30C6">
              <w:rPr>
                <w:rFonts w:ascii="Calibri" w:hAnsi="Calibri"/>
                <w:i/>
                <w:iCs/>
                <w:color w:val="000000"/>
              </w:rPr>
              <w:t>ACCESS Level 5</w:t>
            </w:r>
          </w:p>
        </w:tc>
        <w:tc>
          <w:tcPr>
            <w:tcW w:w="960" w:type="dxa"/>
            <w:tcBorders>
              <w:top w:val="nil"/>
              <w:left w:val="nil"/>
              <w:bottom w:val="single" w:sz="8" w:space="0" w:color="000000"/>
              <w:right w:val="single" w:sz="8" w:space="0" w:color="000000"/>
            </w:tcBorders>
            <w:shd w:val="clear" w:color="000000" w:fill="D8E4BC"/>
            <w:vAlign w:val="bottom"/>
            <w:hideMark/>
          </w:tcPr>
          <w:p w14:paraId="50204F1F" w14:textId="77777777" w:rsidR="0087076F" w:rsidRPr="000D30C6" w:rsidRDefault="0087076F" w:rsidP="00171242">
            <w:pPr>
              <w:rPr>
                <w:rFonts w:ascii="Calibri" w:hAnsi="Calibri"/>
                <w:i/>
                <w:iCs/>
                <w:color w:val="000000"/>
              </w:rPr>
            </w:pPr>
            <w:r w:rsidRPr="000D30C6">
              <w:rPr>
                <w:rFonts w:ascii="Calibri" w:hAnsi="Calibri"/>
                <w:i/>
                <w:iCs/>
                <w:color w:val="000000"/>
              </w:rPr>
              <w:t>ACCESS Level 6</w:t>
            </w:r>
          </w:p>
        </w:tc>
      </w:tr>
      <w:tr w:rsidR="0087076F" w:rsidRPr="000D30C6" w14:paraId="50204F29" w14:textId="77777777" w:rsidTr="00171242">
        <w:trPr>
          <w:trHeight w:val="315"/>
        </w:trPr>
        <w:tc>
          <w:tcPr>
            <w:tcW w:w="960" w:type="dxa"/>
            <w:vMerge w:val="restart"/>
            <w:tcBorders>
              <w:top w:val="nil"/>
              <w:left w:val="nil"/>
              <w:bottom w:val="nil"/>
              <w:right w:val="single" w:sz="8" w:space="0" w:color="000000"/>
            </w:tcBorders>
            <w:shd w:val="clear" w:color="auto" w:fill="auto"/>
            <w:textDirection w:val="btLr"/>
            <w:vAlign w:val="bottom"/>
            <w:hideMark/>
          </w:tcPr>
          <w:p w14:paraId="50204F21" w14:textId="77777777" w:rsidR="0087076F" w:rsidRPr="000D30C6" w:rsidRDefault="0087076F" w:rsidP="00171242">
            <w:pPr>
              <w:jc w:val="center"/>
              <w:rPr>
                <w:rFonts w:ascii="Calibri" w:hAnsi="Calibri"/>
                <w:i/>
                <w:iCs/>
                <w:color w:val="000000"/>
              </w:rPr>
            </w:pPr>
            <w:r w:rsidRPr="000D30C6">
              <w:rPr>
                <w:rFonts w:ascii="Calibri" w:hAnsi="Calibri"/>
                <w:i/>
                <w:iCs/>
                <w:color w:val="000000"/>
              </w:rPr>
              <w:t xml:space="preserve">Prior </w:t>
            </w:r>
            <w:proofErr w:type="spellStart"/>
            <w:r w:rsidRPr="000D30C6">
              <w:rPr>
                <w:rFonts w:ascii="Calibri" w:hAnsi="Calibri"/>
                <w:i/>
                <w:iCs/>
                <w:color w:val="000000"/>
              </w:rPr>
              <w:t>Yrs</w:t>
            </w:r>
            <w:proofErr w:type="spellEnd"/>
            <w:r w:rsidRPr="000D30C6">
              <w:rPr>
                <w:rFonts w:ascii="Calibri" w:hAnsi="Calibri"/>
                <w:i/>
                <w:iCs/>
                <w:color w:val="000000"/>
              </w:rPr>
              <w:t xml:space="preserve"> in MA</w:t>
            </w:r>
          </w:p>
        </w:tc>
        <w:tc>
          <w:tcPr>
            <w:tcW w:w="960" w:type="dxa"/>
            <w:tcBorders>
              <w:top w:val="nil"/>
              <w:left w:val="nil"/>
              <w:bottom w:val="single" w:sz="8" w:space="0" w:color="000000"/>
              <w:right w:val="single" w:sz="8" w:space="0" w:color="000000"/>
            </w:tcBorders>
            <w:shd w:val="clear" w:color="000000" w:fill="E6B8B7"/>
            <w:vAlign w:val="bottom"/>
            <w:hideMark/>
          </w:tcPr>
          <w:p w14:paraId="50204F22" w14:textId="77777777" w:rsidR="0087076F" w:rsidRPr="000D30C6" w:rsidRDefault="0087076F" w:rsidP="00171242">
            <w:pPr>
              <w:jc w:val="right"/>
              <w:rPr>
                <w:rFonts w:ascii="Calibri" w:hAnsi="Calibri"/>
                <w:i/>
                <w:iCs/>
                <w:color w:val="000000"/>
              </w:rPr>
            </w:pPr>
            <w:r w:rsidRPr="000D30C6">
              <w:rPr>
                <w:rFonts w:ascii="Calibri" w:hAnsi="Calibri"/>
                <w:i/>
                <w:iCs/>
                <w:color w:val="000000"/>
              </w:rPr>
              <w:t>1</w:t>
            </w:r>
          </w:p>
        </w:tc>
        <w:tc>
          <w:tcPr>
            <w:tcW w:w="960" w:type="dxa"/>
            <w:tcBorders>
              <w:top w:val="nil"/>
              <w:left w:val="nil"/>
              <w:bottom w:val="single" w:sz="8" w:space="0" w:color="000000"/>
              <w:right w:val="single" w:sz="8" w:space="0" w:color="000000"/>
            </w:tcBorders>
            <w:shd w:val="clear" w:color="auto" w:fill="auto"/>
            <w:vAlign w:val="bottom"/>
            <w:hideMark/>
          </w:tcPr>
          <w:p w14:paraId="50204F23" w14:textId="77777777" w:rsidR="0087076F" w:rsidRPr="0087076F" w:rsidRDefault="003A25DC" w:rsidP="00F16459">
            <w:pPr>
              <w:jc w:val="center"/>
              <w:rPr>
                <w:rFonts w:ascii="Calibri" w:hAnsi="Calibri"/>
                <w:sz w:val="22"/>
                <w:szCs w:val="22"/>
              </w:rPr>
            </w:pPr>
            <w:r>
              <w:rPr>
                <w:rFonts w:ascii="Calibri" w:hAnsi="Calibri"/>
                <w:sz w:val="22"/>
                <w:szCs w:val="22"/>
              </w:rPr>
              <w:t>50</w:t>
            </w:r>
          </w:p>
        </w:tc>
        <w:tc>
          <w:tcPr>
            <w:tcW w:w="960" w:type="dxa"/>
            <w:tcBorders>
              <w:top w:val="nil"/>
              <w:left w:val="nil"/>
              <w:bottom w:val="single" w:sz="8" w:space="0" w:color="000000"/>
              <w:right w:val="single" w:sz="8" w:space="0" w:color="000000"/>
            </w:tcBorders>
            <w:shd w:val="clear" w:color="auto" w:fill="auto"/>
            <w:vAlign w:val="bottom"/>
            <w:hideMark/>
          </w:tcPr>
          <w:p w14:paraId="50204F24" w14:textId="77777777" w:rsidR="0087076F" w:rsidRPr="0087076F" w:rsidRDefault="003A25DC" w:rsidP="00F16459">
            <w:pPr>
              <w:jc w:val="center"/>
              <w:rPr>
                <w:rFonts w:ascii="Calibri" w:hAnsi="Calibri"/>
                <w:sz w:val="22"/>
                <w:szCs w:val="22"/>
              </w:rPr>
            </w:pPr>
            <w:r>
              <w:rPr>
                <w:rFonts w:ascii="Calibri" w:hAnsi="Calibri"/>
                <w:sz w:val="22"/>
                <w:szCs w:val="22"/>
              </w:rPr>
              <w:t>49</w:t>
            </w:r>
          </w:p>
        </w:tc>
        <w:tc>
          <w:tcPr>
            <w:tcW w:w="960" w:type="dxa"/>
            <w:tcBorders>
              <w:top w:val="nil"/>
              <w:left w:val="nil"/>
              <w:bottom w:val="single" w:sz="8" w:space="0" w:color="000000"/>
              <w:right w:val="single" w:sz="8" w:space="0" w:color="000000"/>
            </w:tcBorders>
            <w:shd w:val="clear" w:color="auto" w:fill="auto"/>
            <w:vAlign w:val="bottom"/>
            <w:hideMark/>
          </w:tcPr>
          <w:p w14:paraId="50204F25" w14:textId="77777777" w:rsidR="0087076F" w:rsidRPr="0087076F" w:rsidRDefault="0087076F" w:rsidP="003A25DC">
            <w:pPr>
              <w:jc w:val="center"/>
              <w:rPr>
                <w:rFonts w:ascii="Calibri" w:hAnsi="Calibri"/>
                <w:sz w:val="22"/>
                <w:szCs w:val="22"/>
              </w:rPr>
            </w:pPr>
            <w:r w:rsidRPr="0087076F">
              <w:rPr>
                <w:rFonts w:ascii="Calibri" w:hAnsi="Calibri"/>
                <w:sz w:val="22"/>
                <w:szCs w:val="22"/>
              </w:rPr>
              <w:t>4</w:t>
            </w:r>
            <w:r w:rsidR="003A25DC">
              <w:rPr>
                <w:rFonts w:ascii="Calibri" w:hAnsi="Calibri"/>
                <w:sz w:val="22"/>
                <w:szCs w:val="22"/>
              </w:rPr>
              <w:t>1</w:t>
            </w:r>
          </w:p>
        </w:tc>
        <w:tc>
          <w:tcPr>
            <w:tcW w:w="960" w:type="dxa"/>
            <w:tcBorders>
              <w:top w:val="nil"/>
              <w:left w:val="nil"/>
              <w:bottom w:val="single" w:sz="8" w:space="0" w:color="000000"/>
              <w:right w:val="single" w:sz="8" w:space="0" w:color="000000"/>
            </w:tcBorders>
            <w:shd w:val="clear" w:color="auto" w:fill="auto"/>
            <w:vAlign w:val="bottom"/>
            <w:hideMark/>
          </w:tcPr>
          <w:p w14:paraId="50204F26" w14:textId="77777777" w:rsidR="0087076F" w:rsidRPr="0087076F" w:rsidRDefault="0087076F" w:rsidP="003A25DC">
            <w:pPr>
              <w:jc w:val="center"/>
              <w:rPr>
                <w:rFonts w:ascii="Calibri" w:hAnsi="Calibri"/>
                <w:sz w:val="22"/>
                <w:szCs w:val="22"/>
              </w:rPr>
            </w:pPr>
            <w:r w:rsidRPr="0087076F">
              <w:rPr>
                <w:rFonts w:ascii="Calibri" w:hAnsi="Calibri"/>
                <w:sz w:val="22"/>
                <w:szCs w:val="22"/>
              </w:rPr>
              <w:t>3</w:t>
            </w:r>
            <w:r w:rsidR="003A25DC">
              <w:rPr>
                <w:rFonts w:ascii="Calibri" w:hAnsi="Calibri"/>
                <w:sz w:val="22"/>
                <w:szCs w:val="22"/>
              </w:rPr>
              <w:t>3</w:t>
            </w:r>
          </w:p>
        </w:tc>
        <w:tc>
          <w:tcPr>
            <w:tcW w:w="960" w:type="dxa"/>
            <w:tcBorders>
              <w:top w:val="nil"/>
              <w:left w:val="nil"/>
              <w:bottom w:val="single" w:sz="8" w:space="0" w:color="000000"/>
              <w:right w:val="single" w:sz="8" w:space="0" w:color="000000"/>
            </w:tcBorders>
            <w:shd w:val="clear" w:color="auto" w:fill="auto"/>
            <w:vAlign w:val="bottom"/>
            <w:hideMark/>
          </w:tcPr>
          <w:p w14:paraId="50204F27" w14:textId="77777777" w:rsidR="0087076F" w:rsidRPr="0087076F" w:rsidRDefault="0087076F" w:rsidP="0087076F">
            <w:pPr>
              <w:jc w:val="center"/>
              <w:rPr>
                <w:rFonts w:ascii="Calibri" w:hAnsi="Calibri"/>
                <w:color w:val="000000"/>
                <w:sz w:val="22"/>
                <w:szCs w:val="22"/>
              </w:rPr>
            </w:pPr>
            <w:r>
              <w:rPr>
                <w:rFonts w:ascii="Calibri" w:hAnsi="Calibri"/>
                <w:color w:val="000000"/>
                <w:sz w:val="22"/>
                <w:szCs w:val="22"/>
              </w:rPr>
              <w:t>*</w:t>
            </w:r>
          </w:p>
        </w:tc>
        <w:tc>
          <w:tcPr>
            <w:tcW w:w="960" w:type="dxa"/>
            <w:tcBorders>
              <w:top w:val="nil"/>
              <w:left w:val="nil"/>
              <w:bottom w:val="single" w:sz="8" w:space="0" w:color="000000"/>
              <w:right w:val="single" w:sz="8" w:space="0" w:color="000000"/>
            </w:tcBorders>
            <w:shd w:val="clear" w:color="auto" w:fill="auto"/>
            <w:vAlign w:val="bottom"/>
            <w:hideMark/>
          </w:tcPr>
          <w:p w14:paraId="50204F28" w14:textId="77777777" w:rsidR="0087076F" w:rsidRPr="0087076F" w:rsidRDefault="0087076F" w:rsidP="00764BF9">
            <w:pPr>
              <w:jc w:val="center"/>
              <w:rPr>
                <w:rFonts w:ascii="Calibri" w:hAnsi="Calibri"/>
                <w:color w:val="000000"/>
                <w:sz w:val="22"/>
                <w:szCs w:val="22"/>
              </w:rPr>
            </w:pPr>
            <w:r>
              <w:rPr>
                <w:rFonts w:ascii="Calibri" w:hAnsi="Calibri"/>
                <w:color w:val="000000"/>
                <w:sz w:val="22"/>
                <w:szCs w:val="22"/>
              </w:rPr>
              <w:t>*</w:t>
            </w:r>
          </w:p>
        </w:tc>
      </w:tr>
      <w:tr w:rsidR="0087076F" w:rsidRPr="000D30C6" w14:paraId="50204F32" w14:textId="77777777" w:rsidTr="00171242">
        <w:trPr>
          <w:trHeight w:val="315"/>
        </w:trPr>
        <w:tc>
          <w:tcPr>
            <w:tcW w:w="960" w:type="dxa"/>
            <w:vMerge/>
            <w:tcBorders>
              <w:top w:val="nil"/>
              <w:left w:val="nil"/>
              <w:bottom w:val="nil"/>
              <w:right w:val="single" w:sz="8" w:space="0" w:color="000000"/>
            </w:tcBorders>
            <w:vAlign w:val="center"/>
            <w:hideMark/>
          </w:tcPr>
          <w:p w14:paraId="50204F2A" w14:textId="77777777" w:rsidR="0087076F" w:rsidRPr="000D30C6" w:rsidRDefault="0087076F" w:rsidP="00171242">
            <w:pPr>
              <w:rPr>
                <w:rFonts w:ascii="Calibri" w:hAnsi="Calibri"/>
                <w:i/>
                <w:iCs/>
                <w:color w:val="000000"/>
              </w:rPr>
            </w:pPr>
          </w:p>
        </w:tc>
        <w:tc>
          <w:tcPr>
            <w:tcW w:w="960" w:type="dxa"/>
            <w:tcBorders>
              <w:top w:val="nil"/>
              <w:left w:val="nil"/>
              <w:bottom w:val="single" w:sz="8" w:space="0" w:color="000000"/>
              <w:right w:val="single" w:sz="8" w:space="0" w:color="000000"/>
            </w:tcBorders>
            <w:shd w:val="clear" w:color="000000" w:fill="E6B8B7"/>
            <w:vAlign w:val="bottom"/>
            <w:hideMark/>
          </w:tcPr>
          <w:p w14:paraId="50204F2B" w14:textId="77777777" w:rsidR="0087076F" w:rsidRPr="000D30C6" w:rsidRDefault="0087076F" w:rsidP="00171242">
            <w:pPr>
              <w:jc w:val="right"/>
              <w:rPr>
                <w:rFonts w:ascii="Calibri" w:hAnsi="Calibri"/>
                <w:i/>
                <w:iCs/>
                <w:color w:val="000000"/>
              </w:rPr>
            </w:pPr>
            <w:r w:rsidRPr="000D30C6">
              <w:rPr>
                <w:rFonts w:ascii="Calibri" w:hAnsi="Calibri"/>
                <w:i/>
                <w:iCs/>
                <w:color w:val="000000"/>
              </w:rPr>
              <w:t>2</w:t>
            </w:r>
          </w:p>
        </w:tc>
        <w:tc>
          <w:tcPr>
            <w:tcW w:w="960" w:type="dxa"/>
            <w:tcBorders>
              <w:top w:val="nil"/>
              <w:left w:val="nil"/>
              <w:bottom w:val="single" w:sz="8" w:space="0" w:color="000000"/>
              <w:right w:val="single" w:sz="8" w:space="0" w:color="000000"/>
            </w:tcBorders>
            <w:shd w:val="clear" w:color="auto" w:fill="auto"/>
            <w:vAlign w:val="bottom"/>
            <w:hideMark/>
          </w:tcPr>
          <w:p w14:paraId="50204F2C" w14:textId="77777777" w:rsidR="0087076F" w:rsidRPr="0087076F" w:rsidRDefault="0087076F" w:rsidP="003A25DC">
            <w:pPr>
              <w:jc w:val="center"/>
              <w:rPr>
                <w:rFonts w:ascii="Calibri" w:hAnsi="Calibri"/>
                <w:sz w:val="22"/>
                <w:szCs w:val="22"/>
              </w:rPr>
            </w:pPr>
            <w:r w:rsidRPr="0087076F">
              <w:rPr>
                <w:rFonts w:ascii="Calibri" w:hAnsi="Calibri"/>
                <w:sz w:val="22"/>
                <w:szCs w:val="22"/>
              </w:rPr>
              <w:t>60</w:t>
            </w:r>
          </w:p>
        </w:tc>
        <w:tc>
          <w:tcPr>
            <w:tcW w:w="960" w:type="dxa"/>
            <w:tcBorders>
              <w:top w:val="nil"/>
              <w:left w:val="nil"/>
              <w:bottom w:val="single" w:sz="8" w:space="0" w:color="000000"/>
              <w:right w:val="single" w:sz="8" w:space="0" w:color="000000"/>
            </w:tcBorders>
            <w:shd w:val="clear" w:color="auto" w:fill="auto"/>
            <w:vAlign w:val="bottom"/>
            <w:hideMark/>
          </w:tcPr>
          <w:p w14:paraId="50204F2D" w14:textId="77777777" w:rsidR="0087076F" w:rsidRPr="0087076F" w:rsidRDefault="0087076F" w:rsidP="003A25DC">
            <w:pPr>
              <w:jc w:val="center"/>
              <w:rPr>
                <w:rFonts w:ascii="Calibri" w:hAnsi="Calibri"/>
                <w:sz w:val="22"/>
                <w:szCs w:val="22"/>
              </w:rPr>
            </w:pPr>
            <w:r w:rsidRPr="0087076F">
              <w:rPr>
                <w:rFonts w:ascii="Calibri" w:hAnsi="Calibri"/>
                <w:sz w:val="22"/>
                <w:szCs w:val="22"/>
              </w:rPr>
              <w:t>5</w:t>
            </w:r>
            <w:r w:rsidR="003A25DC">
              <w:rPr>
                <w:rFonts w:ascii="Calibri" w:hAnsi="Calibri"/>
                <w:sz w:val="22"/>
                <w:szCs w:val="22"/>
              </w:rPr>
              <w:t>5</w:t>
            </w:r>
          </w:p>
        </w:tc>
        <w:tc>
          <w:tcPr>
            <w:tcW w:w="960" w:type="dxa"/>
            <w:tcBorders>
              <w:top w:val="nil"/>
              <w:left w:val="nil"/>
              <w:bottom w:val="single" w:sz="8" w:space="0" w:color="000000"/>
              <w:right w:val="single" w:sz="8" w:space="0" w:color="000000"/>
            </w:tcBorders>
            <w:shd w:val="clear" w:color="auto" w:fill="auto"/>
            <w:vAlign w:val="bottom"/>
            <w:hideMark/>
          </w:tcPr>
          <w:p w14:paraId="50204F2E" w14:textId="77777777" w:rsidR="0087076F" w:rsidRPr="0087076F" w:rsidRDefault="0087076F" w:rsidP="003A25DC">
            <w:pPr>
              <w:jc w:val="center"/>
              <w:rPr>
                <w:rFonts w:ascii="Calibri" w:hAnsi="Calibri"/>
                <w:sz w:val="22"/>
                <w:szCs w:val="22"/>
              </w:rPr>
            </w:pPr>
            <w:r w:rsidRPr="0087076F">
              <w:rPr>
                <w:rFonts w:ascii="Calibri" w:hAnsi="Calibri"/>
                <w:sz w:val="22"/>
                <w:szCs w:val="22"/>
              </w:rPr>
              <w:t>4</w:t>
            </w:r>
            <w:r w:rsidR="003A25DC">
              <w:rPr>
                <w:rFonts w:ascii="Calibri" w:hAnsi="Calibri"/>
                <w:sz w:val="22"/>
                <w:szCs w:val="22"/>
              </w:rPr>
              <w:t>2</w:t>
            </w:r>
          </w:p>
        </w:tc>
        <w:tc>
          <w:tcPr>
            <w:tcW w:w="960" w:type="dxa"/>
            <w:tcBorders>
              <w:top w:val="nil"/>
              <w:left w:val="nil"/>
              <w:bottom w:val="single" w:sz="8" w:space="0" w:color="000000"/>
              <w:right w:val="single" w:sz="8" w:space="0" w:color="000000"/>
            </w:tcBorders>
            <w:shd w:val="clear" w:color="auto" w:fill="auto"/>
            <w:vAlign w:val="bottom"/>
            <w:hideMark/>
          </w:tcPr>
          <w:p w14:paraId="50204F2F" w14:textId="77777777" w:rsidR="0087076F" w:rsidRPr="0087076F" w:rsidRDefault="0087076F" w:rsidP="003A25DC">
            <w:pPr>
              <w:jc w:val="center"/>
              <w:rPr>
                <w:rFonts w:ascii="Calibri" w:hAnsi="Calibri"/>
                <w:sz w:val="22"/>
                <w:szCs w:val="22"/>
              </w:rPr>
            </w:pPr>
            <w:r w:rsidRPr="0087076F">
              <w:rPr>
                <w:rFonts w:ascii="Calibri" w:hAnsi="Calibri"/>
                <w:sz w:val="22"/>
                <w:szCs w:val="22"/>
              </w:rPr>
              <w:t>3</w:t>
            </w:r>
            <w:r w:rsidR="003A25DC">
              <w:rPr>
                <w:rFonts w:ascii="Calibri" w:hAnsi="Calibri"/>
                <w:sz w:val="22"/>
                <w:szCs w:val="22"/>
              </w:rPr>
              <w:t>3</w:t>
            </w:r>
          </w:p>
        </w:tc>
        <w:tc>
          <w:tcPr>
            <w:tcW w:w="960" w:type="dxa"/>
            <w:tcBorders>
              <w:top w:val="nil"/>
              <w:left w:val="nil"/>
              <w:bottom w:val="single" w:sz="8" w:space="0" w:color="000000"/>
              <w:right w:val="single" w:sz="8" w:space="0" w:color="000000"/>
            </w:tcBorders>
            <w:shd w:val="clear" w:color="auto" w:fill="auto"/>
            <w:hideMark/>
          </w:tcPr>
          <w:p w14:paraId="50204F30" w14:textId="77777777" w:rsidR="0087076F" w:rsidRDefault="0087076F" w:rsidP="0087076F">
            <w:pPr>
              <w:jc w:val="center"/>
            </w:pPr>
            <w:r w:rsidRPr="00AB5E2E">
              <w:rPr>
                <w:rFonts w:ascii="Calibri" w:hAnsi="Calibri"/>
                <w:color w:val="000000"/>
                <w:sz w:val="22"/>
                <w:szCs w:val="22"/>
              </w:rPr>
              <w:t>*</w:t>
            </w:r>
          </w:p>
        </w:tc>
        <w:tc>
          <w:tcPr>
            <w:tcW w:w="960" w:type="dxa"/>
            <w:tcBorders>
              <w:top w:val="nil"/>
              <w:left w:val="nil"/>
              <w:bottom w:val="single" w:sz="8" w:space="0" w:color="000000"/>
              <w:right w:val="single" w:sz="8" w:space="0" w:color="000000"/>
            </w:tcBorders>
            <w:shd w:val="clear" w:color="auto" w:fill="auto"/>
            <w:hideMark/>
          </w:tcPr>
          <w:p w14:paraId="50204F31" w14:textId="77777777" w:rsidR="0087076F" w:rsidRDefault="0087076F" w:rsidP="00764BF9">
            <w:pPr>
              <w:jc w:val="center"/>
            </w:pPr>
            <w:r w:rsidRPr="003B787F">
              <w:rPr>
                <w:rFonts w:ascii="Calibri" w:hAnsi="Calibri"/>
                <w:color w:val="000000"/>
                <w:sz w:val="22"/>
                <w:szCs w:val="22"/>
              </w:rPr>
              <w:t>*</w:t>
            </w:r>
          </w:p>
        </w:tc>
      </w:tr>
      <w:tr w:rsidR="0087076F" w:rsidRPr="000D30C6" w14:paraId="50204F3B" w14:textId="77777777" w:rsidTr="00171242">
        <w:trPr>
          <w:trHeight w:val="315"/>
        </w:trPr>
        <w:tc>
          <w:tcPr>
            <w:tcW w:w="960" w:type="dxa"/>
            <w:vMerge/>
            <w:tcBorders>
              <w:top w:val="nil"/>
              <w:left w:val="nil"/>
              <w:bottom w:val="nil"/>
              <w:right w:val="single" w:sz="8" w:space="0" w:color="000000"/>
            </w:tcBorders>
            <w:vAlign w:val="center"/>
            <w:hideMark/>
          </w:tcPr>
          <w:p w14:paraId="50204F33" w14:textId="77777777" w:rsidR="0087076F" w:rsidRPr="000D30C6" w:rsidRDefault="0087076F" w:rsidP="00171242">
            <w:pPr>
              <w:rPr>
                <w:rFonts w:ascii="Calibri" w:hAnsi="Calibri"/>
                <w:i/>
                <w:iCs/>
                <w:color w:val="000000"/>
              </w:rPr>
            </w:pPr>
          </w:p>
        </w:tc>
        <w:tc>
          <w:tcPr>
            <w:tcW w:w="960" w:type="dxa"/>
            <w:tcBorders>
              <w:top w:val="nil"/>
              <w:left w:val="nil"/>
              <w:bottom w:val="single" w:sz="8" w:space="0" w:color="000000"/>
              <w:right w:val="single" w:sz="8" w:space="0" w:color="000000"/>
            </w:tcBorders>
            <w:shd w:val="clear" w:color="000000" w:fill="E6B8B7"/>
            <w:vAlign w:val="bottom"/>
            <w:hideMark/>
          </w:tcPr>
          <w:p w14:paraId="50204F34" w14:textId="77777777" w:rsidR="0087076F" w:rsidRPr="000D30C6" w:rsidRDefault="0087076F" w:rsidP="00171242">
            <w:pPr>
              <w:jc w:val="right"/>
              <w:rPr>
                <w:rFonts w:ascii="Calibri" w:hAnsi="Calibri"/>
                <w:i/>
                <w:iCs/>
                <w:color w:val="000000"/>
              </w:rPr>
            </w:pPr>
            <w:r w:rsidRPr="000D30C6">
              <w:rPr>
                <w:rFonts w:ascii="Calibri" w:hAnsi="Calibri"/>
                <w:i/>
                <w:iCs/>
                <w:color w:val="000000"/>
              </w:rPr>
              <w:t>3</w:t>
            </w:r>
          </w:p>
        </w:tc>
        <w:tc>
          <w:tcPr>
            <w:tcW w:w="960" w:type="dxa"/>
            <w:tcBorders>
              <w:top w:val="nil"/>
              <w:left w:val="nil"/>
              <w:bottom w:val="single" w:sz="8" w:space="0" w:color="000000"/>
              <w:right w:val="single" w:sz="8" w:space="0" w:color="000000"/>
            </w:tcBorders>
            <w:shd w:val="clear" w:color="auto" w:fill="auto"/>
            <w:vAlign w:val="bottom"/>
            <w:hideMark/>
          </w:tcPr>
          <w:p w14:paraId="50204F35" w14:textId="77777777" w:rsidR="0087076F" w:rsidRPr="0087076F" w:rsidRDefault="0087076F" w:rsidP="003A25DC">
            <w:pPr>
              <w:jc w:val="center"/>
              <w:rPr>
                <w:rFonts w:ascii="Calibri" w:hAnsi="Calibri"/>
                <w:sz w:val="22"/>
                <w:szCs w:val="22"/>
              </w:rPr>
            </w:pPr>
            <w:r w:rsidRPr="0087076F">
              <w:rPr>
                <w:rFonts w:ascii="Calibri" w:hAnsi="Calibri"/>
                <w:sz w:val="22"/>
                <w:szCs w:val="22"/>
              </w:rPr>
              <w:t>66</w:t>
            </w:r>
          </w:p>
        </w:tc>
        <w:tc>
          <w:tcPr>
            <w:tcW w:w="960" w:type="dxa"/>
            <w:tcBorders>
              <w:top w:val="nil"/>
              <w:left w:val="nil"/>
              <w:bottom w:val="single" w:sz="8" w:space="0" w:color="000000"/>
              <w:right w:val="single" w:sz="8" w:space="0" w:color="000000"/>
            </w:tcBorders>
            <w:shd w:val="clear" w:color="auto" w:fill="auto"/>
            <w:vAlign w:val="bottom"/>
            <w:hideMark/>
          </w:tcPr>
          <w:p w14:paraId="50204F36" w14:textId="77777777" w:rsidR="0087076F" w:rsidRPr="0087076F" w:rsidRDefault="0087076F" w:rsidP="003A25DC">
            <w:pPr>
              <w:jc w:val="center"/>
              <w:rPr>
                <w:rFonts w:ascii="Calibri" w:hAnsi="Calibri"/>
                <w:sz w:val="22"/>
                <w:szCs w:val="22"/>
              </w:rPr>
            </w:pPr>
            <w:r w:rsidRPr="0087076F">
              <w:rPr>
                <w:rFonts w:ascii="Calibri" w:hAnsi="Calibri"/>
                <w:sz w:val="22"/>
                <w:szCs w:val="22"/>
              </w:rPr>
              <w:t>57</w:t>
            </w:r>
          </w:p>
        </w:tc>
        <w:tc>
          <w:tcPr>
            <w:tcW w:w="960" w:type="dxa"/>
            <w:tcBorders>
              <w:top w:val="nil"/>
              <w:left w:val="nil"/>
              <w:bottom w:val="single" w:sz="8" w:space="0" w:color="000000"/>
              <w:right w:val="single" w:sz="8" w:space="0" w:color="000000"/>
            </w:tcBorders>
            <w:shd w:val="clear" w:color="000000" w:fill="FFFFFF"/>
            <w:vAlign w:val="bottom"/>
            <w:hideMark/>
          </w:tcPr>
          <w:p w14:paraId="50204F37" w14:textId="77777777" w:rsidR="0087076F" w:rsidRPr="0087076F" w:rsidRDefault="0087076F" w:rsidP="003A25DC">
            <w:pPr>
              <w:jc w:val="center"/>
              <w:rPr>
                <w:rFonts w:ascii="Calibri" w:hAnsi="Calibri"/>
                <w:sz w:val="22"/>
                <w:szCs w:val="22"/>
              </w:rPr>
            </w:pPr>
            <w:r w:rsidRPr="0087076F">
              <w:rPr>
                <w:rFonts w:ascii="Calibri" w:hAnsi="Calibri"/>
                <w:sz w:val="22"/>
                <w:szCs w:val="22"/>
              </w:rPr>
              <w:t>3</w:t>
            </w:r>
            <w:r w:rsidR="003A25DC">
              <w:rPr>
                <w:rFonts w:ascii="Calibri" w:hAnsi="Calibri"/>
                <w:sz w:val="22"/>
                <w:szCs w:val="22"/>
              </w:rPr>
              <w:t>7</w:t>
            </w:r>
          </w:p>
        </w:tc>
        <w:tc>
          <w:tcPr>
            <w:tcW w:w="960" w:type="dxa"/>
            <w:tcBorders>
              <w:top w:val="nil"/>
              <w:left w:val="nil"/>
              <w:bottom w:val="single" w:sz="8" w:space="0" w:color="000000"/>
              <w:right w:val="single" w:sz="8" w:space="0" w:color="000000"/>
            </w:tcBorders>
            <w:shd w:val="clear" w:color="000000" w:fill="FFFFFF"/>
            <w:vAlign w:val="bottom"/>
            <w:hideMark/>
          </w:tcPr>
          <w:p w14:paraId="50204F38" w14:textId="77777777" w:rsidR="0087076F" w:rsidRPr="0087076F" w:rsidRDefault="0087076F" w:rsidP="003A25DC">
            <w:pPr>
              <w:jc w:val="center"/>
              <w:rPr>
                <w:rFonts w:ascii="Calibri" w:hAnsi="Calibri"/>
                <w:sz w:val="22"/>
                <w:szCs w:val="22"/>
              </w:rPr>
            </w:pPr>
            <w:r w:rsidRPr="0087076F">
              <w:rPr>
                <w:rFonts w:ascii="Calibri" w:hAnsi="Calibri"/>
                <w:sz w:val="22"/>
                <w:szCs w:val="22"/>
              </w:rPr>
              <w:t>30</w:t>
            </w:r>
          </w:p>
        </w:tc>
        <w:tc>
          <w:tcPr>
            <w:tcW w:w="960" w:type="dxa"/>
            <w:tcBorders>
              <w:top w:val="nil"/>
              <w:left w:val="nil"/>
              <w:bottom w:val="single" w:sz="8" w:space="0" w:color="000000"/>
              <w:right w:val="single" w:sz="8" w:space="0" w:color="000000"/>
            </w:tcBorders>
            <w:shd w:val="clear" w:color="auto" w:fill="auto"/>
            <w:hideMark/>
          </w:tcPr>
          <w:p w14:paraId="50204F39" w14:textId="77777777" w:rsidR="0087076F" w:rsidRDefault="0087076F" w:rsidP="0087076F">
            <w:pPr>
              <w:jc w:val="center"/>
            </w:pPr>
            <w:r w:rsidRPr="00AB5E2E">
              <w:rPr>
                <w:rFonts w:ascii="Calibri" w:hAnsi="Calibri"/>
                <w:color w:val="000000"/>
                <w:sz w:val="22"/>
                <w:szCs w:val="22"/>
              </w:rPr>
              <w:t>*</w:t>
            </w:r>
          </w:p>
        </w:tc>
        <w:tc>
          <w:tcPr>
            <w:tcW w:w="960" w:type="dxa"/>
            <w:tcBorders>
              <w:top w:val="nil"/>
              <w:left w:val="nil"/>
              <w:bottom w:val="single" w:sz="8" w:space="0" w:color="000000"/>
              <w:right w:val="single" w:sz="8" w:space="0" w:color="000000"/>
            </w:tcBorders>
            <w:shd w:val="clear" w:color="auto" w:fill="auto"/>
            <w:hideMark/>
          </w:tcPr>
          <w:p w14:paraId="50204F3A" w14:textId="77777777" w:rsidR="0087076F" w:rsidRDefault="0087076F" w:rsidP="00764BF9">
            <w:pPr>
              <w:jc w:val="center"/>
            </w:pPr>
            <w:r w:rsidRPr="003B787F">
              <w:rPr>
                <w:rFonts w:ascii="Calibri" w:hAnsi="Calibri"/>
                <w:color w:val="000000"/>
                <w:sz w:val="22"/>
                <w:szCs w:val="22"/>
              </w:rPr>
              <w:t>*</w:t>
            </w:r>
          </w:p>
        </w:tc>
      </w:tr>
      <w:tr w:rsidR="0087076F" w:rsidRPr="000D30C6" w14:paraId="50204F44" w14:textId="77777777" w:rsidTr="00171242">
        <w:trPr>
          <w:trHeight w:val="315"/>
        </w:trPr>
        <w:tc>
          <w:tcPr>
            <w:tcW w:w="960" w:type="dxa"/>
            <w:vMerge/>
            <w:tcBorders>
              <w:top w:val="nil"/>
              <w:left w:val="nil"/>
              <w:bottom w:val="nil"/>
              <w:right w:val="single" w:sz="8" w:space="0" w:color="000000"/>
            </w:tcBorders>
            <w:vAlign w:val="center"/>
            <w:hideMark/>
          </w:tcPr>
          <w:p w14:paraId="50204F3C" w14:textId="77777777" w:rsidR="0087076F" w:rsidRPr="000D30C6" w:rsidRDefault="0087076F" w:rsidP="00171242">
            <w:pPr>
              <w:rPr>
                <w:rFonts w:ascii="Calibri" w:hAnsi="Calibri"/>
                <w:i/>
                <w:iCs/>
                <w:color w:val="000000"/>
              </w:rPr>
            </w:pPr>
          </w:p>
        </w:tc>
        <w:tc>
          <w:tcPr>
            <w:tcW w:w="960" w:type="dxa"/>
            <w:tcBorders>
              <w:top w:val="nil"/>
              <w:left w:val="nil"/>
              <w:bottom w:val="single" w:sz="8" w:space="0" w:color="000000"/>
              <w:right w:val="single" w:sz="8" w:space="0" w:color="000000"/>
            </w:tcBorders>
            <w:shd w:val="clear" w:color="000000" w:fill="E6B8B7"/>
            <w:vAlign w:val="bottom"/>
            <w:hideMark/>
          </w:tcPr>
          <w:p w14:paraId="50204F3D" w14:textId="77777777" w:rsidR="0087076F" w:rsidRPr="000D30C6" w:rsidRDefault="0087076F" w:rsidP="00171242">
            <w:pPr>
              <w:jc w:val="right"/>
              <w:rPr>
                <w:rFonts w:ascii="Calibri" w:hAnsi="Calibri"/>
                <w:i/>
                <w:iCs/>
                <w:color w:val="000000"/>
              </w:rPr>
            </w:pPr>
            <w:r w:rsidRPr="000D30C6">
              <w:rPr>
                <w:rFonts w:ascii="Calibri" w:hAnsi="Calibri"/>
                <w:i/>
                <w:iCs/>
                <w:color w:val="000000"/>
              </w:rPr>
              <w:t>4</w:t>
            </w:r>
          </w:p>
        </w:tc>
        <w:tc>
          <w:tcPr>
            <w:tcW w:w="960" w:type="dxa"/>
            <w:tcBorders>
              <w:top w:val="nil"/>
              <w:left w:val="nil"/>
              <w:bottom w:val="single" w:sz="8" w:space="0" w:color="000000"/>
              <w:right w:val="single" w:sz="8" w:space="0" w:color="000000"/>
            </w:tcBorders>
            <w:shd w:val="clear" w:color="auto" w:fill="auto"/>
            <w:vAlign w:val="bottom"/>
            <w:hideMark/>
          </w:tcPr>
          <w:p w14:paraId="50204F3E" w14:textId="77777777" w:rsidR="0087076F" w:rsidRPr="0087076F" w:rsidRDefault="0087076F" w:rsidP="003A25DC">
            <w:pPr>
              <w:jc w:val="center"/>
              <w:rPr>
                <w:rFonts w:ascii="Calibri" w:hAnsi="Calibri"/>
                <w:sz w:val="22"/>
                <w:szCs w:val="22"/>
              </w:rPr>
            </w:pPr>
            <w:r w:rsidRPr="0087076F">
              <w:rPr>
                <w:rFonts w:ascii="Calibri" w:hAnsi="Calibri"/>
                <w:sz w:val="22"/>
                <w:szCs w:val="22"/>
              </w:rPr>
              <w:t>8</w:t>
            </w:r>
            <w:r w:rsidR="003A25DC">
              <w:rPr>
                <w:rFonts w:ascii="Calibri" w:hAnsi="Calibri"/>
                <w:sz w:val="22"/>
                <w:szCs w:val="22"/>
              </w:rPr>
              <w:t>6</w:t>
            </w:r>
          </w:p>
        </w:tc>
        <w:tc>
          <w:tcPr>
            <w:tcW w:w="960" w:type="dxa"/>
            <w:tcBorders>
              <w:top w:val="nil"/>
              <w:left w:val="nil"/>
              <w:bottom w:val="single" w:sz="8" w:space="0" w:color="000000"/>
              <w:right w:val="single" w:sz="8" w:space="0" w:color="000000"/>
            </w:tcBorders>
            <w:shd w:val="clear" w:color="auto" w:fill="auto"/>
            <w:vAlign w:val="bottom"/>
            <w:hideMark/>
          </w:tcPr>
          <w:p w14:paraId="50204F3F" w14:textId="77777777" w:rsidR="0087076F" w:rsidRPr="0087076F" w:rsidRDefault="0087076F" w:rsidP="003A25DC">
            <w:pPr>
              <w:jc w:val="center"/>
              <w:rPr>
                <w:rFonts w:ascii="Calibri" w:hAnsi="Calibri"/>
                <w:sz w:val="22"/>
                <w:szCs w:val="22"/>
              </w:rPr>
            </w:pPr>
            <w:r w:rsidRPr="0087076F">
              <w:rPr>
                <w:rFonts w:ascii="Calibri" w:hAnsi="Calibri"/>
                <w:sz w:val="22"/>
                <w:szCs w:val="22"/>
              </w:rPr>
              <w:t>79</w:t>
            </w:r>
          </w:p>
        </w:tc>
        <w:tc>
          <w:tcPr>
            <w:tcW w:w="960" w:type="dxa"/>
            <w:tcBorders>
              <w:top w:val="nil"/>
              <w:left w:val="nil"/>
              <w:bottom w:val="single" w:sz="8" w:space="0" w:color="000000"/>
              <w:right w:val="single" w:sz="8" w:space="0" w:color="000000"/>
            </w:tcBorders>
            <w:shd w:val="clear" w:color="auto" w:fill="auto"/>
            <w:vAlign w:val="bottom"/>
            <w:hideMark/>
          </w:tcPr>
          <w:p w14:paraId="50204F40" w14:textId="77777777" w:rsidR="0087076F" w:rsidRPr="0087076F" w:rsidRDefault="0087076F" w:rsidP="003A25DC">
            <w:pPr>
              <w:jc w:val="center"/>
              <w:rPr>
                <w:rFonts w:ascii="Calibri" w:hAnsi="Calibri"/>
                <w:sz w:val="22"/>
                <w:szCs w:val="22"/>
              </w:rPr>
            </w:pPr>
            <w:r w:rsidRPr="0087076F">
              <w:rPr>
                <w:rFonts w:ascii="Calibri" w:hAnsi="Calibri"/>
                <w:sz w:val="22"/>
                <w:szCs w:val="22"/>
              </w:rPr>
              <w:t>6</w:t>
            </w:r>
            <w:r w:rsidR="003A25DC">
              <w:rPr>
                <w:rFonts w:ascii="Calibri" w:hAnsi="Calibri"/>
                <w:sz w:val="22"/>
                <w:szCs w:val="22"/>
              </w:rPr>
              <w:t>4</w:t>
            </w:r>
          </w:p>
        </w:tc>
        <w:tc>
          <w:tcPr>
            <w:tcW w:w="960" w:type="dxa"/>
            <w:tcBorders>
              <w:top w:val="nil"/>
              <w:left w:val="nil"/>
              <w:bottom w:val="single" w:sz="8" w:space="0" w:color="000000"/>
              <w:right w:val="single" w:sz="8" w:space="0" w:color="000000"/>
            </w:tcBorders>
            <w:shd w:val="clear" w:color="auto" w:fill="auto"/>
            <w:vAlign w:val="bottom"/>
            <w:hideMark/>
          </w:tcPr>
          <w:p w14:paraId="50204F41" w14:textId="77777777" w:rsidR="0087076F" w:rsidRPr="0087076F" w:rsidRDefault="00F16459" w:rsidP="003A25DC">
            <w:pPr>
              <w:jc w:val="center"/>
              <w:rPr>
                <w:rFonts w:ascii="Calibri" w:hAnsi="Calibri"/>
                <w:sz w:val="22"/>
                <w:szCs w:val="22"/>
              </w:rPr>
            </w:pPr>
            <w:r>
              <w:rPr>
                <w:rFonts w:ascii="Calibri" w:hAnsi="Calibri"/>
                <w:sz w:val="22"/>
                <w:szCs w:val="22"/>
              </w:rPr>
              <w:t>4</w:t>
            </w:r>
            <w:r w:rsidR="0087076F" w:rsidRPr="0087076F">
              <w:rPr>
                <w:rFonts w:ascii="Calibri" w:hAnsi="Calibri"/>
                <w:sz w:val="22"/>
                <w:szCs w:val="22"/>
              </w:rPr>
              <w:t>9</w:t>
            </w:r>
          </w:p>
        </w:tc>
        <w:tc>
          <w:tcPr>
            <w:tcW w:w="960" w:type="dxa"/>
            <w:tcBorders>
              <w:top w:val="nil"/>
              <w:left w:val="nil"/>
              <w:bottom w:val="single" w:sz="8" w:space="0" w:color="000000"/>
              <w:right w:val="single" w:sz="8" w:space="0" w:color="000000"/>
            </w:tcBorders>
            <w:shd w:val="clear" w:color="auto" w:fill="auto"/>
            <w:hideMark/>
          </w:tcPr>
          <w:p w14:paraId="50204F42" w14:textId="77777777" w:rsidR="0087076F" w:rsidRDefault="0087076F" w:rsidP="0087076F">
            <w:pPr>
              <w:jc w:val="center"/>
            </w:pPr>
            <w:r w:rsidRPr="00AB5E2E">
              <w:rPr>
                <w:rFonts w:ascii="Calibri" w:hAnsi="Calibri"/>
                <w:color w:val="000000"/>
                <w:sz w:val="22"/>
                <w:szCs w:val="22"/>
              </w:rPr>
              <w:t>*</w:t>
            </w:r>
          </w:p>
        </w:tc>
        <w:tc>
          <w:tcPr>
            <w:tcW w:w="960" w:type="dxa"/>
            <w:tcBorders>
              <w:top w:val="nil"/>
              <w:left w:val="nil"/>
              <w:bottom w:val="single" w:sz="8" w:space="0" w:color="000000"/>
              <w:right w:val="single" w:sz="8" w:space="0" w:color="000000"/>
            </w:tcBorders>
            <w:shd w:val="clear" w:color="auto" w:fill="auto"/>
            <w:hideMark/>
          </w:tcPr>
          <w:p w14:paraId="50204F43" w14:textId="77777777" w:rsidR="0087076F" w:rsidRDefault="0087076F" w:rsidP="00764BF9">
            <w:pPr>
              <w:jc w:val="center"/>
            </w:pPr>
            <w:r w:rsidRPr="003B787F">
              <w:rPr>
                <w:rFonts w:ascii="Calibri" w:hAnsi="Calibri"/>
                <w:color w:val="000000"/>
                <w:sz w:val="22"/>
                <w:szCs w:val="22"/>
              </w:rPr>
              <w:t>*</w:t>
            </w:r>
          </w:p>
        </w:tc>
      </w:tr>
      <w:tr w:rsidR="0087076F" w:rsidRPr="000D30C6" w14:paraId="50204F4D" w14:textId="77777777" w:rsidTr="00171242">
        <w:trPr>
          <w:trHeight w:val="315"/>
        </w:trPr>
        <w:tc>
          <w:tcPr>
            <w:tcW w:w="960" w:type="dxa"/>
            <w:vMerge/>
            <w:tcBorders>
              <w:top w:val="nil"/>
              <w:left w:val="nil"/>
              <w:bottom w:val="nil"/>
              <w:right w:val="single" w:sz="8" w:space="0" w:color="000000"/>
            </w:tcBorders>
            <w:vAlign w:val="center"/>
            <w:hideMark/>
          </w:tcPr>
          <w:p w14:paraId="50204F45" w14:textId="77777777" w:rsidR="0087076F" w:rsidRPr="000D30C6" w:rsidRDefault="0087076F" w:rsidP="00171242">
            <w:pPr>
              <w:rPr>
                <w:rFonts w:ascii="Calibri" w:hAnsi="Calibri"/>
                <w:i/>
                <w:iCs/>
                <w:color w:val="000000"/>
              </w:rPr>
            </w:pPr>
          </w:p>
        </w:tc>
        <w:tc>
          <w:tcPr>
            <w:tcW w:w="960" w:type="dxa"/>
            <w:tcBorders>
              <w:top w:val="nil"/>
              <w:left w:val="nil"/>
              <w:bottom w:val="single" w:sz="8" w:space="0" w:color="000000"/>
              <w:right w:val="single" w:sz="8" w:space="0" w:color="000000"/>
            </w:tcBorders>
            <w:shd w:val="clear" w:color="000000" w:fill="E6B8B7"/>
            <w:vAlign w:val="bottom"/>
            <w:hideMark/>
          </w:tcPr>
          <w:p w14:paraId="50204F46" w14:textId="77777777" w:rsidR="0087076F" w:rsidRPr="000D30C6" w:rsidRDefault="0087076F" w:rsidP="00171242">
            <w:pPr>
              <w:jc w:val="right"/>
              <w:rPr>
                <w:rFonts w:ascii="Calibri" w:hAnsi="Calibri"/>
                <w:i/>
                <w:iCs/>
                <w:color w:val="000000"/>
              </w:rPr>
            </w:pPr>
            <w:r w:rsidRPr="000D30C6">
              <w:rPr>
                <w:rFonts w:ascii="Calibri" w:hAnsi="Calibri"/>
                <w:i/>
                <w:iCs/>
                <w:color w:val="000000"/>
              </w:rPr>
              <w:t>5</w:t>
            </w:r>
            <w:r>
              <w:rPr>
                <w:rFonts w:ascii="Calibri" w:hAnsi="Calibri"/>
                <w:i/>
                <w:iCs/>
                <w:color w:val="000000"/>
              </w:rPr>
              <w:t>+</w:t>
            </w:r>
          </w:p>
        </w:tc>
        <w:tc>
          <w:tcPr>
            <w:tcW w:w="960" w:type="dxa"/>
            <w:tcBorders>
              <w:top w:val="nil"/>
              <w:left w:val="nil"/>
              <w:bottom w:val="single" w:sz="8" w:space="0" w:color="000000"/>
              <w:right w:val="single" w:sz="8" w:space="0" w:color="000000"/>
            </w:tcBorders>
            <w:shd w:val="clear" w:color="auto" w:fill="auto"/>
            <w:vAlign w:val="bottom"/>
            <w:hideMark/>
          </w:tcPr>
          <w:p w14:paraId="50204F47" w14:textId="77777777" w:rsidR="0087076F" w:rsidRPr="0087076F" w:rsidRDefault="0087076F" w:rsidP="003A25DC">
            <w:pPr>
              <w:jc w:val="center"/>
              <w:rPr>
                <w:rFonts w:ascii="Calibri" w:hAnsi="Calibri"/>
                <w:sz w:val="22"/>
                <w:szCs w:val="22"/>
              </w:rPr>
            </w:pPr>
            <w:r w:rsidRPr="0087076F">
              <w:rPr>
                <w:rFonts w:ascii="Calibri" w:hAnsi="Calibri"/>
                <w:sz w:val="22"/>
                <w:szCs w:val="22"/>
              </w:rPr>
              <w:t>91</w:t>
            </w:r>
          </w:p>
        </w:tc>
        <w:tc>
          <w:tcPr>
            <w:tcW w:w="960" w:type="dxa"/>
            <w:tcBorders>
              <w:top w:val="nil"/>
              <w:left w:val="nil"/>
              <w:bottom w:val="single" w:sz="8" w:space="0" w:color="000000"/>
              <w:right w:val="single" w:sz="8" w:space="0" w:color="000000"/>
            </w:tcBorders>
            <w:shd w:val="clear" w:color="auto" w:fill="auto"/>
            <w:vAlign w:val="bottom"/>
            <w:hideMark/>
          </w:tcPr>
          <w:p w14:paraId="50204F48" w14:textId="77777777" w:rsidR="0087076F" w:rsidRPr="0087076F" w:rsidRDefault="00F16459" w:rsidP="003A25DC">
            <w:pPr>
              <w:jc w:val="center"/>
              <w:rPr>
                <w:rFonts w:ascii="Calibri" w:hAnsi="Calibri"/>
                <w:sz w:val="22"/>
                <w:szCs w:val="22"/>
              </w:rPr>
            </w:pPr>
            <w:r>
              <w:rPr>
                <w:rFonts w:ascii="Calibri" w:hAnsi="Calibri"/>
                <w:sz w:val="22"/>
                <w:szCs w:val="22"/>
              </w:rPr>
              <w:t>8</w:t>
            </w:r>
            <w:r w:rsidR="0087076F" w:rsidRPr="0087076F">
              <w:rPr>
                <w:rFonts w:ascii="Calibri" w:hAnsi="Calibri"/>
                <w:sz w:val="22"/>
                <w:szCs w:val="22"/>
              </w:rPr>
              <w:t>9</w:t>
            </w:r>
          </w:p>
        </w:tc>
        <w:tc>
          <w:tcPr>
            <w:tcW w:w="960" w:type="dxa"/>
            <w:tcBorders>
              <w:top w:val="nil"/>
              <w:left w:val="nil"/>
              <w:bottom w:val="single" w:sz="8" w:space="0" w:color="000000"/>
              <w:right w:val="single" w:sz="8" w:space="0" w:color="000000"/>
            </w:tcBorders>
            <w:shd w:val="clear" w:color="auto" w:fill="auto"/>
            <w:vAlign w:val="bottom"/>
            <w:hideMark/>
          </w:tcPr>
          <w:p w14:paraId="50204F49" w14:textId="77777777" w:rsidR="0087076F" w:rsidRPr="0087076F" w:rsidRDefault="0087076F" w:rsidP="003A25DC">
            <w:pPr>
              <w:jc w:val="center"/>
              <w:rPr>
                <w:rFonts w:ascii="Calibri" w:hAnsi="Calibri"/>
                <w:sz w:val="22"/>
                <w:szCs w:val="22"/>
              </w:rPr>
            </w:pPr>
            <w:r w:rsidRPr="0087076F">
              <w:rPr>
                <w:rFonts w:ascii="Calibri" w:hAnsi="Calibri"/>
                <w:sz w:val="22"/>
                <w:szCs w:val="22"/>
              </w:rPr>
              <w:t>8</w:t>
            </w:r>
            <w:r w:rsidR="003A25DC">
              <w:rPr>
                <w:rFonts w:ascii="Calibri" w:hAnsi="Calibri"/>
                <w:sz w:val="22"/>
                <w:szCs w:val="22"/>
              </w:rPr>
              <w:t>3</w:t>
            </w:r>
          </w:p>
        </w:tc>
        <w:tc>
          <w:tcPr>
            <w:tcW w:w="960" w:type="dxa"/>
            <w:tcBorders>
              <w:top w:val="nil"/>
              <w:left w:val="nil"/>
              <w:bottom w:val="single" w:sz="8" w:space="0" w:color="000000"/>
              <w:right w:val="single" w:sz="8" w:space="0" w:color="000000"/>
            </w:tcBorders>
            <w:shd w:val="clear" w:color="auto" w:fill="auto"/>
            <w:vAlign w:val="bottom"/>
            <w:hideMark/>
          </w:tcPr>
          <w:p w14:paraId="50204F4A" w14:textId="77777777" w:rsidR="0087076F" w:rsidRPr="0087076F" w:rsidRDefault="0087076F" w:rsidP="003A25DC">
            <w:pPr>
              <w:jc w:val="center"/>
              <w:rPr>
                <w:rFonts w:ascii="Calibri" w:hAnsi="Calibri"/>
                <w:sz w:val="22"/>
                <w:szCs w:val="22"/>
              </w:rPr>
            </w:pPr>
            <w:r w:rsidRPr="0087076F">
              <w:rPr>
                <w:rFonts w:ascii="Calibri" w:hAnsi="Calibri"/>
                <w:sz w:val="22"/>
                <w:szCs w:val="22"/>
              </w:rPr>
              <w:t>72</w:t>
            </w:r>
          </w:p>
        </w:tc>
        <w:tc>
          <w:tcPr>
            <w:tcW w:w="960" w:type="dxa"/>
            <w:tcBorders>
              <w:top w:val="nil"/>
              <w:left w:val="nil"/>
              <w:bottom w:val="single" w:sz="8" w:space="0" w:color="000000"/>
              <w:right w:val="single" w:sz="8" w:space="0" w:color="000000"/>
            </w:tcBorders>
            <w:shd w:val="clear" w:color="auto" w:fill="auto"/>
            <w:hideMark/>
          </w:tcPr>
          <w:p w14:paraId="50204F4B" w14:textId="77777777" w:rsidR="0087076F" w:rsidRDefault="0087076F" w:rsidP="0087076F">
            <w:pPr>
              <w:jc w:val="center"/>
            </w:pPr>
            <w:r w:rsidRPr="00AB5E2E">
              <w:rPr>
                <w:rFonts w:ascii="Calibri" w:hAnsi="Calibri"/>
                <w:color w:val="000000"/>
                <w:sz w:val="22"/>
                <w:szCs w:val="22"/>
              </w:rPr>
              <w:t>*</w:t>
            </w:r>
          </w:p>
        </w:tc>
        <w:tc>
          <w:tcPr>
            <w:tcW w:w="960" w:type="dxa"/>
            <w:tcBorders>
              <w:top w:val="nil"/>
              <w:left w:val="nil"/>
              <w:bottom w:val="single" w:sz="8" w:space="0" w:color="000000"/>
              <w:right w:val="single" w:sz="8" w:space="0" w:color="000000"/>
            </w:tcBorders>
            <w:shd w:val="clear" w:color="auto" w:fill="auto"/>
            <w:hideMark/>
          </w:tcPr>
          <w:p w14:paraId="50204F4C" w14:textId="77777777" w:rsidR="0087076F" w:rsidRDefault="0087076F" w:rsidP="00764BF9">
            <w:pPr>
              <w:jc w:val="center"/>
            </w:pPr>
            <w:r w:rsidRPr="003B787F">
              <w:rPr>
                <w:rFonts w:ascii="Calibri" w:hAnsi="Calibri"/>
                <w:color w:val="000000"/>
                <w:sz w:val="22"/>
                <w:szCs w:val="22"/>
              </w:rPr>
              <w:t>*</w:t>
            </w:r>
          </w:p>
        </w:tc>
      </w:tr>
    </w:tbl>
    <w:p w14:paraId="50204F4E" w14:textId="77777777" w:rsidR="0087076F" w:rsidRDefault="0087076F" w:rsidP="00A54C70">
      <w:pPr>
        <w:pStyle w:val="BodyText"/>
        <w:spacing w:before="120" w:after="120"/>
        <w:ind w:left="1268" w:right="-187" w:hanging="274"/>
        <w:rPr>
          <w:sz w:val="20"/>
          <w:szCs w:val="18"/>
        </w:rPr>
      </w:pPr>
      <w:r w:rsidRPr="0087076F">
        <w:rPr>
          <w:rFonts w:ascii="Times New Roman" w:hAnsi="Times New Roman" w:cs="Times New Roman"/>
          <w:sz w:val="20"/>
          <w:szCs w:val="18"/>
        </w:rPr>
        <w:t xml:space="preserve">*  </w:t>
      </w:r>
      <w:r>
        <w:rPr>
          <w:rFonts w:ascii="Times New Roman" w:hAnsi="Times New Roman" w:cs="Times New Roman"/>
          <w:sz w:val="20"/>
          <w:szCs w:val="18"/>
        </w:rPr>
        <w:tab/>
      </w:r>
      <w:r w:rsidRPr="0087076F">
        <w:rPr>
          <w:sz w:val="20"/>
          <w:szCs w:val="18"/>
        </w:rPr>
        <w:t>Students in Level</w:t>
      </w:r>
      <w:r w:rsidR="00764BF9">
        <w:rPr>
          <w:sz w:val="20"/>
          <w:szCs w:val="18"/>
        </w:rPr>
        <w:t>s</w:t>
      </w:r>
      <w:r w:rsidRPr="0087076F">
        <w:rPr>
          <w:sz w:val="20"/>
          <w:szCs w:val="18"/>
        </w:rPr>
        <w:t xml:space="preserve"> 5 </w:t>
      </w:r>
      <w:r w:rsidR="00764BF9">
        <w:rPr>
          <w:sz w:val="20"/>
          <w:szCs w:val="18"/>
        </w:rPr>
        <w:t xml:space="preserve">and 6 </w:t>
      </w:r>
      <w:r w:rsidRPr="0087076F">
        <w:rPr>
          <w:sz w:val="20"/>
          <w:szCs w:val="18"/>
        </w:rPr>
        <w:t xml:space="preserve">are required to gain at least one point on the </w:t>
      </w:r>
      <w:r>
        <w:rPr>
          <w:sz w:val="20"/>
          <w:szCs w:val="18"/>
        </w:rPr>
        <w:t xml:space="preserve">ACCESS </w:t>
      </w:r>
      <w:r w:rsidRPr="0087076F">
        <w:rPr>
          <w:sz w:val="20"/>
          <w:szCs w:val="18"/>
        </w:rPr>
        <w:t xml:space="preserve">vertical </w:t>
      </w:r>
      <w:r>
        <w:rPr>
          <w:sz w:val="20"/>
          <w:szCs w:val="18"/>
        </w:rPr>
        <w:t xml:space="preserve">score </w:t>
      </w:r>
      <w:r w:rsidRPr="0087076F">
        <w:rPr>
          <w:sz w:val="20"/>
          <w:szCs w:val="18"/>
        </w:rPr>
        <w:t xml:space="preserve">scale AND remain </w:t>
      </w:r>
      <w:r w:rsidR="00764BF9">
        <w:rPr>
          <w:sz w:val="20"/>
          <w:szCs w:val="18"/>
        </w:rPr>
        <w:t xml:space="preserve">at least </w:t>
      </w:r>
      <w:r w:rsidRPr="0087076F">
        <w:rPr>
          <w:sz w:val="20"/>
          <w:szCs w:val="18"/>
        </w:rPr>
        <w:t>in Level 5.</w:t>
      </w:r>
    </w:p>
    <w:p w14:paraId="50204F4F" w14:textId="77777777" w:rsidR="00A86AA0" w:rsidRPr="00C57AD2" w:rsidRDefault="00A86AA0" w:rsidP="00342A05">
      <w:pPr>
        <w:pStyle w:val="BodyText"/>
        <w:ind w:right="-187"/>
        <w:rPr>
          <w:b/>
          <w:sz w:val="24"/>
          <w:szCs w:val="16"/>
        </w:rPr>
      </w:pPr>
    </w:p>
    <w:p w14:paraId="50204F50" w14:textId="77777777" w:rsidR="00172CFE" w:rsidRPr="00EC0873" w:rsidRDefault="00172CFE" w:rsidP="00331A64">
      <w:pPr>
        <w:pStyle w:val="BodyText"/>
        <w:spacing w:after="120"/>
        <w:ind w:right="-187"/>
        <w:rPr>
          <w:b/>
          <w:sz w:val="24"/>
        </w:rPr>
      </w:pPr>
      <w:r w:rsidRPr="00EC0873">
        <w:rPr>
          <w:b/>
          <w:sz w:val="24"/>
        </w:rPr>
        <w:t xml:space="preserve">Understanding the </w:t>
      </w:r>
      <w:r w:rsidR="0054381D">
        <w:rPr>
          <w:b/>
          <w:sz w:val="24"/>
        </w:rPr>
        <w:t>M</w:t>
      </w:r>
      <w:r w:rsidRPr="00EC0873">
        <w:rPr>
          <w:b/>
          <w:sz w:val="24"/>
        </w:rPr>
        <w:t>atrix</w:t>
      </w:r>
    </w:p>
    <w:p w14:paraId="50204F51" w14:textId="77777777" w:rsidR="0088261D" w:rsidRPr="006D38D5" w:rsidRDefault="0087076F" w:rsidP="00331A64">
      <w:pPr>
        <w:pStyle w:val="BodyText"/>
        <w:spacing w:after="120"/>
        <w:ind w:right="-187"/>
        <w:rPr>
          <w:rFonts w:ascii="Times New Roman" w:hAnsi="Times New Roman" w:cs="Times New Roman"/>
          <w:sz w:val="24"/>
        </w:rPr>
      </w:pPr>
      <w:r>
        <w:rPr>
          <w:rFonts w:ascii="Times New Roman" w:hAnsi="Times New Roman" w:cs="Times New Roman"/>
          <w:sz w:val="24"/>
        </w:rPr>
        <w:t xml:space="preserve">The </w:t>
      </w:r>
      <w:r w:rsidR="00331A64">
        <w:rPr>
          <w:rFonts w:ascii="Times New Roman" w:hAnsi="Times New Roman" w:cs="Times New Roman"/>
          <w:sz w:val="24"/>
        </w:rPr>
        <w:t>growth-to-</w:t>
      </w:r>
      <w:r w:rsidR="007F0DCC">
        <w:rPr>
          <w:rFonts w:ascii="Times New Roman" w:hAnsi="Times New Roman" w:cs="Times New Roman"/>
          <w:sz w:val="24"/>
        </w:rPr>
        <w:t>proficiency</w:t>
      </w:r>
      <w:r w:rsidR="00331A64">
        <w:rPr>
          <w:rFonts w:ascii="Times New Roman" w:hAnsi="Times New Roman" w:cs="Times New Roman"/>
          <w:sz w:val="24"/>
        </w:rPr>
        <w:t xml:space="preserve"> targets shown </w:t>
      </w:r>
      <w:r w:rsidR="00BB7E00">
        <w:rPr>
          <w:rFonts w:ascii="Times New Roman" w:hAnsi="Times New Roman" w:cs="Times New Roman"/>
          <w:sz w:val="24"/>
        </w:rPr>
        <w:t xml:space="preserve">in </w:t>
      </w:r>
      <w:r w:rsidR="00BB7E00" w:rsidRPr="00545259">
        <w:rPr>
          <w:rFonts w:ascii="Times New Roman" w:hAnsi="Times New Roman" w:cs="Times New Roman"/>
          <w:b/>
          <w:sz w:val="24"/>
        </w:rPr>
        <w:t>Table 1</w:t>
      </w:r>
      <w:r>
        <w:rPr>
          <w:rFonts w:ascii="Times New Roman" w:hAnsi="Times New Roman" w:cs="Times New Roman"/>
          <w:sz w:val="24"/>
        </w:rPr>
        <w:t xml:space="preserve"> indicate, for example</w:t>
      </w:r>
      <w:r w:rsidR="00172CFE">
        <w:rPr>
          <w:rFonts w:ascii="Times New Roman" w:hAnsi="Times New Roman" w:cs="Times New Roman"/>
          <w:sz w:val="24"/>
        </w:rPr>
        <w:t>,</w:t>
      </w:r>
      <w:r>
        <w:rPr>
          <w:rFonts w:ascii="Times New Roman" w:hAnsi="Times New Roman" w:cs="Times New Roman"/>
          <w:sz w:val="24"/>
        </w:rPr>
        <w:t xml:space="preserve"> that:</w:t>
      </w:r>
    </w:p>
    <w:p w14:paraId="50204F52" w14:textId="77777777" w:rsidR="006D38D5" w:rsidRDefault="006D38D5" w:rsidP="006D38D5">
      <w:pPr>
        <w:pStyle w:val="BodyText"/>
        <w:numPr>
          <w:ilvl w:val="0"/>
          <w:numId w:val="10"/>
        </w:numPr>
        <w:ind w:left="540" w:right="-180"/>
        <w:rPr>
          <w:rFonts w:ascii="Times New Roman" w:hAnsi="Times New Roman" w:cs="Times New Roman"/>
          <w:sz w:val="24"/>
        </w:rPr>
      </w:pPr>
      <w:r>
        <w:rPr>
          <w:rFonts w:ascii="Times New Roman" w:hAnsi="Times New Roman" w:cs="Times New Roman"/>
          <w:sz w:val="24"/>
        </w:rPr>
        <w:t>A s</w:t>
      </w:r>
      <w:r w:rsidR="006228FA">
        <w:rPr>
          <w:rFonts w:ascii="Times New Roman" w:hAnsi="Times New Roman" w:cs="Times New Roman"/>
          <w:sz w:val="24"/>
        </w:rPr>
        <w:t>tudent in Year 1</w:t>
      </w:r>
      <w:r>
        <w:rPr>
          <w:rFonts w:ascii="Times New Roman" w:hAnsi="Times New Roman" w:cs="Times New Roman"/>
          <w:sz w:val="24"/>
        </w:rPr>
        <w:t xml:space="preserve"> </w:t>
      </w:r>
      <w:r w:rsidR="00545259">
        <w:rPr>
          <w:rFonts w:ascii="Times New Roman" w:hAnsi="Times New Roman" w:cs="Times New Roman"/>
          <w:sz w:val="24"/>
        </w:rPr>
        <w:t xml:space="preserve">in a MA school who is </w:t>
      </w:r>
      <w:r w:rsidR="0088261D">
        <w:rPr>
          <w:rFonts w:ascii="Times New Roman" w:hAnsi="Times New Roman" w:cs="Times New Roman"/>
          <w:sz w:val="24"/>
        </w:rPr>
        <w:t xml:space="preserve">at proficiency Level 3 </w:t>
      </w:r>
      <w:r>
        <w:rPr>
          <w:rFonts w:ascii="Times New Roman" w:hAnsi="Times New Roman" w:cs="Times New Roman"/>
          <w:sz w:val="24"/>
        </w:rPr>
        <w:t xml:space="preserve">must achieve an SGPA of </w:t>
      </w:r>
      <w:r w:rsidR="0087076F">
        <w:rPr>
          <w:rFonts w:ascii="Times New Roman" w:hAnsi="Times New Roman" w:cs="Times New Roman"/>
          <w:sz w:val="24"/>
        </w:rPr>
        <w:t>4</w:t>
      </w:r>
      <w:r w:rsidR="003A25DC">
        <w:rPr>
          <w:rFonts w:ascii="Times New Roman" w:hAnsi="Times New Roman" w:cs="Times New Roman"/>
          <w:sz w:val="24"/>
        </w:rPr>
        <w:t>1</w:t>
      </w:r>
      <w:r w:rsidR="0087076F">
        <w:rPr>
          <w:rFonts w:ascii="Times New Roman" w:hAnsi="Times New Roman" w:cs="Times New Roman"/>
          <w:sz w:val="24"/>
        </w:rPr>
        <w:t xml:space="preserve"> </w:t>
      </w:r>
      <w:r>
        <w:rPr>
          <w:rFonts w:ascii="Times New Roman" w:hAnsi="Times New Roman" w:cs="Times New Roman"/>
          <w:sz w:val="24"/>
        </w:rPr>
        <w:t xml:space="preserve">to </w:t>
      </w:r>
      <w:r w:rsidR="007D6A0F">
        <w:rPr>
          <w:rFonts w:ascii="Times New Roman" w:hAnsi="Times New Roman" w:cs="Times New Roman"/>
          <w:sz w:val="24"/>
        </w:rPr>
        <w:t xml:space="preserve">be on target to </w:t>
      </w:r>
      <w:r>
        <w:rPr>
          <w:rFonts w:ascii="Times New Roman" w:hAnsi="Times New Roman" w:cs="Times New Roman"/>
          <w:sz w:val="24"/>
        </w:rPr>
        <w:t>attain proficiency in f</w:t>
      </w:r>
      <w:r w:rsidR="006228FA">
        <w:rPr>
          <w:rFonts w:ascii="Times New Roman" w:hAnsi="Times New Roman" w:cs="Times New Roman"/>
          <w:sz w:val="24"/>
        </w:rPr>
        <w:t xml:space="preserve">ive </w:t>
      </w:r>
      <w:r w:rsidR="00B279F5">
        <w:rPr>
          <w:rFonts w:ascii="Times New Roman" w:hAnsi="Times New Roman" w:cs="Times New Roman"/>
          <w:sz w:val="24"/>
        </w:rPr>
        <w:t xml:space="preserve">remaining </w:t>
      </w:r>
      <w:r>
        <w:rPr>
          <w:rFonts w:ascii="Times New Roman" w:hAnsi="Times New Roman" w:cs="Times New Roman"/>
          <w:sz w:val="24"/>
        </w:rPr>
        <w:t>years</w:t>
      </w:r>
      <w:r w:rsidR="0087076F">
        <w:rPr>
          <w:rFonts w:ascii="Times New Roman" w:hAnsi="Times New Roman" w:cs="Times New Roman"/>
          <w:sz w:val="24"/>
        </w:rPr>
        <w:t>.</w:t>
      </w:r>
    </w:p>
    <w:p w14:paraId="50204F53" w14:textId="77777777" w:rsidR="00406EA7" w:rsidRDefault="006D38D5" w:rsidP="006D38D5">
      <w:pPr>
        <w:pStyle w:val="BodyText"/>
        <w:numPr>
          <w:ilvl w:val="0"/>
          <w:numId w:val="10"/>
        </w:numPr>
        <w:ind w:left="540" w:right="-180"/>
        <w:rPr>
          <w:rFonts w:ascii="Times New Roman" w:hAnsi="Times New Roman" w:cs="Times New Roman"/>
          <w:sz w:val="24"/>
        </w:rPr>
      </w:pPr>
      <w:r>
        <w:rPr>
          <w:rFonts w:ascii="Times New Roman" w:hAnsi="Times New Roman" w:cs="Times New Roman"/>
          <w:sz w:val="24"/>
        </w:rPr>
        <w:t xml:space="preserve">A student in Year 2 </w:t>
      </w:r>
      <w:r w:rsidR="00545259">
        <w:rPr>
          <w:rFonts w:ascii="Times New Roman" w:hAnsi="Times New Roman" w:cs="Times New Roman"/>
          <w:sz w:val="24"/>
        </w:rPr>
        <w:t xml:space="preserve">in a MA school who is </w:t>
      </w:r>
      <w:r w:rsidR="0088261D">
        <w:rPr>
          <w:rFonts w:ascii="Times New Roman" w:hAnsi="Times New Roman" w:cs="Times New Roman"/>
          <w:sz w:val="24"/>
        </w:rPr>
        <w:t xml:space="preserve">at proficiency Level 4 </w:t>
      </w:r>
      <w:r>
        <w:rPr>
          <w:rFonts w:ascii="Times New Roman" w:hAnsi="Times New Roman" w:cs="Times New Roman"/>
          <w:sz w:val="24"/>
        </w:rPr>
        <w:t xml:space="preserve">must achieve an SGPA of </w:t>
      </w:r>
      <w:r w:rsidR="0087076F">
        <w:rPr>
          <w:rFonts w:ascii="Times New Roman" w:hAnsi="Times New Roman" w:cs="Times New Roman"/>
          <w:sz w:val="24"/>
        </w:rPr>
        <w:t>3</w:t>
      </w:r>
      <w:r w:rsidR="003A25DC">
        <w:rPr>
          <w:rFonts w:ascii="Times New Roman" w:hAnsi="Times New Roman" w:cs="Times New Roman"/>
          <w:sz w:val="24"/>
        </w:rPr>
        <w:t>3</w:t>
      </w:r>
      <w:r>
        <w:rPr>
          <w:rFonts w:ascii="Times New Roman" w:hAnsi="Times New Roman" w:cs="Times New Roman"/>
          <w:sz w:val="24"/>
        </w:rPr>
        <w:t xml:space="preserve"> to </w:t>
      </w:r>
      <w:r w:rsidR="007D6A0F">
        <w:rPr>
          <w:rFonts w:ascii="Times New Roman" w:hAnsi="Times New Roman" w:cs="Times New Roman"/>
          <w:sz w:val="24"/>
        </w:rPr>
        <w:t xml:space="preserve">be on target to </w:t>
      </w:r>
      <w:r>
        <w:rPr>
          <w:rFonts w:ascii="Times New Roman" w:hAnsi="Times New Roman" w:cs="Times New Roman"/>
          <w:sz w:val="24"/>
        </w:rPr>
        <w:t>attain proficiency in four remaining years</w:t>
      </w:r>
      <w:r w:rsidR="0087076F">
        <w:rPr>
          <w:rFonts w:ascii="Times New Roman" w:hAnsi="Times New Roman" w:cs="Times New Roman"/>
          <w:sz w:val="24"/>
        </w:rPr>
        <w:t>.</w:t>
      </w:r>
    </w:p>
    <w:p w14:paraId="50204F54" w14:textId="77777777" w:rsidR="006D38D5" w:rsidRDefault="006D38D5" w:rsidP="006D38D5">
      <w:pPr>
        <w:pStyle w:val="BodyText"/>
        <w:numPr>
          <w:ilvl w:val="0"/>
          <w:numId w:val="10"/>
        </w:numPr>
        <w:ind w:left="540" w:right="-180"/>
        <w:rPr>
          <w:rFonts w:ascii="Times New Roman" w:hAnsi="Times New Roman" w:cs="Times New Roman"/>
          <w:sz w:val="24"/>
        </w:rPr>
      </w:pPr>
      <w:r>
        <w:rPr>
          <w:rFonts w:ascii="Times New Roman" w:hAnsi="Times New Roman" w:cs="Times New Roman"/>
          <w:sz w:val="24"/>
        </w:rPr>
        <w:t xml:space="preserve">A student in Year 3 </w:t>
      </w:r>
      <w:r w:rsidR="00545259">
        <w:rPr>
          <w:rFonts w:ascii="Times New Roman" w:hAnsi="Times New Roman" w:cs="Times New Roman"/>
          <w:sz w:val="24"/>
        </w:rPr>
        <w:t xml:space="preserve">in a MA school who is </w:t>
      </w:r>
      <w:r w:rsidR="0088261D">
        <w:rPr>
          <w:rFonts w:ascii="Times New Roman" w:hAnsi="Times New Roman" w:cs="Times New Roman"/>
          <w:sz w:val="24"/>
        </w:rPr>
        <w:t xml:space="preserve">at proficiency Level 2 </w:t>
      </w:r>
      <w:r>
        <w:rPr>
          <w:rFonts w:ascii="Times New Roman" w:hAnsi="Times New Roman" w:cs="Times New Roman"/>
          <w:sz w:val="24"/>
        </w:rPr>
        <w:t xml:space="preserve">must achieve an SGPA of </w:t>
      </w:r>
      <w:r w:rsidR="0087076F">
        <w:rPr>
          <w:rFonts w:ascii="Times New Roman" w:hAnsi="Times New Roman" w:cs="Times New Roman"/>
          <w:sz w:val="24"/>
        </w:rPr>
        <w:t>5</w:t>
      </w:r>
      <w:r w:rsidR="00F16459">
        <w:rPr>
          <w:rFonts w:ascii="Times New Roman" w:hAnsi="Times New Roman" w:cs="Times New Roman"/>
          <w:sz w:val="24"/>
        </w:rPr>
        <w:t>7</w:t>
      </w:r>
      <w:r>
        <w:rPr>
          <w:rFonts w:ascii="Times New Roman" w:hAnsi="Times New Roman" w:cs="Times New Roman"/>
          <w:sz w:val="24"/>
        </w:rPr>
        <w:t xml:space="preserve"> to </w:t>
      </w:r>
      <w:r w:rsidR="007D6A0F">
        <w:rPr>
          <w:rFonts w:ascii="Times New Roman" w:hAnsi="Times New Roman" w:cs="Times New Roman"/>
          <w:sz w:val="24"/>
        </w:rPr>
        <w:t xml:space="preserve">be on target to </w:t>
      </w:r>
      <w:r>
        <w:rPr>
          <w:rFonts w:ascii="Times New Roman" w:hAnsi="Times New Roman" w:cs="Times New Roman"/>
          <w:sz w:val="24"/>
        </w:rPr>
        <w:t xml:space="preserve">attain proficiency in </w:t>
      </w:r>
      <w:r w:rsidR="0088261D">
        <w:rPr>
          <w:rFonts w:ascii="Times New Roman" w:hAnsi="Times New Roman" w:cs="Times New Roman"/>
          <w:sz w:val="24"/>
        </w:rPr>
        <w:t xml:space="preserve">three </w:t>
      </w:r>
      <w:r>
        <w:rPr>
          <w:rFonts w:ascii="Times New Roman" w:hAnsi="Times New Roman" w:cs="Times New Roman"/>
          <w:sz w:val="24"/>
        </w:rPr>
        <w:t>remaining years</w:t>
      </w:r>
      <w:r w:rsidR="00221DC8">
        <w:rPr>
          <w:rFonts w:ascii="Times New Roman" w:hAnsi="Times New Roman" w:cs="Times New Roman"/>
          <w:sz w:val="24"/>
        </w:rPr>
        <w:t>.</w:t>
      </w:r>
    </w:p>
    <w:p w14:paraId="50204F55" w14:textId="77777777" w:rsidR="006D38D5" w:rsidRDefault="006D38D5" w:rsidP="006D38D5">
      <w:pPr>
        <w:pStyle w:val="BodyText"/>
        <w:numPr>
          <w:ilvl w:val="0"/>
          <w:numId w:val="10"/>
        </w:numPr>
        <w:ind w:left="540" w:right="-180"/>
        <w:rPr>
          <w:rFonts w:ascii="Times New Roman" w:hAnsi="Times New Roman" w:cs="Times New Roman"/>
          <w:sz w:val="24"/>
        </w:rPr>
      </w:pPr>
      <w:r>
        <w:rPr>
          <w:rFonts w:ascii="Times New Roman" w:hAnsi="Times New Roman" w:cs="Times New Roman"/>
          <w:sz w:val="24"/>
        </w:rPr>
        <w:t xml:space="preserve">A student in Year 4 </w:t>
      </w:r>
      <w:r w:rsidR="00545259">
        <w:rPr>
          <w:rFonts w:ascii="Times New Roman" w:hAnsi="Times New Roman" w:cs="Times New Roman"/>
          <w:sz w:val="24"/>
        </w:rPr>
        <w:t xml:space="preserve">in a MA school who is </w:t>
      </w:r>
      <w:r w:rsidR="0088261D">
        <w:rPr>
          <w:rFonts w:ascii="Times New Roman" w:hAnsi="Times New Roman" w:cs="Times New Roman"/>
          <w:sz w:val="24"/>
        </w:rPr>
        <w:t xml:space="preserve">at proficiency Level 1 </w:t>
      </w:r>
      <w:r>
        <w:rPr>
          <w:rFonts w:ascii="Times New Roman" w:hAnsi="Times New Roman" w:cs="Times New Roman"/>
          <w:sz w:val="24"/>
        </w:rPr>
        <w:t xml:space="preserve">must achieve an SGPA of </w:t>
      </w:r>
      <w:r w:rsidR="0087076F">
        <w:rPr>
          <w:rFonts w:ascii="Times New Roman" w:hAnsi="Times New Roman" w:cs="Times New Roman"/>
          <w:sz w:val="24"/>
        </w:rPr>
        <w:t>8</w:t>
      </w:r>
      <w:r w:rsidR="003A25DC">
        <w:rPr>
          <w:rFonts w:ascii="Times New Roman" w:hAnsi="Times New Roman" w:cs="Times New Roman"/>
          <w:sz w:val="24"/>
        </w:rPr>
        <w:t>6</w:t>
      </w:r>
      <w:r>
        <w:rPr>
          <w:rFonts w:ascii="Times New Roman" w:hAnsi="Times New Roman" w:cs="Times New Roman"/>
          <w:sz w:val="24"/>
        </w:rPr>
        <w:t xml:space="preserve"> to </w:t>
      </w:r>
      <w:r w:rsidR="007D6A0F">
        <w:rPr>
          <w:rFonts w:ascii="Times New Roman" w:hAnsi="Times New Roman" w:cs="Times New Roman"/>
          <w:sz w:val="24"/>
        </w:rPr>
        <w:t xml:space="preserve">be on target to </w:t>
      </w:r>
      <w:r>
        <w:rPr>
          <w:rFonts w:ascii="Times New Roman" w:hAnsi="Times New Roman" w:cs="Times New Roman"/>
          <w:sz w:val="24"/>
        </w:rPr>
        <w:t xml:space="preserve">attain proficiency in </w:t>
      </w:r>
      <w:r w:rsidR="0088261D">
        <w:rPr>
          <w:rFonts w:ascii="Times New Roman" w:hAnsi="Times New Roman" w:cs="Times New Roman"/>
          <w:sz w:val="24"/>
        </w:rPr>
        <w:t>two</w:t>
      </w:r>
      <w:r>
        <w:rPr>
          <w:rFonts w:ascii="Times New Roman" w:hAnsi="Times New Roman" w:cs="Times New Roman"/>
          <w:sz w:val="24"/>
        </w:rPr>
        <w:t xml:space="preserve"> remaining years</w:t>
      </w:r>
      <w:r w:rsidR="00221DC8">
        <w:rPr>
          <w:rFonts w:ascii="Times New Roman" w:hAnsi="Times New Roman" w:cs="Times New Roman"/>
          <w:sz w:val="24"/>
        </w:rPr>
        <w:t>.</w:t>
      </w:r>
    </w:p>
    <w:p w14:paraId="50204F56" w14:textId="77777777" w:rsidR="006D38D5" w:rsidRDefault="006D38D5" w:rsidP="006D38D5">
      <w:pPr>
        <w:pStyle w:val="BodyText"/>
        <w:numPr>
          <w:ilvl w:val="0"/>
          <w:numId w:val="10"/>
        </w:numPr>
        <w:ind w:left="540" w:right="-180"/>
        <w:rPr>
          <w:rFonts w:ascii="Times New Roman" w:hAnsi="Times New Roman" w:cs="Times New Roman"/>
          <w:sz w:val="24"/>
        </w:rPr>
      </w:pPr>
      <w:r>
        <w:rPr>
          <w:rFonts w:ascii="Times New Roman" w:hAnsi="Times New Roman" w:cs="Times New Roman"/>
          <w:sz w:val="24"/>
        </w:rPr>
        <w:t xml:space="preserve">A student in Year 5+ </w:t>
      </w:r>
      <w:r w:rsidR="00545259">
        <w:rPr>
          <w:rFonts w:ascii="Times New Roman" w:hAnsi="Times New Roman" w:cs="Times New Roman"/>
          <w:sz w:val="24"/>
        </w:rPr>
        <w:t xml:space="preserve">in a MA school who is </w:t>
      </w:r>
      <w:r w:rsidR="0088261D">
        <w:rPr>
          <w:rFonts w:ascii="Times New Roman" w:hAnsi="Times New Roman" w:cs="Times New Roman"/>
          <w:sz w:val="24"/>
        </w:rPr>
        <w:t xml:space="preserve">at proficiency Level 4 </w:t>
      </w:r>
      <w:r>
        <w:rPr>
          <w:rFonts w:ascii="Times New Roman" w:hAnsi="Times New Roman" w:cs="Times New Roman"/>
          <w:sz w:val="24"/>
        </w:rPr>
        <w:t>must achieve an SGPA of</w:t>
      </w:r>
      <w:r w:rsidR="0087076F">
        <w:rPr>
          <w:rFonts w:ascii="Times New Roman" w:hAnsi="Times New Roman" w:cs="Times New Roman"/>
          <w:sz w:val="24"/>
        </w:rPr>
        <w:t xml:space="preserve"> 72</w:t>
      </w:r>
      <w:r>
        <w:rPr>
          <w:rFonts w:ascii="Times New Roman" w:hAnsi="Times New Roman" w:cs="Times New Roman"/>
          <w:sz w:val="24"/>
        </w:rPr>
        <w:t xml:space="preserve"> to </w:t>
      </w:r>
      <w:r w:rsidR="007D6A0F">
        <w:rPr>
          <w:rFonts w:ascii="Times New Roman" w:hAnsi="Times New Roman" w:cs="Times New Roman"/>
          <w:sz w:val="24"/>
        </w:rPr>
        <w:t xml:space="preserve">be on target to </w:t>
      </w:r>
      <w:r>
        <w:rPr>
          <w:rFonts w:ascii="Times New Roman" w:hAnsi="Times New Roman" w:cs="Times New Roman"/>
          <w:sz w:val="24"/>
        </w:rPr>
        <w:t xml:space="preserve">attain proficiency in </w:t>
      </w:r>
      <w:r w:rsidR="0088261D">
        <w:rPr>
          <w:rFonts w:ascii="Times New Roman" w:hAnsi="Times New Roman" w:cs="Times New Roman"/>
          <w:sz w:val="24"/>
        </w:rPr>
        <w:t>one</w:t>
      </w:r>
      <w:r>
        <w:rPr>
          <w:rFonts w:ascii="Times New Roman" w:hAnsi="Times New Roman" w:cs="Times New Roman"/>
          <w:sz w:val="24"/>
        </w:rPr>
        <w:t xml:space="preserve"> remaining </w:t>
      </w:r>
      <w:r w:rsidR="0088261D">
        <w:rPr>
          <w:rFonts w:ascii="Times New Roman" w:hAnsi="Times New Roman" w:cs="Times New Roman"/>
          <w:sz w:val="24"/>
        </w:rPr>
        <w:t>year</w:t>
      </w:r>
      <w:r w:rsidR="00221DC8">
        <w:rPr>
          <w:rFonts w:ascii="Times New Roman" w:hAnsi="Times New Roman" w:cs="Times New Roman"/>
          <w:sz w:val="24"/>
        </w:rPr>
        <w:t>.</w:t>
      </w:r>
    </w:p>
    <w:p w14:paraId="50204F57" w14:textId="77777777" w:rsidR="00EC0873" w:rsidRDefault="00EC0873" w:rsidP="006228FA">
      <w:pPr>
        <w:pStyle w:val="BodyText"/>
        <w:ind w:right="-180"/>
        <w:rPr>
          <w:rFonts w:ascii="Times New Roman" w:hAnsi="Times New Roman" w:cs="Times New Roman"/>
          <w:sz w:val="24"/>
        </w:rPr>
      </w:pPr>
    </w:p>
    <w:p w14:paraId="50204F58" w14:textId="77777777" w:rsidR="00973FE7" w:rsidRPr="00973FE7" w:rsidRDefault="00973FE7" w:rsidP="00973FE7">
      <w:pPr>
        <w:pStyle w:val="BodyText"/>
        <w:spacing w:after="120"/>
        <w:ind w:right="-360"/>
        <w:rPr>
          <w:b/>
          <w:sz w:val="24"/>
        </w:rPr>
      </w:pPr>
      <w:r w:rsidRPr="00973FE7">
        <w:rPr>
          <w:b/>
          <w:sz w:val="24"/>
        </w:rPr>
        <w:t>Students in Proficiency Levels 5 and 6</w:t>
      </w:r>
    </w:p>
    <w:p w14:paraId="50204F59" w14:textId="77777777" w:rsidR="003D51FF" w:rsidRDefault="00EC0873" w:rsidP="00C57AD2">
      <w:pPr>
        <w:pStyle w:val="BodyText"/>
        <w:ind w:right="-360"/>
        <w:rPr>
          <w:rFonts w:ascii="Times New Roman" w:hAnsi="Times New Roman" w:cs="Times New Roman"/>
          <w:b/>
          <w:sz w:val="24"/>
        </w:rPr>
      </w:pPr>
      <w:r>
        <w:rPr>
          <w:rFonts w:ascii="Times New Roman" w:hAnsi="Times New Roman" w:cs="Times New Roman"/>
          <w:sz w:val="24"/>
        </w:rPr>
        <w:t>S</w:t>
      </w:r>
      <w:r w:rsidRPr="00172CFE">
        <w:rPr>
          <w:rFonts w:ascii="Times New Roman" w:hAnsi="Times New Roman" w:cs="Times New Roman"/>
          <w:sz w:val="24"/>
        </w:rPr>
        <w:t xml:space="preserve">tudents whose </w:t>
      </w:r>
      <w:r w:rsidR="003A25DC">
        <w:rPr>
          <w:rFonts w:ascii="Times New Roman" w:hAnsi="Times New Roman" w:cs="Times New Roman"/>
          <w:sz w:val="24"/>
        </w:rPr>
        <w:t>Prior Year Proficiency</w:t>
      </w:r>
      <w:r w:rsidRPr="00172CFE">
        <w:rPr>
          <w:rFonts w:ascii="Times New Roman" w:hAnsi="Times New Roman" w:cs="Times New Roman"/>
          <w:sz w:val="24"/>
        </w:rPr>
        <w:t xml:space="preserve"> level was Level 5 or Level 6 and who </w:t>
      </w:r>
      <w:r w:rsidR="00125E72">
        <w:rPr>
          <w:rFonts w:ascii="Times New Roman" w:hAnsi="Times New Roman" w:cs="Times New Roman"/>
          <w:sz w:val="24"/>
        </w:rPr>
        <w:t xml:space="preserve">were not </w:t>
      </w:r>
      <w:r w:rsidR="007F0DCC">
        <w:rPr>
          <w:rFonts w:ascii="Times New Roman" w:hAnsi="Times New Roman" w:cs="Times New Roman"/>
          <w:sz w:val="24"/>
        </w:rPr>
        <w:t>exited from ELL status</w:t>
      </w:r>
      <w:r w:rsidRPr="00172CFE">
        <w:rPr>
          <w:rFonts w:ascii="Times New Roman" w:hAnsi="Times New Roman" w:cs="Times New Roman"/>
          <w:sz w:val="24"/>
        </w:rPr>
        <w:t xml:space="preserve"> </w:t>
      </w:r>
      <w:r w:rsidR="0054381D">
        <w:rPr>
          <w:rFonts w:ascii="Times New Roman" w:hAnsi="Times New Roman" w:cs="Times New Roman"/>
          <w:sz w:val="24"/>
        </w:rPr>
        <w:t xml:space="preserve">will </w:t>
      </w:r>
      <w:r>
        <w:rPr>
          <w:rFonts w:ascii="Times New Roman" w:hAnsi="Times New Roman" w:cs="Times New Roman"/>
          <w:sz w:val="24"/>
        </w:rPr>
        <w:t>not have a specific</w:t>
      </w:r>
      <w:r w:rsidRPr="00172CFE">
        <w:rPr>
          <w:rFonts w:ascii="Times New Roman" w:hAnsi="Times New Roman" w:cs="Times New Roman"/>
          <w:sz w:val="24"/>
        </w:rPr>
        <w:t xml:space="preserve"> SGPA</w:t>
      </w:r>
      <w:r w:rsidR="00DF1F8F">
        <w:rPr>
          <w:rFonts w:ascii="Times New Roman" w:hAnsi="Times New Roman" w:cs="Times New Roman"/>
          <w:sz w:val="24"/>
        </w:rPr>
        <w:t xml:space="preserve"> growth</w:t>
      </w:r>
      <w:r w:rsidR="00DB0CA9">
        <w:rPr>
          <w:rFonts w:ascii="Times New Roman" w:hAnsi="Times New Roman" w:cs="Times New Roman"/>
          <w:sz w:val="24"/>
        </w:rPr>
        <w:t>-</w:t>
      </w:r>
      <w:r w:rsidR="00DF1F8F">
        <w:rPr>
          <w:rFonts w:ascii="Times New Roman" w:hAnsi="Times New Roman" w:cs="Times New Roman"/>
          <w:sz w:val="24"/>
        </w:rPr>
        <w:t>to</w:t>
      </w:r>
      <w:r w:rsidR="00DB0CA9">
        <w:rPr>
          <w:rFonts w:ascii="Times New Roman" w:hAnsi="Times New Roman" w:cs="Times New Roman"/>
          <w:sz w:val="24"/>
        </w:rPr>
        <w:t>-</w:t>
      </w:r>
      <w:r w:rsidR="00DF1F8F">
        <w:rPr>
          <w:rFonts w:ascii="Times New Roman" w:hAnsi="Times New Roman" w:cs="Times New Roman"/>
          <w:sz w:val="24"/>
        </w:rPr>
        <w:t>proficiency</w:t>
      </w:r>
      <w:r w:rsidRPr="00172CFE">
        <w:rPr>
          <w:rFonts w:ascii="Times New Roman" w:hAnsi="Times New Roman" w:cs="Times New Roman"/>
          <w:sz w:val="24"/>
        </w:rPr>
        <w:t xml:space="preserve"> target, since they have </w:t>
      </w:r>
      <w:r w:rsidRPr="00545259">
        <w:rPr>
          <w:rFonts w:ascii="Times New Roman" w:hAnsi="Times New Roman" w:cs="Times New Roman"/>
          <w:i/>
          <w:sz w:val="24"/>
        </w:rPr>
        <w:t>already</w:t>
      </w:r>
      <w:r>
        <w:rPr>
          <w:rFonts w:ascii="Times New Roman" w:hAnsi="Times New Roman" w:cs="Times New Roman"/>
          <w:sz w:val="24"/>
        </w:rPr>
        <w:t xml:space="preserve"> </w:t>
      </w:r>
      <w:r w:rsidRPr="00172CFE">
        <w:rPr>
          <w:rFonts w:ascii="Times New Roman" w:hAnsi="Times New Roman" w:cs="Times New Roman"/>
          <w:sz w:val="24"/>
        </w:rPr>
        <w:lastRenderedPageBreak/>
        <w:t xml:space="preserve">attained </w:t>
      </w:r>
      <w:r>
        <w:rPr>
          <w:rFonts w:ascii="Times New Roman" w:hAnsi="Times New Roman" w:cs="Times New Roman"/>
          <w:sz w:val="24"/>
        </w:rPr>
        <w:t xml:space="preserve">Level 5 </w:t>
      </w:r>
      <w:r w:rsidR="0054381D">
        <w:rPr>
          <w:rFonts w:ascii="Times New Roman" w:hAnsi="Times New Roman" w:cs="Times New Roman"/>
          <w:sz w:val="24"/>
        </w:rPr>
        <w:t>(</w:t>
      </w:r>
      <w:r>
        <w:rPr>
          <w:rFonts w:ascii="Times New Roman" w:hAnsi="Times New Roman" w:cs="Times New Roman"/>
          <w:sz w:val="24"/>
        </w:rPr>
        <w:t>English proficien</w:t>
      </w:r>
      <w:r w:rsidR="0054381D">
        <w:rPr>
          <w:rFonts w:ascii="Times New Roman" w:hAnsi="Times New Roman" w:cs="Times New Roman"/>
          <w:sz w:val="24"/>
        </w:rPr>
        <w:t>cy)</w:t>
      </w:r>
      <w:r w:rsidRPr="00172CFE">
        <w:rPr>
          <w:rFonts w:ascii="Times New Roman" w:hAnsi="Times New Roman" w:cs="Times New Roman"/>
          <w:sz w:val="24"/>
        </w:rPr>
        <w:t xml:space="preserve">. </w:t>
      </w:r>
      <w:r w:rsidR="00125E72">
        <w:rPr>
          <w:rFonts w:ascii="Times New Roman" w:hAnsi="Times New Roman" w:cs="Times New Roman"/>
          <w:sz w:val="24"/>
        </w:rPr>
        <w:t>Instead</w:t>
      </w:r>
      <w:r w:rsidRPr="00172CFE">
        <w:rPr>
          <w:rFonts w:ascii="Times New Roman" w:hAnsi="Times New Roman" w:cs="Times New Roman"/>
          <w:sz w:val="24"/>
        </w:rPr>
        <w:t xml:space="preserve">, </w:t>
      </w:r>
      <w:r w:rsidRPr="00172CFE">
        <w:rPr>
          <w:rFonts w:ascii="Times New Roman" w:hAnsi="Times New Roman" w:cs="Times New Roman"/>
          <w:b/>
          <w:sz w:val="24"/>
        </w:rPr>
        <w:t xml:space="preserve">students in Levels 5 and 6 </w:t>
      </w:r>
      <w:r>
        <w:rPr>
          <w:rFonts w:ascii="Times New Roman" w:hAnsi="Times New Roman" w:cs="Times New Roman"/>
          <w:b/>
          <w:sz w:val="24"/>
        </w:rPr>
        <w:t xml:space="preserve">will be </w:t>
      </w:r>
      <w:r w:rsidRPr="00172CFE">
        <w:rPr>
          <w:rFonts w:ascii="Times New Roman" w:hAnsi="Times New Roman" w:cs="Times New Roman"/>
          <w:b/>
          <w:sz w:val="24"/>
        </w:rPr>
        <w:t>required to</w:t>
      </w:r>
      <w:r w:rsidRPr="00172CFE">
        <w:rPr>
          <w:rFonts w:ascii="Times New Roman" w:hAnsi="Times New Roman" w:cs="Times New Roman"/>
          <w:sz w:val="24"/>
        </w:rPr>
        <w:t xml:space="preserve"> </w:t>
      </w:r>
      <w:r w:rsidRPr="00172CFE">
        <w:rPr>
          <w:rFonts w:ascii="Times New Roman" w:hAnsi="Times New Roman" w:cs="Times New Roman"/>
          <w:b/>
          <w:sz w:val="24"/>
        </w:rPr>
        <w:t>gain at least one point on the vertical scale of the ACCESS assessment</w:t>
      </w:r>
      <w:r w:rsidRPr="00172CFE">
        <w:rPr>
          <w:rFonts w:ascii="Times New Roman" w:hAnsi="Times New Roman" w:cs="Times New Roman"/>
          <w:sz w:val="24"/>
        </w:rPr>
        <w:t xml:space="preserve"> </w:t>
      </w:r>
      <w:r w:rsidR="008D5CAB" w:rsidRPr="008D5CAB">
        <w:rPr>
          <w:rFonts w:ascii="Times New Roman" w:hAnsi="Times New Roman" w:cs="Times New Roman"/>
          <w:b/>
          <w:i/>
          <w:sz w:val="24"/>
        </w:rPr>
        <w:t>and</w:t>
      </w:r>
      <w:r w:rsidRPr="00172CFE">
        <w:rPr>
          <w:rFonts w:ascii="Times New Roman" w:hAnsi="Times New Roman" w:cs="Times New Roman"/>
          <w:b/>
          <w:sz w:val="24"/>
        </w:rPr>
        <w:t xml:space="preserve"> </w:t>
      </w:r>
      <w:r w:rsidR="008D5CAB">
        <w:rPr>
          <w:rFonts w:ascii="Times New Roman" w:hAnsi="Times New Roman" w:cs="Times New Roman"/>
          <w:b/>
          <w:sz w:val="24"/>
        </w:rPr>
        <w:t xml:space="preserve">to </w:t>
      </w:r>
      <w:r w:rsidRPr="00172CFE">
        <w:rPr>
          <w:rFonts w:ascii="Times New Roman" w:hAnsi="Times New Roman" w:cs="Times New Roman"/>
          <w:b/>
          <w:sz w:val="24"/>
        </w:rPr>
        <w:t xml:space="preserve">remain </w:t>
      </w:r>
      <w:r w:rsidR="007F0DCC">
        <w:rPr>
          <w:rFonts w:ascii="Times New Roman" w:hAnsi="Times New Roman" w:cs="Times New Roman"/>
          <w:b/>
          <w:sz w:val="24"/>
        </w:rPr>
        <w:t xml:space="preserve">at </w:t>
      </w:r>
      <w:r w:rsidR="005816F9">
        <w:rPr>
          <w:rFonts w:ascii="Times New Roman" w:hAnsi="Times New Roman" w:cs="Times New Roman"/>
          <w:b/>
          <w:sz w:val="24"/>
        </w:rPr>
        <w:t xml:space="preserve">least in </w:t>
      </w:r>
      <w:r w:rsidR="00F16459">
        <w:rPr>
          <w:rFonts w:ascii="Times New Roman" w:hAnsi="Times New Roman" w:cs="Times New Roman"/>
          <w:b/>
          <w:sz w:val="24"/>
        </w:rPr>
        <w:t>L</w:t>
      </w:r>
      <w:r w:rsidR="0054381D">
        <w:rPr>
          <w:rFonts w:ascii="Times New Roman" w:hAnsi="Times New Roman" w:cs="Times New Roman"/>
          <w:b/>
          <w:sz w:val="24"/>
        </w:rPr>
        <w:t xml:space="preserve">evel </w:t>
      </w:r>
      <w:r w:rsidR="00F16459">
        <w:rPr>
          <w:rFonts w:ascii="Times New Roman" w:hAnsi="Times New Roman" w:cs="Times New Roman"/>
          <w:b/>
          <w:sz w:val="24"/>
        </w:rPr>
        <w:t xml:space="preserve">5 </w:t>
      </w:r>
      <w:r>
        <w:rPr>
          <w:rFonts w:ascii="Times New Roman" w:hAnsi="Times New Roman" w:cs="Times New Roman"/>
          <w:b/>
          <w:sz w:val="24"/>
        </w:rPr>
        <w:t xml:space="preserve">in the </w:t>
      </w:r>
      <w:r w:rsidR="00DB0CA9">
        <w:rPr>
          <w:rFonts w:ascii="Times New Roman" w:hAnsi="Times New Roman" w:cs="Times New Roman"/>
          <w:b/>
          <w:sz w:val="24"/>
        </w:rPr>
        <w:t xml:space="preserve">current </w:t>
      </w:r>
      <w:r>
        <w:rPr>
          <w:rFonts w:ascii="Times New Roman" w:hAnsi="Times New Roman" w:cs="Times New Roman"/>
          <w:b/>
          <w:sz w:val="24"/>
        </w:rPr>
        <w:t xml:space="preserve">year </w:t>
      </w:r>
      <w:r w:rsidRPr="00EC0873">
        <w:rPr>
          <w:rFonts w:ascii="Times New Roman" w:hAnsi="Times New Roman" w:cs="Times New Roman"/>
          <w:sz w:val="24"/>
        </w:rPr>
        <w:t xml:space="preserve">in order to </w:t>
      </w:r>
      <w:r w:rsidR="00BF6CF7">
        <w:rPr>
          <w:rFonts w:ascii="Times New Roman" w:hAnsi="Times New Roman" w:cs="Times New Roman"/>
          <w:sz w:val="24"/>
        </w:rPr>
        <w:t>meet</w:t>
      </w:r>
      <w:r w:rsidRPr="00EC0873">
        <w:rPr>
          <w:rFonts w:ascii="Times New Roman" w:hAnsi="Times New Roman" w:cs="Times New Roman"/>
          <w:sz w:val="24"/>
        </w:rPr>
        <w:t xml:space="preserve"> </w:t>
      </w:r>
      <w:r w:rsidR="00125E72">
        <w:rPr>
          <w:rFonts w:ascii="Times New Roman" w:hAnsi="Times New Roman" w:cs="Times New Roman"/>
          <w:sz w:val="24"/>
        </w:rPr>
        <w:t xml:space="preserve">their </w:t>
      </w:r>
      <w:r w:rsidR="005816F9">
        <w:rPr>
          <w:rFonts w:ascii="Times New Roman" w:hAnsi="Times New Roman" w:cs="Times New Roman"/>
          <w:sz w:val="24"/>
        </w:rPr>
        <w:t>growth-to-proficiency</w:t>
      </w:r>
      <w:r w:rsidR="00125E72">
        <w:rPr>
          <w:rFonts w:ascii="Times New Roman" w:hAnsi="Times New Roman" w:cs="Times New Roman"/>
          <w:sz w:val="24"/>
        </w:rPr>
        <w:t xml:space="preserve"> targets</w:t>
      </w:r>
      <w:r w:rsidRPr="00EC0873">
        <w:rPr>
          <w:rFonts w:ascii="Times New Roman" w:hAnsi="Times New Roman" w:cs="Times New Roman"/>
          <w:sz w:val="24"/>
        </w:rPr>
        <w:t>.</w:t>
      </w:r>
      <w:r w:rsidRPr="00172CFE">
        <w:rPr>
          <w:rFonts w:ascii="Times New Roman" w:hAnsi="Times New Roman" w:cs="Times New Roman"/>
          <w:sz w:val="24"/>
        </w:rPr>
        <w:t xml:space="preserve"> </w:t>
      </w:r>
    </w:p>
    <w:p w14:paraId="50204F5A" w14:textId="77777777" w:rsidR="00945FC9" w:rsidRDefault="00945FC9" w:rsidP="00945FC9">
      <w:pPr>
        <w:pStyle w:val="BodyText"/>
        <w:rPr>
          <w:rFonts w:ascii="Times New Roman" w:hAnsi="Times New Roman" w:cs="Times New Roman"/>
          <w:sz w:val="24"/>
        </w:rPr>
      </w:pPr>
    </w:p>
    <w:p w14:paraId="50204F5B" w14:textId="77777777" w:rsidR="00342B60" w:rsidRPr="00342B60" w:rsidRDefault="00342B60" w:rsidP="00342B60">
      <w:pPr>
        <w:rPr>
          <w:rFonts w:ascii="Arial" w:hAnsi="Arial" w:cs="Arial"/>
          <w:b/>
        </w:rPr>
      </w:pPr>
      <w:r>
        <w:rPr>
          <w:rFonts w:ascii="Arial" w:hAnsi="Arial" w:cs="Arial"/>
          <w:b/>
        </w:rPr>
        <w:t>Growth-to-</w:t>
      </w:r>
      <w:r w:rsidRPr="00342B60">
        <w:rPr>
          <w:rFonts w:ascii="Arial" w:hAnsi="Arial" w:cs="Arial"/>
          <w:b/>
        </w:rPr>
        <w:t xml:space="preserve">Proficiency </w:t>
      </w:r>
      <w:r>
        <w:rPr>
          <w:rFonts w:ascii="Arial" w:hAnsi="Arial" w:cs="Arial"/>
          <w:b/>
        </w:rPr>
        <w:t xml:space="preserve">Determinations </w:t>
      </w:r>
      <w:r w:rsidRPr="00342B60">
        <w:rPr>
          <w:rFonts w:ascii="Arial" w:hAnsi="Arial" w:cs="Arial"/>
          <w:b/>
        </w:rPr>
        <w:t>for Students Who Took the Alternate ACCESS for ELLs</w:t>
      </w:r>
    </w:p>
    <w:p w14:paraId="50204F5C" w14:textId="77777777" w:rsidR="00342B60" w:rsidRDefault="00342B60" w:rsidP="00342B60"/>
    <w:p w14:paraId="50204F5D" w14:textId="77777777" w:rsidR="00342B60" w:rsidRDefault="00342B60" w:rsidP="00342B60">
      <w:r>
        <w:t xml:space="preserve">Students taking the Alternate ACCESS assessment are also eligible to receive growth-to-proficiency determinations. Meeting the growth target on Alternate ACCESS is based on whether the student has increased his or her proficiency level </w:t>
      </w:r>
      <w:proofErr w:type="spellStart"/>
      <w:r>
        <w:t>subscore</w:t>
      </w:r>
      <w:proofErr w:type="spellEnd"/>
      <w:r>
        <w:t xml:space="preserve"> by at least .1 in </w:t>
      </w:r>
      <w:r w:rsidRPr="006E5BD7">
        <w:rPr>
          <w:i/>
        </w:rPr>
        <w:t>one or more subdomains</w:t>
      </w:r>
      <w:r>
        <w:t xml:space="preserve"> of the Alternate ACCESS assessment (i.e., either Listening, Speaking, Reading, or Writing). Only those students who participated in the Alternate ACCESS in both 2014 </w:t>
      </w:r>
      <w:r w:rsidRPr="00342B60">
        <w:t>and</w:t>
      </w:r>
      <w:r>
        <w:t xml:space="preserve"> 2015 will receive a growth-to-proficiency determination in 2015. Since Alternate ACCESS was first administered in 2014, no student will receive a determination until 2015.</w:t>
      </w:r>
    </w:p>
    <w:p w14:paraId="50204F5E" w14:textId="77777777" w:rsidR="00342B60" w:rsidRDefault="00342B60" w:rsidP="00C57AD2">
      <w:pPr>
        <w:pStyle w:val="BodyText"/>
        <w:ind w:right="-360"/>
        <w:rPr>
          <w:b/>
          <w:sz w:val="24"/>
        </w:rPr>
      </w:pPr>
    </w:p>
    <w:p w14:paraId="50204F5F" w14:textId="77777777" w:rsidR="00973FE7" w:rsidRDefault="00973FE7" w:rsidP="00C57AD2">
      <w:pPr>
        <w:pStyle w:val="BodyText"/>
        <w:ind w:right="-360"/>
        <w:rPr>
          <w:b/>
          <w:sz w:val="24"/>
        </w:rPr>
      </w:pPr>
      <w:r w:rsidRPr="00973FE7">
        <w:rPr>
          <w:b/>
          <w:sz w:val="24"/>
        </w:rPr>
        <w:t>District Targets for AMAO 1</w:t>
      </w:r>
    </w:p>
    <w:p w14:paraId="50204F60" w14:textId="77777777" w:rsidR="00C57AD2" w:rsidRPr="00973FE7" w:rsidRDefault="00C57AD2" w:rsidP="00C57AD2">
      <w:pPr>
        <w:pStyle w:val="BodyText"/>
        <w:ind w:right="-360"/>
        <w:rPr>
          <w:b/>
          <w:sz w:val="24"/>
        </w:rPr>
      </w:pPr>
    </w:p>
    <w:p w14:paraId="50204F61" w14:textId="77777777" w:rsidR="00973FE7" w:rsidRDefault="00973FE7" w:rsidP="00973FE7">
      <w:pPr>
        <w:pStyle w:val="BodyText"/>
        <w:ind w:right="-360"/>
        <w:rPr>
          <w:rFonts w:ascii="Times New Roman" w:hAnsi="Times New Roman" w:cs="Times New Roman"/>
          <w:sz w:val="24"/>
        </w:rPr>
      </w:pPr>
      <w:r w:rsidRPr="00672486">
        <w:rPr>
          <w:rFonts w:ascii="Times New Roman" w:hAnsi="Times New Roman" w:cs="Times New Roman"/>
          <w:sz w:val="24"/>
        </w:rPr>
        <w:t xml:space="preserve">Once SGPAs are calculated for each student, Massachusetts </w:t>
      </w:r>
      <w:r w:rsidR="00490E00" w:rsidRPr="00672486">
        <w:rPr>
          <w:rFonts w:ascii="Times New Roman" w:hAnsi="Times New Roman" w:cs="Times New Roman"/>
          <w:sz w:val="24"/>
        </w:rPr>
        <w:t xml:space="preserve">will apply the </w:t>
      </w:r>
      <w:r w:rsidR="00342B60">
        <w:rPr>
          <w:rFonts w:ascii="Times New Roman" w:hAnsi="Times New Roman" w:cs="Times New Roman"/>
          <w:sz w:val="24"/>
        </w:rPr>
        <w:t xml:space="preserve">“making progress” </w:t>
      </w:r>
      <w:r w:rsidR="00490E00" w:rsidRPr="00672486">
        <w:rPr>
          <w:rFonts w:ascii="Times New Roman" w:hAnsi="Times New Roman" w:cs="Times New Roman"/>
          <w:sz w:val="24"/>
        </w:rPr>
        <w:t>rules</w:t>
      </w:r>
      <w:r w:rsidR="00342B60">
        <w:rPr>
          <w:rFonts w:ascii="Times New Roman" w:hAnsi="Times New Roman" w:cs="Times New Roman"/>
          <w:sz w:val="24"/>
        </w:rPr>
        <w:t xml:space="preserve"> to compare a student’s SGPA with his or her target listed in </w:t>
      </w:r>
      <w:r w:rsidR="00490E00" w:rsidRPr="00672486">
        <w:rPr>
          <w:rFonts w:ascii="Times New Roman" w:hAnsi="Times New Roman" w:cs="Times New Roman"/>
          <w:sz w:val="24"/>
        </w:rPr>
        <w:t>the growth</w:t>
      </w:r>
      <w:r w:rsidR="00DB0CA9">
        <w:rPr>
          <w:rFonts w:ascii="Times New Roman" w:hAnsi="Times New Roman" w:cs="Times New Roman"/>
          <w:sz w:val="24"/>
        </w:rPr>
        <w:t>-</w:t>
      </w:r>
      <w:r w:rsidR="00490E00" w:rsidRPr="00672486">
        <w:rPr>
          <w:rFonts w:ascii="Times New Roman" w:hAnsi="Times New Roman" w:cs="Times New Roman"/>
          <w:sz w:val="24"/>
        </w:rPr>
        <w:t>to</w:t>
      </w:r>
      <w:r w:rsidR="00DB0CA9">
        <w:rPr>
          <w:rFonts w:ascii="Times New Roman" w:hAnsi="Times New Roman" w:cs="Times New Roman"/>
          <w:sz w:val="24"/>
        </w:rPr>
        <w:t>-</w:t>
      </w:r>
      <w:r w:rsidR="00490E00" w:rsidRPr="00672486">
        <w:rPr>
          <w:rFonts w:ascii="Times New Roman" w:hAnsi="Times New Roman" w:cs="Times New Roman"/>
          <w:sz w:val="24"/>
        </w:rPr>
        <w:t xml:space="preserve">proficiency table for </w:t>
      </w:r>
      <w:r w:rsidR="00DB0CA9">
        <w:rPr>
          <w:rFonts w:ascii="Times New Roman" w:hAnsi="Times New Roman" w:cs="Times New Roman"/>
          <w:sz w:val="24"/>
        </w:rPr>
        <w:t>students taking the ACCESS assessments in successive years</w:t>
      </w:r>
      <w:r w:rsidR="00342B60">
        <w:rPr>
          <w:rFonts w:ascii="Times New Roman" w:hAnsi="Times New Roman" w:cs="Times New Roman"/>
          <w:sz w:val="24"/>
        </w:rPr>
        <w:t>;</w:t>
      </w:r>
      <w:r w:rsidR="00490E00" w:rsidRPr="00672486">
        <w:rPr>
          <w:rFonts w:ascii="Times New Roman" w:hAnsi="Times New Roman" w:cs="Times New Roman"/>
          <w:sz w:val="24"/>
        </w:rPr>
        <w:t xml:space="preserve"> and </w:t>
      </w:r>
      <w:r w:rsidR="00342B60">
        <w:rPr>
          <w:rFonts w:ascii="Times New Roman" w:hAnsi="Times New Roman" w:cs="Times New Roman"/>
          <w:sz w:val="24"/>
        </w:rPr>
        <w:t xml:space="preserve">will </w:t>
      </w:r>
      <w:r w:rsidR="00490E00" w:rsidRPr="00672486">
        <w:rPr>
          <w:rFonts w:ascii="Times New Roman" w:hAnsi="Times New Roman" w:cs="Times New Roman"/>
          <w:sz w:val="24"/>
        </w:rPr>
        <w:t>apply the rule</w:t>
      </w:r>
      <w:r w:rsidR="00342B60">
        <w:rPr>
          <w:rFonts w:ascii="Times New Roman" w:hAnsi="Times New Roman" w:cs="Times New Roman"/>
          <w:sz w:val="24"/>
        </w:rPr>
        <w:t>s</w:t>
      </w:r>
      <w:r w:rsidR="00490E00" w:rsidRPr="00672486">
        <w:rPr>
          <w:rFonts w:ascii="Times New Roman" w:hAnsi="Times New Roman" w:cs="Times New Roman"/>
          <w:sz w:val="24"/>
        </w:rPr>
        <w:t xml:space="preserve"> for </w:t>
      </w:r>
      <w:r w:rsidR="00C57AD2" w:rsidRPr="00672486">
        <w:rPr>
          <w:rFonts w:ascii="Times New Roman" w:hAnsi="Times New Roman" w:cs="Times New Roman"/>
          <w:sz w:val="24"/>
        </w:rPr>
        <w:t xml:space="preserve">students </w:t>
      </w:r>
      <w:r w:rsidR="00490E00" w:rsidRPr="00672486">
        <w:rPr>
          <w:rFonts w:ascii="Times New Roman" w:hAnsi="Times New Roman" w:cs="Times New Roman"/>
          <w:sz w:val="24"/>
        </w:rPr>
        <w:t xml:space="preserve">taking </w:t>
      </w:r>
      <w:r w:rsidR="00C57AD2" w:rsidRPr="00672486">
        <w:rPr>
          <w:rFonts w:ascii="Times New Roman" w:hAnsi="Times New Roman" w:cs="Times New Roman"/>
          <w:sz w:val="24"/>
        </w:rPr>
        <w:t xml:space="preserve">the Alternate </w:t>
      </w:r>
      <w:r w:rsidR="00490E00" w:rsidRPr="00672486">
        <w:rPr>
          <w:rFonts w:ascii="Times New Roman" w:hAnsi="Times New Roman" w:cs="Times New Roman"/>
          <w:sz w:val="24"/>
        </w:rPr>
        <w:t xml:space="preserve">ACCESS, </w:t>
      </w:r>
      <w:r w:rsidRPr="00672486">
        <w:rPr>
          <w:rFonts w:ascii="Times New Roman" w:hAnsi="Times New Roman" w:cs="Times New Roman"/>
          <w:sz w:val="24"/>
        </w:rPr>
        <w:t xml:space="preserve">to determine whether at least 50 percent of ELL students in a Title III district have </w:t>
      </w:r>
      <w:r w:rsidR="00DB0CA9">
        <w:rPr>
          <w:rFonts w:ascii="Times New Roman" w:hAnsi="Times New Roman" w:cs="Times New Roman"/>
          <w:sz w:val="24"/>
        </w:rPr>
        <w:t xml:space="preserve">met </w:t>
      </w:r>
      <w:r w:rsidRPr="00672486">
        <w:rPr>
          <w:rFonts w:ascii="Times New Roman" w:hAnsi="Times New Roman" w:cs="Times New Roman"/>
          <w:sz w:val="24"/>
        </w:rPr>
        <w:t>their growth-to-proficiency targets</w:t>
      </w:r>
      <w:r w:rsidR="00DB0CA9">
        <w:rPr>
          <w:rFonts w:ascii="Times New Roman" w:hAnsi="Times New Roman" w:cs="Times New Roman"/>
          <w:sz w:val="24"/>
        </w:rPr>
        <w:t xml:space="preserve"> in 2014</w:t>
      </w:r>
      <w:r w:rsidR="00342B60">
        <w:rPr>
          <w:rFonts w:ascii="Times New Roman" w:hAnsi="Times New Roman" w:cs="Times New Roman"/>
          <w:sz w:val="24"/>
        </w:rPr>
        <w:t>;</w:t>
      </w:r>
      <w:r w:rsidR="00DB0CA9">
        <w:rPr>
          <w:rFonts w:ascii="Times New Roman" w:hAnsi="Times New Roman" w:cs="Times New Roman"/>
          <w:sz w:val="24"/>
        </w:rPr>
        <w:t xml:space="preserve"> </w:t>
      </w:r>
      <w:r w:rsidR="0076476C">
        <w:rPr>
          <w:rFonts w:ascii="Times New Roman" w:hAnsi="Times New Roman" w:cs="Times New Roman"/>
          <w:sz w:val="24"/>
        </w:rPr>
        <w:t xml:space="preserve">whether </w:t>
      </w:r>
      <w:r w:rsidR="009F00E1" w:rsidRPr="00672486">
        <w:rPr>
          <w:rFonts w:ascii="Times New Roman" w:hAnsi="Times New Roman" w:cs="Times New Roman"/>
          <w:sz w:val="24"/>
        </w:rPr>
        <w:t xml:space="preserve">at least 51 percent </w:t>
      </w:r>
      <w:r w:rsidR="008D5CAB">
        <w:rPr>
          <w:rFonts w:ascii="Times New Roman" w:hAnsi="Times New Roman" w:cs="Times New Roman"/>
          <w:sz w:val="24"/>
        </w:rPr>
        <w:t xml:space="preserve">of ELLs </w:t>
      </w:r>
      <w:r w:rsidR="0076476C">
        <w:rPr>
          <w:rFonts w:ascii="Times New Roman" w:hAnsi="Times New Roman" w:cs="Times New Roman"/>
          <w:sz w:val="24"/>
        </w:rPr>
        <w:t xml:space="preserve">met </w:t>
      </w:r>
      <w:r w:rsidR="009F00E1" w:rsidRPr="00672486">
        <w:rPr>
          <w:rFonts w:ascii="Times New Roman" w:hAnsi="Times New Roman" w:cs="Times New Roman"/>
          <w:sz w:val="24"/>
        </w:rPr>
        <w:t>their targets in 2015</w:t>
      </w:r>
      <w:r w:rsidR="00DB0CA9">
        <w:rPr>
          <w:rFonts w:ascii="Times New Roman" w:hAnsi="Times New Roman" w:cs="Times New Roman"/>
          <w:sz w:val="24"/>
        </w:rPr>
        <w:t xml:space="preserve"> </w:t>
      </w:r>
      <w:r w:rsidR="0076476C">
        <w:rPr>
          <w:rFonts w:ascii="Times New Roman" w:hAnsi="Times New Roman" w:cs="Times New Roman"/>
          <w:sz w:val="24"/>
        </w:rPr>
        <w:t xml:space="preserve">whether </w:t>
      </w:r>
      <w:r w:rsidR="00DB0CA9">
        <w:rPr>
          <w:rFonts w:ascii="Times New Roman" w:hAnsi="Times New Roman" w:cs="Times New Roman"/>
          <w:sz w:val="24"/>
        </w:rPr>
        <w:t xml:space="preserve">52 percent in 2016, </w:t>
      </w:r>
      <w:r w:rsidR="0076476C">
        <w:rPr>
          <w:rFonts w:ascii="Times New Roman" w:hAnsi="Times New Roman" w:cs="Times New Roman"/>
          <w:sz w:val="24"/>
        </w:rPr>
        <w:t>etc</w:t>
      </w:r>
      <w:r w:rsidRPr="00672486">
        <w:rPr>
          <w:rFonts w:ascii="Times New Roman" w:hAnsi="Times New Roman" w:cs="Times New Roman"/>
          <w:sz w:val="24"/>
        </w:rPr>
        <w:t xml:space="preserve">. </w:t>
      </w:r>
      <w:r w:rsidR="00DB0CA9">
        <w:rPr>
          <w:rFonts w:ascii="Times New Roman" w:hAnsi="Times New Roman" w:cs="Times New Roman"/>
          <w:sz w:val="24"/>
        </w:rPr>
        <w:t>When the</w:t>
      </w:r>
      <w:r w:rsidR="0076476C">
        <w:rPr>
          <w:rFonts w:ascii="Times New Roman" w:hAnsi="Times New Roman" w:cs="Times New Roman"/>
          <w:sz w:val="24"/>
        </w:rPr>
        <w:t xml:space="preserve"> percent of students meeting their targets has </w:t>
      </w:r>
      <w:r w:rsidR="00DB0CA9">
        <w:rPr>
          <w:rFonts w:ascii="Times New Roman" w:hAnsi="Times New Roman" w:cs="Times New Roman"/>
          <w:sz w:val="24"/>
        </w:rPr>
        <w:t>been met</w:t>
      </w:r>
      <w:r w:rsidRPr="00672486">
        <w:rPr>
          <w:rFonts w:ascii="Times New Roman" w:hAnsi="Times New Roman" w:cs="Times New Roman"/>
          <w:sz w:val="24"/>
        </w:rPr>
        <w:t xml:space="preserve">, the district will have made AMAO 1. </w:t>
      </w:r>
    </w:p>
    <w:p w14:paraId="50204F62" w14:textId="77777777" w:rsidR="007F025D" w:rsidRPr="007F025D" w:rsidRDefault="007F025D" w:rsidP="000E62F5">
      <w:pPr>
        <w:rPr>
          <w:rFonts w:ascii="Arial" w:hAnsi="Arial" w:cs="Arial"/>
          <w:b/>
          <w:sz w:val="22"/>
          <w:szCs w:val="28"/>
        </w:rPr>
      </w:pPr>
    </w:p>
    <w:p w14:paraId="50204F63" w14:textId="77777777" w:rsidR="000E62F5" w:rsidRPr="00B0502E" w:rsidRDefault="00B0502E" w:rsidP="000E62F5">
      <w:pPr>
        <w:rPr>
          <w:rFonts w:ascii="Arial" w:hAnsi="Arial" w:cs="Arial"/>
          <w:b/>
          <w:sz w:val="28"/>
          <w:szCs w:val="28"/>
        </w:rPr>
      </w:pPr>
      <w:r w:rsidRPr="00672486">
        <w:rPr>
          <w:rFonts w:ascii="Arial" w:hAnsi="Arial" w:cs="Arial"/>
          <w:b/>
          <w:sz w:val="32"/>
          <w:szCs w:val="28"/>
        </w:rPr>
        <w:t xml:space="preserve">AMAO 2: </w:t>
      </w:r>
      <w:r w:rsidRPr="00B0502E">
        <w:rPr>
          <w:rFonts w:ascii="Arial" w:hAnsi="Arial" w:cs="Arial"/>
          <w:b/>
          <w:sz w:val="28"/>
          <w:szCs w:val="28"/>
        </w:rPr>
        <w:t>Attainment</w:t>
      </w:r>
      <w:r>
        <w:rPr>
          <w:rFonts w:ascii="Arial" w:hAnsi="Arial" w:cs="Arial"/>
          <w:b/>
          <w:sz w:val="28"/>
          <w:szCs w:val="28"/>
        </w:rPr>
        <w:t xml:space="preserve"> </w:t>
      </w:r>
      <w:r w:rsidR="005C377E">
        <w:rPr>
          <w:rFonts w:ascii="Arial" w:hAnsi="Arial" w:cs="Arial"/>
          <w:b/>
          <w:sz w:val="28"/>
          <w:szCs w:val="28"/>
        </w:rPr>
        <w:t xml:space="preserve">Determinations and </w:t>
      </w:r>
      <w:r>
        <w:rPr>
          <w:rFonts w:ascii="Arial" w:hAnsi="Arial" w:cs="Arial"/>
          <w:b/>
          <w:sz w:val="28"/>
          <w:szCs w:val="28"/>
        </w:rPr>
        <w:t>Targets</w:t>
      </w:r>
    </w:p>
    <w:p w14:paraId="50204F64" w14:textId="77777777" w:rsidR="000E62C8" w:rsidRPr="00D1105C" w:rsidRDefault="000E62C8">
      <w:pPr>
        <w:rPr>
          <w:rFonts w:ascii="Arial" w:hAnsi="Arial" w:cs="Arial"/>
          <w:sz w:val="20"/>
        </w:rPr>
      </w:pPr>
    </w:p>
    <w:p w14:paraId="50204F65" w14:textId="77777777" w:rsidR="001D621E" w:rsidRDefault="00DB4414" w:rsidP="00D1105C">
      <w:pPr>
        <w:pStyle w:val="BodyText"/>
        <w:spacing w:after="120"/>
        <w:ind w:right="-360"/>
        <w:rPr>
          <w:rFonts w:ascii="Times New Roman" w:hAnsi="Times New Roman" w:cs="Times New Roman"/>
          <w:sz w:val="24"/>
        </w:rPr>
      </w:pPr>
      <w:r>
        <w:rPr>
          <w:rFonts w:ascii="Times New Roman" w:hAnsi="Times New Roman" w:cs="Times New Roman"/>
          <w:sz w:val="24"/>
        </w:rPr>
        <w:t xml:space="preserve">The ACCESS </w:t>
      </w:r>
      <w:r w:rsidR="00892469">
        <w:rPr>
          <w:rFonts w:ascii="Times New Roman" w:hAnsi="Times New Roman" w:cs="Times New Roman"/>
          <w:sz w:val="24"/>
        </w:rPr>
        <w:t xml:space="preserve">test scores are </w:t>
      </w:r>
      <w:r w:rsidR="00E63843">
        <w:rPr>
          <w:rFonts w:ascii="Times New Roman" w:hAnsi="Times New Roman" w:cs="Times New Roman"/>
          <w:sz w:val="24"/>
        </w:rPr>
        <w:t>based on six composite English language p</w:t>
      </w:r>
      <w:r w:rsidR="00B74262">
        <w:rPr>
          <w:rFonts w:ascii="Times New Roman" w:hAnsi="Times New Roman" w:cs="Times New Roman"/>
          <w:sz w:val="24"/>
        </w:rPr>
        <w:t xml:space="preserve">roficiency </w:t>
      </w:r>
      <w:r>
        <w:rPr>
          <w:rFonts w:ascii="Times New Roman" w:hAnsi="Times New Roman" w:cs="Times New Roman"/>
          <w:sz w:val="24"/>
        </w:rPr>
        <w:t>level</w:t>
      </w:r>
      <w:r w:rsidR="00B74262">
        <w:rPr>
          <w:rFonts w:ascii="Times New Roman" w:hAnsi="Times New Roman" w:cs="Times New Roman"/>
          <w:sz w:val="24"/>
        </w:rPr>
        <w:t>s, as follows</w:t>
      </w:r>
      <w:r>
        <w:rPr>
          <w:rFonts w:ascii="Times New Roman" w:hAnsi="Times New Roman" w:cs="Times New Roman"/>
          <w:sz w:val="24"/>
        </w:rPr>
        <w:t xml:space="preserve">. </w:t>
      </w:r>
    </w:p>
    <w:p w14:paraId="50204F66" w14:textId="77777777" w:rsidR="001D621E" w:rsidRDefault="001D621E" w:rsidP="005C377E">
      <w:pPr>
        <w:pStyle w:val="BodyText"/>
        <w:ind w:left="720"/>
        <w:rPr>
          <w:rFonts w:ascii="Times New Roman" w:hAnsi="Times New Roman" w:cs="Times New Roman"/>
          <w:sz w:val="24"/>
        </w:rPr>
      </w:pPr>
      <w:r>
        <w:rPr>
          <w:rFonts w:ascii="Times New Roman" w:hAnsi="Times New Roman" w:cs="Times New Roman"/>
          <w:sz w:val="24"/>
        </w:rPr>
        <w:t>1</w:t>
      </w:r>
      <w:r w:rsidR="00B74262">
        <w:rPr>
          <w:rFonts w:ascii="Times New Roman" w:hAnsi="Times New Roman" w:cs="Times New Roman"/>
          <w:sz w:val="24"/>
        </w:rPr>
        <w:t xml:space="preserve"> </w:t>
      </w:r>
      <w:r>
        <w:rPr>
          <w:rFonts w:ascii="Times New Roman" w:hAnsi="Times New Roman" w:cs="Times New Roman"/>
          <w:sz w:val="24"/>
        </w:rPr>
        <w:t>=</w:t>
      </w:r>
      <w:r w:rsidR="00B74262">
        <w:rPr>
          <w:rFonts w:ascii="Times New Roman" w:hAnsi="Times New Roman" w:cs="Times New Roman"/>
          <w:sz w:val="24"/>
        </w:rPr>
        <w:t xml:space="preserve"> </w:t>
      </w:r>
      <w:r>
        <w:rPr>
          <w:rFonts w:ascii="Times New Roman" w:hAnsi="Times New Roman" w:cs="Times New Roman"/>
          <w:sz w:val="24"/>
        </w:rPr>
        <w:t>Entering</w:t>
      </w:r>
    </w:p>
    <w:p w14:paraId="50204F67" w14:textId="77777777" w:rsidR="001D621E" w:rsidRDefault="001D621E" w:rsidP="005C377E">
      <w:pPr>
        <w:pStyle w:val="BodyText"/>
        <w:ind w:left="720"/>
        <w:rPr>
          <w:rFonts w:ascii="Times New Roman" w:hAnsi="Times New Roman" w:cs="Times New Roman"/>
          <w:sz w:val="24"/>
        </w:rPr>
      </w:pPr>
      <w:r>
        <w:rPr>
          <w:rFonts w:ascii="Times New Roman" w:hAnsi="Times New Roman" w:cs="Times New Roman"/>
          <w:sz w:val="24"/>
        </w:rPr>
        <w:t>2</w:t>
      </w:r>
      <w:r w:rsidR="00B74262">
        <w:rPr>
          <w:rFonts w:ascii="Times New Roman" w:hAnsi="Times New Roman" w:cs="Times New Roman"/>
          <w:sz w:val="24"/>
        </w:rPr>
        <w:t xml:space="preserve"> </w:t>
      </w:r>
      <w:r>
        <w:rPr>
          <w:rFonts w:ascii="Times New Roman" w:hAnsi="Times New Roman" w:cs="Times New Roman"/>
          <w:sz w:val="24"/>
        </w:rPr>
        <w:t>=</w:t>
      </w:r>
      <w:r w:rsidR="00B74262">
        <w:rPr>
          <w:rFonts w:ascii="Times New Roman" w:hAnsi="Times New Roman" w:cs="Times New Roman"/>
          <w:sz w:val="24"/>
        </w:rPr>
        <w:t xml:space="preserve"> </w:t>
      </w:r>
      <w:r>
        <w:rPr>
          <w:rFonts w:ascii="Times New Roman" w:hAnsi="Times New Roman" w:cs="Times New Roman"/>
          <w:sz w:val="24"/>
        </w:rPr>
        <w:t>Beginning</w:t>
      </w:r>
    </w:p>
    <w:p w14:paraId="50204F68" w14:textId="77777777" w:rsidR="001D621E" w:rsidRDefault="001D621E" w:rsidP="005C377E">
      <w:pPr>
        <w:pStyle w:val="BodyText"/>
        <w:ind w:left="720"/>
        <w:rPr>
          <w:rFonts w:ascii="Times New Roman" w:hAnsi="Times New Roman" w:cs="Times New Roman"/>
          <w:sz w:val="24"/>
        </w:rPr>
      </w:pPr>
      <w:r>
        <w:rPr>
          <w:rFonts w:ascii="Times New Roman" w:hAnsi="Times New Roman" w:cs="Times New Roman"/>
          <w:sz w:val="24"/>
        </w:rPr>
        <w:t>3</w:t>
      </w:r>
      <w:r w:rsidR="00B74262">
        <w:rPr>
          <w:rFonts w:ascii="Times New Roman" w:hAnsi="Times New Roman" w:cs="Times New Roman"/>
          <w:sz w:val="24"/>
        </w:rPr>
        <w:t xml:space="preserve"> </w:t>
      </w:r>
      <w:r>
        <w:rPr>
          <w:rFonts w:ascii="Times New Roman" w:hAnsi="Times New Roman" w:cs="Times New Roman"/>
          <w:sz w:val="24"/>
        </w:rPr>
        <w:t>=</w:t>
      </w:r>
      <w:r w:rsidR="00B74262">
        <w:rPr>
          <w:rFonts w:ascii="Times New Roman" w:hAnsi="Times New Roman" w:cs="Times New Roman"/>
          <w:sz w:val="24"/>
        </w:rPr>
        <w:t xml:space="preserve"> </w:t>
      </w:r>
      <w:r>
        <w:rPr>
          <w:rFonts w:ascii="Times New Roman" w:hAnsi="Times New Roman" w:cs="Times New Roman"/>
          <w:sz w:val="24"/>
        </w:rPr>
        <w:t>Developing</w:t>
      </w:r>
    </w:p>
    <w:p w14:paraId="50204F69" w14:textId="77777777" w:rsidR="001D621E" w:rsidRDefault="001D621E" w:rsidP="005C377E">
      <w:pPr>
        <w:pStyle w:val="BodyText"/>
        <w:ind w:left="720"/>
        <w:rPr>
          <w:rFonts w:ascii="Times New Roman" w:hAnsi="Times New Roman" w:cs="Times New Roman"/>
          <w:sz w:val="24"/>
        </w:rPr>
      </w:pPr>
      <w:r>
        <w:rPr>
          <w:rFonts w:ascii="Times New Roman" w:hAnsi="Times New Roman" w:cs="Times New Roman"/>
          <w:sz w:val="24"/>
        </w:rPr>
        <w:t>4</w:t>
      </w:r>
      <w:r w:rsidR="00B74262">
        <w:rPr>
          <w:rFonts w:ascii="Times New Roman" w:hAnsi="Times New Roman" w:cs="Times New Roman"/>
          <w:sz w:val="24"/>
        </w:rPr>
        <w:t xml:space="preserve"> </w:t>
      </w:r>
      <w:r>
        <w:rPr>
          <w:rFonts w:ascii="Times New Roman" w:hAnsi="Times New Roman" w:cs="Times New Roman"/>
          <w:sz w:val="24"/>
        </w:rPr>
        <w:t>=</w:t>
      </w:r>
      <w:r w:rsidR="00B74262">
        <w:rPr>
          <w:rFonts w:ascii="Times New Roman" w:hAnsi="Times New Roman" w:cs="Times New Roman"/>
          <w:sz w:val="24"/>
        </w:rPr>
        <w:t xml:space="preserve"> </w:t>
      </w:r>
      <w:r>
        <w:rPr>
          <w:rFonts w:ascii="Times New Roman" w:hAnsi="Times New Roman" w:cs="Times New Roman"/>
          <w:sz w:val="24"/>
        </w:rPr>
        <w:t>Expanding</w:t>
      </w:r>
    </w:p>
    <w:p w14:paraId="50204F6A" w14:textId="77777777" w:rsidR="001D621E" w:rsidRDefault="001D621E" w:rsidP="005C377E">
      <w:pPr>
        <w:pStyle w:val="BodyText"/>
        <w:ind w:left="720"/>
        <w:rPr>
          <w:rFonts w:ascii="Times New Roman" w:hAnsi="Times New Roman" w:cs="Times New Roman"/>
          <w:sz w:val="24"/>
        </w:rPr>
      </w:pPr>
      <w:r>
        <w:rPr>
          <w:rFonts w:ascii="Times New Roman" w:hAnsi="Times New Roman" w:cs="Times New Roman"/>
          <w:sz w:val="24"/>
        </w:rPr>
        <w:t>5</w:t>
      </w:r>
      <w:r w:rsidR="00B74262">
        <w:rPr>
          <w:rFonts w:ascii="Times New Roman" w:hAnsi="Times New Roman" w:cs="Times New Roman"/>
          <w:sz w:val="24"/>
        </w:rPr>
        <w:t xml:space="preserve"> </w:t>
      </w:r>
      <w:r>
        <w:rPr>
          <w:rFonts w:ascii="Times New Roman" w:hAnsi="Times New Roman" w:cs="Times New Roman"/>
          <w:sz w:val="24"/>
        </w:rPr>
        <w:t>=</w:t>
      </w:r>
      <w:r w:rsidR="00B74262">
        <w:rPr>
          <w:rFonts w:ascii="Times New Roman" w:hAnsi="Times New Roman" w:cs="Times New Roman"/>
          <w:sz w:val="24"/>
        </w:rPr>
        <w:t xml:space="preserve"> </w:t>
      </w:r>
      <w:r>
        <w:rPr>
          <w:rFonts w:ascii="Times New Roman" w:hAnsi="Times New Roman" w:cs="Times New Roman"/>
          <w:sz w:val="24"/>
        </w:rPr>
        <w:t>Bridging</w:t>
      </w:r>
    </w:p>
    <w:p w14:paraId="50204F6B" w14:textId="77777777" w:rsidR="001D621E" w:rsidRDefault="001D621E" w:rsidP="00555525">
      <w:pPr>
        <w:pStyle w:val="BodyText"/>
        <w:spacing w:after="120"/>
        <w:ind w:left="720"/>
        <w:rPr>
          <w:rFonts w:ascii="Times New Roman" w:hAnsi="Times New Roman" w:cs="Times New Roman"/>
          <w:sz w:val="24"/>
        </w:rPr>
      </w:pPr>
      <w:r>
        <w:rPr>
          <w:rFonts w:ascii="Times New Roman" w:hAnsi="Times New Roman" w:cs="Times New Roman"/>
          <w:sz w:val="24"/>
        </w:rPr>
        <w:t>6</w:t>
      </w:r>
      <w:r w:rsidR="00B74262">
        <w:rPr>
          <w:rFonts w:ascii="Times New Roman" w:hAnsi="Times New Roman" w:cs="Times New Roman"/>
          <w:sz w:val="24"/>
        </w:rPr>
        <w:t xml:space="preserve"> </w:t>
      </w:r>
      <w:r>
        <w:rPr>
          <w:rFonts w:ascii="Times New Roman" w:hAnsi="Times New Roman" w:cs="Times New Roman"/>
          <w:sz w:val="24"/>
        </w:rPr>
        <w:t>=</w:t>
      </w:r>
      <w:r w:rsidR="00B74262">
        <w:rPr>
          <w:rFonts w:ascii="Times New Roman" w:hAnsi="Times New Roman" w:cs="Times New Roman"/>
          <w:sz w:val="24"/>
        </w:rPr>
        <w:t xml:space="preserve"> </w:t>
      </w:r>
      <w:r>
        <w:rPr>
          <w:rFonts w:ascii="Times New Roman" w:hAnsi="Times New Roman" w:cs="Times New Roman"/>
          <w:sz w:val="24"/>
        </w:rPr>
        <w:t>Reaching</w:t>
      </w:r>
    </w:p>
    <w:p w14:paraId="50204F6C" w14:textId="77777777" w:rsidR="00666635" w:rsidRDefault="0014154B" w:rsidP="0014154B">
      <w:pPr>
        <w:pStyle w:val="BodyText"/>
        <w:ind w:right="-180"/>
        <w:rPr>
          <w:rFonts w:ascii="Times New Roman" w:hAnsi="Times New Roman" w:cs="Times New Roman"/>
          <w:sz w:val="24"/>
        </w:rPr>
      </w:pPr>
      <w:r w:rsidRPr="0014154B">
        <w:rPr>
          <w:rFonts w:ascii="Times New Roman" w:hAnsi="Times New Roman" w:cs="Times New Roman"/>
          <w:sz w:val="24"/>
        </w:rPr>
        <w:t xml:space="preserve">Massachusetts considers a student at Level 5 to have “attained English proficiency” </w:t>
      </w:r>
      <w:r w:rsidR="00FC13A7">
        <w:rPr>
          <w:rFonts w:ascii="Times New Roman" w:hAnsi="Times New Roman" w:cs="Times New Roman"/>
          <w:sz w:val="24"/>
        </w:rPr>
        <w:t>f</w:t>
      </w:r>
      <w:r w:rsidR="00FC13A7" w:rsidRPr="0014154B">
        <w:rPr>
          <w:rFonts w:ascii="Times New Roman" w:hAnsi="Times New Roman" w:cs="Times New Roman"/>
          <w:sz w:val="24"/>
        </w:rPr>
        <w:t xml:space="preserve">or the purpose of </w:t>
      </w:r>
      <w:r w:rsidR="00FC13A7">
        <w:rPr>
          <w:rFonts w:ascii="Times New Roman" w:hAnsi="Times New Roman" w:cs="Times New Roman"/>
          <w:sz w:val="24"/>
        </w:rPr>
        <w:t xml:space="preserve">considering </w:t>
      </w:r>
      <w:r w:rsidR="00FC13A7" w:rsidRPr="0014154B">
        <w:rPr>
          <w:rFonts w:ascii="Times New Roman" w:hAnsi="Times New Roman" w:cs="Times New Roman"/>
          <w:sz w:val="24"/>
        </w:rPr>
        <w:t>whether to transition a student from ELL to non-ELL status</w:t>
      </w:r>
      <w:r w:rsidR="00FC13A7">
        <w:rPr>
          <w:rFonts w:ascii="Times New Roman" w:hAnsi="Times New Roman" w:cs="Times New Roman"/>
          <w:sz w:val="24"/>
        </w:rPr>
        <w:t>.</w:t>
      </w:r>
      <w:r w:rsidR="00FC13A7" w:rsidRPr="0014154B">
        <w:rPr>
          <w:rFonts w:ascii="Times New Roman" w:hAnsi="Times New Roman" w:cs="Times New Roman"/>
          <w:sz w:val="24"/>
        </w:rPr>
        <w:t xml:space="preserve"> </w:t>
      </w:r>
      <w:r>
        <w:rPr>
          <w:rFonts w:ascii="Times New Roman" w:hAnsi="Times New Roman" w:cs="Times New Roman"/>
          <w:sz w:val="24"/>
        </w:rPr>
        <w:t xml:space="preserve">A student who achieves a score of </w:t>
      </w:r>
      <w:r w:rsidRPr="00363397">
        <w:rPr>
          <w:rFonts w:ascii="Times New Roman" w:hAnsi="Times New Roman" w:cs="Times New Roman"/>
          <w:sz w:val="24"/>
        </w:rPr>
        <w:t>Level 5 on the ACCESS test</w:t>
      </w:r>
      <w:r>
        <w:rPr>
          <w:rFonts w:ascii="Times New Roman" w:hAnsi="Times New Roman" w:cs="Times New Roman"/>
          <w:sz w:val="24"/>
        </w:rPr>
        <w:t xml:space="preserve"> is </w:t>
      </w:r>
      <w:r w:rsidR="00FC13A7">
        <w:rPr>
          <w:rFonts w:ascii="Times New Roman" w:hAnsi="Times New Roman" w:cs="Times New Roman"/>
          <w:sz w:val="24"/>
        </w:rPr>
        <w:t>described as “</w:t>
      </w:r>
      <w:r>
        <w:rPr>
          <w:rFonts w:ascii="Times New Roman" w:hAnsi="Times New Roman" w:cs="Times New Roman"/>
          <w:sz w:val="24"/>
        </w:rPr>
        <w:t xml:space="preserve">able to understand </w:t>
      </w:r>
      <w:r w:rsidRPr="00F87738">
        <w:rPr>
          <w:rFonts w:ascii="Times New Roman" w:hAnsi="Times New Roman" w:cs="Times New Roman"/>
          <w:sz w:val="24"/>
        </w:rPr>
        <w:t>and us</w:t>
      </w:r>
      <w:r>
        <w:rPr>
          <w:rFonts w:ascii="Times New Roman" w:hAnsi="Times New Roman" w:cs="Times New Roman"/>
          <w:sz w:val="24"/>
        </w:rPr>
        <w:t>e</w:t>
      </w:r>
      <w:r w:rsidRPr="00F87738">
        <w:rPr>
          <w:rFonts w:ascii="Times New Roman" w:hAnsi="Times New Roman" w:cs="Times New Roman"/>
          <w:sz w:val="24"/>
        </w:rPr>
        <w:t xml:space="preserve"> oral or written language approaching comparability to that of English-proficient peers when presented with grade-level material</w:t>
      </w:r>
      <w:r>
        <w:rPr>
          <w:rFonts w:ascii="Times New Roman" w:hAnsi="Times New Roman" w:cs="Times New Roman"/>
          <w:sz w:val="24"/>
        </w:rPr>
        <w:t>s</w:t>
      </w:r>
      <w:r w:rsidRPr="00F87738">
        <w:rPr>
          <w:rFonts w:ascii="Times New Roman" w:hAnsi="Times New Roman" w:cs="Times New Roman"/>
          <w:sz w:val="24"/>
        </w:rPr>
        <w:t>”</w:t>
      </w:r>
      <w:r w:rsidRPr="000C170B">
        <w:rPr>
          <w:rFonts w:ascii="Times New Roman" w:hAnsi="Times New Roman" w:cs="Times New Roman"/>
          <w:sz w:val="24"/>
        </w:rPr>
        <w:t xml:space="preserve"> </w:t>
      </w:r>
      <w:r w:rsidR="00C95ABC">
        <w:rPr>
          <w:rFonts w:ascii="Times New Roman" w:hAnsi="Times New Roman" w:cs="Times New Roman"/>
          <w:sz w:val="24"/>
        </w:rPr>
        <w:t>(</w:t>
      </w:r>
      <w:r w:rsidR="00F42614">
        <w:rPr>
          <w:rFonts w:ascii="Times New Roman" w:hAnsi="Times New Roman" w:cs="Times New Roman"/>
          <w:sz w:val="24"/>
        </w:rPr>
        <w:t xml:space="preserve">WIDA </w:t>
      </w:r>
      <w:r w:rsidR="00251F59" w:rsidRPr="00251F59">
        <w:rPr>
          <w:rFonts w:ascii="Times New Roman" w:hAnsi="Times New Roman" w:cs="Times New Roman"/>
          <w:sz w:val="24"/>
        </w:rPr>
        <w:t>Consortium, 2014</w:t>
      </w:r>
      <w:r w:rsidR="00C95ABC">
        <w:rPr>
          <w:rFonts w:ascii="Times New Roman" w:hAnsi="Times New Roman" w:cs="Times New Roman"/>
          <w:sz w:val="24"/>
        </w:rPr>
        <w:t xml:space="preserve">). </w:t>
      </w:r>
    </w:p>
    <w:p w14:paraId="50204F6D" w14:textId="77777777" w:rsidR="0014154B" w:rsidRPr="00672486" w:rsidRDefault="0014154B" w:rsidP="0014154B">
      <w:pPr>
        <w:pStyle w:val="BodyText"/>
        <w:ind w:right="-180"/>
        <w:rPr>
          <w:rFonts w:ascii="Times New Roman" w:hAnsi="Times New Roman" w:cs="Times New Roman"/>
          <w:sz w:val="24"/>
          <w:szCs w:val="16"/>
        </w:rPr>
      </w:pPr>
    </w:p>
    <w:p w14:paraId="50204F6E" w14:textId="77777777" w:rsidR="007F025D" w:rsidRDefault="00C403FB" w:rsidP="00216E60">
      <w:pPr>
        <w:pStyle w:val="BodyText"/>
        <w:rPr>
          <w:b/>
          <w:sz w:val="24"/>
        </w:rPr>
      </w:pPr>
      <w:r>
        <w:rPr>
          <w:b/>
          <w:sz w:val="24"/>
        </w:rPr>
        <w:t xml:space="preserve">State and District </w:t>
      </w:r>
      <w:r w:rsidR="007F025D">
        <w:rPr>
          <w:b/>
          <w:sz w:val="24"/>
        </w:rPr>
        <w:t>Attainment Targets</w:t>
      </w:r>
    </w:p>
    <w:p w14:paraId="50204F6F" w14:textId="77777777" w:rsidR="00216E60" w:rsidRPr="007F025D" w:rsidRDefault="00216E60" w:rsidP="00216E60">
      <w:pPr>
        <w:pStyle w:val="BodyText"/>
      </w:pPr>
    </w:p>
    <w:p w14:paraId="50204F70" w14:textId="77777777" w:rsidR="00216E60" w:rsidRPr="00E32F24" w:rsidRDefault="00216E60" w:rsidP="00216E60">
      <w:pPr>
        <w:autoSpaceDE w:val="0"/>
        <w:autoSpaceDN w:val="0"/>
        <w:adjustRightInd w:val="0"/>
        <w:spacing w:after="120"/>
        <w:ind w:right="-180"/>
      </w:pPr>
      <w:r>
        <w:t>The Department will calculate</w:t>
      </w:r>
      <w:r w:rsidRPr="00FA3A04">
        <w:t xml:space="preserve"> AMAO 2 by determining whether </w:t>
      </w:r>
      <w:r>
        <w:t xml:space="preserve">Title III </w:t>
      </w:r>
      <w:r w:rsidRPr="00FA3A04">
        <w:t xml:space="preserve">districts have met or exceeded their district target for students attaining English proficiency. District attainment targets will be based on the statewide percentage of student who attained a score </w:t>
      </w:r>
      <w:r w:rsidRPr="00E32F24">
        <w:t xml:space="preserve">of Level 5 on the 2014 ACCESS tests, based on the number of years in a Massachusetts school. To maintain consistency </w:t>
      </w:r>
      <w:r w:rsidRPr="00E32F24">
        <w:lastRenderedPageBreak/>
        <w:t xml:space="preserve">from year to year, the </w:t>
      </w:r>
      <w:r w:rsidRPr="00E32F24">
        <w:rPr>
          <w:b/>
        </w:rPr>
        <w:t>2014</w:t>
      </w:r>
      <w:r w:rsidRPr="00E32F24">
        <w:t xml:space="preserve"> ACCESS for ELLs scores will be used as the basis for calculating annual state and district attainment targets. The state targets will </w:t>
      </w:r>
      <w:r w:rsidRPr="00E32F24">
        <w:rPr>
          <w:i/>
        </w:rPr>
        <w:t>not</w:t>
      </w:r>
      <w:r w:rsidRPr="00E32F24">
        <w:t xml:space="preserve"> be recalculated each year. </w:t>
      </w:r>
    </w:p>
    <w:p w14:paraId="50204F71" w14:textId="77777777" w:rsidR="00555525" w:rsidRPr="00B13ED2" w:rsidRDefault="00216E60" w:rsidP="003539B3">
      <w:pPr>
        <w:autoSpaceDE w:val="0"/>
        <w:autoSpaceDN w:val="0"/>
        <w:adjustRightInd w:val="0"/>
        <w:spacing w:after="120"/>
        <w:ind w:right="-180"/>
      </w:pPr>
      <w:r w:rsidRPr="00E32F24">
        <w:t xml:space="preserve">Statewide targets will be calculated based on students who have attended a Massachusetts school for 1, 2, 3, 4, and 5+ years. </w:t>
      </w:r>
      <w:r w:rsidRPr="00E32F24">
        <w:rPr>
          <w:b/>
        </w:rPr>
        <w:t xml:space="preserve">Table </w:t>
      </w:r>
      <w:r w:rsidR="003539B3">
        <w:rPr>
          <w:b/>
        </w:rPr>
        <w:t>2</w:t>
      </w:r>
      <w:r w:rsidRPr="00E32F24">
        <w:t xml:space="preserve"> shows the statewide percentage of students who attained Level 5 in 2014, based on the number of years in a Massachusetts school</w:t>
      </w:r>
      <w:r w:rsidR="00555525">
        <w:t>.</w:t>
      </w:r>
      <w:r w:rsidR="003539B3">
        <w:t xml:space="preserve"> </w:t>
      </w:r>
      <w:r w:rsidR="003539B3" w:rsidRPr="003539B3">
        <w:rPr>
          <w:b/>
        </w:rPr>
        <w:t>Table 3</w:t>
      </w:r>
      <w:r w:rsidR="003539B3">
        <w:t xml:space="preserve"> shows the annual statewide target percentages of students attaining proficiency (Level 5) between 2014 and 2020. </w:t>
      </w:r>
      <w:r w:rsidR="00555525" w:rsidRPr="00E32F24">
        <w:t xml:space="preserve">The 2014 statewide target has been adjusted downward slightly from the statewide percentages (the “adjusted percentage”), to avoid minor errors in the assessment data. </w:t>
      </w:r>
      <w:r w:rsidR="003539B3">
        <w:t>S</w:t>
      </w:r>
      <w:r w:rsidR="00555525" w:rsidRPr="00E32F24">
        <w:t xml:space="preserve">tate and district targets </w:t>
      </w:r>
      <w:r w:rsidR="003539B3">
        <w:t xml:space="preserve">are initially set at </w:t>
      </w:r>
      <w:r w:rsidR="00555525" w:rsidRPr="00E32F24">
        <w:t>1.5 percentage points below the 2014 statewide percentages in each number-of-years category</w:t>
      </w:r>
      <w:r w:rsidR="003539B3">
        <w:t>.</w:t>
      </w:r>
      <w:r w:rsidR="00555525">
        <w:t xml:space="preserve"> </w:t>
      </w:r>
      <w:r w:rsidR="00535FE1">
        <w:t xml:space="preserve">Beyond 2014, </w:t>
      </w:r>
      <w:r w:rsidR="00535FE1" w:rsidRPr="00535FE1">
        <w:rPr>
          <w:b/>
        </w:rPr>
        <w:t>t</w:t>
      </w:r>
      <w:r w:rsidR="003539B3" w:rsidRPr="003539B3">
        <w:rPr>
          <w:b/>
        </w:rPr>
        <w:t>hese</w:t>
      </w:r>
      <w:r w:rsidR="003539B3">
        <w:t xml:space="preserve"> </w:t>
      </w:r>
      <w:r w:rsidR="003539B3" w:rsidRPr="003539B3">
        <w:rPr>
          <w:b/>
        </w:rPr>
        <w:t>targets will</w:t>
      </w:r>
      <w:r w:rsidR="00555525" w:rsidRPr="00555525">
        <w:rPr>
          <w:b/>
        </w:rPr>
        <w:t xml:space="preserve"> increase</w:t>
      </w:r>
      <w:r w:rsidR="003539B3">
        <w:rPr>
          <w:b/>
        </w:rPr>
        <w:t xml:space="preserve"> annually</w:t>
      </w:r>
      <w:r w:rsidR="00555525" w:rsidRPr="00E32F24">
        <w:t xml:space="preserve"> as required under Title III by adding 0.1 percentage point to </w:t>
      </w:r>
      <w:r w:rsidR="003539B3">
        <w:t xml:space="preserve">the </w:t>
      </w:r>
      <w:r w:rsidR="00555525" w:rsidRPr="00E32F24">
        <w:t xml:space="preserve">2014 </w:t>
      </w:r>
      <w:r w:rsidR="003539B3">
        <w:t xml:space="preserve">baseline targets in each </w:t>
      </w:r>
      <w:r w:rsidR="00555525" w:rsidRPr="00E32F24">
        <w:t>number-of-years category</w:t>
      </w:r>
      <w:r w:rsidR="003539B3">
        <w:t xml:space="preserve">. In each successive year, these </w:t>
      </w:r>
      <w:r w:rsidR="00555525" w:rsidRPr="00E32F24">
        <w:t xml:space="preserve">new percentages </w:t>
      </w:r>
      <w:r w:rsidR="003539B3">
        <w:t>will be used as the basis for determining</w:t>
      </w:r>
      <w:r w:rsidR="00555525" w:rsidRPr="00E32F24">
        <w:t xml:space="preserve"> district targets. </w:t>
      </w:r>
    </w:p>
    <w:p w14:paraId="50204F72" w14:textId="77777777" w:rsidR="00216E60" w:rsidRPr="00555525" w:rsidRDefault="00216E60" w:rsidP="00216E60">
      <w:pPr>
        <w:pStyle w:val="BodyText"/>
        <w:jc w:val="center"/>
        <w:rPr>
          <w:b/>
          <w:sz w:val="16"/>
          <w:szCs w:val="16"/>
        </w:rPr>
      </w:pPr>
    </w:p>
    <w:p w14:paraId="50204F73" w14:textId="77777777" w:rsidR="00216E60" w:rsidRDefault="00216E60" w:rsidP="00216E60">
      <w:pPr>
        <w:pStyle w:val="BodyText"/>
        <w:jc w:val="center"/>
        <w:rPr>
          <w:b/>
        </w:rPr>
      </w:pPr>
      <w:r w:rsidRPr="00241E78">
        <w:rPr>
          <w:b/>
        </w:rPr>
        <w:t xml:space="preserve">Table </w:t>
      </w:r>
      <w:r w:rsidR="004516C6">
        <w:rPr>
          <w:b/>
        </w:rPr>
        <w:t>2</w:t>
      </w:r>
      <w:r>
        <w:rPr>
          <w:b/>
        </w:rPr>
        <w:t xml:space="preserve">. </w:t>
      </w:r>
      <w:r w:rsidRPr="00241E78">
        <w:rPr>
          <w:b/>
        </w:rPr>
        <w:t xml:space="preserve"> </w:t>
      </w:r>
    </w:p>
    <w:p w14:paraId="50204F74" w14:textId="77777777" w:rsidR="00216E60" w:rsidRDefault="00216E60" w:rsidP="00216E60">
      <w:pPr>
        <w:pStyle w:val="BodyText"/>
        <w:jc w:val="center"/>
        <w:rPr>
          <w:b/>
        </w:rPr>
      </w:pPr>
      <w:r>
        <w:rPr>
          <w:b/>
        </w:rPr>
        <w:t>Number and Percentage</w:t>
      </w:r>
      <w:r w:rsidRPr="00241E78">
        <w:rPr>
          <w:b/>
        </w:rPr>
        <w:t xml:space="preserve"> of Students </w:t>
      </w:r>
      <w:r>
        <w:rPr>
          <w:b/>
        </w:rPr>
        <w:t xml:space="preserve">Attaining ACCESS Level 5 </w:t>
      </w:r>
    </w:p>
    <w:p w14:paraId="50204F75" w14:textId="77777777" w:rsidR="00216E60" w:rsidRPr="00555525" w:rsidRDefault="00216E60" w:rsidP="00555525">
      <w:pPr>
        <w:pStyle w:val="BodyText"/>
        <w:spacing w:after="120"/>
        <w:jc w:val="center"/>
        <w:rPr>
          <w:b/>
        </w:rPr>
      </w:pPr>
      <w:r>
        <w:rPr>
          <w:b/>
        </w:rPr>
        <w:t xml:space="preserve">Statewide </w:t>
      </w:r>
      <w:r w:rsidRPr="00241E78">
        <w:rPr>
          <w:b/>
        </w:rPr>
        <w:t xml:space="preserve">by Number of Years </w:t>
      </w:r>
      <w:r>
        <w:rPr>
          <w:b/>
        </w:rPr>
        <w:t xml:space="preserve">in </w:t>
      </w:r>
      <w:r w:rsidRPr="00241E78">
        <w:rPr>
          <w:b/>
        </w:rPr>
        <w:t>Massachusetts</w:t>
      </w:r>
      <w:r>
        <w:rPr>
          <w:b/>
        </w:rPr>
        <w:t xml:space="preserve"> Schools</w:t>
      </w:r>
      <w:r w:rsidRPr="00241E78">
        <w:rPr>
          <w:b/>
        </w:rPr>
        <w:t xml:space="preserve"> </w:t>
      </w:r>
      <w:r>
        <w:rPr>
          <w:b/>
        </w:rPr>
        <w:t>(</w:t>
      </w:r>
      <w:r w:rsidRPr="00241E78">
        <w:rPr>
          <w:b/>
        </w:rPr>
        <w:t>2014</w:t>
      </w:r>
      <w:r>
        <w:rPr>
          <w:b/>
        </w:rPr>
        <w:t>)</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1350"/>
        <w:gridCol w:w="1295"/>
        <w:gridCol w:w="1409"/>
        <w:gridCol w:w="1350"/>
      </w:tblGrid>
      <w:tr w:rsidR="00216E60" w:rsidRPr="0035138F" w14:paraId="50204F7B" w14:textId="77777777" w:rsidTr="00555525">
        <w:trPr>
          <w:trHeight w:val="339"/>
        </w:trPr>
        <w:tc>
          <w:tcPr>
            <w:tcW w:w="1458" w:type="dxa"/>
            <w:tcBorders>
              <w:top w:val="single" w:sz="12" w:space="0" w:color="auto"/>
              <w:left w:val="single" w:sz="12" w:space="0" w:color="auto"/>
              <w:bottom w:val="single" w:sz="12" w:space="0" w:color="auto"/>
              <w:right w:val="single" w:sz="12" w:space="0" w:color="auto"/>
            </w:tcBorders>
            <w:shd w:val="clear" w:color="auto" w:fill="D9D9D9"/>
            <w:vAlign w:val="center"/>
          </w:tcPr>
          <w:p w14:paraId="50204F76" w14:textId="77777777" w:rsidR="00216E60" w:rsidRPr="007340B1" w:rsidRDefault="00216E60" w:rsidP="00CF0CA7">
            <w:pPr>
              <w:jc w:val="center"/>
              <w:rPr>
                <w:rFonts w:ascii="Arial" w:hAnsi="Arial" w:cs="Arial"/>
                <w:b/>
                <w:sz w:val="20"/>
                <w:szCs w:val="20"/>
              </w:rPr>
            </w:pPr>
            <w:r w:rsidRPr="007340B1">
              <w:rPr>
                <w:rFonts w:ascii="Arial" w:hAnsi="Arial" w:cs="Arial"/>
                <w:b/>
                <w:sz w:val="20"/>
                <w:szCs w:val="20"/>
              </w:rPr>
              <w:t>Number of Years in MA</w:t>
            </w:r>
          </w:p>
        </w:tc>
        <w:tc>
          <w:tcPr>
            <w:tcW w:w="1350" w:type="dxa"/>
            <w:tcBorders>
              <w:top w:val="single" w:sz="12" w:space="0" w:color="auto"/>
              <w:left w:val="single" w:sz="12" w:space="0" w:color="auto"/>
              <w:bottom w:val="single" w:sz="12" w:space="0" w:color="auto"/>
              <w:right w:val="single" w:sz="12" w:space="0" w:color="auto"/>
            </w:tcBorders>
            <w:shd w:val="clear" w:color="auto" w:fill="D9D9D9"/>
            <w:vAlign w:val="center"/>
          </w:tcPr>
          <w:p w14:paraId="50204F77" w14:textId="77777777" w:rsidR="00216E60" w:rsidRPr="007340B1" w:rsidRDefault="00216E60" w:rsidP="00CF0CA7">
            <w:pPr>
              <w:jc w:val="center"/>
              <w:rPr>
                <w:rFonts w:ascii="Arial" w:hAnsi="Arial" w:cs="Arial"/>
                <w:b/>
                <w:sz w:val="20"/>
                <w:szCs w:val="20"/>
              </w:rPr>
            </w:pPr>
            <w:r w:rsidRPr="007340B1">
              <w:rPr>
                <w:rFonts w:ascii="Arial" w:hAnsi="Arial" w:cs="Arial"/>
                <w:b/>
                <w:sz w:val="20"/>
                <w:szCs w:val="20"/>
              </w:rPr>
              <w:t>N/%</w:t>
            </w:r>
          </w:p>
        </w:tc>
        <w:tc>
          <w:tcPr>
            <w:tcW w:w="1295" w:type="dxa"/>
            <w:tcBorders>
              <w:top w:val="single" w:sz="12" w:space="0" w:color="auto"/>
              <w:left w:val="single" w:sz="12" w:space="0" w:color="auto"/>
              <w:bottom w:val="single" w:sz="12" w:space="0" w:color="auto"/>
              <w:right w:val="single" w:sz="12" w:space="0" w:color="auto"/>
            </w:tcBorders>
            <w:shd w:val="clear" w:color="auto" w:fill="D9D9D9"/>
            <w:vAlign w:val="center"/>
          </w:tcPr>
          <w:p w14:paraId="50204F78" w14:textId="77777777" w:rsidR="00216E60" w:rsidRPr="007340B1" w:rsidRDefault="00216E60" w:rsidP="00CF0CA7">
            <w:pPr>
              <w:jc w:val="center"/>
              <w:rPr>
                <w:rFonts w:ascii="Arial" w:hAnsi="Arial" w:cs="Arial"/>
                <w:b/>
                <w:sz w:val="20"/>
                <w:szCs w:val="20"/>
              </w:rPr>
            </w:pPr>
            <w:r w:rsidRPr="007340B1">
              <w:rPr>
                <w:rFonts w:ascii="Arial" w:hAnsi="Arial" w:cs="Arial"/>
                <w:b/>
                <w:sz w:val="20"/>
                <w:szCs w:val="20"/>
              </w:rPr>
              <w:t>Proficiency Level &lt;5</w:t>
            </w:r>
          </w:p>
        </w:tc>
        <w:tc>
          <w:tcPr>
            <w:tcW w:w="1409" w:type="dxa"/>
            <w:tcBorders>
              <w:top w:val="single" w:sz="12" w:space="0" w:color="auto"/>
              <w:left w:val="single" w:sz="12" w:space="0" w:color="auto"/>
              <w:bottom w:val="single" w:sz="12" w:space="0" w:color="auto"/>
              <w:right w:val="single" w:sz="12" w:space="0" w:color="auto"/>
            </w:tcBorders>
            <w:shd w:val="clear" w:color="auto" w:fill="D9D9D9"/>
            <w:vAlign w:val="center"/>
          </w:tcPr>
          <w:p w14:paraId="50204F79" w14:textId="77777777" w:rsidR="00216E60" w:rsidRPr="007340B1" w:rsidRDefault="00216E60" w:rsidP="00CF0CA7">
            <w:pPr>
              <w:jc w:val="center"/>
              <w:rPr>
                <w:rFonts w:ascii="Arial" w:hAnsi="Arial" w:cs="Arial"/>
                <w:b/>
                <w:sz w:val="20"/>
                <w:szCs w:val="20"/>
              </w:rPr>
            </w:pPr>
            <w:r w:rsidRPr="007340B1">
              <w:rPr>
                <w:rFonts w:ascii="Arial" w:hAnsi="Arial" w:cs="Arial"/>
                <w:b/>
                <w:sz w:val="20"/>
                <w:szCs w:val="20"/>
              </w:rPr>
              <w:t>Proficiency Level ≥5</w:t>
            </w:r>
          </w:p>
        </w:tc>
        <w:tc>
          <w:tcPr>
            <w:tcW w:w="1350" w:type="dxa"/>
            <w:tcBorders>
              <w:top w:val="single" w:sz="12" w:space="0" w:color="auto"/>
              <w:left w:val="single" w:sz="12" w:space="0" w:color="auto"/>
              <w:bottom w:val="single" w:sz="12" w:space="0" w:color="auto"/>
              <w:right w:val="single" w:sz="12" w:space="0" w:color="auto"/>
            </w:tcBorders>
            <w:shd w:val="clear" w:color="auto" w:fill="D9D9D9"/>
            <w:vAlign w:val="center"/>
          </w:tcPr>
          <w:p w14:paraId="50204F7A" w14:textId="77777777" w:rsidR="00216E60" w:rsidRPr="007340B1" w:rsidRDefault="00216E60" w:rsidP="00CF0CA7">
            <w:pPr>
              <w:jc w:val="center"/>
              <w:rPr>
                <w:rFonts w:ascii="Arial" w:hAnsi="Arial" w:cs="Arial"/>
                <w:b/>
                <w:sz w:val="20"/>
                <w:szCs w:val="20"/>
              </w:rPr>
            </w:pPr>
            <w:r w:rsidRPr="007340B1">
              <w:rPr>
                <w:rFonts w:ascii="Arial" w:hAnsi="Arial" w:cs="Arial"/>
                <w:b/>
                <w:sz w:val="20"/>
                <w:szCs w:val="20"/>
              </w:rPr>
              <w:t>Total N</w:t>
            </w:r>
          </w:p>
        </w:tc>
      </w:tr>
      <w:tr w:rsidR="00555525" w:rsidRPr="0035138F" w14:paraId="50204F81" w14:textId="77777777" w:rsidTr="00555525">
        <w:trPr>
          <w:trHeight w:val="177"/>
        </w:trPr>
        <w:tc>
          <w:tcPr>
            <w:tcW w:w="1458" w:type="dxa"/>
            <w:vMerge w:val="restart"/>
            <w:tcBorders>
              <w:top w:val="single" w:sz="12" w:space="0" w:color="auto"/>
              <w:left w:val="single" w:sz="12" w:space="0" w:color="auto"/>
              <w:bottom w:val="single" w:sz="12" w:space="0" w:color="auto"/>
              <w:right w:val="single" w:sz="12" w:space="0" w:color="auto"/>
            </w:tcBorders>
            <w:vAlign w:val="center"/>
          </w:tcPr>
          <w:p w14:paraId="50204F7C" w14:textId="77777777" w:rsidR="00555525" w:rsidRPr="00C403FB" w:rsidRDefault="00555525" w:rsidP="00CF0CA7">
            <w:pPr>
              <w:jc w:val="center"/>
              <w:rPr>
                <w:rFonts w:ascii="Arial" w:hAnsi="Arial" w:cs="Arial"/>
                <w:sz w:val="20"/>
                <w:szCs w:val="20"/>
              </w:rPr>
            </w:pPr>
            <w:r w:rsidRPr="00C403FB">
              <w:rPr>
                <w:rFonts w:ascii="Arial" w:hAnsi="Arial" w:cs="Arial"/>
                <w:sz w:val="20"/>
                <w:szCs w:val="20"/>
              </w:rPr>
              <w:t>1</w:t>
            </w:r>
          </w:p>
        </w:tc>
        <w:tc>
          <w:tcPr>
            <w:tcW w:w="1350" w:type="dxa"/>
            <w:tcBorders>
              <w:top w:val="single" w:sz="12" w:space="0" w:color="auto"/>
              <w:left w:val="single" w:sz="12" w:space="0" w:color="auto"/>
              <w:bottom w:val="single" w:sz="4" w:space="0" w:color="auto"/>
              <w:right w:val="single" w:sz="4" w:space="0" w:color="auto"/>
            </w:tcBorders>
            <w:vAlign w:val="center"/>
          </w:tcPr>
          <w:p w14:paraId="50204F7D" w14:textId="77777777" w:rsidR="00555525" w:rsidRPr="00C403FB" w:rsidRDefault="00555525" w:rsidP="00CF0CA7">
            <w:pPr>
              <w:jc w:val="center"/>
              <w:rPr>
                <w:rFonts w:ascii="Arial" w:hAnsi="Arial" w:cs="Arial"/>
                <w:sz w:val="20"/>
                <w:szCs w:val="20"/>
              </w:rPr>
            </w:pPr>
            <w:r w:rsidRPr="00C403FB">
              <w:rPr>
                <w:rFonts w:ascii="Arial" w:hAnsi="Arial" w:cs="Arial"/>
                <w:sz w:val="20"/>
                <w:szCs w:val="20"/>
              </w:rPr>
              <w:t>Number</w:t>
            </w:r>
          </w:p>
        </w:tc>
        <w:tc>
          <w:tcPr>
            <w:tcW w:w="1295" w:type="dxa"/>
            <w:tcBorders>
              <w:top w:val="single" w:sz="12" w:space="0" w:color="auto"/>
              <w:left w:val="single" w:sz="4" w:space="0" w:color="auto"/>
              <w:bottom w:val="single" w:sz="4" w:space="0" w:color="auto"/>
              <w:right w:val="single" w:sz="4" w:space="0" w:color="auto"/>
            </w:tcBorders>
          </w:tcPr>
          <w:p w14:paraId="50204F7E" w14:textId="77777777" w:rsidR="00555525" w:rsidRPr="00555525" w:rsidRDefault="00555525" w:rsidP="00555525">
            <w:pPr>
              <w:autoSpaceDE w:val="0"/>
              <w:autoSpaceDN w:val="0"/>
              <w:adjustRightInd w:val="0"/>
              <w:jc w:val="center"/>
              <w:rPr>
                <w:rFonts w:ascii="Arial" w:hAnsi="Arial" w:cs="Arial"/>
                <w:color w:val="000000"/>
                <w:sz w:val="20"/>
                <w:szCs w:val="22"/>
              </w:rPr>
            </w:pPr>
            <w:r w:rsidRPr="00555525">
              <w:rPr>
                <w:rFonts w:ascii="Arial" w:hAnsi="Arial" w:cs="Arial"/>
                <w:color w:val="000000"/>
                <w:sz w:val="20"/>
                <w:szCs w:val="22"/>
              </w:rPr>
              <w:t>17</w:t>
            </w:r>
            <w:r w:rsidR="00535FE1">
              <w:rPr>
                <w:rFonts w:ascii="Arial" w:hAnsi="Arial" w:cs="Arial"/>
                <w:color w:val="000000"/>
                <w:sz w:val="20"/>
                <w:szCs w:val="22"/>
              </w:rPr>
              <w:t>,</w:t>
            </w:r>
            <w:r w:rsidRPr="00555525">
              <w:rPr>
                <w:rFonts w:ascii="Arial" w:hAnsi="Arial" w:cs="Arial"/>
                <w:color w:val="000000"/>
                <w:sz w:val="20"/>
                <w:szCs w:val="22"/>
              </w:rPr>
              <w:t>199</w:t>
            </w:r>
          </w:p>
        </w:tc>
        <w:tc>
          <w:tcPr>
            <w:tcW w:w="1409" w:type="dxa"/>
            <w:tcBorders>
              <w:top w:val="single" w:sz="12" w:space="0" w:color="auto"/>
              <w:left w:val="single" w:sz="4" w:space="0" w:color="auto"/>
              <w:bottom w:val="single" w:sz="4" w:space="0" w:color="auto"/>
              <w:right w:val="single" w:sz="4" w:space="0" w:color="auto"/>
            </w:tcBorders>
          </w:tcPr>
          <w:p w14:paraId="50204F7F" w14:textId="77777777" w:rsidR="00555525" w:rsidRPr="00555525" w:rsidRDefault="00555525" w:rsidP="00555525">
            <w:pPr>
              <w:autoSpaceDE w:val="0"/>
              <w:autoSpaceDN w:val="0"/>
              <w:adjustRightInd w:val="0"/>
              <w:jc w:val="center"/>
              <w:rPr>
                <w:rFonts w:ascii="Arial" w:hAnsi="Arial" w:cs="Arial"/>
                <w:color w:val="000000"/>
                <w:sz w:val="20"/>
                <w:szCs w:val="22"/>
              </w:rPr>
            </w:pPr>
            <w:r w:rsidRPr="00555525">
              <w:rPr>
                <w:rFonts w:ascii="Arial" w:hAnsi="Arial" w:cs="Arial"/>
                <w:color w:val="000000"/>
                <w:sz w:val="20"/>
                <w:szCs w:val="22"/>
              </w:rPr>
              <w:t>1</w:t>
            </w:r>
            <w:r w:rsidR="00535FE1">
              <w:rPr>
                <w:rFonts w:ascii="Arial" w:hAnsi="Arial" w:cs="Arial"/>
                <w:color w:val="000000"/>
                <w:sz w:val="20"/>
                <w:szCs w:val="22"/>
              </w:rPr>
              <w:t>,</w:t>
            </w:r>
            <w:r w:rsidRPr="00555525">
              <w:rPr>
                <w:rFonts w:ascii="Arial" w:hAnsi="Arial" w:cs="Arial"/>
                <w:color w:val="000000"/>
                <w:sz w:val="20"/>
                <w:szCs w:val="22"/>
              </w:rPr>
              <w:t>014</w:t>
            </w:r>
          </w:p>
        </w:tc>
        <w:tc>
          <w:tcPr>
            <w:tcW w:w="1350" w:type="dxa"/>
            <w:tcBorders>
              <w:top w:val="single" w:sz="12" w:space="0" w:color="auto"/>
              <w:left w:val="single" w:sz="4" w:space="0" w:color="auto"/>
              <w:bottom w:val="single" w:sz="4" w:space="0" w:color="auto"/>
              <w:right w:val="single" w:sz="12" w:space="0" w:color="auto"/>
            </w:tcBorders>
          </w:tcPr>
          <w:p w14:paraId="50204F80" w14:textId="77777777" w:rsidR="00555525" w:rsidRPr="00555525" w:rsidRDefault="00555525" w:rsidP="00555525">
            <w:pPr>
              <w:autoSpaceDE w:val="0"/>
              <w:autoSpaceDN w:val="0"/>
              <w:adjustRightInd w:val="0"/>
              <w:jc w:val="center"/>
              <w:rPr>
                <w:rFonts w:ascii="Arial" w:hAnsi="Arial" w:cs="Arial"/>
                <w:color w:val="000000"/>
                <w:sz w:val="20"/>
                <w:szCs w:val="22"/>
              </w:rPr>
            </w:pPr>
            <w:r w:rsidRPr="00555525">
              <w:rPr>
                <w:rFonts w:ascii="Arial" w:hAnsi="Arial" w:cs="Arial"/>
                <w:color w:val="000000"/>
                <w:sz w:val="20"/>
                <w:szCs w:val="22"/>
              </w:rPr>
              <w:t>18</w:t>
            </w:r>
            <w:r w:rsidR="00535FE1">
              <w:rPr>
                <w:rFonts w:ascii="Arial" w:hAnsi="Arial" w:cs="Arial"/>
                <w:color w:val="000000"/>
                <w:sz w:val="20"/>
                <w:szCs w:val="22"/>
              </w:rPr>
              <w:t>,</w:t>
            </w:r>
            <w:r w:rsidRPr="00555525">
              <w:rPr>
                <w:rFonts w:ascii="Arial" w:hAnsi="Arial" w:cs="Arial"/>
                <w:color w:val="000000"/>
                <w:sz w:val="20"/>
                <w:szCs w:val="22"/>
              </w:rPr>
              <w:t>213</w:t>
            </w:r>
          </w:p>
        </w:tc>
      </w:tr>
      <w:tr w:rsidR="00555525" w:rsidRPr="0035138F" w14:paraId="50204F87" w14:textId="77777777" w:rsidTr="00555525">
        <w:trPr>
          <w:trHeight w:val="123"/>
        </w:trPr>
        <w:tc>
          <w:tcPr>
            <w:tcW w:w="1458" w:type="dxa"/>
            <w:vMerge/>
            <w:tcBorders>
              <w:top w:val="single" w:sz="12" w:space="0" w:color="auto"/>
              <w:left w:val="single" w:sz="12" w:space="0" w:color="auto"/>
              <w:bottom w:val="single" w:sz="12" w:space="0" w:color="auto"/>
              <w:right w:val="single" w:sz="12" w:space="0" w:color="auto"/>
            </w:tcBorders>
            <w:vAlign w:val="center"/>
          </w:tcPr>
          <w:p w14:paraId="50204F82" w14:textId="77777777" w:rsidR="00555525" w:rsidRPr="00C403FB" w:rsidRDefault="00555525" w:rsidP="00CF0CA7">
            <w:pPr>
              <w:jc w:val="center"/>
              <w:rPr>
                <w:rFonts w:ascii="Arial" w:hAnsi="Arial" w:cs="Arial"/>
                <w:sz w:val="20"/>
                <w:szCs w:val="20"/>
              </w:rPr>
            </w:pPr>
          </w:p>
        </w:tc>
        <w:tc>
          <w:tcPr>
            <w:tcW w:w="1350" w:type="dxa"/>
            <w:tcBorders>
              <w:top w:val="single" w:sz="4" w:space="0" w:color="auto"/>
              <w:left w:val="single" w:sz="12" w:space="0" w:color="auto"/>
              <w:bottom w:val="single" w:sz="4" w:space="0" w:color="auto"/>
              <w:right w:val="single" w:sz="4" w:space="0" w:color="auto"/>
            </w:tcBorders>
            <w:vAlign w:val="center"/>
          </w:tcPr>
          <w:p w14:paraId="50204F83" w14:textId="77777777" w:rsidR="00555525" w:rsidRPr="00C403FB" w:rsidRDefault="00555525" w:rsidP="00CF0CA7">
            <w:pPr>
              <w:jc w:val="center"/>
              <w:rPr>
                <w:rFonts w:ascii="Arial" w:hAnsi="Arial" w:cs="Arial"/>
                <w:sz w:val="20"/>
                <w:szCs w:val="20"/>
              </w:rPr>
            </w:pPr>
            <w:r w:rsidRPr="00D27918">
              <w:rPr>
                <w:rFonts w:ascii="Arial" w:hAnsi="Arial" w:cs="Arial"/>
                <w:sz w:val="20"/>
                <w:szCs w:val="20"/>
              </w:rPr>
              <w:t>Percent</w:t>
            </w:r>
          </w:p>
        </w:tc>
        <w:tc>
          <w:tcPr>
            <w:tcW w:w="1295" w:type="dxa"/>
            <w:tcBorders>
              <w:top w:val="single" w:sz="4" w:space="0" w:color="auto"/>
              <w:left w:val="single" w:sz="4" w:space="0" w:color="auto"/>
              <w:bottom w:val="single" w:sz="4" w:space="0" w:color="auto"/>
              <w:right w:val="single" w:sz="4" w:space="0" w:color="auto"/>
            </w:tcBorders>
          </w:tcPr>
          <w:p w14:paraId="50204F84" w14:textId="77777777" w:rsidR="00555525" w:rsidRPr="00555525" w:rsidRDefault="00555525" w:rsidP="00555525">
            <w:pPr>
              <w:autoSpaceDE w:val="0"/>
              <w:autoSpaceDN w:val="0"/>
              <w:adjustRightInd w:val="0"/>
              <w:jc w:val="center"/>
              <w:rPr>
                <w:rFonts w:ascii="Arial" w:hAnsi="Arial" w:cs="Arial"/>
                <w:color w:val="000000"/>
                <w:sz w:val="20"/>
                <w:szCs w:val="22"/>
              </w:rPr>
            </w:pPr>
            <w:r w:rsidRPr="00555525">
              <w:rPr>
                <w:rFonts w:ascii="Arial" w:hAnsi="Arial" w:cs="Arial"/>
                <w:color w:val="000000"/>
                <w:sz w:val="20"/>
                <w:szCs w:val="22"/>
              </w:rPr>
              <w:t>94.4%</w:t>
            </w:r>
          </w:p>
        </w:tc>
        <w:tc>
          <w:tcPr>
            <w:tcW w:w="1409" w:type="dxa"/>
            <w:tcBorders>
              <w:top w:val="single" w:sz="4" w:space="0" w:color="auto"/>
              <w:left w:val="single" w:sz="4" w:space="0" w:color="auto"/>
              <w:bottom w:val="single" w:sz="4" w:space="0" w:color="auto"/>
              <w:right w:val="single" w:sz="4" w:space="0" w:color="auto"/>
            </w:tcBorders>
            <w:shd w:val="clear" w:color="auto" w:fill="F2DBDB"/>
          </w:tcPr>
          <w:p w14:paraId="50204F85" w14:textId="77777777" w:rsidR="00555525" w:rsidRPr="00555525" w:rsidRDefault="00555525" w:rsidP="00555525">
            <w:pPr>
              <w:autoSpaceDE w:val="0"/>
              <w:autoSpaceDN w:val="0"/>
              <w:adjustRightInd w:val="0"/>
              <w:jc w:val="center"/>
              <w:rPr>
                <w:rFonts w:ascii="Arial" w:hAnsi="Arial" w:cs="Arial"/>
                <w:color w:val="000000"/>
                <w:sz w:val="20"/>
                <w:szCs w:val="22"/>
              </w:rPr>
            </w:pPr>
            <w:r w:rsidRPr="00555525">
              <w:rPr>
                <w:rFonts w:ascii="Arial" w:hAnsi="Arial" w:cs="Arial"/>
                <w:color w:val="000000"/>
                <w:sz w:val="20"/>
                <w:szCs w:val="22"/>
              </w:rPr>
              <w:t>5.6%</w:t>
            </w:r>
          </w:p>
        </w:tc>
        <w:tc>
          <w:tcPr>
            <w:tcW w:w="1350" w:type="dxa"/>
            <w:tcBorders>
              <w:top w:val="single" w:sz="4" w:space="0" w:color="auto"/>
              <w:left w:val="single" w:sz="4" w:space="0" w:color="auto"/>
              <w:bottom w:val="single" w:sz="4" w:space="0" w:color="auto"/>
              <w:right w:val="single" w:sz="12" w:space="0" w:color="auto"/>
            </w:tcBorders>
          </w:tcPr>
          <w:p w14:paraId="50204F86" w14:textId="77777777" w:rsidR="00555525" w:rsidRPr="00555525" w:rsidRDefault="00555525" w:rsidP="00555525">
            <w:pPr>
              <w:autoSpaceDE w:val="0"/>
              <w:autoSpaceDN w:val="0"/>
              <w:adjustRightInd w:val="0"/>
              <w:jc w:val="center"/>
              <w:rPr>
                <w:rFonts w:ascii="Arial" w:hAnsi="Arial" w:cs="Arial"/>
                <w:color w:val="000000"/>
                <w:sz w:val="20"/>
                <w:szCs w:val="22"/>
              </w:rPr>
            </w:pPr>
            <w:r w:rsidRPr="00555525">
              <w:rPr>
                <w:rFonts w:ascii="Arial" w:hAnsi="Arial" w:cs="Arial"/>
                <w:color w:val="000000"/>
                <w:sz w:val="20"/>
                <w:szCs w:val="22"/>
              </w:rPr>
              <w:t>100.0%</w:t>
            </w:r>
          </w:p>
        </w:tc>
      </w:tr>
      <w:tr w:rsidR="00555525" w:rsidRPr="0035138F" w14:paraId="50204F8D" w14:textId="77777777" w:rsidTr="00555525">
        <w:tc>
          <w:tcPr>
            <w:tcW w:w="1458" w:type="dxa"/>
            <w:vMerge w:val="restart"/>
            <w:tcBorders>
              <w:top w:val="single" w:sz="12" w:space="0" w:color="auto"/>
              <w:left w:val="single" w:sz="12" w:space="0" w:color="auto"/>
              <w:bottom w:val="single" w:sz="12" w:space="0" w:color="auto"/>
              <w:right w:val="single" w:sz="12" w:space="0" w:color="auto"/>
            </w:tcBorders>
            <w:vAlign w:val="center"/>
          </w:tcPr>
          <w:p w14:paraId="50204F88" w14:textId="77777777" w:rsidR="00555525" w:rsidRPr="00C403FB" w:rsidRDefault="00555525" w:rsidP="00CF0CA7">
            <w:pPr>
              <w:jc w:val="center"/>
              <w:rPr>
                <w:rFonts w:ascii="Arial" w:hAnsi="Arial" w:cs="Arial"/>
                <w:sz w:val="20"/>
                <w:szCs w:val="20"/>
              </w:rPr>
            </w:pPr>
            <w:r w:rsidRPr="00C403FB">
              <w:rPr>
                <w:rFonts w:ascii="Arial" w:hAnsi="Arial" w:cs="Arial"/>
                <w:sz w:val="20"/>
                <w:szCs w:val="20"/>
              </w:rPr>
              <w:t>2</w:t>
            </w:r>
          </w:p>
        </w:tc>
        <w:tc>
          <w:tcPr>
            <w:tcW w:w="1350" w:type="dxa"/>
            <w:tcBorders>
              <w:top w:val="single" w:sz="4" w:space="0" w:color="auto"/>
              <w:left w:val="single" w:sz="12" w:space="0" w:color="auto"/>
              <w:bottom w:val="single" w:sz="4" w:space="0" w:color="auto"/>
            </w:tcBorders>
            <w:vAlign w:val="center"/>
          </w:tcPr>
          <w:p w14:paraId="50204F89" w14:textId="77777777" w:rsidR="00555525" w:rsidRPr="00C403FB" w:rsidRDefault="00555525" w:rsidP="00CF0CA7">
            <w:pPr>
              <w:jc w:val="center"/>
              <w:rPr>
                <w:rFonts w:ascii="Arial" w:hAnsi="Arial" w:cs="Arial"/>
                <w:sz w:val="20"/>
                <w:szCs w:val="20"/>
              </w:rPr>
            </w:pPr>
            <w:r w:rsidRPr="00C403FB">
              <w:rPr>
                <w:rFonts w:ascii="Arial" w:hAnsi="Arial" w:cs="Arial"/>
                <w:sz w:val="20"/>
                <w:szCs w:val="20"/>
              </w:rPr>
              <w:t>Number</w:t>
            </w:r>
          </w:p>
        </w:tc>
        <w:tc>
          <w:tcPr>
            <w:tcW w:w="1295" w:type="dxa"/>
            <w:tcBorders>
              <w:top w:val="single" w:sz="4" w:space="0" w:color="auto"/>
              <w:bottom w:val="single" w:sz="4" w:space="0" w:color="auto"/>
            </w:tcBorders>
          </w:tcPr>
          <w:p w14:paraId="50204F8A" w14:textId="77777777" w:rsidR="00555525" w:rsidRPr="00555525" w:rsidRDefault="00555525" w:rsidP="00555525">
            <w:pPr>
              <w:autoSpaceDE w:val="0"/>
              <w:autoSpaceDN w:val="0"/>
              <w:adjustRightInd w:val="0"/>
              <w:jc w:val="center"/>
              <w:rPr>
                <w:rFonts w:ascii="Arial" w:hAnsi="Arial" w:cs="Arial"/>
                <w:color w:val="000000"/>
                <w:sz w:val="20"/>
                <w:szCs w:val="22"/>
              </w:rPr>
            </w:pPr>
            <w:r w:rsidRPr="00555525">
              <w:rPr>
                <w:rFonts w:ascii="Arial" w:hAnsi="Arial" w:cs="Arial"/>
                <w:color w:val="000000"/>
                <w:sz w:val="20"/>
                <w:szCs w:val="22"/>
              </w:rPr>
              <w:t>13</w:t>
            </w:r>
            <w:r w:rsidR="00535FE1">
              <w:rPr>
                <w:rFonts w:ascii="Arial" w:hAnsi="Arial" w:cs="Arial"/>
                <w:color w:val="000000"/>
                <w:sz w:val="20"/>
                <w:szCs w:val="22"/>
              </w:rPr>
              <w:t>,</w:t>
            </w:r>
            <w:r w:rsidRPr="00555525">
              <w:rPr>
                <w:rFonts w:ascii="Arial" w:hAnsi="Arial" w:cs="Arial"/>
                <w:color w:val="000000"/>
                <w:sz w:val="20"/>
                <w:szCs w:val="22"/>
              </w:rPr>
              <w:t>984</w:t>
            </w:r>
          </w:p>
        </w:tc>
        <w:tc>
          <w:tcPr>
            <w:tcW w:w="1409" w:type="dxa"/>
            <w:tcBorders>
              <w:top w:val="single" w:sz="4" w:space="0" w:color="auto"/>
              <w:bottom w:val="single" w:sz="4" w:space="0" w:color="auto"/>
            </w:tcBorders>
            <w:shd w:val="clear" w:color="auto" w:fill="FFFFFF"/>
          </w:tcPr>
          <w:p w14:paraId="50204F8B" w14:textId="77777777" w:rsidR="00555525" w:rsidRPr="00555525" w:rsidRDefault="00555525" w:rsidP="00555525">
            <w:pPr>
              <w:autoSpaceDE w:val="0"/>
              <w:autoSpaceDN w:val="0"/>
              <w:adjustRightInd w:val="0"/>
              <w:jc w:val="center"/>
              <w:rPr>
                <w:rFonts w:ascii="Arial" w:hAnsi="Arial" w:cs="Arial"/>
                <w:color w:val="000000"/>
                <w:sz w:val="20"/>
                <w:szCs w:val="22"/>
              </w:rPr>
            </w:pPr>
            <w:r w:rsidRPr="00555525">
              <w:rPr>
                <w:rFonts w:ascii="Arial" w:hAnsi="Arial" w:cs="Arial"/>
                <w:color w:val="000000"/>
                <w:sz w:val="20"/>
                <w:szCs w:val="22"/>
              </w:rPr>
              <w:t>1</w:t>
            </w:r>
            <w:r w:rsidR="00535FE1">
              <w:rPr>
                <w:rFonts w:ascii="Arial" w:hAnsi="Arial" w:cs="Arial"/>
                <w:color w:val="000000"/>
                <w:sz w:val="20"/>
                <w:szCs w:val="22"/>
              </w:rPr>
              <w:t>,</w:t>
            </w:r>
            <w:r w:rsidRPr="00555525">
              <w:rPr>
                <w:rFonts w:ascii="Arial" w:hAnsi="Arial" w:cs="Arial"/>
                <w:color w:val="000000"/>
                <w:sz w:val="20"/>
                <w:szCs w:val="22"/>
              </w:rPr>
              <w:t>410</w:t>
            </w:r>
          </w:p>
        </w:tc>
        <w:tc>
          <w:tcPr>
            <w:tcW w:w="1350" w:type="dxa"/>
            <w:tcBorders>
              <w:top w:val="single" w:sz="4" w:space="0" w:color="auto"/>
              <w:bottom w:val="single" w:sz="4" w:space="0" w:color="auto"/>
              <w:right w:val="single" w:sz="12" w:space="0" w:color="auto"/>
            </w:tcBorders>
          </w:tcPr>
          <w:p w14:paraId="50204F8C" w14:textId="77777777" w:rsidR="00555525" w:rsidRPr="00555525" w:rsidRDefault="00555525" w:rsidP="00555525">
            <w:pPr>
              <w:autoSpaceDE w:val="0"/>
              <w:autoSpaceDN w:val="0"/>
              <w:adjustRightInd w:val="0"/>
              <w:jc w:val="center"/>
              <w:rPr>
                <w:rFonts w:ascii="Arial" w:hAnsi="Arial" w:cs="Arial"/>
                <w:color w:val="000000"/>
                <w:sz w:val="20"/>
                <w:szCs w:val="22"/>
              </w:rPr>
            </w:pPr>
            <w:r w:rsidRPr="00555525">
              <w:rPr>
                <w:rFonts w:ascii="Arial" w:hAnsi="Arial" w:cs="Arial"/>
                <w:color w:val="000000"/>
                <w:sz w:val="20"/>
                <w:szCs w:val="22"/>
              </w:rPr>
              <w:t>15</w:t>
            </w:r>
            <w:r w:rsidR="00535FE1">
              <w:rPr>
                <w:rFonts w:ascii="Arial" w:hAnsi="Arial" w:cs="Arial"/>
                <w:color w:val="000000"/>
                <w:sz w:val="20"/>
                <w:szCs w:val="22"/>
              </w:rPr>
              <w:t>,</w:t>
            </w:r>
            <w:r w:rsidRPr="00555525">
              <w:rPr>
                <w:rFonts w:ascii="Arial" w:hAnsi="Arial" w:cs="Arial"/>
                <w:color w:val="000000"/>
                <w:sz w:val="20"/>
                <w:szCs w:val="22"/>
              </w:rPr>
              <w:t>394</w:t>
            </w:r>
          </w:p>
        </w:tc>
      </w:tr>
      <w:tr w:rsidR="00555525" w:rsidRPr="0035138F" w14:paraId="50204F93" w14:textId="77777777" w:rsidTr="00555525">
        <w:tc>
          <w:tcPr>
            <w:tcW w:w="1458" w:type="dxa"/>
            <w:vMerge/>
            <w:tcBorders>
              <w:top w:val="single" w:sz="12" w:space="0" w:color="auto"/>
              <w:left w:val="single" w:sz="12" w:space="0" w:color="auto"/>
              <w:bottom w:val="single" w:sz="12" w:space="0" w:color="auto"/>
              <w:right w:val="single" w:sz="12" w:space="0" w:color="auto"/>
            </w:tcBorders>
            <w:vAlign w:val="center"/>
          </w:tcPr>
          <w:p w14:paraId="50204F8E" w14:textId="77777777" w:rsidR="00555525" w:rsidRPr="00C403FB" w:rsidRDefault="00555525" w:rsidP="00CF0CA7">
            <w:pPr>
              <w:jc w:val="center"/>
              <w:rPr>
                <w:rFonts w:ascii="Arial" w:hAnsi="Arial" w:cs="Arial"/>
                <w:sz w:val="20"/>
                <w:szCs w:val="20"/>
              </w:rPr>
            </w:pPr>
          </w:p>
        </w:tc>
        <w:tc>
          <w:tcPr>
            <w:tcW w:w="1350" w:type="dxa"/>
            <w:tcBorders>
              <w:left w:val="single" w:sz="12" w:space="0" w:color="auto"/>
              <w:bottom w:val="single" w:sz="12" w:space="0" w:color="auto"/>
            </w:tcBorders>
            <w:vAlign w:val="center"/>
          </w:tcPr>
          <w:p w14:paraId="50204F8F" w14:textId="77777777" w:rsidR="00555525" w:rsidRPr="00C403FB" w:rsidRDefault="00555525" w:rsidP="00CF0CA7">
            <w:pPr>
              <w:jc w:val="center"/>
              <w:rPr>
                <w:rFonts w:ascii="Arial" w:hAnsi="Arial" w:cs="Arial"/>
                <w:sz w:val="20"/>
                <w:szCs w:val="20"/>
              </w:rPr>
            </w:pPr>
            <w:r w:rsidRPr="00D27918">
              <w:rPr>
                <w:rFonts w:ascii="Arial" w:hAnsi="Arial" w:cs="Arial"/>
                <w:sz w:val="20"/>
                <w:szCs w:val="20"/>
              </w:rPr>
              <w:t>Percent</w:t>
            </w:r>
          </w:p>
        </w:tc>
        <w:tc>
          <w:tcPr>
            <w:tcW w:w="1295" w:type="dxa"/>
            <w:tcBorders>
              <w:bottom w:val="single" w:sz="12" w:space="0" w:color="auto"/>
            </w:tcBorders>
          </w:tcPr>
          <w:p w14:paraId="50204F90" w14:textId="77777777" w:rsidR="00555525" w:rsidRPr="00555525" w:rsidRDefault="00555525" w:rsidP="00555525">
            <w:pPr>
              <w:autoSpaceDE w:val="0"/>
              <w:autoSpaceDN w:val="0"/>
              <w:adjustRightInd w:val="0"/>
              <w:jc w:val="center"/>
              <w:rPr>
                <w:rFonts w:ascii="Arial" w:hAnsi="Arial" w:cs="Arial"/>
                <w:color w:val="000000"/>
                <w:sz w:val="20"/>
                <w:szCs w:val="22"/>
              </w:rPr>
            </w:pPr>
            <w:r w:rsidRPr="00555525">
              <w:rPr>
                <w:rFonts w:ascii="Arial" w:hAnsi="Arial" w:cs="Arial"/>
                <w:color w:val="000000"/>
                <w:sz w:val="20"/>
                <w:szCs w:val="22"/>
              </w:rPr>
              <w:t>90.8%</w:t>
            </w:r>
          </w:p>
        </w:tc>
        <w:tc>
          <w:tcPr>
            <w:tcW w:w="1409" w:type="dxa"/>
            <w:tcBorders>
              <w:bottom w:val="single" w:sz="12" w:space="0" w:color="auto"/>
            </w:tcBorders>
            <w:shd w:val="clear" w:color="auto" w:fill="F2DBDB"/>
          </w:tcPr>
          <w:p w14:paraId="50204F91" w14:textId="77777777" w:rsidR="00555525" w:rsidRPr="00555525" w:rsidRDefault="00555525" w:rsidP="00555525">
            <w:pPr>
              <w:autoSpaceDE w:val="0"/>
              <w:autoSpaceDN w:val="0"/>
              <w:adjustRightInd w:val="0"/>
              <w:jc w:val="center"/>
              <w:rPr>
                <w:rFonts w:ascii="Arial" w:hAnsi="Arial" w:cs="Arial"/>
                <w:color w:val="000000"/>
                <w:sz w:val="20"/>
                <w:szCs w:val="22"/>
              </w:rPr>
            </w:pPr>
            <w:r w:rsidRPr="00555525">
              <w:rPr>
                <w:rFonts w:ascii="Arial" w:hAnsi="Arial" w:cs="Arial"/>
                <w:color w:val="000000"/>
                <w:sz w:val="20"/>
                <w:szCs w:val="22"/>
              </w:rPr>
              <w:t>9.2%</w:t>
            </w:r>
          </w:p>
        </w:tc>
        <w:tc>
          <w:tcPr>
            <w:tcW w:w="1350" w:type="dxa"/>
            <w:tcBorders>
              <w:bottom w:val="single" w:sz="12" w:space="0" w:color="auto"/>
              <w:right w:val="single" w:sz="12" w:space="0" w:color="auto"/>
            </w:tcBorders>
          </w:tcPr>
          <w:p w14:paraId="50204F92" w14:textId="77777777" w:rsidR="00555525" w:rsidRPr="00555525" w:rsidRDefault="00555525" w:rsidP="00555525">
            <w:pPr>
              <w:autoSpaceDE w:val="0"/>
              <w:autoSpaceDN w:val="0"/>
              <w:adjustRightInd w:val="0"/>
              <w:jc w:val="center"/>
              <w:rPr>
                <w:rFonts w:ascii="Arial" w:hAnsi="Arial" w:cs="Arial"/>
                <w:color w:val="000000"/>
                <w:sz w:val="20"/>
                <w:szCs w:val="22"/>
              </w:rPr>
            </w:pPr>
            <w:r w:rsidRPr="00555525">
              <w:rPr>
                <w:rFonts w:ascii="Arial" w:hAnsi="Arial" w:cs="Arial"/>
                <w:color w:val="000000"/>
                <w:sz w:val="20"/>
                <w:szCs w:val="22"/>
              </w:rPr>
              <w:t>100.0%</w:t>
            </w:r>
          </w:p>
        </w:tc>
      </w:tr>
      <w:tr w:rsidR="00555525" w:rsidRPr="0035138F" w14:paraId="50204F99" w14:textId="77777777" w:rsidTr="00555525">
        <w:tc>
          <w:tcPr>
            <w:tcW w:w="1458" w:type="dxa"/>
            <w:vMerge w:val="restart"/>
            <w:tcBorders>
              <w:top w:val="single" w:sz="12" w:space="0" w:color="auto"/>
              <w:left w:val="single" w:sz="12" w:space="0" w:color="auto"/>
              <w:bottom w:val="single" w:sz="12" w:space="0" w:color="auto"/>
              <w:right w:val="single" w:sz="12" w:space="0" w:color="auto"/>
            </w:tcBorders>
            <w:vAlign w:val="center"/>
          </w:tcPr>
          <w:p w14:paraId="50204F94" w14:textId="77777777" w:rsidR="00555525" w:rsidRPr="00C403FB" w:rsidRDefault="00555525" w:rsidP="00CF0CA7">
            <w:pPr>
              <w:jc w:val="center"/>
              <w:rPr>
                <w:rFonts w:ascii="Arial" w:hAnsi="Arial" w:cs="Arial"/>
                <w:sz w:val="20"/>
                <w:szCs w:val="20"/>
              </w:rPr>
            </w:pPr>
            <w:r w:rsidRPr="00C403FB">
              <w:rPr>
                <w:rFonts w:ascii="Arial" w:hAnsi="Arial" w:cs="Arial"/>
                <w:sz w:val="20"/>
                <w:szCs w:val="20"/>
              </w:rPr>
              <w:t>3</w:t>
            </w:r>
          </w:p>
        </w:tc>
        <w:tc>
          <w:tcPr>
            <w:tcW w:w="1350" w:type="dxa"/>
            <w:tcBorders>
              <w:top w:val="single" w:sz="12" w:space="0" w:color="auto"/>
              <w:left w:val="single" w:sz="12" w:space="0" w:color="auto"/>
              <w:bottom w:val="single" w:sz="4" w:space="0" w:color="auto"/>
            </w:tcBorders>
            <w:vAlign w:val="center"/>
          </w:tcPr>
          <w:p w14:paraId="50204F95" w14:textId="77777777" w:rsidR="00555525" w:rsidRPr="00C403FB" w:rsidRDefault="00555525" w:rsidP="00CF0CA7">
            <w:pPr>
              <w:jc w:val="center"/>
              <w:rPr>
                <w:rFonts w:ascii="Arial" w:hAnsi="Arial" w:cs="Arial"/>
                <w:sz w:val="20"/>
                <w:szCs w:val="20"/>
              </w:rPr>
            </w:pPr>
            <w:r w:rsidRPr="00C403FB">
              <w:rPr>
                <w:rFonts w:ascii="Arial" w:hAnsi="Arial" w:cs="Arial"/>
                <w:sz w:val="20"/>
                <w:szCs w:val="20"/>
              </w:rPr>
              <w:t>Number</w:t>
            </w:r>
          </w:p>
        </w:tc>
        <w:tc>
          <w:tcPr>
            <w:tcW w:w="1295" w:type="dxa"/>
            <w:tcBorders>
              <w:top w:val="single" w:sz="12" w:space="0" w:color="auto"/>
              <w:bottom w:val="single" w:sz="4" w:space="0" w:color="auto"/>
            </w:tcBorders>
          </w:tcPr>
          <w:p w14:paraId="50204F96" w14:textId="77777777" w:rsidR="00555525" w:rsidRPr="00555525" w:rsidRDefault="00555525" w:rsidP="00555525">
            <w:pPr>
              <w:autoSpaceDE w:val="0"/>
              <w:autoSpaceDN w:val="0"/>
              <w:adjustRightInd w:val="0"/>
              <w:jc w:val="center"/>
              <w:rPr>
                <w:rFonts w:ascii="Arial" w:hAnsi="Arial" w:cs="Arial"/>
                <w:color w:val="000000"/>
                <w:sz w:val="20"/>
                <w:szCs w:val="22"/>
              </w:rPr>
            </w:pPr>
            <w:r w:rsidRPr="00555525">
              <w:rPr>
                <w:rFonts w:ascii="Arial" w:hAnsi="Arial" w:cs="Arial"/>
                <w:color w:val="000000"/>
                <w:sz w:val="20"/>
                <w:szCs w:val="22"/>
              </w:rPr>
              <w:t>10</w:t>
            </w:r>
            <w:r w:rsidR="00535FE1">
              <w:rPr>
                <w:rFonts w:ascii="Arial" w:hAnsi="Arial" w:cs="Arial"/>
                <w:color w:val="000000"/>
                <w:sz w:val="20"/>
                <w:szCs w:val="22"/>
              </w:rPr>
              <w:t>,</w:t>
            </w:r>
            <w:r w:rsidRPr="00555525">
              <w:rPr>
                <w:rFonts w:ascii="Arial" w:hAnsi="Arial" w:cs="Arial"/>
                <w:color w:val="000000"/>
                <w:sz w:val="20"/>
                <w:szCs w:val="22"/>
              </w:rPr>
              <w:t>088</w:t>
            </w:r>
          </w:p>
        </w:tc>
        <w:tc>
          <w:tcPr>
            <w:tcW w:w="1409" w:type="dxa"/>
            <w:tcBorders>
              <w:top w:val="single" w:sz="12" w:space="0" w:color="auto"/>
              <w:bottom w:val="single" w:sz="4" w:space="0" w:color="auto"/>
            </w:tcBorders>
            <w:shd w:val="clear" w:color="auto" w:fill="FFFFFF"/>
          </w:tcPr>
          <w:p w14:paraId="50204F97" w14:textId="77777777" w:rsidR="00555525" w:rsidRPr="00555525" w:rsidRDefault="00555525" w:rsidP="00555525">
            <w:pPr>
              <w:autoSpaceDE w:val="0"/>
              <w:autoSpaceDN w:val="0"/>
              <w:adjustRightInd w:val="0"/>
              <w:jc w:val="center"/>
              <w:rPr>
                <w:rFonts w:ascii="Arial" w:hAnsi="Arial" w:cs="Arial"/>
                <w:color w:val="000000"/>
                <w:sz w:val="20"/>
                <w:szCs w:val="22"/>
              </w:rPr>
            </w:pPr>
            <w:r w:rsidRPr="00555525">
              <w:rPr>
                <w:rFonts w:ascii="Arial" w:hAnsi="Arial" w:cs="Arial"/>
                <w:color w:val="000000"/>
                <w:sz w:val="20"/>
                <w:szCs w:val="22"/>
              </w:rPr>
              <w:t>2</w:t>
            </w:r>
            <w:r w:rsidR="00535FE1">
              <w:rPr>
                <w:rFonts w:ascii="Arial" w:hAnsi="Arial" w:cs="Arial"/>
                <w:color w:val="000000"/>
                <w:sz w:val="20"/>
                <w:szCs w:val="22"/>
              </w:rPr>
              <w:t>,</w:t>
            </w:r>
            <w:r w:rsidRPr="00555525">
              <w:rPr>
                <w:rFonts w:ascii="Arial" w:hAnsi="Arial" w:cs="Arial"/>
                <w:color w:val="000000"/>
                <w:sz w:val="20"/>
                <w:szCs w:val="22"/>
              </w:rPr>
              <w:t>102</w:t>
            </w:r>
          </w:p>
        </w:tc>
        <w:tc>
          <w:tcPr>
            <w:tcW w:w="1350" w:type="dxa"/>
            <w:tcBorders>
              <w:top w:val="single" w:sz="12" w:space="0" w:color="auto"/>
              <w:bottom w:val="single" w:sz="4" w:space="0" w:color="auto"/>
              <w:right w:val="single" w:sz="12" w:space="0" w:color="auto"/>
            </w:tcBorders>
          </w:tcPr>
          <w:p w14:paraId="50204F98" w14:textId="77777777" w:rsidR="00555525" w:rsidRPr="00555525" w:rsidRDefault="00555525" w:rsidP="00555525">
            <w:pPr>
              <w:autoSpaceDE w:val="0"/>
              <w:autoSpaceDN w:val="0"/>
              <w:adjustRightInd w:val="0"/>
              <w:jc w:val="center"/>
              <w:rPr>
                <w:rFonts w:ascii="Arial" w:hAnsi="Arial" w:cs="Arial"/>
                <w:color w:val="000000"/>
                <w:sz w:val="20"/>
                <w:szCs w:val="22"/>
              </w:rPr>
            </w:pPr>
            <w:r w:rsidRPr="00555525">
              <w:rPr>
                <w:rFonts w:ascii="Arial" w:hAnsi="Arial" w:cs="Arial"/>
                <w:color w:val="000000"/>
                <w:sz w:val="20"/>
                <w:szCs w:val="22"/>
              </w:rPr>
              <w:t>12</w:t>
            </w:r>
            <w:r w:rsidR="00535FE1">
              <w:rPr>
                <w:rFonts w:ascii="Arial" w:hAnsi="Arial" w:cs="Arial"/>
                <w:color w:val="000000"/>
                <w:sz w:val="20"/>
                <w:szCs w:val="22"/>
              </w:rPr>
              <w:t>,</w:t>
            </w:r>
            <w:r w:rsidRPr="00555525">
              <w:rPr>
                <w:rFonts w:ascii="Arial" w:hAnsi="Arial" w:cs="Arial"/>
                <w:color w:val="000000"/>
                <w:sz w:val="20"/>
                <w:szCs w:val="22"/>
              </w:rPr>
              <w:t>190</w:t>
            </w:r>
          </w:p>
        </w:tc>
      </w:tr>
      <w:tr w:rsidR="00555525" w:rsidRPr="0035138F" w14:paraId="50204F9F" w14:textId="77777777" w:rsidTr="00555525">
        <w:tc>
          <w:tcPr>
            <w:tcW w:w="1458" w:type="dxa"/>
            <w:vMerge/>
            <w:tcBorders>
              <w:top w:val="single" w:sz="12" w:space="0" w:color="auto"/>
              <w:left w:val="single" w:sz="12" w:space="0" w:color="auto"/>
              <w:bottom w:val="single" w:sz="12" w:space="0" w:color="auto"/>
              <w:right w:val="single" w:sz="12" w:space="0" w:color="auto"/>
            </w:tcBorders>
            <w:vAlign w:val="center"/>
          </w:tcPr>
          <w:p w14:paraId="50204F9A" w14:textId="77777777" w:rsidR="00555525" w:rsidRPr="00C403FB" w:rsidRDefault="00555525" w:rsidP="00CF0CA7">
            <w:pPr>
              <w:jc w:val="center"/>
              <w:rPr>
                <w:rFonts w:ascii="Arial" w:hAnsi="Arial" w:cs="Arial"/>
                <w:sz w:val="20"/>
                <w:szCs w:val="20"/>
              </w:rPr>
            </w:pPr>
          </w:p>
        </w:tc>
        <w:tc>
          <w:tcPr>
            <w:tcW w:w="1350" w:type="dxa"/>
            <w:tcBorders>
              <w:left w:val="single" w:sz="12" w:space="0" w:color="auto"/>
              <w:bottom w:val="single" w:sz="12" w:space="0" w:color="auto"/>
            </w:tcBorders>
            <w:vAlign w:val="center"/>
          </w:tcPr>
          <w:p w14:paraId="50204F9B" w14:textId="77777777" w:rsidR="00555525" w:rsidRPr="00C403FB" w:rsidRDefault="00555525" w:rsidP="00CF0CA7">
            <w:pPr>
              <w:jc w:val="center"/>
              <w:rPr>
                <w:rFonts w:ascii="Arial" w:hAnsi="Arial" w:cs="Arial"/>
                <w:sz w:val="20"/>
                <w:szCs w:val="20"/>
              </w:rPr>
            </w:pPr>
            <w:r w:rsidRPr="00D27918">
              <w:rPr>
                <w:rFonts w:ascii="Arial" w:hAnsi="Arial" w:cs="Arial"/>
                <w:sz w:val="20"/>
                <w:szCs w:val="20"/>
              </w:rPr>
              <w:t>Percent</w:t>
            </w:r>
          </w:p>
        </w:tc>
        <w:tc>
          <w:tcPr>
            <w:tcW w:w="1295" w:type="dxa"/>
            <w:tcBorders>
              <w:bottom w:val="single" w:sz="12" w:space="0" w:color="auto"/>
            </w:tcBorders>
          </w:tcPr>
          <w:p w14:paraId="50204F9C" w14:textId="77777777" w:rsidR="00555525" w:rsidRPr="00555525" w:rsidRDefault="00555525" w:rsidP="00555525">
            <w:pPr>
              <w:autoSpaceDE w:val="0"/>
              <w:autoSpaceDN w:val="0"/>
              <w:adjustRightInd w:val="0"/>
              <w:jc w:val="center"/>
              <w:rPr>
                <w:rFonts w:ascii="Arial" w:hAnsi="Arial" w:cs="Arial"/>
                <w:color w:val="000000"/>
                <w:sz w:val="20"/>
                <w:szCs w:val="22"/>
              </w:rPr>
            </w:pPr>
            <w:r w:rsidRPr="00555525">
              <w:rPr>
                <w:rFonts w:ascii="Arial" w:hAnsi="Arial" w:cs="Arial"/>
                <w:color w:val="000000"/>
                <w:sz w:val="20"/>
                <w:szCs w:val="22"/>
              </w:rPr>
              <w:t>82.8%</w:t>
            </w:r>
          </w:p>
        </w:tc>
        <w:tc>
          <w:tcPr>
            <w:tcW w:w="1409" w:type="dxa"/>
            <w:tcBorders>
              <w:bottom w:val="single" w:sz="12" w:space="0" w:color="auto"/>
            </w:tcBorders>
            <w:shd w:val="clear" w:color="auto" w:fill="F2DBDB"/>
          </w:tcPr>
          <w:p w14:paraId="50204F9D" w14:textId="77777777" w:rsidR="00555525" w:rsidRPr="00555525" w:rsidRDefault="00555525" w:rsidP="00555525">
            <w:pPr>
              <w:autoSpaceDE w:val="0"/>
              <w:autoSpaceDN w:val="0"/>
              <w:adjustRightInd w:val="0"/>
              <w:jc w:val="center"/>
              <w:rPr>
                <w:rFonts w:ascii="Arial" w:hAnsi="Arial" w:cs="Arial"/>
                <w:color w:val="000000"/>
                <w:sz w:val="20"/>
                <w:szCs w:val="22"/>
              </w:rPr>
            </w:pPr>
            <w:r w:rsidRPr="00555525">
              <w:rPr>
                <w:rFonts w:ascii="Arial" w:hAnsi="Arial" w:cs="Arial"/>
                <w:color w:val="000000"/>
                <w:sz w:val="20"/>
                <w:szCs w:val="22"/>
              </w:rPr>
              <w:t>17.2%</w:t>
            </w:r>
          </w:p>
        </w:tc>
        <w:tc>
          <w:tcPr>
            <w:tcW w:w="1350" w:type="dxa"/>
            <w:tcBorders>
              <w:bottom w:val="single" w:sz="12" w:space="0" w:color="auto"/>
              <w:right w:val="single" w:sz="12" w:space="0" w:color="auto"/>
            </w:tcBorders>
          </w:tcPr>
          <w:p w14:paraId="50204F9E" w14:textId="77777777" w:rsidR="00555525" w:rsidRPr="00555525" w:rsidRDefault="00555525" w:rsidP="00555525">
            <w:pPr>
              <w:autoSpaceDE w:val="0"/>
              <w:autoSpaceDN w:val="0"/>
              <w:adjustRightInd w:val="0"/>
              <w:jc w:val="center"/>
              <w:rPr>
                <w:rFonts w:ascii="Arial" w:hAnsi="Arial" w:cs="Arial"/>
                <w:color w:val="000000"/>
                <w:sz w:val="20"/>
                <w:szCs w:val="22"/>
              </w:rPr>
            </w:pPr>
            <w:r w:rsidRPr="00555525">
              <w:rPr>
                <w:rFonts w:ascii="Arial" w:hAnsi="Arial" w:cs="Arial"/>
                <w:color w:val="000000"/>
                <w:sz w:val="20"/>
                <w:szCs w:val="22"/>
              </w:rPr>
              <w:t>100.0%</w:t>
            </w:r>
          </w:p>
        </w:tc>
      </w:tr>
      <w:tr w:rsidR="00555525" w:rsidRPr="0035138F" w14:paraId="50204FA5" w14:textId="77777777" w:rsidTr="00555525">
        <w:tc>
          <w:tcPr>
            <w:tcW w:w="1458" w:type="dxa"/>
            <w:vMerge w:val="restart"/>
            <w:tcBorders>
              <w:top w:val="single" w:sz="12" w:space="0" w:color="auto"/>
              <w:left w:val="single" w:sz="12" w:space="0" w:color="auto"/>
              <w:bottom w:val="single" w:sz="12" w:space="0" w:color="auto"/>
              <w:right w:val="single" w:sz="12" w:space="0" w:color="auto"/>
            </w:tcBorders>
            <w:vAlign w:val="center"/>
          </w:tcPr>
          <w:p w14:paraId="50204FA0" w14:textId="77777777" w:rsidR="00555525" w:rsidRPr="00C403FB" w:rsidRDefault="00555525" w:rsidP="00CF0CA7">
            <w:pPr>
              <w:jc w:val="center"/>
              <w:rPr>
                <w:rFonts w:ascii="Arial" w:hAnsi="Arial" w:cs="Arial"/>
                <w:sz w:val="20"/>
                <w:szCs w:val="20"/>
              </w:rPr>
            </w:pPr>
            <w:r w:rsidRPr="00C403FB">
              <w:rPr>
                <w:rFonts w:ascii="Arial" w:hAnsi="Arial" w:cs="Arial"/>
                <w:sz w:val="20"/>
                <w:szCs w:val="20"/>
              </w:rPr>
              <w:t>4</w:t>
            </w:r>
          </w:p>
        </w:tc>
        <w:tc>
          <w:tcPr>
            <w:tcW w:w="1350" w:type="dxa"/>
            <w:tcBorders>
              <w:top w:val="single" w:sz="12" w:space="0" w:color="auto"/>
              <w:left w:val="single" w:sz="12" w:space="0" w:color="auto"/>
              <w:bottom w:val="single" w:sz="4" w:space="0" w:color="auto"/>
            </w:tcBorders>
            <w:vAlign w:val="center"/>
          </w:tcPr>
          <w:p w14:paraId="50204FA1" w14:textId="77777777" w:rsidR="00555525" w:rsidRPr="00C403FB" w:rsidRDefault="00555525" w:rsidP="00CF0CA7">
            <w:pPr>
              <w:jc w:val="center"/>
              <w:rPr>
                <w:rFonts w:ascii="Arial" w:hAnsi="Arial" w:cs="Arial"/>
                <w:sz w:val="20"/>
                <w:szCs w:val="20"/>
              </w:rPr>
            </w:pPr>
            <w:r w:rsidRPr="00C403FB">
              <w:rPr>
                <w:rFonts w:ascii="Arial" w:hAnsi="Arial" w:cs="Arial"/>
                <w:sz w:val="20"/>
                <w:szCs w:val="20"/>
              </w:rPr>
              <w:t>Number</w:t>
            </w:r>
          </w:p>
        </w:tc>
        <w:tc>
          <w:tcPr>
            <w:tcW w:w="1295" w:type="dxa"/>
            <w:tcBorders>
              <w:top w:val="single" w:sz="12" w:space="0" w:color="auto"/>
              <w:bottom w:val="single" w:sz="4" w:space="0" w:color="auto"/>
            </w:tcBorders>
          </w:tcPr>
          <w:p w14:paraId="50204FA2" w14:textId="77777777" w:rsidR="00555525" w:rsidRPr="00555525" w:rsidRDefault="00555525" w:rsidP="00555525">
            <w:pPr>
              <w:autoSpaceDE w:val="0"/>
              <w:autoSpaceDN w:val="0"/>
              <w:adjustRightInd w:val="0"/>
              <w:jc w:val="center"/>
              <w:rPr>
                <w:rFonts w:ascii="Arial" w:hAnsi="Arial" w:cs="Arial"/>
                <w:color w:val="000000"/>
                <w:sz w:val="20"/>
                <w:szCs w:val="22"/>
              </w:rPr>
            </w:pPr>
            <w:r w:rsidRPr="00555525">
              <w:rPr>
                <w:rFonts w:ascii="Arial" w:hAnsi="Arial" w:cs="Arial"/>
                <w:color w:val="000000"/>
                <w:sz w:val="20"/>
                <w:szCs w:val="22"/>
              </w:rPr>
              <w:t>6</w:t>
            </w:r>
            <w:r w:rsidR="00535FE1">
              <w:rPr>
                <w:rFonts w:ascii="Arial" w:hAnsi="Arial" w:cs="Arial"/>
                <w:color w:val="000000"/>
                <w:sz w:val="20"/>
                <w:szCs w:val="22"/>
              </w:rPr>
              <w:t>,</w:t>
            </w:r>
            <w:r w:rsidRPr="00555525">
              <w:rPr>
                <w:rFonts w:ascii="Arial" w:hAnsi="Arial" w:cs="Arial"/>
                <w:color w:val="000000"/>
                <w:sz w:val="20"/>
                <w:szCs w:val="22"/>
              </w:rPr>
              <w:t>311</w:t>
            </w:r>
          </w:p>
        </w:tc>
        <w:tc>
          <w:tcPr>
            <w:tcW w:w="1409" w:type="dxa"/>
            <w:tcBorders>
              <w:top w:val="single" w:sz="12" w:space="0" w:color="auto"/>
              <w:bottom w:val="single" w:sz="4" w:space="0" w:color="auto"/>
            </w:tcBorders>
            <w:shd w:val="clear" w:color="auto" w:fill="FFFFFF"/>
          </w:tcPr>
          <w:p w14:paraId="50204FA3" w14:textId="77777777" w:rsidR="00555525" w:rsidRPr="00555525" w:rsidRDefault="00555525" w:rsidP="00555525">
            <w:pPr>
              <w:autoSpaceDE w:val="0"/>
              <w:autoSpaceDN w:val="0"/>
              <w:adjustRightInd w:val="0"/>
              <w:jc w:val="center"/>
              <w:rPr>
                <w:rFonts w:ascii="Arial" w:hAnsi="Arial" w:cs="Arial"/>
                <w:color w:val="000000"/>
                <w:sz w:val="20"/>
                <w:szCs w:val="22"/>
              </w:rPr>
            </w:pPr>
            <w:r w:rsidRPr="00555525">
              <w:rPr>
                <w:rFonts w:ascii="Arial" w:hAnsi="Arial" w:cs="Arial"/>
                <w:color w:val="000000"/>
                <w:sz w:val="20"/>
                <w:szCs w:val="22"/>
              </w:rPr>
              <w:t>3</w:t>
            </w:r>
            <w:r w:rsidR="00535FE1">
              <w:rPr>
                <w:rFonts w:ascii="Arial" w:hAnsi="Arial" w:cs="Arial"/>
                <w:color w:val="000000"/>
                <w:sz w:val="20"/>
                <w:szCs w:val="22"/>
              </w:rPr>
              <w:t>,</w:t>
            </w:r>
            <w:r w:rsidRPr="00555525">
              <w:rPr>
                <w:rFonts w:ascii="Arial" w:hAnsi="Arial" w:cs="Arial"/>
                <w:color w:val="000000"/>
                <w:sz w:val="20"/>
                <w:szCs w:val="22"/>
              </w:rPr>
              <w:t>294</w:t>
            </w:r>
          </w:p>
        </w:tc>
        <w:tc>
          <w:tcPr>
            <w:tcW w:w="1350" w:type="dxa"/>
            <w:tcBorders>
              <w:top w:val="single" w:sz="12" w:space="0" w:color="auto"/>
              <w:bottom w:val="single" w:sz="4" w:space="0" w:color="auto"/>
              <w:right w:val="single" w:sz="12" w:space="0" w:color="auto"/>
            </w:tcBorders>
          </w:tcPr>
          <w:p w14:paraId="50204FA4" w14:textId="77777777" w:rsidR="00555525" w:rsidRPr="00555525" w:rsidRDefault="00555525" w:rsidP="00555525">
            <w:pPr>
              <w:autoSpaceDE w:val="0"/>
              <w:autoSpaceDN w:val="0"/>
              <w:adjustRightInd w:val="0"/>
              <w:jc w:val="center"/>
              <w:rPr>
                <w:rFonts w:ascii="Arial" w:hAnsi="Arial" w:cs="Arial"/>
                <w:color w:val="000000"/>
                <w:sz w:val="20"/>
                <w:szCs w:val="22"/>
              </w:rPr>
            </w:pPr>
            <w:r w:rsidRPr="00555525">
              <w:rPr>
                <w:rFonts w:ascii="Arial" w:hAnsi="Arial" w:cs="Arial"/>
                <w:color w:val="000000"/>
                <w:sz w:val="20"/>
                <w:szCs w:val="22"/>
              </w:rPr>
              <w:t>9</w:t>
            </w:r>
            <w:r w:rsidR="00535FE1">
              <w:rPr>
                <w:rFonts w:ascii="Arial" w:hAnsi="Arial" w:cs="Arial"/>
                <w:color w:val="000000"/>
                <w:sz w:val="20"/>
                <w:szCs w:val="22"/>
              </w:rPr>
              <w:t>,</w:t>
            </w:r>
            <w:r w:rsidRPr="00555525">
              <w:rPr>
                <w:rFonts w:ascii="Arial" w:hAnsi="Arial" w:cs="Arial"/>
                <w:color w:val="000000"/>
                <w:sz w:val="20"/>
                <w:szCs w:val="22"/>
              </w:rPr>
              <w:t>605</w:t>
            </w:r>
          </w:p>
        </w:tc>
      </w:tr>
      <w:tr w:rsidR="00555525" w:rsidRPr="0035138F" w14:paraId="50204FAB" w14:textId="77777777" w:rsidTr="00555525">
        <w:tc>
          <w:tcPr>
            <w:tcW w:w="1458" w:type="dxa"/>
            <w:vMerge/>
            <w:tcBorders>
              <w:top w:val="single" w:sz="12" w:space="0" w:color="auto"/>
              <w:left w:val="single" w:sz="12" w:space="0" w:color="auto"/>
              <w:bottom w:val="single" w:sz="12" w:space="0" w:color="auto"/>
              <w:right w:val="single" w:sz="12" w:space="0" w:color="auto"/>
            </w:tcBorders>
            <w:vAlign w:val="center"/>
          </w:tcPr>
          <w:p w14:paraId="50204FA6" w14:textId="77777777" w:rsidR="00555525" w:rsidRPr="00C403FB" w:rsidRDefault="00555525" w:rsidP="00CF0CA7">
            <w:pPr>
              <w:jc w:val="center"/>
              <w:rPr>
                <w:rFonts w:ascii="Arial" w:hAnsi="Arial" w:cs="Arial"/>
                <w:sz w:val="20"/>
                <w:szCs w:val="20"/>
              </w:rPr>
            </w:pPr>
          </w:p>
        </w:tc>
        <w:tc>
          <w:tcPr>
            <w:tcW w:w="1350" w:type="dxa"/>
            <w:tcBorders>
              <w:left w:val="single" w:sz="12" w:space="0" w:color="auto"/>
              <w:bottom w:val="single" w:sz="12" w:space="0" w:color="auto"/>
            </w:tcBorders>
            <w:vAlign w:val="center"/>
          </w:tcPr>
          <w:p w14:paraId="50204FA7" w14:textId="77777777" w:rsidR="00555525" w:rsidRPr="00C403FB" w:rsidRDefault="00555525" w:rsidP="00CF0CA7">
            <w:pPr>
              <w:jc w:val="center"/>
              <w:rPr>
                <w:rFonts w:ascii="Arial" w:hAnsi="Arial" w:cs="Arial"/>
                <w:sz w:val="20"/>
                <w:szCs w:val="20"/>
              </w:rPr>
            </w:pPr>
            <w:r w:rsidRPr="00D27918">
              <w:rPr>
                <w:rFonts w:ascii="Arial" w:hAnsi="Arial" w:cs="Arial"/>
                <w:sz w:val="20"/>
                <w:szCs w:val="20"/>
              </w:rPr>
              <w:t>Percent</w:t>
            </w:r>
          </w:p>
        </w:tc>
        <w:tc>
          <w:tcPr>
            <w:tcW w:w="1295" w:type="dxa"/>
            <w:tcBorders>
              <w:bottom w:val="single" w:sz="12" w:space="0" w:color="auto"/>
            </w:tcBorders>
          </w:tcPr>
          <w:p w14:paraId="50204FA8" w14:textId="77777777" w:rsidR="00555525" w:rsidRPr="00555525" w:rsidRDefault="00555525" w:rsidP="00555525">
            <w:pPr>
              <w:autoSpaceDE w:val="0"/>
              <w:autoSpaceDN w:val="0"/>
              <w:adjustRightInd w:val="0"/>
              <w:jc w:val="center"/>
              <w:rPr>
                <w:rFonts w:ascii="Arial" w:hAnsi="Arial" w:cs="Arial"/>
                <w:color w:val="000000"/>
                <w:sz w:val="20"/>
                <w:szCs w:val="22"/>
              </w:rPr>
            </w:pPr>
            <w:r w:rsidRPr="00555525">
              <w:rPr>
                <w:rFonts w:ascii="Arial" w:hAnsi="Arial" w:cs="Arial"/>
                <w:color w:val="000000"/>
                <w:sz w:val="20"/>
                <w:szCs w:val="22"/>
              </w:rPr>
              <w:t>65.7%</w:t>
            </w:r>
          </w:p>
        </w:tc>
        <w:tc>
          <w:tcPr>
            <w:tcW w:w="1409" w:type="dxa"/>
            <w:tcBorders>
              <w:bottom w:val="single" w:sz="12" w:space="0" w:color="auto"/>
            </w:tcBorders>
            <w:shd w:val="clear" w:color="auto" w:fill="F2DBDB"/>
          </w:tcPr>
          <w:p w14:paraId="50204FA9" w14:textId="77777777" w:rsidR="00555525" w:rsidRPr="00555525" w:rsidRDefault="00555525" w:rsidP="00555525">
            <w:pPr>
              <w:autoSpaceDE w:val="0"/>
              <w:autoSpaceDN w:val="0"/>
              <w:adjustRightInd w:val="0"/>
              <w:jc w:val="center"/>
              <w:rPr>
                <w:rFonts w:ascii="Arial" w:hAnsi="Arial" w:cs="Arial"/>
                <w:color w:val="000000"/>
                <w:sz w:val="20"/>
                <w:szCs w:val="22"/>
              </w:rPr>
            </w:pPr>
            <w:r w:rsidRPr="00555525">
              <w:rPr>
                <w:rFonts w:ascii="Arial" w:hAnsi="Arial" w:cs="Arial"/>
                <w:color w:val="000000"/>
                <w:sz w:val="20"/>
                <w:szCs w:val="22"/>
              </w:rPr>
              <w:t>34.3%</w:t>
            </w:r>
          </w:p>
        </w:tc>
        <w:tc>
          <w:tcPr>
            <w:tcW w:w="1350" w:type="dxa"/>
            <w:tcBorders>
              <w:bottom w:val="single" w:sz="12" w:space="0" w:color="auto"/>
              <w:right w:val="single" w:sz="12" w:space="0" w:color="auto"/>
            </w:tcBorders>
          </w:tcPr>
          <w:p w14:paraId="50204FAA" w14:textId="77777777" w:rsidR="00555525" w:rsidRPr="00555525" w:rsidRDefault="00555525" w:rsidP="00555525">
            <w:pPr>
              <w:autoSpaceDE w:val="0"/>
              <w:autoSpaceDN w:val="0"/>
              <w:adjustRightInd w:val="0"/>
              <w:jc w:val="center"/>
              <w:rPr>
                <w:rFonts w:ascii="Arial" w:hAnsi="Arial" w:cs="Arial"/>
                <w:color w:val="000000"/>
                <w:sz w:val="20"/>
                <w:szCs w:val="22"/>
              </w:rPr>
            </w:pPr>
            <w:r w:rsidRPr="00555525">
              <w:rPr>
                <w:rFonts w:ascii="Arial" w:hAnsi="Arial" w:cs="Arial"/>
                <w:color w:val="000000"/>
                <w:sz w:val="20"/>
                <w:szCs w:val="22"/>
              </w:rPr>
              <w:t>100.0%</w:t>
            </w:r>
          </w:p>
        </w:tc>
      </w:tr>
      <w:tr w:rsidR="00555525" w:rsidRPr="0035138F" w14:paraId="50204FB1" w14:textId="77777777" w:rsidTr="00555525">
        <w:tc>
          <w:tcPr>
            <w:tcW w:w="1458" w:type="dxa"/>
            <w:vMerge w:val="restart"/>
            <w:tcBorders>
              <w:top w:val="single" w:sz="12" w:space="0" w:color="auto"/>
              <w:left w:val="single" w:sz="12" w:space="0" w:color="auto"/>
              <w:bottom w:val="single" w:sz="12" w:space="0" w:color="auto"/>
              <w:right w:val="single" w:sz="12" w:space="0" w:color="auto"/>
            </w:tcBorders>
            <w:vAlign w:val="center"/>
          </w:tcPr>
          <w:p w14:paraId="50204FAC" w14:textId="77777777" w:rsidR="00555525" w:rsidRPr="00C403FB" w:rsidRDefault="00555525" w:rsidP="00CF0CA7">
            <w:pPr>
              <w:jc w:val="center"/>
              <w:rPr>
                <w:rFonts w:ascii="Arial" w:hAnsi="Arial" w:cs="Arial"/>
                <w:sz w:val="20"/>
                <w:szCs w:val="20"/>
              </w:rPr>
            </w:pPr>
            <w:r w:rsidRPr="00C403FB">
              <w:rPr>
                <w:rFonts w:ascii="Arial" w:hAnsi="Arial" w:cs="Arial"/>
                <w:sz w:val="20"/>
                <w:szCs w:val="20"/>
              </w:rPr>
              <w:t>5+</w:t>
            </w:r>
          </w:p>
        </w:tc>
        <w:tc>
          <w:tcPr>
            <w:tcW w:w="1350" w:type="dxa"/>
            <w:tcBorders>
              <w:top w:val="single" w:sz="12" w:space="0" w:color="auto"/>
              <w:left w:val="single" w:sz="12" w:space="0" w:color="auto"/>
              <w:bottom w:val="single" w:sz="4" w:space="0" w:color="auto"/>
            </w:tcBorders>
            <w:vAlign w:val="center"/>
          </w:tcPr>
          <w:p w14:paraId="50204FAD" w14:textId="77777777" w:rsidR="00555525" w:rsidRPr="00C403FB" w:rsidRDefault="00555525" w:rsidP="00CF0CA7">
            <w:pPr>
              <w:jc w:val="center"/>
              <w:rPr>
                <w:rFonts w:ascii="Arial" w:hAnsi="Arial" w:cs="Arial"/>
                <w:sz w:val="20"/>
                <w:szCs w:val="20"/>
              </w:rPr>
            </w:pPr>
            <w:r w:rsidRPr="00C403FB">
              <w:rPr>
                <w:rFonts w:ascii="Arial" w:hAnsi="Arial" w:cs="Arial"/>
                <w:sz w:val="20"/>
                <w:szCs w:val="20"/>
              </w:rPr>
              <w:t>Number</w:t>
            </w:r>
          </w:p>
        </w:tc>
        <w:tc>
          <w:tcPr>
            <w:tcW w:w="1295" w:type="dxa"/>
            <w:tcBorders>
              <w:top w:val="single" w:sz="12" w:space="0" w:color="auto"/>
              <w:bottom w:val="single" w:sz="4" w:space="0" w:color="auto"/>
            </w:tcBorders>
          </w:tcPr>
          <w:p w14:paraId="50204FAE" w14:textId="77777777" w:rsidR="00555525" w:rsidRPr="00555525" w:rsidRDefault="00555525" w:rsidP="00555525">
            <w:pPr>
              <w:autoSpaceDE w:val="0"/>
              <w:autoSpaceDN w:val="0"/>
              <w:adjustRightInd w:val="0"/>
              <w:jc w:val="center"/>
              <w:rPr>
                <w:rFonts w:ascii="Arial" w:hAnsi="Arial" w:cs="Arial"/>
                <w:color w:val="000000"/>
                <w:sz w:val="20"/>
                <w:szCs w:val="22"/>
              </w:rPr>
            </w:pPr>
            <w:r w:rsidRPr="00555525">
              <w:rPr>
                <w:rFonts w:ascii="Arial" w:hAnsi="Arial" w:cs="Arial"/>
                <w:color w:val="000000"/>
                <w:sz w:val="20"/>
                <w:szCs w:val="22"/>
              </w:rPr>
              <w:t>13</w:t>
            </w:r>
            <w:r w:rsidR="00535FE1">
              <w:rPr>
                <w:rFonts w:ascii="Arial" w:hAnsi="Arial" w:cs="Arial"/>
                <w:color w:val="000000"/>
                <w:sz w:val="20"/>
                <w:szCs w:val="22"/>
              </w:rPr>
              <w:t>,</w:t>
            </w:r>
            <w:r w:rsidRPr="00555525">
              <w:rPr>
                <w:rFonts w:ascii="Arial" w:hAnsi="Arial" w:cs="Arial"/>
                <w:color w:val="000000"/>
                <w:sz w:val="20"/>
                <w:szCs w:val="22"/>
              </w:rPr>
              <w:t>589</w:t>
            </w:r>
          </w:p>
        </w:tc>
        <w:tc>
          <w:tcPr>
            <w:tcW w:w="1409" w:type="dxa"/>
            <w:tcBorders>
              <w:top w:val="single" w:sz="12" w:space="0" w:color="auto"/>
              <w:bottom w:val="single" w:sz="4" w:space="0" w:color="auto"/>
            </w:tcBorders>
            <w:shd w:val="clear" w:color="auto" w:fill="FFFFFF"/>
          </w:tcPr>
          <w:p w14:paraId="50204FAF" w14:textId="77777777" w:rsidR="00555525" w:rsidRPr="00555525" w:rsidRDefault="00555525" w:rsidP="00555525">
            <w:pPr>
              <w:autoSpaceDE w:val="0"/>
              <w:autoSpaceDN w:val="0"/>
              <w:adjustRightInd w:val="0"/>
              <w:jc w:val="center"/>
              <w:rPr>
                <w:rFonts w:ascii="Arial" w:hAnsi="Arial" w:cs="Arial"/>
                <w:color w:val="000000"/>
                <w:sz w:val="20"/>
                <w:szCs w:val="22"/>
              </w:rPr>
            </w:pPr>
            <w:r w:rsidRPr="00555525">
              <w:rPr>
                <w:rFonts w:ascii="Arial" w:hAnsi="Arial" w:cs="Arial"/>
                <w:color w:val="000000"/>
                <w:sz w:val="20"/>
                <w:szCs w:val="22"/>
              </w:rPr>
              <w:t>6</w:t>
            </w:r>
            <w:r w:rsidR="00535FE1">
              <w:rPr>
                <w:rFonts w:ascii="Arial" w:hAnsi="Arial" w:cs="Arial"/>
                <w:color w:val="000000"/>
                <w:sz w:val="20"/>
                <w:szCs w:val="22"/>
              </w:rPr>
              <w:t>,</w:t>
            </w:r>
            <w:r w:rsidRPr="00555525">
              <w:rPr>
                <w:rFonts w:ascii="Arial" w:hAnsi="Arial" w:cs="Arial"/>
                <w:color w:val="000000"/>
                <w:sz w:val="20"/>
                <w:szCs w:val="22"/>
              </w:rPr>
              <w:t>757</w:t>
            </w:r>
          </w:p>
        </w:tc>
        <w:tc>
          <w:tcPr>
            <w:tcW w:w="1350" w:type="dxa"/>
            <w:tcBorders>
              <w:top w:val="single" w:sz="12" w:space="0" w:color="auto"/>
              <w:bottom w:val="single" w:sz="4" w:space="0" w:color="auto"/>
              <w:right w:val="single" w:sz="12" w:space="0" w:color="auto"/>
            </w:tcBorders>
          </w:tcPr>
          <w:p w14:paraId="50204FB0" w14:textId="77777777" w:rsidR="00555525" w:rsidRPr="00555525" w:rsidRDefault="00555525" w:rsidP="00555525">
            <w:pPr>
              <w:autoSpaceDE w:val="0"/>
              <w:autoSpaceDN w:val="0"/>
              <w:adjustRightInd w:val="0"/>
              <w:jc w:val="center"/>
              <w:rPr>
                <w:rFonts w:ascii="Arial" w:hAnsi="Arial" w:cs="Arial"/>
                <w:color w:val="000000"/>
                <w:sz w:val="20"/>
                <w:szCs w:val="22"/>
              </w:rPr>
            </w:pPr>
            <w:r w:rsidRPr="00555525">
              <w:rPr>
                <w:rFonts w:ascii="Arial" w:hAnsi="Arial" w:cs="Arial"/>
                <w:color w:val="000000"/>
                <w:sz w:val="20"/>
                <w:szCs w:val="22"/>
              </w:rPr>
              <w:t>20</w:t>
            </w:r>
            <w:r w:rsidR="00535FE1">
              <w:rPr>
                <w:rFonts w:ascii="Arial" w:hAnsi="Arial" w:cs="Arial"/>
                <w:color w:val="000000"/>
                <w:sz w:val="20"/>
                <w:szCs w:val="22"/>
              </w:rPr>
              <w:t>,</w:t>
            </w:r>
            <w:r w:rsidRPr="00555525">
              <w:rPr>
                <w:rFonts w:ascii="Arial" w:hAnsi="Arial" w:cs="Arial"/>
                <w:color w:val="000000"/>
                <w:sz w:val="20"/>
                <w:szCs w:val="22"/>
              </w:rPr>
              <w:t>346</w:t>
            </w:r>
          </w:p>
        </w:tc>
      </w:tr>
      <w:tr w:rsidR="00555525" w:rsidRPr="0035138F" w14:paraId="50204FB7" w14:textId="77777777" w:rsidTr="00555525">
        <w:tc>
          <w:tcPr>
            <w:tcW w:w="1458" w:type="dxa"/>
            <w:vMerge/>
            <w:tcBorders>
              <w:top w:val="single" w:sz="12" w:space="0" w:color="auto"/>
              <w:left w:val="single" w:sz="12" w:space="0" w:color="auto"/>
              <w:bottom w:val="single" w:sz="12" w:space="0" w:color="auto"/>
              <w:right w:val="single" w:sz="12" w:space="0" w:color="auto"/>
            </w:tcBorders>
            <w:vAlign w:val="center"/>
          </w:tcPr>
          <w:p w14:paraId="50204FB2" w14:textId="77777777" w:rsidR="00555525" w:rsidRPr="00C403FB" w:rsidRDefault="00555525" w:rsidP="00CF0CA7">
            <w:pPr>
              <w:jc w:val="center"/>
              <w:rPr>
                <w:rFonts w:ascii="Arial" w:hAnsi="Arial" w:cs="Arial"/>
                <w:sz w:val="20"/>
                <w:szCs w:val="20"/>
              </w:rPr>
            </w:pPr>
          </w:p>
        </w:tc>
        <w:tc>
          <w:tcPr>
            <w:tcW w:w="1350" w:type="dxa"/>
            <w:tcBorders>
              <w:left w:val="single" w:sz="12" w:space="0" w:color="auto"/>
              <w:bottom w:val="single" w:sz="12" w:space="0" w:color="auto"/>
            </w:tcBorders>
            <w:vAlign w:val="center"/>
          </w:tcPr>
          <w:p w14:paraId="50204FB3" w14:textId="77777777" w:rsidR="00555525" w:rsidRPr="00C403FB" w:rsidRDefault="00555525" w:rsidP="00CF0CA7">
            <w:pPr>
              <w:jc w:val="center"/>
              <w:rPr>
                <w:rFonts w:ascii="Arial" w:hAnsi="Arial" w:cs="Arial"/>
                <w:sz w:val="20"/>
                <w:szCs w:val="20"/>
              </w:rPr>
            </w:pPr>
            <w:r w:rsidRPr="00D27918">
              <w:rPr>
                <w:rFonts w:ascii="Arial" w:hAnsi="Arial" w:cs="Arial"/>
                <w:sz w:val="20"/>
                <w:szCs w:val="20"/>
              </w:rPr>
              <w:t>Percent</w:t>
            </w:r>
          </w:p>
        </w:tc>
        <w:tc>
          <w:tcPr>
            <w:tcW w:w="1295" w:type="dxa"/>
            <w:tcBorders>
              <w:bottom w:val="single" w:sz="12" w:space="0" w:color="auto"/>
            </w:tcBorders>
          </w:tcPr>
          <w:p w14:paraId="50204FB4" w14:textId="77777777" w:rsidR="00555525" w:rsidRPr="00555525" w:rsidRDefault="00555525" w:rsidP="00555525">
            <w:pPr>
              <w:autoSpaceDE w:val="0"/>
              <w:autoSpaceDN w:val="0"/>
              <w:adjustRightInd w:val="0"/>
              <w:jc w:val="center"/>
              <w:rPr>
                <w:rFonts w:ascii="Arial" w:hAnsi="Arial" w:cs="Arial"/>
                <w:color w:val="000000"/>
                <w:sz w:val="20"/>
                <w:szCs w:val="22"/>
              </w:rPr>
            </w:pPr>
            <w:r w:rsidRPr="00555525">
              <w:rPr>
                <w:rFonts w:ascii="Arial" w:hAnsi="Arial" w:cs="Arial"/>
                <w:color w:val="000000"/>
                <w:sz w:val="20"/>
                <w:szCs w:val="22"/>
              </w:rPr>
              <w:t>66.8%</w:t>
            </w:r>
          </w:p>
        </w:tc>
        <w:tc>
          <w:tcPr>
            <w:tcW w:w="1409" w:type="dxa"/>
            <w:tcBorders>
              <w:bottom w:val="single" w:sz="12" w:space="0" w:color="auto"/>
            </w:tcBorders>
            <w:shd w:val="clear" w:color="auto" w:fill="F2DBDB"/>
          </w:tcPr>
          <w:p w14:paraId="50204FB5" w14:textId="77777777" w:rsidR="00555525" w:rsidRPr="00555525" w:rsidRDefault="00555525" w:rsidP="00555525">
            <w:pPr>
              <w:autoSpaceDE w:val="0"/>
              <w:autoSpaceDN w:val="0"/>
              <w:adjustRightInd w:val="0"/>
              <w:jc w:val="center"/>
              <w:rPr>
                <w:rFonts w:ascii="Arial" w:hAnsi="Arial" w:cs="Arial"/>
                <w:color w:val="000000"/>
                <w:sz w:val="20"/>
                <w:szCs w:val="22"/>
              </w:rPr>
            </w:pPr>
            <w:r w:rsidRPr="00555525">
              <w:rPr>
                <w:rFonts w:ascii="Arial" w:hAnsi="Arial" w:cs="Arial"/>
                <w:color w:val="000000"/>
                <w:sz w:val="20"/>
                <w:szCs w:val="22"/>
              </w:rPr>
              <w:t>33.2%</w:t>
            </w:r>
          </w:p>
        </w:tc>
        <w:tc>
          <w:tcPr>
            <w:tcW w:w="1350" w:type="dxa"/>
            <w:tcBorders>
              <w:bottom w:val="single" w:sz="12" w:space="0" w:color="auto"/>
              <w:right w:val="single" w:sz="12" w:space="0" w:color="auto"/>
            </w:tcBorders>
          </w:tcPr>
          <w:p w14:paraId="50204FB6" w14:textId="77777777" w:rsidR="00555525" w:rsidRPr="00555525" w:rsidRDefault="00555525" w:rsidP="00555525">
            <w:pPr>
              <w:autoSpaceDE w:val="0"/>
              <w:autoSpaceDN w:val="0"/>
              <w:adjustRightInd w:val="0"/>
              <w:jc w:val="center"/>
              <w:rPr>
                <w:rFonts w:ascii="Arial" w:hAnsi="Arial" w:cs="Arial"/>
                <w:color w:val="000000"/>
                <w:sz w:val="20"/>
                <w:szCs w:val="22"/>
              </w:rPr>
            </w:pPr>
            <w:r w:rsidRPr="00555525">
              <w:rPr>
                <w:rFonts w:ascii="Arial" w:hAnsi="Arial" w:cs="Arial"/>
                <w:color w:val="000000"/>
                <w:sz w:val="20"/>
                <w:szCs w:val="22"/>
              </w:rPr>
              <w:t>100.0%</w:t>
            </w:r>
          </w:p>
        </w:tc>
      </w:tr>
      <w:tr w:rsidR="00555525" w:rsidRPr="0035138F" w14:paraId="50204FBD" w14:textId="77777777" w:rsidTr="00555525">
        <w:tc>
          <w:tcPr>
            <w:tcW w:w="1458" w:type="dxa"/>
            <w:vMerge w:val="restart"/>
            <w:tcBorders>
              <w:top w:val="single" w:sz="12" w:space="0" w:color="auto"/>
              <w:left w:val="single" w:sz="12" w:space="0" w:color="auto"/>
              <w:bottom w:val="single" w:sz="12" w:space="0" w:color="auto"/>
              <w:right w:val="single" w:sz="12" w:space="0" w:color="auto"/>
            </w:tcBorders>
            <w:vAlign w:val="center"/>
          </w:tcPr>
          <w:p w14:paraId="50204FB8" w14:textId="77777777" w:rsidR="00555525" w:rsidRPr="00C403FB" w:rsidRDefault="00555525" w:rsidP="00CF0CA7">
            <w:pPr>
              <w:jc w:val="center"/>
              <w:rPr>
                <w:rFonts w:ascii="Arial" w:hAnsi="Arial" w:cs="Arial"/>
                <w:sz w:val="20"/>
                <w:szCs w:val="20"/>
              </w:rPr>
            </w:pPr>
            <w:r w:rsidRPr="00C403FB">
              <w:rPr>
                <w:rFonts w:ascii="Arial" w:hAnsi="Arial" w:cs="Arial"/>
                <w:sz w:val="20"/>
                <w:szCs w:val="20"/>
              </w:rPr>
              <w:t>TOTAL</w:t>
            </w:r>
          </w:p>
        </w:tc>
        <w:tc>
          <w:tcPr>
            <w:tcW w:w="1350" w:type="dxa"/>
            <w:tcBorders>
              <w:top w:val="single" w:sz="12" w:space="0" w:color="auto"/>
              <w:left w:val="single" w:sz="12" w:space="0" w:color="auto"/>
            </w:tcBorders>
          </w:tcPr>
          <w:p w14:paraId="50204FB9" w14:textId="77777777" w:rsidR="00555525" w:rsidRPr="00C403FB" w:rsidRDefault="00555525" w:rsidP="00CF0CA7">
            <w:pPr>
              <w:jc w:val="center"/>
              <w:rPr>
                <w:rFonts w:ascii="Arial" w:hAnsi="Arial" w:cs="Arial"/>
                <w:sz w:val="20"/>
                <w:szCs w:val="20"/>
              </w:rPr>
            </w:pPr>
            <w:r w:rsidRPr="00C403FB">
              <w:rPr>
                <w:rFonts w:ascii="Arial" w:hAnsi="Arial" w:cs="Arial"/>
                <w:sz w:val="20"/>
                <w:szCs w:val="20"/>
              </w:rPr>
              <w:t>Number</w:t>
            </w:r>
          </w:p>
        </w:tc>
        <w:tc>
          <w:tcPr>
            <w:tcW w:w="1295" w:type="dxa"/>
            <w:tcBorders>
              <w:top w:val="single" w:sz="12" w:space="0" w:color="auto"/>
            </w:tcBorders>
          </w:tcPr>
          <w:p w14:paraId="50204FBA" w14:textId="77777777" w:rsidR="00555525" w:rsidRPr="00555525" w:rsidRDefault="00555525" w:rsidP="00555525">
            <w:pPr>
              <w:autoSpaceDE w:val="0"/>
              <w:autoSpaceDN w:val="0"/>
              <w:adjustRightInd w:val="0"/>
              <w:jc w:val="center"/>
              <w:rPr>
                <w:rFonts w:ascii="Arial" w:hAnsi="Arial" w:cs="Arial"/>
                <w:color w:val="000000"/>
                <w:sz w:val="20"/>
                <w:szCs w:val="22"/>
              </w:rPr>
            </w:pPr>
            <w:r w:rsidRPr="00555525">
              <w:rPr>
                <w:rFonts w:ascii="Arial" w:hAnsi="Arial" w:cs="Arial"/>
                <w:color w:val="000000"/>
                <w:sz w:val="20"/>
                <w:szCs w:val="22"/>
              </w:rPr>
              <w:t>61</w:t>
            </w:r>
            <w:r w:rsidR="00535FE1">
              <w:rPr>
                <w:rFonts w:ascii="Arial" w:hAnsi="Arial" w:cs="Arial"/>
                <w:color w:val="000000"/>
                <w:sz w:val="20"/>
                <w:szCs w:val="22"/>
              </w:rPr>
              <w:t>,</w:t>
            </w:r>
            <w:r w:rsidRPr="00555525">
              <w:rPr>
                <w:rFonts w:ascii="Arial" w:hAnsi="Arial" w:cs="Arial"/>
                <w:color w:val="000000"/>
                <w:sz w:val="20"/>
                <w:szCs w:val="22"/>
              </w:rPr>
              <w:t>171</w:t>
            </w:r>
          </w:p>
        </w:tc>
        <w:tc>
          <w:tcPr>
            <w:tcW w:w="1409" w:type="dxa"/>
            <w:tcBorders>
              <w:top w:val="single" w:sz="12" w:space="0" w:color="auto"/>
            </w:tcBorders>
          </w:tcPr>
          <w:p w14:paraId="50204FBB" w14:textId="77777777" w:rsidR="00555525" w:rsidRPr="00555525" w:rsidRDefault="00555525" w:rsidP="00555525">
            <w:pPr>
              <w:autoSpaceDE w:val="0"/>
              <w:autoSpaceDN w:val="0"/>
              <w:adjustRightInd w:val="0"/>
              <w:jc w:val="center"/>
              <w:rPr>
                <w:rFonts w:ascii="Arial" w:hAnsi="Arial" w:cs="Arial"/>
                <w:color w:val="000000"/>
                <w:sz w:val="20"/>
                <w:szCs w:val="22"/>
              </w:rPr>
            </w:pPr>
            <w:r w:rsidRPr="00555525">
              <w:rPr>
                <w:rFonts w:ascii="Arial" w:hAnsi="Arial" w:cs="Arial"/>
                <w:color w:val="000000"/>
                <w:sz w:val="20"/>
                <w:szCs w:val="22"/>
              </w:rPr>
              <w:t>14</w:t>
            </w:r>
            <w:r w:rsidR="00535FE1">
              <w:rPr>
                <w:rFonts w:ascii="Arial" w:hAnsi="Arial" w:cs="Arial"/>
                <w:color w:val="000000"/>
                <w:sz w:val="20"/>
                <w:szCs w:val="22"/>
              </w:rPr>
              <w:t>,</w:t>
            </w:r>
            <w:r w:rsidRPr="00555525">
              <w:rPr>
                <w:rFonts w:ascii="Arial" w:hAnsi="Arial" w:cs="Arial"/>
                <w:color w:val="000000"/>
                <w:sz w:val="20"/>
                <w:szCs w:val="22"/>
              </w:rPr>
              <w:t>577</w:t>
            </w:r>
          </w:p>
        </w:tc>
        <w:tc>
          <w:tcPr>
            <w:tcW w:w="1350" w:type="dxa"/>
            <w:tcBorders>
              <w:top w:val="single" w:sz="12" w:space="0" w:color="auto"/>
              <w:right w:val="single" w:sz="12" w:space="0" w:color="auto"/>
            </w:tcBorders>
          </w:tcPr>
          <w:p w14:paraId="50204FBC" w14:textId="77777777" w:rsidR="00555525" w:rsidRPr="00555525" w:rsidRDefault="00555525" w:rsidP="00555525">
            <w:pPr>
              <w:autoSpaceDE w:val="0"/>
              <w:autoSpaceDN w:val="0"/>
              <w:adjustRightInd w:val="0"/>
              <w:jc w:val="center"/>
              <w:rPr>
                <w:rFonts w:ascii="Arial" w:hAnsi="Arial" w:cs="Arial"/>
                <w:color w:val="000000"/>
                <w:sz w:val="20"/>
                <w:szCs w:val="22"/>
              </w:rPr>
            </w:pPr>
            <w:r w:rsidRPr="00555525">
              <w:rPr>
                <w:rFonts w:ascii="Arial" w:hAnsi="Arial" w:cs="Arial"/>
                <w:color w:val="000000"/>
                <w:sz w:val="20"/>
                <w:szCs w:val="22"/>
              </w:rPr>
              <w:t>75</w:t>
            </w:r>
            <w:r w:rsidR="00535FE1">
              <w:rPr>
                <w:rFonts w:ascii="Arial" w:hAnsi="Arial" w:cs="Arial"/>
                <w:color w:val="000000"/>
                <w:sz w:val="20"/>
                <w:szCs w:val="22"/>
              </w:rPr>
              <w:t>,</w:t>
            </w:r>
            <w:r w:rsidRPr="00555525">
              <w:rPr>
                <w:rFonts w:ascii="Arial" w:hAnsi="Arial" w:cs="Arial"/>
                <w:color w:val="000000"/>
                <w:sz w:val="20"/>
                <w:szCs w:val="22"/>
              </w:rPr>
              <w:t>748</w:t>
            </w:r>
          </w:p>
        </w:tc>
      </w:tr>
      <w:tr w:rsidR="00555525" w:rsidRPr="0035138F" w14:paraId="50204FC3" w14:textId="77777777" w:rsidTr="00555525">
        <w:tc>
          <w:tcPr>
            <w:tcW w:w="1458" w:type="dxa"/>
            <w:vMerge/>
            <w:tcBorders>
              <w:top w:val="single" w:sz="12" w:space="0" w:color="auto"/>
              <w:left w:val="single" w:sz="12" w:space="0" w:color="auto"/>
              <w:bottom w:val="single" w:sz="12" w:space="0" w:color="auto"/>
              <w:right w:val="single" w:sz="12" w:space="0" w:color="auto"/>
            </w:tcBorders>
          </w:tcPr>
          <w:p w14:paraId="50204FBE" w14:textId="77777777" w:rsidR="00555525" w:rsidRPr="0035138F" w:rsidRDefault="00555525" w:rsidP="00CF0CA7">
            <w:pPr>
              <w:jc w:val="center"/>
              <w:rPr>
                <w:rFonts w:ascii="Calibri" w:hAnsi="Calibri"/>
              </w:rPr>
            </w:pPr>
          </w:p>
        </w:tc>
        <w:tc>
          <w:tcPr>
            <w:tcW w:w="1350" w:type="dxa"/>
            <w:tcBorders>
              <w:left w:val="single" w:sz="12" w:space="0" w:color="auto"/>
              <w:bottom w:val="single" w:sz="12" w:space="0" w:color="auto"/>
            </w:tcBorders>
          </w:tcPr>
          <w:p w14:paraId="50204FBF" w14:textId="77777777" w:rsidR="00555525" w:rsidRPr="00C45F8F" w:rsidRDefault="00555525" w:rsidP="00CF0CA7">
            <w:pPr>
              <w:jc w:val="center"/>
              <w:rPr>
                <w:rFonts w:ascii="Arial" w:hAnsi="Arial" w:cs="Arial"/>
                <w:sz w:val="20"/>
              </w:rPr>
            </w:pPr>
            <w:r w:rsidRPr="00C45F8F">
              <w:rPr>
                <w:rFonts w:ascii="Arial" w:hAnsi="Arial" w:cs="Arial"/>
                <w:sz w:val="20"/>
              </w:rPr>
              <w:t>Percent</w:t>
            </w:r>
          </w:p>
        </w:tc>
        <w:tc>
          <w:tcPr>
            <w:tcW w:w="1295" w:type="dxa"/>
            <w:tcBorders>
              <w:bottom w:val="single" w:sz="12" w:space="0" w:color="auto"/>
            </w:tcBorders>
          </w:tcPr>
          <w:p w14:paraId="50204FC0" w14:textId="77777777" w:rsidR="00555525" w:rsidRPr="00555525" w:rsidRDefault="00555525" w:rsidP="00555525">
            <w:pPr>
              <w:autoSpaceDE w:val="0"/>
              <w:autoSpaceDN w:val="0"/>
              <w:adjustRightInd w:val="0"/>
              <w:jc w:val="center"/>
              <w:rPr>
                <w:rFonts w:ascii="Arial" w:hAnsi="Arial" w:cs="Arial"/>
                <w:color w:val="000000"/>
                <w:sz w:val="20"/>
                <w:szCs w:val="22"/>
              </w:rPr>
            </w:pPr>
            <w:r w:rsidRPr="00555525">
              <w:rPr>
                <w:rFonts w:ascii="Arial" w:hAnsi="Arial" w:cs="Arial"/>
                <w:color w:val="000000"/>
                <w:sz w:val="20"/>
                <w:szCs w:val="22"/>
              </w:rPr>
              <w:t>80.8%</w:t>
            </w:r>
          </w:p>
        </w:tc>
        <w:tc>
          <w:tcPr>
            <w:tcW w:w="1409" w:type="dxa"/>
            <w:tcBorders>
              <w:bottom w:val="single" w:sz="12" w:space="0" w:color="auto"/>
            </w:tcBorders>
            <w:shd w:val="clear" w:color="auto" w:fill="F2DBDB"/>
          </w:tcPr>
          <w:p w14:paraId="50204FC1" w14:textId="77777777" w:rsidR="00555525" w:rsidRPr="00555525" w:rsidRDefault="00555525" w:rsidP="00555525">
            <w:pPr>
              <w:autoSpaceDE w:val="0"/>
              <w:autoSpaceDN w:val="0"/>
              <w:adjustRightInd w:val="0"/>
              <w:jc w:val="center"/>
              <w:rPr>
                <w:rFonts w:ascii="Arial" w:hAnsi="Arial" w:cs="Arial"/>
                <w:color w:val="000000"/>
                <w:sz w:val="20"/>
                <w:szCs w:val="22"/>
              </w:rPr>
            </w:pPr>
            <w:r w:rsidRPr="00555525">
              <w:rPr>
                <w:rFonts w:ascii="Arial" w:hAnsi="Arial" w:cs="Arial"/>
                <w:color w:val="000000"/>
                <w:sz w:val="20"/>
                <w:szCs w:val="22"/>
              </w:rPr>
              <w:t>19.2%</w:t>
            </w:r>
          </w:p>
        </w:tc>
        <w:tc>
          <w:tcPr>
            <w:tcW w:w="1350" w:type="dxa"/>
            <w:tcBorders>
              <w:bottom w:val="single" w:sz="12" w:space="0" w:color="auto"/>
              <w:right w:val="single" w:sz="12" w:space="0" w:color="auto"/>
            </w:tcBorders>
          </w:tcPr>
          <w:p w14:paraId="50204FC2" w14:textId="77777777" w:rsidR="00555525" w:rsidRPr="00555525" w:rsidRDefault="00555525" w:rsidP="00555525">
            <w:pPr>
              <w:autoSpaceDE w:val="0"/>
              <w:autoSpaceDN w:val="0"/>
              <w:adjustRightInd w:val="0"/>
              <w:jc w:val="center"/>
              <w:rPr>
                <w:rFonts w:ascii="Arial" w:hAnsi="Arial" w:cs="Arial"/>
                <w:color w:val="000000"/>
                <w:sz w:val="20"/>
                <w:szCs w:val="22"/>
              </w:rPr>
            </w:pPr>
            <w:r w:rsidRPr="00555525">
              <w:rPr>
                <w:rFonts w:ascii="Arial" w:hAnsi="Arial" w:cs="Arial"/>
                <w:color w:val="000000"/>
                <w:sz w:val="20"/>
                <w:szCs w:val="22"/>
              </w:rPr>
              <w:t>100.0%</w:t>
            </w:r>
          </w:p>
        </w:tc>
      </w:tr>
    </w:tbl>
    <w:p w14:paraId="50204FC4" w14:textId="77777777" w:rsidR="00216E60" w:rsidRDefault="00216E60" w:rsidP="00216E60">
      <w:pPr>
        <w:pStyle w:val="BodyText"/>
        <w:jc w:val="center"/>
        <w:rPr>
          <w:b/>
          <w:sz w:val="16"/>
          <w:szCs w:val="16"/>
        </w:rPr>
      </w:pPr>
    </w:p>
    <w:p w14:paraId="50204FC5" w14:textId="77777777" w:rsidR="003539B3" w:rsidRPr="00555525" w:rsidRDefault="003539B3" w:rsidP="00216E60">
      <w:pPr>
        <w:pStyle w:val="BodyText"/>
        <w:jc w:val="center"/>
        <w:rPr>
          <w:b/>
          <w:sz w:val="16"/>
          <w:szCs w:val="16"/>
        </w:rPr>
      </w:pPr>
    </w:p>
    <w:p w14:paraId="50204FC6" w14:textId="77777777" w:rsidR="003539B3" w:rsidRPr="00216E60" w:rsidRDefault="003539B3" w:rsidP="003539B3">
      <w:pPr>
        <w:pStyle w:val="BodyText"/>
        <w:jc w:val="center"/>
        <w:rPr>
          <w:b/>
          <w:szCs w:val="22"/>
        </w:rPr>
      </w:pPr>
      <w:r w:rsidRPr="00216E60">
        <w:rPr>
          <w:b/>
          <w:szCs w:val="22"/>
        </w:rPr>
        <w:t xml:space="preserve">Table </w:t>
      </w:r>
      <w:r>
        <w:rPr>
          <w:b/>
          <w:szCs w:val="22"/>
        </w:rPr>
        <w:t>3</w:t>
      </w:r>
      <w:r w:rsidRPr="00216E60">
        <w:rPr>
          <w:b/>
          <w:szCs w:val="22"/>
        </w:rPr>
        <w:t>.</w:t>
      </w:r>
    </w:p>
    <w:p w14:paraId="50204FC7" w14:textId="77777777" w:rsidR="003539B3" w:rsidRPr="00216E60" w:rsidRDefault="003539B3" w:rsidP="003539B3">
      <w:pPr>
        <w:pStyle w:val="BodyText"/>
        <w:spacing w:after="120"/>
        <w:jc w:val="center"/>
        <w:rPr>
          <w:b/>
          <w:szCs w:val="22"/>
        </w:rPr>
      </w:pPr>
      <w:r w:rsidRPr="00216E60">
        <w:rPr>
          <w:b/>
          <w:szCs w:val="22"/>
        </w:rPr>
        <w:t xml:space="preserve">Annual Statewide Attainment Targets </w:t>
      </w:r>
      <w:r w:rsidR="006F2C76">
        <w:rPr>
          <w:b/>
          <w:szCs w:val="22"/>
        </w:rPr>
        <w:t xml:space="preserve">Beginning in </w:t>
      </w:r>
      <w:r w:rsidRPr="00216E60">
        <w:rPr>
          <w:b/>
          <w:szCs w:val="22"/>
        </w:rPr>
        <w:t>201</w:t>
      </w:r>
      <w:r>
        <w:rPr>
          <w:b/>
          <w:szCs w:val="22"/>
        </w:rPr>
        <w:t>4</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1131"/>
        <w:gridCol w:w="1131"/>
        <w:gridCol w:w="1132"/>
        <w:gridCol w:w="1131"/>
        <w:gridCol w:w="1132"/>
        <w:gridCol w:w="1131"/>
        <w:gridCol w:w="1132"/>
      </w:tblGrid>
      <w:tr w:rsidR="003539B3" w:rsidRPr="00E32F24" w14:paraId="50204FCC" w14:textId="77777777" w:rsidTr="008C3AE1">
        <w:trPr>
          <w:trHeight w:val="1268"/>
        </w:trPr>
        <w:tc>
          <w:tcPr>
            <w:tcW w:w="1998" w:type="dxa"/>
            <w:vMerge w:val="restart"/>
            <w:shd w:val="clear" w:color="auto" w:fill="D9D9D9"/>
            <w:vAlign w:val="center"/>
          </w:tcPr>
          <w:p w14:paraId="50204FC8" w14:textId="77777777" w:rsidR="003539B3" w:rsidRPr="008C3AE1" w:rsidRDefault="003539B3" w:rsidP="008C3AE1">
            <w:pPr>
              <w:pStyle w:val="BodyText"/>
              <w:spacing w:before="120" w:after="120"/>
              <w:jc w:val="center"/>
              <w:rPr>
                <w:b/>
                <w:sz w:val="20"/>
              </w:rPr>
            </w:pPr>
            <w:r w:rsidRPr="008C3AE1">
              <w:rPr>
                <w:b/>
                <w:color w:val="000000"/>
                <w:sz w:val="20"/>
                <w:szCs w:val="20"/>
              </w:rPr>
              <w:t>Number of years student has been enrolled in a Massachusetts school</w:t>
            </w:r>
          </w:p>
        </w:tc>
        <w:tc>
          <w:tcPr>
            <w:tcW w:w="7920" w:type="dxa"/>
            <w:gridSpan w:val="7"/>
            <w:shd w:val="clear" w:color="auto" w:fill="D9D9D9"/>
            <w:vAlign w:val="center"/>
          </w:tcPr>
          <w:p w14:paraId="50204FC9" w14:textId="77777777" w:rsidR="003539B3" w:rsidRPr="008C3AE1" w:rsidRDefault="003539B3" w:rsidP="008C3AE1">
            <w:pPr>
              <w:pStyle w:val="BodyText"/>
              <w:spacing w:after="120"/>
              <w:jc w:val="center"/>
              <w:rPr>
                <w:b/>
              </w:rPr>
            </w:pPr>
            <w:r w:rsidRPr="008C3AE1">
              <w:rPr>
                <w:b/>
              </w:rPr>
              <w:t xml:space="preserve">Annual Statewide Attainment Targets </w:t>
            </w:r>
          </w:p>
          <w:p w14:paraId="50204FCA" w14:textId="77777777" w:rsidR="003539B3" w:rsidRPr="008C3AE1" w:rsidRDefault="003539B3" w:rsidP="008C3AE1">
            <w:pPr>
              <w:pStyle w:val="BodyText"/>
              <w:jc w:val="center"/>
              <w:rPr>
                <w:b/>
                <w:sz w:val="20"/>
              </w:rPr>
            </w:pPr>
            <w:r w:rsidRPr="008C3AE1">
              <w:rPr>
                <w:b/>
                <w:sz w:val="20"/>
              </w:rPr>
              <w:t>Target percentage of students attaining proficiency (Level 5)</w:t>
            </w:r>
          </w:p>
          <w:p w14:paraId="50204FCB" w14:textId="77777777" w:rsidR="003539B3" w:rsidRPr="008C3AE1" w:rsidRDefault="003539B3" w:rsidP="008C3AE1">
            <w:pPr>
              <w:pStyle w:val="BodyText"/>
              <w:jc w:val="center"/>
              <w:rPr>
                <w:b/>
                <w:sz w:val="20"/>
              </w:rPr>
            </w:pPr>
            <w:r w:rsidRPr="008C3AE1">
              <w:rPr>
                <w:color w:val="000000"/>
                <w:sz w:val="20"/>
                <w:szCs w:val="20"/>
              </w:rPr>
              <w:t>Adjusted percentage is set 1.5 percentage points below 2014 statewide averages</w:t>
            </w:r>
            <w:r w:rsidR="00545259" w:rsidRPr="008C3AE1">
              <w:rPr>
                <w:color w:val="000000"/>
                <w:sz w:val="20"/>
                <w:szCs w:val="20"/>
              </w:rPr>
              <w:t xml:space="preserve"> in </w:t>
            </w:r>
            <w:r w:rsidRPr="008C3AE1">
              <w:rPr>
                <w:color w:val="000000"/>
                <w:sz w:val="20"/>
                <w:szCs w:val="20"/>
              </w:rPr>
              <w:t>Table 2, and increases by 0.1 percentage point each year.</w:t>
            </w:r>
            <w:r w:rsidRPr="008C3AE1">
              <w:rPr>
                <w:b/>
                <w:sz w:val="20"/>
              </w:rPr>
              <w:t xml:space="preserve"> </w:t>
            </w:r>
          </w:p>
        </w:tc>
      </w:tr>
      <w:tr w:rsidR="003539B3" w:rsidRPr="00E32F24" w14:paraId="50204FD5" w14:textId="77777777" w:rsidTr="008C3AE1">
        <w:trPr>
          <w:trHeight w:val="332"/>
        </w:trPr>
        <w:tc>
          <w:tcPr>
            <w:tcW w:w="1998" w:type="dxa"/>
            <w:vMerge/>
            <w:shd w:val="clear" w:color="auto" w:fill="D9D9D9"/>
            <w:vAlign w:val="center"/>
          </w:tcPr>
          <w:p w14:paraId="50204FCD" w14:textId="77777777" w:rsidR="003539B3" w:rsidRPr="008C3AE1" w:rsidRDefault="003539B3" w:rsidP="008C3AE1">
            <w:pPr>
              <w:pStyle w:val="BodyText"/>
              <w:spacing w:before="120" w:after="120"/>
              <w:jc w:val="center"/>
              <w:rPr>
                <w:b/>
                <w:sz w:val="20"/>
              </w:rPr>
            </w:pPr>
          </w:p>
        </w:tc>
        <w:tc>
          <w:tcPr>
            <w:tcW w:w="1131" w:type="dxa"/>
            <w:shd w:val="clear" w:color="auto" w:fill="D9D9D9"/>
            <w:vAlign w:val="center"/>
          </w:tcPr>
          <w:p w14:paraId="50204FCE" w14:textId="77777777" w:rsidR="003539B3" w:rsidRPr="008C3AE1" w:rsidRDefault="003539B3" w:rsidP="008C3AE1">
            <w:pPr>
              <w:pStyle w:val="BodyText"/>
              <w:jc w:val="center"/>
              <w:rPr>
                <w:b/>
                <w:sz w:val="20"/>
              </w:rPr>
            </w:pPr>
            <w:r w:rsidRPr="008C3AE1">
              <w:rPr>
                <w:b/>
                <w:sz w:val="20"/>
              </w:rPr>
              <w:t>2014</w:t>
            </w:r>
          </w:p>
        </w:tc>
        <w:tc>
          <w:tcPr>
            <w:tcW w:w="1131" w:type="dxa"/>
            <w:shd w:val="clear" w:color="auto" w:fill="D9D9D9"/>
            <w:vAlign w:val="center"/>
          </w:tcPr>
          <w:p w14:paraId="50204FCF" w14:textId="77777777" w:rsidR="003539B3" w:rsidRPr="008C3AE1" w:rsidRDefault="003539B3" w:rsidP="008C3AE1">
            <w:pPr>
              <w:pStyle w:val="BodyText"/>
              <w:jc w:val="center"/>
              <w:rPr>
                <w:b/>
                <w:sz w:val="20"/>
              </w:rPr>
            </w:pPr>
            <w:r w:rsidRPr="008C3AE1">
              <w:rPr>
                <w:b/>
                <w:sz w:val="20"/>
              </w:rPr>
              <w:t>2015</w:t>
            </w:r>
          </w:p>
        </w:tc>
        <w:tc>
          <w:tcPr>
            <w:tcW w:w="1132" w:type="dxa"/>
            <w:shd w:val="clear" w:color="auto" w:fill="D9D9D9"/>
            <w:vAlign w:val="center"/>
          </w:tcPr>
          <w:p w14:paraId="50204FD0" w14:textId="77777777" w:rsidR="003539B3" w:rsidRPr="008C3AE1" w:rsidRDefault="003539B3" w:rsidP="008C3AE1">
            <w:pPr>
              <w:pStyle w:val="BodyText"/>
              <w:jc w:val="center"/>
              <w:rPr>
                <w:b/>
                <w:sz w:val="20"/>
              </w:rPr>
            </w:pPr>
            <w:r w:rsidRPr="008C3AE1">
              <w:rPr>
                <w:b/>
                <w:sz w:val="20"/>
              </w:rPr>
              <w:t>2016</w:t>
            </w:r>
          </w:p>
        </w:tc>
        <w:tc>
          <w:tcPr>
            <w:tcW w:w="1131" w:type="dxa"/>
            <w:shd w:val="clear" w:color="auto" w:fill="D9D9D9"/>
            <w:vAlign w:val="center"/>
          </w:tcPr>
          <w:p w14:paraId="50204FD1" w14:textId="77777777" w:rsidR="003539B3" w:rsidRPr="008C3AE1" w:rsidRDefault="003539B3" w:rsidP="008C3AE1">
            <w:pPr>
              <w:pStyle w:val="BodyText"/>
              <w:jc w:val="center"/>
              <w:rPr>
                <w:b/>
                <w:sz w:val="20"/>
              </w:rPr>
            </w:pPr>
            <w:r w:rsidRPr="008C3AE1">
              <w:rPr>
                <w:b/>
                <w:sz w:val="20"/>
              </w:rPr>
              <w:t>2017</w:t>
            </w:r>
          </w:p>
        </w:tc>
        <w:tc>
          <w:tcPr>
            <w:tcW w:w="1132" w:type="dxa"/>
            <w:shd w:val="clear" w:color="auto" w:fill="D9D9D9"/>
            <w:vAlign w:val="center"/>
          </w:tcPr>
          <w:p w14:paraId="50204FD2" w14:textId="77777777" w:rsidR="003539B3" w:rsidRPr="008C3AE1" w:rsidRDefault="003539B3" w:rsidP="008C3AE1">
            <w:pPr>
              <w:pStyle w:val="BodyText"/>
              <w:jc w:val="center"/>
              <w:rPr>
                <w:b/>
                <w:sz w:val="20"/>
              </w:rPr>
            </w:pPr>
            <w:r w:rsidRPr="008C3AE1">
              <w:rPr>
                <w:b/>
                <w:sz w:val="20"/>
              </w:rPr>
              <w:t>2018</w:t>
            </w:r>
          </w:p>
        </w:tc>
        <w:tc>
          <w:tcPr>
            <w:tcW w:w="1131" w:type="dxa"/>
            <w:shd w:val="clear" w:color="auto" w:fill="D9D9D9"/>
            <w:vAlign w:val="center"/>
          </w:tcPr>
          <w:p w14:paraId="50204FD3" w14:textId="77777777" w:rsidR="003539B3" w:rsidRPr="008C3AE1" w:rsidRDefault="003539B3" w:rsidP="008C3AE1">
            <w:pPr>
              <w:pStyle w:val="BodyText"/>
              <w:jc w:val="center"/>
              <w:rPr>
                <w:b/>
                <w:sz w:val="20"/>
              </w:rPr>
            </w:pPr>
            <w:r w:rsidRPr="008C3AE1">
              <w:rPr>
                <w:b/>
                <w:sz w:val="20"/>
              </w:rPr>
              <w:t>2019</w:t>
            </w:r>
          </w:p>
        </w:tc>
        <w:tc>
          <w:tcPr>
            <w:tcW w:w="1132" w:type="dxa"/>
            <w:shd w:val="clear" w:color="auto" w:fill="D9D9D9"/>
            <w:vAlign w:val="center"/>
          </w:tcPr>
          <w:p w14:paraId="50204FD4" w14:textId="77777777" w:rsidR="003539B3" w:rsidRPr="008C3AE1" w:rsidRDefault="003539B3" w:rsidP="008C3AE1">
            <w:pPr>
              <w:pStyle w:val="BodyText"/>
              <w:jc w:val="center"/>
              <w:rPr>
                <w:b/>
                <w:sz w:val="20"/>
              </w:rPr>
            </w:pPr>
            <w:r w:rsidRPr="008C3AE1">
              <w:rPr>
                <w:b/>
                <w:sz w:val="20"/>
              </w:rPr>
              <w:t>2020</w:t>
            </w:r>
          </w:p>
        </w:tc>
      </w:tr>
      <w:tr w:rsidR="003539B3" w:rsidRPr="00E32F24" w14:paraId="50204FDE" w14:textId="77777777" w:rsidTr="008C3AE1">
        <w:tc>
          <w:tcPr>
            <w:tcW w:w="1998" w:type="dxa"/>
            <w:vAlign w:val="center"/>
          </w:tcPr>
          <w:p w14:paraId="50204FD6" w14:textId="77777777" w:rsidR="003539B3" w:rsidRPr="008C3AE1" w:rsidRDefault="003539B3" w:rsidP="008C3AE1">
            <w:pPr>
              <w:jc w:val="center"/>
              <w:rPr>
                <w:rFonts w:ascii="Arial" w:hAnsi="Arial" w:cs="Arial"/>
                <w:color w:val="000000"/>
                <w:sz w:val="20"/>
                <w:szCs w:val="20"/>
              </w:rPr>
            </w:pPr>
            <w:r w:rsidRPr="008C3AE1">
              <w:rPr>
                <w:rFonts w:ascii="Arial" w:hAnsi="Arial" w:cs="Arial"/>
                <w:color w:val="000000"/>
                <w:sz w:val="20"/>
                <w:szCs w:val="20"/>
              </w:rPr>
              <w:t>1</w:t>
            </w:r>
          </w:p>
        </w:tc>
        <w:tc>
          <w:tcPr>
            <w:tcW w:w="1131" w:type="dxa"/>
            <w:vAlign w:val="center"/>
          </w:tcPr>
          <w:p w14:paraId="50204FD7" w14:textId="77777777" w:rsidR="003539B3" w:rsidRPr="008C3AE1" w:rsidRDefault="003539B3" w:rsidP="008C3AE1">
            <w:pPr>
              <w:autoSpaceDE w:val="0"/>
              <w:autoSpaceDN w:val="0"/>
              <w:adjustRightInd w:val="0"/>
              <w:jc w:val="center"/>
              <w:rPr>
                <w:rFonts w:ascii="Arial" w:hAnsi="Arial" w:cs="Arial"/>
                <w:color w:val="000000"/>
                <w:sz w:val="20"/>
                <w:szCs w:val="22"/>
              </w:rPr>
            </w:pPr>
            <w:r w:rsidRPr="008C3AE1">
              <w:rPr>
                <w:rFonts w:ascii="Arial" w:hAnsi="Arial" w:cs="Arial"/>
                <w:color w:val="000000"/>
                <w:sz w:val="20"/>
                <w:szCs w:val="22"/>
              </w:rPr>
              <w:t>4.1%</w:t>
            </w:r>
          </w:p>
        </w:tc>
        <w:tc>
          <w:tcPr>
            <w:tcW w:w="1131" w:type="dxa"/>
            <w:vAlign w:val="center"/>
          </w:tcPr>
          <w:p w14:paraId="50204FD8" w14:textId="77777777" w:rsidR="003539B3" w:rsidRPr="008C3AE1" w:rsidRDefault="003539B3" w:rsidP="008C3AE1">
            <w:pPr>
              <w:autoSpaceDE w:val="0"/>
              <w:autoSpaceDN w:val="0"/>
              <w:adjustRightInd w:val="0"/>
              <w:jc w:val="center"/>
              <w:rPr>
                <w:rFonts w:ascii="Arial" w:hAnsi="Arial" w:cs="Arial"/>
                <w:color w:val="000000"/>
                <w:sz w:val="20"/>
                <w:szCs w:val="22"/>
              </w:rPr>
            </w:pPr>
            <w:r w:rsidRPr="008C3AE1">
              <w:rPr>
                <w:rFonts w:ascii="Arial" w:hAnsi="Arial" w:cs="Arial"/>
                <w:color w:val="000000"/>
                <w:sz w:val="20"/>
                <w:szCs w:val="22"/>
              </w:rPr>
              <w:t>4.2%</w:t>
            </w:r>
          </w:p>
        </w:tc>
        <w:tc>
          <w:tcPr>
            <w:tcW w:w="1132" w:type="dxa"/>
            <w:vAlign w:val="center"/>
          </w:tcPr>
          <w:p w14:paraId="50204FD9" w14:textId="77777777" w:rsidR="003539B3" w:rsidRPr="008C3AE1" w:rsidRDefault="003539B3" w:rsidP="008C3AE1">
            <w:pPr>
              <w:autoSpaceDE w:val="0"/>
              <w:autoSpaceDN w:val="0"/>
              <w:adjustRightInd w:val="0"/>
              <w:jc w:val="center"/>
              <w:rPr>
                <w:rFonts w:ascii="Arial" w:hAnsi="Arial" w:cs="Arial"/>
                <w:color w:val="000000"/>
                <w:sz w:val="20"/>
                <w:szCs w:val="22"/>
              </w:rPr>
            </w:pPr>
            <w:r w:rsidRPr="008C3AE1">
              <w:rPr>
                <w:rFonts w:ascii="Arial" w:hAnsi="Arial" w:cs="Arial"/>
                <w:color w:val="000000"/>
                <w:sz w:val="20"/>
                <w:szCs w:val="22"/>
              </w:rPr>
              <w:t>4.3%</w:t>
            </w:r>
          </w:p>
        </w:tc>
        <w:tc>
          <w:tcPr>
            <w:tcW w:w="1131" w:type="dxa"/>
            <w:vAlign w:val="center"/>
          </w:tcPr>
          <w:p w14:paraId="50204FDA" w14:textId="77777777" w:rsidR="003539B3" w:rsidRPr="008C3AE1" w:rsidRDefault="003539B3" w:rsidP="008C3AE1">
            <w:pPr>
              <w:autoSpaceDE w:val="0"/>
              <w:autoSpaceDN w:val="0"/>
              <w:adjustRightInd w:val="0"/>
              <w:jc w:val="center"/>
              <w:rPr>
                <w:rFonts w:ascii="Arial" w:hAnsi="Arial" w:cs="Arial"/>
                <w:color w:val="000000"/>
                <w:sz w:val="20"/>
                <w:szCs w:val="22"/>
              </w:rPr>
            </w:pPr>
            <w:r w:rsidRPr="008C3AE1">
              <w:rPr>
                <w:rFonts w:ascii="Arial" w:hAnsi="Arial" w:cs="Arial"/>
                <w:color w:val="000000"/>
                <w:sz w:val="20"/>
                <w:szCs w:val="22"/>
              </w:rPr>
              <w:t>4.4%</w:t>
            </w:r>
          </w:p>
        </w:tc>
        <w:tc>
          <w:tcPr>
            <w:tcW w:w="1132" w:type="dxa"/>
            <w:vAlign w:val="center"/>
          </w:tcPr>
          <w:p w14:paraId="50204FDB" w14:textId="77777777" w:rsidR="003539B3" w:rsidRPr="008C3AE1" w:rsidRDefault="003539B3" w:rsidP="008C3AE1">
            <w:pPr>
              <w:autoSpaceDE w:val="0"/>
              <w:autoSpaceDN w:val="0"/>
              <w:adjustRightInd w:val="0"/>
              <w:jc w:val="center"/>
              <w:rPr>
                <w:rFonts w:ascii="Arial" w:hAnsi="Arial" w:cs="Arial"/>
                <w:color w:val="000000"/>
                <w:sz w:val="20"/>
                <w:szCs w:val="22"/>
              </w:rPr>
            </w:pPr>
            <w:r w:rsidRPr="008C3AE1">
              <w:rPr>
                <w:rFonts w:ascii="Arial" w:hAnsi="Arial" w:cs="Arial"/>
                <w:color w:val="000000"/>
                <w:sz w:val="20"/>
                <w:szCs w:val="22"/>
              </w:rPr>
              <w:t>4.5%</w:t>
            </w:r>
          </w:p>
        </w:tc>
        <w:tc>
          <w:tcPr>
            <w:tcW w:w="1131" w:type="dxa"/>
            <w:vAlign w:val="center"/>
          </w:tcPr>
          <w:p w14:paraId="50204FDC" w14:textId="77777777" w:rsidR="003539B3" w:rsidRPr="008C3AE1" w:rsidRDefault="003539B3" w:rsidP="008C3AE1">
            <w:pPr>
              <w:autoSpaceDE w:val="0"/>
              <w:autoSpaceDN w:val="0"/>
              <w:adjustRightInd w:val="0"/>
              <w:jc w:val="center"/>
              <w:rPr>
                <w:rFonts w:ascii="Arial" w:hAnsi="Arial" w:cs="Arial"/>
                <w:color w:val="000000"/>
                <w:sz w:val="20"/>
                <w:szCs w:val="22"/>
              </w:rPr>
            </w:pPr>
            <w:r w:rsidRPr="008C3AE1">
              <w:rPr>
                <w:rFonts w:ascii="Arial" w:hAnsi="Arial" w:cs="Arial"/>
                <w:color w:val="000000"/>
                <w:sz w:val="20"/>
                <w:szCs w:val="22"/>
              </w:rPr>
              <w:t>4.6%</w:t>
            </w:r>
          </w:p>
        </w:tc>
        <w:tc>
          <w:tcPr>
            <w:tcW w:w="1132" w:type="dxa"/>
            <w:vAlign w:val="center"/>
          </w:tcPr>
          <w:p w14:paraId="50204FDD" w14:textId="77777777" w:rsidR="003539B3" w:rsidRPr="008C3AE1" w:rsidRDefault="003539B3" w:rsidP="008C3AE1">
            <w:pPr>
              <w:autoSpaceDE w:val="0"/>
              <w:autoSpaceDN w:val="0"/>
              <w:adjustRightInd w:val="0"/>
              <w:jc w:val="center"/>
              <w:rPr>
                <w:rFonts w:ascii="Arial" w:hAnsi="Arial" w:cs="Arial"/>
                <w:color w:val="000000"/>
                <w:sz w:val="20"/>
                <w:szCs w:val="22"/>
              </w:rPr>
            </w:pPr>
            <w:r w:rsidRPr="008C3AE1">
              <w:rPr>
                <w:rFonts w:ascii="Arial" w:hAnsi="Arial" w:cs="Arial"/>
                <w:color w:val="000000"/>
                <w:sz w:val="20"/>
                <w:szCs w:val="22"/>
              </w:rPr>
              <w:t>4.7%</w:t>
            </w:r>
          </w:p>
        </w:tc>
      </w:tr>
      <w:tr w:rsidR="003539B3" w:rsidRPr="00E32F24" w14:paraId="50204FE7" w14:textId="77777777" w:rsidTr="008C3AE1">
        <w:tc>
          <w:tcPr>
            <w:tcW w:w="1998" w:type="dxa"/>
            <w:vAlign w:val="center"/>
          </w:tcPr>
          <w:p w14:paraId="50204FDF" w14:textId="77777777" w:rsidR="003539B3" w:rsidRPr="008C3AE1" w:rsidRDefault="003539B3" w:rsidP="008C3AE1">
            <w:pPr>
              <w:jc w:val="center"/>
              <w:rPr>
                <w:rFonts w:ascii="Arial" w:hAnsi="Arial" w:cs="Arial"/>
                <w:color w:val="000000"/>
                <w:sz w:val="20"/>
                <w:szCs w:val="20"/>
              </w:rPr>
            </w:pPr>
            <w:r w:rsidRPr="008C3AE1">
              <w:rPr>
                <w:rFonts w:ascii="Arial" w:hAnsi="Arial" w:cs="Arial"/>
                <w:color w:val="000000"/>
                <w:sz w:val="20"/>
                <w:szCs w:val="20"/>
              </w:rPr>
              <w:t>2</w:t>
            </w:r>
          </w:p>
        </w:tc>
        <w:tc>
          <w:tcPr>
            <w:tcW w:w="1131" w:type="dxa"/>
            <w:vAlign w:val="center"/>
          </w:tcPr>
          <w:p w14:paraId="50204FE0" w14:textId="77777777" w:rsidR="003539B3" w:rsidRPr="008C3AE1" w:rsidRDefault="003539B3" w:rsidP="008C3AE1">
            <w:pPr>
              <w:autoSpaceDE w:val="0"/>
              <w:autoSpaceDN w:val="0"/>
              <w:adjustRightInd w:val="0"/>
              <w:jc w:val="center"/>
              <w:rPr>
                <w:rFonts w:ascii="Arial" w:hAnsi="Arial" w:cs="Arial"/>
                <w:color w:val="000000"/>
                <w:sz w:val="20"/>
                <w:szCs w:val="22"/>
              </w:rPr>
            </w:pPr>
            <w:r w:rsidRPr="008C3AE1">
              <w:rPr>
                <w:rFonts w:ascii="Arial" w:hAnsi="Arial" w:cs="Arial"/>
                <w:color w:val="000000"/>
                <w:sz w:val="20"/>
                <w:szCs w:val="22"/>
              </w:rPr>
              <w:t>7.7</w:t>
            </w:r>
          </w:p>
        </w:tc>
        <w:tc>
          <w:tcPr>
            <w:tcW w:w="1131" w:type="dxa"/>
            <w:vAlign w:val="center"/>
          </w:tcPr>
          <w:p w14:paraId="50204FE1" w14:textId="77777777" w:rsidR="003539B3" w:rsidRPr="008C3AE1" w:rsidRDefault="003539B3" w:rsidP="008C3AE1">
            <w:pPr>
              <w:autoSpaceDE w:val="0"/>
              <w:autoSpaceDN w:val="0"/>
              <w:adjustRightInd w:val="0"/>
              <w:jc w:val="center"/>
              <w:rPr>
                <w:rFonts w:ascii="Arial" w:hAnsi="Arial" w:cs="Arial"/>
                <w:color w:val="000000"/>
                <w:sz w:val="20"/>
                <w:szCs w:val="22"/>
              </w:rPr>
            </w:pPr>
            <w:r w:rsidRPr="008C3AE1">
              <w:rPr>
                <w:rFonts w:ascii="Arial" w:hAnsi="Arial" w:cs="Arial"/>
                <w:color w:val="000000"/>
                <w:sz w:val="20"/>
                <w:szCs w:val="22"/>
              </w:rPr>
              <w:t>7.8</w:t>
            </w:r>
          </w:p>
        </w:tc>
        <w:tc>
          <w:tcPr>
            <w:tcW w:w="1132" w:type="dxa"/>
            <w:vAlign w:val="center"/>
          </w:tcPr>
          <w:p w14:paraId="50204FE2" w14:textId="77777777" w:rsidR="003539B3" w:rsidRPr="008C3AE1" w:rsidRDefault="003539B3" w:rsidP="008C3AE1">
            <w:pPr>
              <w:autoSpaceDE w:val="0"/>
              <w:autoSpaceDN w:val="0"/>
              <w:adjustRightInd w:val="0"/>
              <w:jc w:val="center"/>
              <w:rPr>
                <w:rFonts w:ascii="Arial" w:hAnsi="Arial" w:cs="Arial"/>
                <w:color w:val="000000"/>
                <w:sz w:val="20"/>
                <w:szCs w:val="22"/>
              </w:rPr>
            </w:pPr>
            <w:r w:rsidRPr="008C3AE1">
              <w:rPr>
                <w:rFonts w:ascii="Arial" w:hAnsi="Arial" w:cs="Arial"/>
                <w:color w:val="000000"/>
                <w:sz w:val="20"/>
                <w:szCs w:val="22"/>
              </w:rPr>
              <w:t>7.9</w:t>
            </w:r>
          </w:p>
        </w:tc>
        <w:tc>
          <w:tcPr>
            <w:tcW w:w="1131" w:type="dxa"/>
            <w:vAlign w:val="center"/>
          </w:tcPr>
          <w:p w14:paraId="50204FE3" w14:textId="77777777" w:rsidR="003539B3" w:rsidRPr="008C3AE1" w:rsidRDefault="003539B3" w:rsidP="008C3AE1">
            <w:pPr>
              <w:autoSpaceDE w:val="0"/>
              <w:autoSpaceDN w:val="0"/>
              <w:adjustRightInd w:val="0"/>
              <w:jc w:val="center"/>
              <w:rPr>
                <w:rFonts w:ascii="Arial" w:hAnsi="Arial" w:cs="Arial"/>
                <w:color w:val="000000"/>
                <w:sz w:val="20"/>
                <w:szCs w:val="22"/>
              </w:rPr>
            </w:pPr>
            <w:r w:rsidRPr="008C3AE1">
              <w:rPr>
                <w:rFonts w:ascii="Arial" w:hAnsi="Arial" w:cs="Arial"/>
                <w:color w:val="000000"/>
                <w:sz w:val="20"/>
                <w:szCs w:val="22"/>
              </w:rPr>
              <w:t>8.0</w:t>
            </w:r>
          </w:p>
        </w:tc>
        <w:tc>
          <w:tcPr>
            <w:tcW w:w="1132" w:type="dxa"/>
            <w:vAlign w:val="center"/>
          </w:tcPr>
          <w:p w14:paraId="50204FE4" w14:textId="77777777" w:rsidR="003539B3" w:rsidRPr="008C3AE1" w:rsidRDefault="003539B3" w:rsidP="008C3AE1">
            <w:pPr>
              <w:autoSpaceDE w:val="0"/>
              <w:autoSpaceDN w:val="0"/>
              <w:adjustRightInd w:val="0"/>
              <w:jc w:val="center"/>
              <w:rPr>
                <w:rFonts w:ascii="Arial" w:hAnsi="Arial" w:cs="Arial"/>
                <w:color w:val="000000"/>
                <w:sz w:val="20"/>
                <w:szCs w:val="22"/>
              </w:rPr>
            </w:pPr>
            <w:r w:rsidRPr="008C3AE1">
              <w:rPr>
                <w:rFonts w:ascii="Arial" w:hAnsi="Arial" w:cs="Arial"/>
                <w:color w:val="000000"/>
                <w:sz w:val="20"/>
                <w:szCs w:val="22"/>
              </w:rPr>
              <w:t>8.1</w:t>
            </w:r>
          </w:p>
        </w:tc>
        <w:tc>
          <w:tcPr>
            <w:tcW w:w="1131" w:type="dxa"/>
            <w:vAlign w:val="center"/>
          </w:tcPr>
          <w:p w14:paraId="50204FE5" w14:textId="77777777" w:rsidR="003539B3" w:rsidRPr="008C3AE1" w:rsidRDefault="003539B3" w:rsidP="008C3AE1">
            <w:pPr>
              <w:autoSpaceDE w:val="0"/>
              <w:autoSpaceDN w:val="0"/>
              <w:adjustRightInd w:val="0"/>
              <w:jc w:val="center"/>
              <w:rPr>
                <w:rFonts w:ascii="Arial" w:hAnsi="Arial" w:cs="Arial"/>
                <w:color w:val="000000"/>
                <w:sz w:val="20"/>
                <w:szCs w:val="22"/>
              </w:rPr>
            </w:pPr>
            <w:r w:rsidRPr="008C3AE1">
              <w:rPr>
                <w:rFonts w:ascii="Arial" w:hAnsi="Arial" w:cs="Arial"/>
                <w:color w:val="000000"/>
                <w:sz w:val="20"/>
                <w:szCs w:val="22"/>
              </w:rPr>
              <w:t>8.2</w:t>
            </w:r>
          </w:p>
        </w:tc>
        <w:tc>
          <w:tcPr>
            <w:tcW w:w="1132" w:type="dxa"/>
            <w:vAlign w:val="center"/>
          </w:tcPr>
          <w:p w14:paraId="50204FE6" w14:textId="77777777" w:rsidR="003539B3" w:rsidRPr="008C3AE1" w:rsidRDefault="003539B3" w:rsidP="008C3AE1">
            <w:pPr>
              <w:autoSpaceDE w:val="0"/>
              <w:autoSpaceDN w:val="0"/>
              <w:adjustRightInd w:val="0"/>
              <w:jc w:val="center"/>
              <w:rPr>
                <w:rFonts w:ascii="Arial" w:hAnsi="Arial" w:cs="Arial"/>
                <w:color w:val="000000"/>
                <w:sz w:val="20"/>
                <w:szCs w:val="22"/>
              </w:rPr>
            </w:pPr>
            <w:r w:rsidRPr="008C3AE1">
              <w:rPr>
                <w:rFonts w:ascii="Arial" w:hAnsi="Arial" w:cs="Arial"/>
                <w:color w:val="000000"/>
                <w:sz w:val="20"/>
                <w:szCs w:val="22"/>
              </w:rPr>
              <w:t>8.3</w:t>
            </w:r>
          </w:p>
        </w:tc>
      </w:tr>
      <w:tr w:rsidR="003539B3" w:rsidRPr="00E32F24" w14:paraId="50204FF0" w14:textId="77777777" w:rsidTr="008C3AE1">
        <w:tc>
          <w:tcPr>
            <w:tcW w:w="1998" w:type="dxa"/>
            <w:vAlign w:val="center"/>
          </w:tcPr>
          <w:p w14:paraId="50204FE8" w14:textId="77777777" w:rsidR="003539B3" w:rsidRPr="008C3AE1" w:rsidRDefault="003539B3" w:rsidP="008C3AE1">
            <w:pPr>
              <w:jc w:val="center"/>
              <w:rPr>
                <w:rFonts w:ascii="Arial" w:hAnsi="Arial" w:cs="Arial"/>
                <w:color w:val="000000"/>
                <w:sz w:val="20"/>
                <w:szCs w:val="20"/>
              </w:rPr>
            </w:pPr>
            <w:r w:rsidRPr="008C3AE1">
              <w:rPr>
                <w:rFonts w:ascii="Arial" w:hAnsi="Arial" w:cs="Arial"/>
                <w:color w:val="000000"/>
                <w:sz w:val="20"/>
                <w:szCs w:val="20"/>
              </w:rPr>
              <w:t>3</w:t>
            </w:r>
          </w:p>
        </w:tc>
        <w:tc>
          <w:tcPr>
            <w:tcW w:w="1131" w:type="dxa"/>
            <w:vAlign w:val="center"/>
          </w:tcPr>
          <w:p w14:paraId="50204FE9" w14:textId="77777777" w:rsidR="003539B3" w:rsidRPr="008C3AE1" w:rsidRDefault="003539B3" w:rsidP="008C3AE1">
            <w:pPr>
              <w:autoSpaceDE w:val="0"/>
              <w:autoSpaceDN w:val="0"/>
              <w:adjustRightInd w:val="0"/>
              <w:jc w:val="center"/>
              <w:rPr>
                <w:rFonts w:ascii="Arial" w:hAnsi="Arial" w:cs="Arial"/>
                <w:color w:val="000000"/>
                <w:sz w:val="20"/>
                <w:szCs w:val="22"/>
              </w:rPr>
            </w:pPr>
            <w:r w:rsidRPr="008C3AE1">
              <w:rPr>
                <w:rFonts w:ascii="Arial" w:hAnsi="Arial" w:cs="Arial"/>
                <w:color w:val="000000"/>
                <w:sz w:val="20"/>
                <w:szCs w:val="22"/>
              </w:rPr>
              <w:t>15.7</w:t>
            </w:r>
          </w:p>
        </w:tc>
        <w:tc>
          <w:tcPr>
            <w:tcW w:w="1131" w:type="dxa"/>
            <w:vAlign w:val="center"/>
          </w:tcPr>
          <w:p w14:paraId="50204FEA" w14:textId="77777777" w:rsidR="003539B3" w:rsidRPr="008C3AE1" w:rsidRDefault="003539B3" w:rsidP="008C3AE1">
            <w:pPr>
              <w:autoSpaceDE w:val="0"/>
              <w:autoSpaceDN w:val="0"/>
              <w:adjustRightInd w:val="0"/>
              <w:jc w:val="center"/>
              <w:rPr>
                <w:rFonts w:ascii="Arial" w:hAnsi="Arial" w:cs="Arial"/>
                <w:color w:val="000000"/>
                <w:sz w:val="20"/>
                <w:szCs w:val="22"/>
              </w:rPr>
            </w:pPr>
            <w:r w:rsidRPr="008C3AE1">
              <w:rPr>
                <w:rFonts w:ascii="Arial" w:hAnsi="Arial" w:cs="Arial"/>
                <w:color w:val="000000"/>
                <w:sz w:val="20"/>
                <w:szCs w:val="22"/>
              </w:rPr>
              <w:t>15.8</w:t>
            </w:r>
          </w:p>
        </w:tc>
        <w:tc>
          <w:tcPr>
            <w:tcW w:w="1132" w:type="dxa"/>
            <w:vAlign w:val="center"/>
          </w:tcPr>
          <w:p w14:paraId="50204FEB" w14:textId="77777777" w:rsidR="003539B3" w:rsidRPr="008C3AE1" w:rsidRDefault="003539B3" w:rsidP="008C3AE1">
            <w:pPr>
              <w:autoSpaceDE w:val="0"/>
              <w:autoSpaceDN w:val="0"/>
              <w:adjustRightInd w:val="0"/>
              <w:jc w:val="center"/>
              <w:rPr>
                <w:rFonts w:ascii="Arial" w:hAnsi="Arial" w:cs="Arial"/>
                <w:color w:val="000000"/>
                <w:sz w:val="20"/>
                <w:szCs w:val="22"/>
              </w:rPr>
            </w:pPr>
            <w:r w:rsidRPr="008C3AE1">
              <w:rPr>
                <w:rFonts w:ascii="Arial" w:hAnsi="Arial" w:cs="Arial"/>
                <w:color w:val="000000"/>
                <w:sz w:val="20"/>
                <w:szCs w:val="22"/>
              </w:rPr>
              <w:t>15.9</w:t>
            </w:r>
          </w:p>
        </w:tc>
        <w:tc>
          <w:tcPr>
            <w:tcW w:w="1131" w:type="dxa"/>
            <w:vAlign w:val="center"/>
          </w:tcPr>
          <w:p w14:paraId="50204FEC" w14:textId="77777777" w:rsidR="003539B3" w:rsidRPr="008C3AE1" w:rsidRDefault="003539B3" w:rsidP="008C3AE1">
            <w:pPr>
              <w:autoSpaceDE w:val="0"/>
              <w:autoSpaceDN w:val="0"/>
              <w:adjustRightInd w:val="0"/>
              <w:jc w:val="center"/>
              <w:rPr>
                <w:rFonts w:ascii="Arial" w:hAnsi="Arial" w:cs="Arial"/>
                <w:color w:val="000000"/>
                <w:sz w:val="20"/>
                <w:szCs w:val="22"/>
              </w:rPr>
            </w:pPr>
            <w:r w:rsidRPr="008C3AE1">
              <w:rPr>
                <w:rFonts w:ascii="Arial" w:hAnsi="Arial" w:cs="Arial"/>
                <w:color w:val="000000"/>
                <w:sz w:val="20"/>
                <w:szCs w:val="22"/>
              </w:rPr>
              <w:t>16.0</w:t>
            </w:r>
          </w:p>
        </w:tc>
        <w:tc>
          <w:tcPr>
            <w:tcW w:w="1132" w:type="dxa"/>
            <w:vAlign w:val="center"/>
          </w:tcPr>
          <w:p w14:paraId="50204FED" w14:textId="77777777" w:rsidR="003539B3" w:rsidRPr="008C3AE1" w:rsidRDefault="003539B3" w:rsidP="008C3AE1">
            <w:pPr>
              <w:autoSpaceDE w:val="0"/>
              <w:autoSpaceDN w:val="0"/>
              <w:adjustRightInd w:val="0"/>
              <w:jc w:val="center"/>
              <w:rPr>
                <w:rFonts w:ascii="Arial" w:hAnsi="Arial" w:cs="Arial"/>
                <w:color w:val="000000"/>
                <w:sz w:val="20"/>
                <w:szCs w:val="22"/>
              </w:rPr>
            </w:pPr>
            <w:r w:rsidRPr="008C3AE1">
              <w:rPr>
                <w:rFonts w:ascii="Arial" w:hAnsi="Arial" w:cs="Arial"/>
                <w:color w:val="000000"/>
                <w:sz w:val="20"/>
                <w:szCs w:val="22"/>
              </w:rPr>
              <w:t>16.1</w:t>
            </w:r>
          </w:p>
        </w:tc>
        <w:tc>
          <w:tcPr>
            <w:tcW w:w="1131" w:type="dxa"/>
            <w:vAlign w:val="center"/>
          </w:tcPr>
          <w:p w14:paraId="50204FEE" w14:textId="77777777" w:rsidR="003539B3" w:rsidRPr="008C3AE1" w:rsidRDefault="003539B3" w:rsidP="008C3AE1">
            <w:pPr>
              <w:autoSpaceDE w:val="0"/>
              <w:autoSpaceDN w:val="0"/>
              <w:adjustRightInd w:val="0"/>
              <w:jc w:val="center"/>
              <w:rPr>
                <w:rFonts w:ascii="Arial" w:hAnsi="Arial" w:cs="Arial"/>
                <w:color w:val="000000"/>
                <w:sz w:val="20"/>
                <w:szCs w:val="22"/>
              </w:rPr>
            </w:pPr>
            <w:r w:rsidRPr="008C3AE1">
              <w:rPr>
                <w:rFonts w:ascii="Arial" w:hAnsi="Arial" w:cs="Arial"/>
                <w:color w:val="000000"/>
                <w:sz w:val="20"/>
                <w:szCs w:val="22"/>
              </w:rPr>
              <w:t>16.2</w:t>
            </w:r>
          </w:p>
        </w:tc>
        <w:tc>
          <w:tcPr>
            <w:tcW w:w="1132" w:type="dxa"/>
            <w:vAlign w:val="center"/>
          </w:tcPr>
          <w:p w14:paraId="50204FEF" w14:textId="77777777" w:rsidR="003539B3" w:rsidRPr="008C3AE1" w:rsidRDefault="003539B3" w:rsidP="008C3AE1">
            <w:pPr>
              <w:autoSpaceDE w:val="0"/>
              <w:autoSpaceDN w:val="0"/>
              <w:adjustRightInd w:val="0"/>
              <w:jc w:val="center"/>
              <w:rPr>
                <w:rFonts w:ascii="Arial" w:hAnsi="Arial" w:cs="Arial"/>
                <w:color w:val="000000"/>
                <w:sz w:val="20"/>
                <w:szCs w:val="22"/>
              </w:rPr>
            </w:pPr>
            <w:r w:rsidRPr="008C3AE1">
              <w:rPr>
                <w:rFonts w:ascii="Arial" w:hAnsi="Arial" w:cs="Arial"/>
                <w:color w:val="000000"/>
                <w:sz w:val="20"/>
                <w:szCs w:val="22"/>
              </w:rPr>
              <w:t>16.3</w:t>
            </w:r>
          </w:p>
        </w:tc>
      </w:tr>
      <w:tr w:rsidR="003539B3" w:rsidRPr="00E32F24" w14:paraId="50204FF9" w14:textId="77777777" w:rsidTr="008C3AE1">
        <w:tc>
          <w:tcPr>
            <w:tcW w:w="1998" w:type="dxa"/>
            <w:vAlign w:val="center"/>
          </w:tcPr>
          <w:p w14:paraId="50204FF1" w14:textId="77777777" w:rsidR="003539B3" w:rsidRPr="008C3AE1" w:rsidRDefault="003539B3" w:rsidP="008C3AE1">
            <w:pPr>
              <w:jc w:val="center"/>
              <w:rPr>
                <w:rFonts w:ascii="Arial" w:hAnsi="Arial" w:cs="Arial"/>
                <w:color w:val="000000"/>
                <w:sz w:val="20"/>
                <w:szCs w:val="20"/>
              </w:rPr>
            </w:pPr>
            <w:r w:rsidRPr="008C3AE1">
              <w:rPr>
                <w:rFonts w:ascii="Arial" w:hAnsi="Arial" w:cs="Arial"/>
                <w:color w:val="000000"/>
                <w:sz w:val="20"/>
                <w:szCs w:val="20"/>
              </w:rPr>
              <w:t>4</w:t>
            </w:r>
          </w:p>
        </w:tc>
        <w:tc>
          <w:tcPr>
            <w:tcW w:w="1131" w:type="dxa"/>
            <w:vAlign w:val="center"/>
          </w:tcPr>
          <w:p w14:paraId="50204FF2" w14:textId="77777777" w:rsidR="003539B3" w:rsidRPr="008C3AE1" w:rsidRDefault="003539B3" w:rsidP="008C3AE1">
            <w:pPr>
              <w:autoSpaceDE w:val="0"/>
              <w:autoSpaceDN w:val="0"/>
              <w:adjustRightInd w:val="0"/>
              <w:jc w:val="center"/>
              <w:rPr>
                <w:rFonts w:ascii="Arial" w:hAnsi="Arial" w:cs="Arial"/>
                <w:color w:val="000000"/>
                <w:sz w:val="20"/>
                <w:szCs w:val="22"/>
              </w:rPr>
            </w:pPr>
            <w:r w:rsidRPr="008C3AE1">
              <w:rPr>
                <w:rFonts w:ascii="Arial" w:hAnsi="Arial" w:cs="Arial"/>
                <w:color w:val="000000"/>
                <w:sz w:val="20"/>
                <w:szCs w:val="22"/>
              </w:rPr>
              <w:t>32.8</w:t>
            </w:r>
          </w:p>
        </w:tc>
        <w:tc>
          <w:tcPr>
            <w:tcW w:w="1131" w:type="dxa"/>
            <w:vAlign w:val="center"/>
          </w:tcPr>
          <w:p w14:paraId="50204FF3" w14:textId="77777777" w:rsidR="003539B3" w:rsidRPr="008C3AE1" w:rsidRDefault="003539B3" w:rsidP="008C3AE1">
            <w:pPr>
              <w:autoSpaceDE w:val="0"/>
              <w:autoSpaceDN w:val="0"/>
              <w:adjustRightInd w:val="0"/>
              <w:jc w:val="center"/>
              <w:rPr>
                <w:rFonts w:ascii="Arial" w:hAnsi="Arial" w:cs="Arial"/>
                <w:color w:val="000000"/>
                <w:sz w:val="20"/>
                <w:szCs w:val="22"/>
              </w:rPr>
            </w:pPr>
            <w:r w:rsidRPr="008C3AE1">
              <w:rPr>
                <w:rFonts w:ascii="Arial" w:hAnsi="Arial" w:cs="Arial"/>
                <w:color w:val="000000"/>
                <w:sz w:val="20"/>
                <w:szCs w:val="22"/>
              </w:rPr>
              <w:t>32.9</w:t>
            </w:r>
          </w:p>
        </w:tc>
        <w:tc>
          <w:tcPr>
            <w:tcW w:w="1132" w:type="dxa"/>
            <w:vAlign w:val="center"/>
          </w:tcPr>
          <w:p w14:paraId="50204FF4" w14:textId="77777777" w:rsidR="003539B3" w:rsidRPr="008C3AE1" w:rsidRDefault="003539B3" w:rsidP="008C3AE1">
            <w:pPr>
              <w:autoSpaceDE w:val="0"/>
              <w:autoSpaceDN w:val="0"/>
              <w:adjustRightInd w:val="0"/>
              <w:jc w:val="center"/>
              <w:rPr>
                <w:rFonts w:ascii="Arial" w:hAnsi="Arial" w:cs="Arial"/>
                <w:color w:val="000000"/>
                <w:sz w:val="20"/>
                <w:szCs w:val="22"/>
              </w:rPr>
            </w:pPr>
            <w:r w:rsidRPr="008C3AE1">
              <w:rPr>
                <w:rFonts w:ascii="Arial" w:hAnsi="Arial" w:cs="Arial"/>
                <w:color w:val="000000"/>
                <w:sz w:val="20"/>
                <w:szCs w:val="22"/>
              </w:rPr>
              <w:t>33.0</w:t>
            </w:r>
          </w:p>
        </w:tc>
        <w:tc>
          <w:tcPr>
            <w:tcW w:w="1131" w:type="dxa"/>
            <w:vAlign w:val="center"/>
          </w:tcPr>
          <w:p w14:paraId="50204FF5" w14:textId="77777777" w:rsidR="003539B3" w:rsidRPr="008C3AE1" w:rsidRDefault="003539B3" w:rsidP="008C3AE1">
            <w:pPr>
              <w:autoSpaceDE w:val="0"/>
              <w:autoSpaceDN w:val="0"/>
              <w:adjustRightInd w:val="0"/>
              <w:jc w:val="center"/>
              <w:rPr>
                <w:rFonts w:ascii="Arial" w:hAnsi="Arial" w:cs="Arial"/>
                <w:color w:val="000000"/>
                <w:sz w:val="20"/>
                <w:szCs w:val="22"/>
              </w:rPr>
            </w:pPr>
            <w:r w:rsidRPr="008C3AE1">
              <w:rPr>
                <w:rFonts w:ascii="Arial" w:hAnsi="Arial" w:cs="Arial"/>
                <w:color w:val="000000"/>
                <w:sz w:val="20"/>
                <w:szCs w:val="22"/>
              </w:rPr>
              <w:t>33.1</w:t>
            </w:r>
          </w:p>
        </w:tc>
        <w:tc>
          <w:tcPr>
            <w:tcW w:w="1132" w:type="dxa"/>
            <w:vAlign w:val="center"/>
          </w:tcPr>
          <w:p w14:paraId="50204FF6" w14:textId="77777777" w:rsidR="003539B3" w:rsidRPr="008C3AE1" w:rsidRDefault="003539B3" w:rsidP="008C3AE1">
            <w:pPr>
              <w:autoSpaceDE w:val="0"/>
              <w:autoSpaceDN w:val="0"/>
              <w:adjustRightInd w:val="0"/>
              <w:jc w:val="center"/>
              <w:rPr>
                <w:rFonts w:ascii="Arial" w:hAnsi="Arial" w:cs="Arial"/>
                <w:color w:val="000000"/>
                <w:sz w:val="20"/>
                <w:szCs w:val="22"/>
              </w:rPr>
            </w:pPr>
            <w:r w:rsidRPr="008C3AE1">
              <w:rPr>
                <w:rFonts w:ascii="Arial" w:hAnsi="Arial" w:cs="Arial"/>
                <w:color w:val="000000"/>
                <w:sz w:val="20"/>
                <w:szCs w:val="22"/>
              </w:rPr>
              <w:t>33.2</w:t>
            </w:r>
          </w:p>
        </w:tc>
        <w:tc>
          <w:tcPr>
            <w:tcW w:w="1131" w:type="dxa"/>
            <w:vAlign w:val="center"/>
          </w:tcPr>
          <w:p w14:paraId="50204FF7" w14:textId="77777777" w:rsidR="003539B3" w:rsidRPr="008C3AE1" w:rsidRDefault="003539B3" w:rsidP="008C3AE1">
            <w:pPr>
              <w:autoSpaceDE w:val="0"/>
              <w:autoSpaceDN w:val="0"/>
              <w:adjustRightInd w:val="0"/>
              <w:jc w:val="center"/>
              <w:rPr>
                <w:rFonts w:ascii="Arial" w:hAnsi="Arial" w:cs="Arial"/>
                <w:color w:val="000000"/>
                <w:sz w:val="20"/>
                <w:szCs w:val="22"/>
              </w:rPr>
            </w:pPr>
            <w:r w:rsidRPr="008C3AE1">
              <w:rPr>
                <w:rFonts w:ascii="Arial" w:hAnsi="Arial" w:cs="Arial"/>
                <w:color w:val="000000"/>
                <w:sz w:val="20"/>
                <w:szCs w:val="22"/>
              </w:rPr>
              <w:t>33.3</w:t>
            </w:r>
          </w:p>
        </w:tc>
        <w:tc>
          <w:tcPr>
            <w:tcW w:w="1132" w:type="dxa"/>
            <w:vAlign w:val="center"/>
          </w:tcPr>
          <w:p w14:paraId="50204FF8" w14:textId="77777777" w:rsidR="003539B3" w:rsidRPr="008C3AE1" w:rsidRDefault="003539B3" w:rsidP="008C3AE1">
            <w:pPr>
              <w:autoSpaceDE w:val="0"/>
              <w:autoSpaceDN w:val="0"/>
              <w:adjustRightInd w:val="0"/>
              <w:jc w:val="center"/>
              <w:rPr>
                <w:rFonts w:ascii="Arial" w:hAnsi="Arial" w:cs="Arial"/>
                <w:color w:val="000000"/>
                <w:sz w:val="20"/>
                <w:szCs w:val="22"/>
              </w:rPr>
            </w:pPr>
            <w:r w:rsidRPr="008C3AE1">
              <w:rPr>
                <w:rFonts w:ascii="Arial" w:hAnsi="Arial" w:cs="Arial"/>
                <w:color w:val="000000"/>
                <w:sz w:val="20"/>
                <w:szCs w:val="22"/>
              </w:rPr>
              <w:t>33.4</w:t>
            </w:r>
          </w:p>
        </w:tc>
      </w:tr>
      <w:tr w:rsidR="003539B3" w:rsidRPr="00E32F24" w14:paraId="50205002" w14:textId="77777777" w:rsidTr="008C3AE1">
        <w:tc>
          <w:tcPr>
            <w:tcW w:w="1998" w:type="dxa"/>
            <w:vAlign w:val="center"/>
          </w:tcPr>
          <w:p w14:paraId="50204FFA" w14:textId="77777777" w:rsidR="003539B3" w:rsidRPr="008C3AE1" w:rsidRDefault="003539B3" w:rsidP="008C3AE1">
            <w:pPr>
              <w:jc w:val="center"/>
              <w:rPr>
                <w:rFonts w:ascii="Arial" w:hAnsi="Arial" w:cs="Arial"/>
                <w:color w:val="000000"/>
                <w:sz w:val="20"/>
                <w:szCs w:val="20"/>
              </w:rPr>
            </w:pPr>
            <w:r w:rsidRPr="008C3AE1">
              <w:rPr>
                <w:rFonts w:ascii="Arial" w:hAnsi="Arial" w:cs="Arial"/>
                <w:color w:val="000000"/>
                <w:sz w:val="20"/>
                <w:szCs w:val="20"/>
              </w:rPr>
              <w:t>5+</w:t>
            </w:r>
          </w:p>
        </w:tc>
        <w:tc>
          <w:tcPr>
            <w:tcW w:w="1131" w:type="dxa"/>
            <w:vAlign w:val="center"/>
          </w:tcPr>
          <w:p w14:paraId="50204FFB" w14:textId="77777777" w:rsidR="003539B3" w:rsidRPr="008C3AE1" w:rsidRDefault="003539B3" w:rsidP="008C3AE1">
            <w:pPr>
              <w:autoSpaceDE w:val="0"/>
              <w:autoSpaceDN w:val="0"/>
              <w:adjustRightInd w:val="0"/>
              <w:jc w:val="center"/>
              <w:rPr>
                <w:rFonts w:ascii="Arial" w:hAnsi="Arial" w:cs="Arial"/>
                <w:color w:val="000000"/>
                <w:sz w:val="20"/>
                <w:szCs w:val="22"/>
              </w:rPr>
            </w:pPr>
            <w:r w:rsidRPr="008C3AE1">
              <w:rPr>
                <w:rFonts w:ascii="Arial" w:hAnsi="Arial" w:cs="Arial"/>
                <w:color w:val="000000"/>
                <w:sz w:val="20"/>
                <w:szCs w:val="22"/>
              </w:rPr>
              <w:t>31.7</w:t>
            </w:r>
          </w:p>
        </w:tc>
        <w:tc>
          <w:tcPr>
            <w:tcW w:w="1131" w:type="dxa"/>
            <w:vAlign w:val="center"/>
          </w:tcPr>
          <w:p w14:paraId="50204FFC" w14:textId="77777777" w:rsidR="003539B3" w:rsidRPr="008C3AE1" w:rsidRDefault="003539B3" w:rsidP="008C3AE1">
            <w:pPr>
              <w:autoSpaceDE w:val="0"/>
              <w:autoSpaceDN w:val="0"/>
              <w:adjustRightInd w:val="0"/>
              <w:jc w:val="center"/>
              <w:rPr>
                <w:rFonts w:ascii="Arial" w:hAnsi="Arial" w:cs="Arial"/>
                <w:color w:val="000000"/>
                <w:sz w:val="20"/>
                <w:szCs w:val="22"/>
              </w:rPr>
            </w:pPr>
            <w:r w:rsidRPr="008C3AE1">
              <w:rPr>
                <w:rFonts w:ascii="Arial" w:hAnsi="Arial" w:cs="Arial"/>
                <w:color w:val="000000"/>
                <w:sz w:val="20"/>
                <w:szCs w:val="22"/>
              </w:rPr>
              <w:t>31.8</w:t>
            </w:r>
          </w:p>
        </w:tc>
        <w:tc>
          <w:tcPr>
            <w:tcW w:w="1132" w:type="dxa"/>
            <w:vAlign w:val="center"/>
          </w:tcPr>
          <w:p w14:paraId="50204FFD" w14:textId="77777777" w:rsidR="003539B3" w:rsidRPr="008C3AE1" w:rsidRDefault="003539B3" w:rsidP="008C3AE1">
            <w:pPr>
              <w:autoSpaceDE w:val="0"/>
              <w:autoSpaceDN w:val="0"/>
              <w:adjustRightInd w:val="0"/>
              <w:jc w:val="center"/>
              <w:rPr>
                <w:rFonts w:ascii="Arial" w:hAnsi="Arial" w:cs="Arial"/>
                <w:color w:val="000000"/>
                <w:sz w:val="20"/>
                <w:szCs w:val="22"/>
              </w:rPr>
            </w:pPr>
            <w:r w:rsidRPr="008C3AE1">
              <w:rPr>
                <w:rFonts w:ascii="Arial" w:hAnsi="Arial" w:cs="Arial"/>
                <w:color w:val="000000"/>
                <w:sz w:val="20"/>
                <w:szCs w:val="22"/>
              </w:rPr>
              <w:t>31.9</w:t>
            </w:r>
          </w:p>
        </w:tc>
        <w:tc>
          <w:tcPr>
            <w:tcW w:w="1131" w:type="dxa"/>
            <w:vAlign w:val="center"/>
          </w:tcPr>
          <w:p w14:paraId="50204FFE" w14:textId="77777777" w:rsidR="003539B3" w:rsidRPr="008C3AE1" w:rsidRDefault="003539B3" w:rsidP="008C3AE1">
            <w:pPr>
              <w:autoSpaceDE w:val="0"/>
              <w:autoSpaceDN w:val="0"/>
              <w:adjustRightInd w:val="0"/>
              <w:jc w:val="center"/>
              <w:rPr>
                <w:rFonts w:ascii="Arial" w:hAnsi="Arial" w:cs="Arial"/>
                <w:color w:val="000000"/>
                <w:sz w:val="20"/>
                <w:szCs w:val="22"/>
              </w:rPr>
            </w:pPr>
            <w:r w:rsidRPr="008C3AE1">
              <w:rPr>
                <w:rFonts w:ascii="Arial" w:hAnsi="Arial" w:cs="Arial"/>
                <w:color w:val="000000"/>
                <w:sz w:val="20"/>
                <w:szCs w:val="22"/>
              </w:rPr>
              <w:t>32.0</w:t>
            </w:r>
          </w:p>
        </w:tc>
        <w:tc>
          <w:tcPr>
            <w:tcW w:w="1132" w:type="dxa"/>
            <w:vAlign w:val="center"/>
          </w:tcPr>
          <w:p w14:paraId="50204FFF" w14:textId="77777777" w:rsidR="003539B3" w:rsidRPr="008C3AE1" w:rsidRDefault="003539B3" w:rsidP="008C3AE1">
            <w:pPr>
              <w:autoSpaceDE w:val="0"/>
              <w:autoSpaceDN w:val="0"/>
              <w:adjustRightInd w:val="0"/>
              <w:jc w:val="center"/>
              <w:rPr>
                <w:rFonts w:ascii="Arial" w:hAnsi="Arial" w:cs="Arial"/>
                <w:color w:val="000000"/>
                <w:sz w:val="20"/>
                <w:szCs w:val="22"/>
              </w:rPr>
            </w:pPr>
            <w:r w:rsidRPr="008C3AE1">
              <w:rPr>
                <w:rFonts w:ascii="Arial" w:hAnsi="Arial" w:cs="Arial"/>
                <w:color w:val="000000"/>
                <w:sz w:val="20"/>
                <w:szCs w:val="22"/>
              </w:rPr>
              <w:t>32.1</w:t>
            </w:r>
          </w:p>
        </w:tc>
        <w:tc>
          <w:tcPr>
            <w:tcW w:w="1131" w:type="dxa"/>
            <w:vAlign w:val="center"/>
          </w:tcPr>
          <w:p w14:paraId="50205000" w14:textId="77777777" w:rsidR="003539B3" w:rsidRPr="008C3AE1" w:rsidRDefault="003539B3" w:rsidP="008C3AE1">
            <w:pPr>
              <w:autoSpaceDE w:val="0"/>
              <w:autoSpaceDN w:val="0"/>
              <w:adjustRightInd w:val="0"/>
              <w:jc w:val="center"/>
              <w:rPr>
                <w:rFonts w:ascii="Arial" w:hAnsi="Arial" w:cs="Arial"/>
                <w:color w:val="000000"/>
                <w:sz w:val="20"/>
                <w:szCs w:val="22"/>
              </w:rPr>
            </w:pPr>
            <w:r w:rsidRPr="008C3AE1">
              <w:rPr>
                <w:rFonts w:ascii="Arial" w:hAnsi="Arial" w:cs="Arial"/>
                <w:color w:val="000000"/>
                <w:sz w:val="20"/>
                <w:szCs w:val="22"/>
              </w:rPr>
              <w:t>32.2</w:t>
            </w:r>
          </w:p>
        </w:tc>
        <w:tc>
          <w:tcPr>
            <w:tcW w:w="1132" w:type="dxa"/>
            <w:vAlign w:val="center"/>
          </w:tcPr>
          <w:p w14:paraId="50205001" w14:textId="77777777" w:rsidR="003539B3" w:rsidRPr="008C3AE1" w:rsidRDefault="003539B3" w:rsidP="008C3AE1">
            <w:pPr>
              <w:autoSpaceDE w:val="0"/>
              <w:autoSpaceDN w:val="0"/>
              <w:adjustRightInd w:val="0"/>
              <w:jc w:val="center"/>
              <w:rPr>
                <w:rFonts w:ascii="Arial" w:hAnsi="Arial" w:cs="Arial"/>
                <w:color w:val="000000"/>
                <w:sz w:val="20"/>
                <w:szCs w:val="22"/>
              </w:rPr>
            </w:pPr>
            <w:r w:rsidRPr="008C3AE1">
              <w:rPr>
                <w:rFonts w:ascii="Arial" w:hAnsi="Arial" w:cs="Arial"/>
                <w:color w:val="000000"/>
                <w:sz w:val="20"/>
                <w:szCs w:val="22"/>
              </w:rPr>
              <w:t>32.3</w:t>
            </w:r>
          </w:p>
        </w:tc>
      </w:tr>
    </w:tbl>
    <w:p w14:paraId="50205003" w14:textId="77777777" w:rsidR="00216E60" w:rsidRDefault="00216E60" w:rsidP="00216E60">
      <w:pPr>
        <w:pStyle w:val="BodyText"/>
        <w:jc w:val="center"/>
        <w:rPr>
          <w:b/>
          <w:szCs w:val="22"/>
        </w:rPr>
      </w:pPr>
    </w:p>
    <w:p w14:paraId="50205004" w14:textId="77777777" w:rsidR="00555525" w:rsidRDefault="00555525" w:rsidP="00216E60">
      <w:pPr>
        <w:pStyle w:val="BodyText"/>
        <w:jc w:val="center"/>
        <w:rPr>
          <w:b/>
          <w:szCs w:val="22"/>
        </w:rPr>
      </w:pPr>
    </w:p>
    <w:p w14:paraId="50205005" w14:textId="77777777" w:rsidR="006F2C76" w:rsidRDefault="006F2C76" w:rsidP="00555525">
      <w:pPr>
        <w:autoSpaceDE w:val="0"/>
        <w:autoSpaceDN w:val="0"/>
        <w:adjustRightInd w:val="0"/>
        <w:spacing w:after="120"/>
        <w:ind w:right="-180"/>
        <w:rPr>
          <w:b/>
        </w:rPr>
      </w:pPr>
    </w:p>
    <w:p w14:paraId="50205006" w14:textId="77777777" w:rsidR="00555525" w:rsidRPr="00AB46BD" w:rsidRDefault="00555525" w:rsidP="00555525">
      <w:pPr>
        <w:autoSpaceDE w:val="0"/>
        <w:autoSpaceDN w:val="0"/>
        <w:adjustRightInd w:val="0"/>
        <w:spacing w:after="120"/>
        <w:ind w:right="-180"/>
      </w:pPr>
      <w:r w:rsidRPr="00E32F24">
        <w:rPr>
          <w:b/>
        </w:rPr>
        <w:lastRenderedPageBreak/>
        <w:t xml:space="preserve">Table </w:t>
      </w:r>
      <w:r w:rsidR="00222EE5">
        <w:rPr>
          <w:b/>
        </w:rPr>
        <w:t>4</w:t>
      </w:r>
      <w:r w:rsidRPr="00E32F24">
        <w:t xml:space="preserve"> shows </w:t>
      </w:r>
      <w:r w:rsidR="00535FE1">
        <w:t xml:space="preserve">how the </w:t>
      </w:r>
      <w:r w:rsidRPr="00E32F24">
        <w:t xml:space="preserve">2014 district attainment target </w:t>
      </w:r>
      <w:r w:rsidR="00535FE1" w:rsidRPr="00E32F24">
        <w:t>was calculated</w:t>
      </w:r>
      <w:r w:rsidR="00535FE1">
        <w:t xml:space="preserve"> for a sample district</w:t>
      </w:r>
      <w:r w:rsidR="00222EE5">
        <w:t xml:space="preserve">, based on the number of ELL students in each number-of-years category </w:t>
      </w:r>
      <w:r w:rsidR="00535FE1">
        <w:t xml:space="preserve">in </w:t>
      </w:r>
      <w:r w:rsidR="00222EE5">
        <w:t>the district</w:t>
      </w:r>
      <w:r w:rsidRPr="00E32F24">
        <w:t xml:space="preserve">. </w:t>
      </w:r>
      <w:r w:rsidR="00222EE5">
        <w:t>The use of a “c</w:t>
      </w:r>
      <w:r w:rsidRPr="00E32F24">
        <w:t>omposite district attainment target</w:t>
      </w:r>
      <w:r w:rsidR="00222EE5">
        <w:t>”</w:t>
      </w:r>
      <w:r w:rsidRPr="00E32F24">
        <w:t xml:space="preserve"> (</w:t>
      </w:r>
      <w:r w:rsidR="00222EE5">
        <w:t xml:space="preserve">i.e., an overall target) </w:t>
      </w:r>
      <w:r w:rsidRPr="00E32F24">
        <w:t xml:space="preserve">would allow districts to meet their </w:t>
      </w:r>
      <w:r w:rsidR="00222EE5" w:rsidRPr="00222EE5">
        <w:t>attainment</w:t>
      </w:r>
      <w:r w:rsidR="00222EE5">
        <w:rPr>
          <w:i/>
        </w:rPr>
        <w:t xml:space="preserve"> </w:t>
      </w:r>
      <w:r w:rsidR="00222EE5">
        <w:t>target</w:t>
      </w:r>
      <w:r w:rsidRPr="00E32F24">
        <w:t>, even when one or more of their number-of-years targets was not met.</w:t>
      </w:r>
    </w:p>
    <w:p w14:paraId="50205007" w14:textId="77777777" w:rsidR="00555525" w:rsidRDefault="00222EE5" w:rsidP="00555525">
      <w:pPr>
        <w:autoSpaceDE w:val="0"/>
        <w:autoSpaceDN w:val="0"/>
        <w:adjustRightInd w:val="0"/>
        <w:ind w:right="-180"/>
      </w:pPr>
      <w:r>
        <w:t xml:space="preserve">Massachusetts </w:t>
      </w:r>
      <w:r w:rsidR="00F80A03">
        <w:t xml:space="preserve">has </w:t>
      </w:r>
      <w:r>
        <w:t>proposed</w:t>
      </w:r>
      <w:r w:rsidR="00555525">
        <w:t xml:space="preserve"> this </w:t>
      </w:r>
      <w:r w:rsidR="00555525" w:rsidRPr="00C954DE">
        <w:t xml:space="preserve">approach </w:t>
      </w:r>
      <w:r>
        <w:t xml:space="preserve">for calculating attainment </w:t>
      </w:r>
      <w:r w:rsidR="00F80A03">
        <w:t xml:space="preserve">so that </w:t>
      </w:r>
      <w:r w:rsidR="00555525" w:rsidRPr="00C954DE">
        <w:t xml:space="preserve">districts with large numbers of “newcomers” </w:t>
      </w:r>
      <w:r w:rsidR="00F80A03">
        <w:t xml:space="preserve">are not unfairly penalized </w:t>
      </w:r>
      <w:r w:rsidR="00555525" w:rsidRPr="00C954DE">
        <w:t>when compared with districts with a higher proportion of longer-term ELLs.</w:t>
      </w:r>
      <w:r w:rsidR="00555525">
        <w:t xml:space="preserve"> </w:t>
      </w:r>
    </w:p>
    <w:p w14:paraId="50205008" w14:textId="77777777" w:rsidR="00555525" w:rsidRDefault="00555525" w:rsidP="00216E60">
      <w:pPr>
        <w:pStyle w:val="BodyText"/>
        <w:jc w:val="center"/>
        <w:rPr>
          <w:b/>
          <w:szCs w:val="22"/>
        </w:rPr>
      </w:pPr>
    </w:p>
    <w:p w14:paraId="50205009" w14:textId="77777777" w:rsidR="00216E60" w:rsidRPr="00740D9B" w:rsidRDefault="00216E60" w:rsidP="00216E60">
      <w:pPr>
        <w:pStyle w:val="BodyText"/>
        <w:jc w:val="center"/>
        <w:rPr>
          <w:b/>
          <w:szCs w:val="22"/>
        </w:rPr>
      </w:pPr>
      <w:r>
        <w:rPr>
          <w:b/>
          <w:szCs w:val="22"/>
        </w:rPr>
        <w:t xml:space="preserve">Table </w:t>
      </w:r>
      <w:r w:rsidR="00222EE5">
        <w:rPr>
          <w:b/>
          <w:szCs w:val="22"/>
        </w:rPr>
        <w:t>4</w:t>
      </w:r>
      <w:r w:rsidRPr="00740D9B">
        <w:rPr>
          <w:b/>
          <w:szCs w:val="22"/>
        </w:rPr>
        <w:t>.</w:t>
      </w:r>
    </w:p>
    <w:p w14:paraId="5020500A" w14:textId="77777777" w:rsidR="00216E60" w:rsidRDefault="00216E60" w:rsidP="00216E60">
      <w:pPr>
        <w:pStyle w:val="BodyText"/>
        <w:jc w:val="center"/>
        <w:rPr>
          <w:b/>
          <w:szCs w:val="22"/>
        </w:rPr>
      </w:pPr>
      <w:r w:rsidRPr="00740D9B">
        <w:rPr>
          <w:b/>
          <w:szCs w:val="22"/>
        </w:rPr>
        <w:t>Calculation of a Sample District</w:t>
      </w:r>
      <w:r>
        <w:rPr>
          <w:b/>
          <w:szCs w:val="22"/>
        </w:rPr>
        <w:t>’s</w:t>
      </w:r>
      <w:r w:rsidRPr="00740D9B">
        <w:rPr>
          <w:b/>
          <w:szCs w:val="22"/>
        </w:rPr>
        <w:t xml:space="preserve"> </w:t>
      </w:r>
      <w:r w:rsidR="00222EE5">
        <w:rPr>
          <w:b/>
          <w:szCs w:val="22"/>
        </w:rPr>
        <w:t xml:space="preserve">2014 Attainment </w:t>
      </w:r>
      <w:r w:rsidRPr="00740D9B">
        <w:rPr>
          <w:b/>
          <w:szCs w:val="22"/>
        </w:rPr>
        <w:t>Target</w:t>
      </w:r>
    </w:p>
    <w:p w14:paraId="5020500B" w14:textId="77777777" w:rsidR="00216E60" w:rsidRDefault="00216E60" w:rsidP="00216E60">
      <w:pPr>
        <w:pStyle w:val="BodyText"/>
        <w:jc w:val="center"/>
        <w:rPr>
          <w:b/>
          <w:szCs w:val="22"/>
        </w:rPr>
      </w:pPr>
    </w:p>
    <w:tbl>
      <w:tblPr>
        <w:tblW w:w="9823" w:type="dxa"/>
        <w:tblInd w:w="95" w:type="dxa"/>
        <w:tblLook w:val="04A0" w:firstRow="1" w:lastRow="0" w:firstColumn="1" w:lastColumn="0" w:noHBand="0" w:noVBand="1"/>
      </w:tblPr>
      <w:tblGrid>
        <w:gridCol w:w="1093"/>
        <w:gridCol w:w="2250"/>
        <w:gridCol w:w="3150"/>
        <w:gridCol w:w="3330"/>
      </w:tblGrid>
      <w:tr w:rsidR="00216E60" w:rsidRPr="00F5184D" w14:paraId="50205012" w14:textId="77777777" w:rsidTr="00FD4EB9">
        <w:trPr>
          <w:trHeight w:val="290"/>
        </w:trPr>
        <w:tc>
          <w:tcPr>
            <w:tcW w:w="1093"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5020500C" w14:textId="77777777" w:rsidR="00216E60" w:rsidRPr="00740D9B" w:rsidRDefault="00216E60" w:rsidP="00FD4EB9">
            <w:pPr>
              <w:jc w:val="center"/>
              <w:rPr>
                <w:rFonts w:ascii="Arial" w:hAnsi="Arial" w:cs="Arial"/>
                <w:b/>
                <w:color w:val="000000"/>
                <w:sz w:val="20"/>
                <w:szCs w:val="20"/>
              </w:rPr>
            </w:pPr>
            <w:r w:rsidRPr="00D27918">
              <w:rPr>
                <w:rFonts w:ascii="Arial" w:hAnsi="Arial" w:cs="Arial"/>
                <w:b/>
                <w:color w:val="000000"/>
                <w:sz w:val="20"/>
                <w:szCs w:val="20"/>
              </w:rPr>
              <w:t>Y</w:t>
            </w:r>
            <w:r>
              <w:rPr>
                <w:rFonts w:ascii="Arial" w:hAnsi="Arial" w:cs="Arial"/>
                <w:b/>
                <w:color w:val="000000"/>
                <w:sz w:val="20"/>
                <w:szCs w:val="20"/>
              </w:rPr>
              <w:t>ea</w:t>
            </w:r>
            <w:r w:rsidRPr="00D27918">
              <w:rPr>
                <w:rFonts w:ascii="Arial" w:hAnsi="Arial" w:cs="Arial"/>
                <w:b/>
                <w:color w:val="000000"/>
                <w:sz w:val="20"/>
                <w:szCs w:val="20"/>
              </w:rPr>
              <w:t>rs in M</w:t>
            </w:r>
            <w:r>
              <w:rPr>
                <w:rFonts w:ascii="Arial" w:hAnsi="Arial" w:cs="Arial"/>
                <w:b/>
                <w:color w:val="000000"/>
                <w:sz w:val="20"/>
                <w:szCs w:val="20"/>
              </w:rPr>
              <w:t>A</w:t>
            </w:r>
          </w:p>
        </w:tc>
        <w:tc>
          <w:tcPr>
            <w:tcW w:w="2250" w:type="dxa"/>
            <w:tcBorders>
              <w:top w:val="single" w:sz="4" w:space="0" w:color="auto"/>
              <w:left w:val="nil"/>
              <w:bottom w:val="single" w:sz="4" w:space="0" w:color="auto"/>
              <w:right w:val="single" w:sz="4" w:space="0" w:color="auto"/>
            </w:tcBorders>
            <w:shd w:val="clear" w:color="auto" w:fill="D9D9D9"/>
            <w:noWrap/>
            <w:vAlign w:val="bottom"/>
            <w:hideMark/>
          </w:tcPr>
          <w:p w14:paraId="5020500D" w14:textId="77777777" w:rsidR="00216E60" w:rsidRPr="00740D9B" w:rsidRDefault="00216E60" w:rsidP="00FD4EB9">
            <w:pPr>
              <w:jc w:val="center"/>
              <w:rPr>
                <w:rFonts w:ascii="Arial" w:hAnsi="Arial" w:cs="Arial"/>
                <w:b/>
                <w:color w:val="000000"/>
                <w:sz w:val="20"/>
                <w:szCs w:val="20"/>
              </w:rPr>
            </w:pPr>
            <w:r>
              <w:rPr>
                <w:rFonts w:ascii="Arial" w:hAnsi="Arial" w:cs="Arial"/>
                <w:b/>
                <w:color w:val="000000"/>
                <w:sz w:val="20"/>
                <w:szCs w:val="20"/>
              </w:rPr>
              <w:t>Number</w:t>
            </w:r>
            <w:r w:rsidRPr="00740D9B">
              <w:rPr>
                <w:rFonts w:ascii="Arial" w:hAnsi="Arial" w:cs="Arial"/>
                <w:b/>
                <w:color w:val="000000"/>
                <w:sz w:val="20"/>
                <w:szCs w:val="20"/>
              </w:rPr>
              <w:t xml:space="preserve"> of Students by Y</w:t>
            </w:r>
            <w:r>
              <w:rPr>
                <w:rFonts w:ascii="Arial" w:hAnsi="Arial" w:cs="Arial"/>
                <w:b/>
                <w:color w:val="000000"/>
                <w:sz w:val="20"/>
                <w:szCs w:val="20"/>
              </w:rPr>
              <w:t>ea</w:t>
            </w:r>
            <w:r w:rsidRPr="00740D9B">
              <w:rPr>
                <w:rFonts w:ascii="Arial" w:hAnsi="Arial" w:cs="Arial"/>
                <w:b/>
                <w:color w:val="000000"/>
                <w:sz w:val="20"/>
                <w:szCs w:val="20"/>
              </w:rPr>
              <w:t>rs in MA</w:t>
            </w:r>
          </w:p>
        </w:tc>
        <w:tc>
          <w:tcPr>
            <w:tcW w:w="3150" w:type="dxa"/>
            <w:tcBorders>
              <w:top w:val="single" w:sz="4" w:space="0" w:color="auto"/>
              <w:left w:val="nil"/>
              <w:bottom w:val="single" w:sz="4" w:space="0" w:color="auto"/>
              <w:right w:val="single" w:sz="4" w:space="0" w:color="auto"/>
            </w:tcBorders>
            <w:shd w:val="clear" w:color="auto" w:fill="D9D9D9"/>
            <w:noWrap/>
            <w:vAlign w:val="bottom"/>
            <w:hideMark/>
          </w:tcPr>
          <w:p w14:paraId="5020500E" w14:textId="77777777" w:rsidR="00216E60" w:rsidRPr="0094399E" w:rsidRDefault="00216E60" w:rsidP="00FD4EB9">
            <w:pPr>
              <w:jc w:val="center"/>
              <w:rPr>
                <w:rFonts w:ascii="Arial" w:hAnsi="Arial" w:cs="Arial"/>
                <w:b/>
                <w:sz w:val="20"/>
                <w:szCs w:val="20"/>
              </w:rPr>
            </w:pPr>
            <w:r w:rsidRPr="0094399E">
              <w:rPr>
                <w:rFonts w:ascii="Arial" w:hAnsi="Arial" w:cs="Arial"/>
                <w:b/>
                <w:sz w:val="20"/>
                <w:szCs w:val="20"/>
              </w:rPr>
              <w:t xml:space="preserve">District Target by Years in </w:t>
            </w:r>
            <w:r w:rsidR="00FD4EB9">
              <w:rPr>
                <w:rFonts w:ascii="Arial" w:hAnsi="Arial" w:cs="Arial"/>
                <w:b/>
                <w:sz w:val="20"/>
                <w:szCs w:val="20"/>
              </w:rPr>
              <w:t>M</w:t>
            </w:r>
            <w:r w:rsidRPr="0094399E">
              <w:rPr>
                <w:rFonts w:ascii="Arial" w:hAnsi="Arial" w:cs="Arial"/>
                <w:b/>
                <w:sz w:val="20"/>
                <w:szCs w:val="20"/>
              </w:rPr>
              <w:t>A</w:t>
            </w:r>
          </w:p>
          <w:p w14:paraId="5020500F" w14:textId="77777777" w:rsidR="00216E60" w:rsidRPr="00740D9B" w:rsidRDefault="00216E60" w:rsidP="00FD4EB9">
            <w:pPr>
              <w:jc w:val="center"/>
              <w:rPr>
                <w:rFonts w:ascii="Arial" w:hAnsi="Arial" w:cs="Arial"/>
                <w:b/>
                <w:color w:val="000000"/>
                <w:sz w:val="20"/>
                <w:szCs w:val="20"/>
              </w:rPr>
            </w:pPr>
            <w:r w:rsidRPr="0094399E">
              <w:rPr>
                <w:rFonts w:ascii="Arial" w:hAnsi="Arial" w:cs="Arial"/>
                <w:b/>
                <w:sz w:val="20"/>
                <w:szCs w:val="20"/>
              </w:rPr>
              <w:t>(from table above)</w:t>
            </w:r>
          </w:p>
        </w:tc>
        <w:tc>
          <w:tcPr>
            <w:tcW w:w="3330" w:type="dxa"/>
            <w:tcBorders>
              <w:top w:val="single" w:sz="4" w:space="0" w:color="auto"/>
              <w:left w:val="nil"/>
              <w:bottom w:val="single" w:sz="4" w:space="0" w:color="auto"/>
              <w:right w:val="single" w:sz="4" w:space="0" w:color="auto"/>
            </w:tcBorders>
            <w:shd w:val="clear" w:color="auto" w:fill="D9D9D9"/>
            <w:noWrap/>
            <w:vAlign w:val="bottom"/>
            <w:hideMark/>
          </w:tcPr>
          <w:p w14:paraId="50205010" w14:textId="77777777" w:rsidR="00216E60" w:rsidRPr="00740D9B" w:rsidRDefault="00216E60" w:rsidP="00CF0CA7">
            <w:pPr>
              <w:jc w:val="center"/>
              <w:rPr>
                <w:rFonts w:ascii="Arial" w:hAnsi="Arial" w:cs="Arial"/>
                <w:b/>
                <w:color w:val="000000"/>
                <w:sz w:val="20"/>
                <w:szCs w:val="20"/>
              </w:rPr>
            </w:pPr>
            <w:r>
              <w:rPr>
                <w:rFonts w:ascii="Arial" w:hAnsi="Arial" w:cs="Arial"/>
                <w:b/>
                <w:color w:val="000000"/>
                <w:sz w:val="20"/>
                <w:szCs w:val="20"/>
              </w:rPr>
              <w:t>Target N</w:t>
            </w:r>
            <w:r w:rsidRPr="00740D9B">
              <w:rPr>
                <w:rFonts w:ascii="Arial" w:hAnsi="Arial" w:cs="Arial"/>
                <w:b/>
                <w:color w:val="000000"/>
                <w:sz w:val="20"/>
                <w:szCs w:val="20"/>
              </w:rPr>
              <w:t xml:space="preserve">umber of </w:t>
            </w:r>
            <w:r>
              <w:rPr>
                <w:rFonts w:ascii="Arial" w:hAnsi="Arial" w:cs="Arial"/>
                <w:b/>
                <w:color w:val="000000"/>
                <w:sz w:val="20"/>
                <w:szCs w:val="20"/>
              </w:rPr>
              <w:t>S</w:t>
            </w:r>
            <w:r w:rsidRPr="00D27918">
              <w:rPr>
                <w:rFonts w:ascii="Arial" w:hAnsi="Arial" w:cs="Arial"/>
                <w:b/>
                <w:color w:val="000000"/>
                <w:sz w:val="20"/>
                <w:szCs w:val="20"/>
              </w:rPr>
              <w:t xml:space="preserve">tudents </w:t>
            </w:r>
            <w:r>
              <w:rPr>
                <w:rFonts w:ascii="Arial" w:hAnsi="Arial" w:cs="Arial"/>
                <w:b/>
                <w:color w:val="000000"/>
                <w:sz w:val="20"/>
                <w:szCs w:val="20"/>
              </w:rPr>
              <w:t>Who M</w:t>
            </w:r>
            <w:r w:rsidRPr="00D27918">
              <w:rPr>
                <w:rFonts w:ascii="Arial" w:hAnsi="Arial" w:cs="Arial"/>
                <w:b/>
                <w:color w:val="000000"/>
                <w:sz w:val="20"/>
                <w:szCs w:val="20"/>
              </w:rPr>
              <w:t xml:space="preserve">ust </w:t>
            </w:r>
            <w:r>
              <w:rPr>
                <w:rFonts w:ascii="Arial" w:hAnsi="Arial" w:cs="Arial"/>
                <w:b/>
                <w:color w:val="000000"/>
                <w:sz w:val="20"/>
                <w:szCs w:val="20"/>
              </w:rPr>
              <w:t>Attain Proficiency</w:t>
            </w:r>
          </w:p>
          <w:p w14:paraId="50205011" w14:textId="77777777" w:rsidR="00216E60" w:rsidRPr="00740D9B" w:rsidRDefault="00216E60" w:rsidP="00CF0CA7">
            <w:pPr>
              <w:jc w:val="center"/>
              <w:rPr>
                <w:rFonts w:ascii="Arial" w:hAnsi="Arial" w:cs="Arial"/>
                <w:b/>
                <w:color w:val="000000"/>
                <w:sz w:val="20"/>
                <w:szCs w:val="20"/>
              </w:rPr>
            </w:pPr>
            <w:r>
              <w:rPr>
                <w:rFonts w:ascii="Arial" w:hAnsi="Arial" w:cs="Arial"/>
                <w:b/>
                <w:color w:val="000000"/>
                <w:sz w:val="20"/>
                <w:szCs w:val="20"/>
              </w:rPr>
              <w:t>(M</w:t>
            </w:r>
            <w:r w:rsidRPr="00740D9B">
              <w:rPr>
                <w:rFonts w:ascii="Arial" w:hAnsi="Arial" w:cs="Arial"/>
                <w:b/>
                <w:color w:val="000000"/>
                <w:sz w:val="20"/>
                <w:szCs w:val="20"/>
              </w:rPr>
              <w:t xml:space="preserve">ultiply </w:t>
            </w:r>
            <w:r>
              <w:rPr>
                <w:rFonts w:ascii="Arial" w:hAnsi="Arial" w:cs="Arial"/>
                <w:b/>
                <w:color w:val="000000"/>
                <w:sz w:val="20"/>
                <w:szCs w:val="20"/>
              </w:rPr>
              <w:t>C</w:t>
            </w:r>
            <w:r w:rsidRPr="00740D9B">
              <w:rPr>
                <w:rFonts w:ascii="Arial" w:hAnsi="Arial" w:cs="Arial"/>
                <w:b/>
                <w:color w:val="000000"/>
                <w:sz w:val="20"/>
                <w:szCs w:val="20"/>
              </w:rPr>
              <w:t xml:space="preserve">olumn 2 X </w:t>
            </w:r>
            <w:r>
              <w:rPr>
                <w:rFonts w:ascii="Arial" w:hAnsi="Arial" w:cs="Arial"/>
                <w:b/>
                <w:color w:val="000000"/>
                <w:sz w:val="20"/>
                <w:szCs w:val="20"/>
              </w:rPr>
              <w:t>C</w:t>
            </w:r>
            <w:r w:rsidRPr="00740D9B">
              <w:rPr>
                <w:rFonts w:ascii="Arial" w:hAnsi="Arial" w:cs="Arial"/>
                <w:b/>
                <w:color w:val="000000"/>
                <w:sz w:val="20"/>
                <w:szCs w:val="20"/>
              </w:rPr>
              <w:t>olumn 3</w:t>
            </w:r>
            <w:r>
              <w:rPr>
                <w:rFonts w:ascii="Arial" w:hAnsi="Arial" w:cs="Arial"/>
                <w:b/>
                <w:color w:val="000000"/>
                <w:sz w:val="20"/>
                <w:szCs w:val="20"/>
              </w:rPr>
              <w:t>)</w:t>
            </w:r>
          </w:p>
        </w:tc>
      </w:tr>
      <w:tr w:rsidR="00222EE5" w14:paraId="50205017" w14:textId="77777777" w:rsidTr="00222EE5">
        <w:trPr>
          <w:trHeight w:val="290"/>
        </w:trPr>
        <w:tc>
          <w:tcPr>
            <w:tcW w:w="1093" w:type="dxa"/>
            <w:tcBorders>
              <w:top w:val="nil"/>
              <w:left w:val="single" w:sz="4" w:space="0" w:color="auto"/>
              <w:bottom w:val="single" w:sz="4" w:space="0" w:color="auto"/>
              <w:right w:val="single" w:sz="4" w:space="0" w:color="auto"/>
            </w:tcBorders>
            <w:shd w:val="clear" w:color="auto" w:fill="auto"/>
            <w:noWrap/>
            <w:vAlign w:val="bottom"/>
            <w:hideMark/>
          </w:tcPr>
          <w:p w14:paraId="50205013" w14:textId="77777777" w:rsidR="00222EE5" w:rsidRPr="00F5184D" w:rsidRDefault="00222EE5" w:rsidP="00CF0CA7">
            <w:pPr>
              <w:jc w:val="center"/>
              <w:rPr>
                <w:rFonts w:ascii="Calibri" w:hAnsi="Calibri"/>
                <w:color w:val="000000"/>
                <w:sz w:val="22"/>
                <w:szCs w:val="22"/>
              </w:rPr>
            </w:pPr>
            <w:r w:rsidRPr="00F5184D">
              <w:rPr>
                <w:rFonts w:ascii="Calibri" w:hAnsi="Calibri"/>
                <w:color w:val="000000"/>
                <w:sz w:val="22"/>
                <w:szCs w:val="22"/>
              </w:rPr>
              <w:t>1</w:t>
            </w:r>
          </w:p>
        </w:tc>
        <w:tc>
          <w:tcPr>
            <w:tcW w:w="2250" w:type="dxa"/>
            <w:tcBorders>
              <w:top w:val="nil"/>
              <w:left w:val="nil"/>
              <w:bottom w:val="single" w:sz="4" w:space="0" w:color="auto"/>
              <w:right w:val="single" w:sz="4" w:space="0" w:color="auto"/>
            </w:tcBorders>
            <w:shd w:val="clear" w:color="auto" w:fill="auto"/>
            <w:noWrap/>
            <w:vAlign w:val="bottom"/>
            <w:hideMark/>
          </w:tcPr>
          <w:p w14:paraId="50205014" w14:textId="77777777" w:rsidR="00222EE5" w:rsidRPr="00F5184D" w:rsidRDefault="00222EE5" w:rsidP="00CF0CA7">
            <w:pPr>
              <w:jc w:val="center"/>
              <w:rPr>
                <w:rFonts w:ascii="Calibri" w:hAnsi="Calibri"/>
                <w:color w:val="000000"/>
                <w:sz w:val="22"/>
                <w:szCs w:val="22"/>
              </w:rPr>
            </w:pPr>
            <w:r w:rsidRPr="00F5184D">
              <w:rPr>
                <w:rFonts w:ascii="Calibri" w:hAnsi="Calibri"/>
                <w:color w:val="000000"/>
                <w:sz w:val="22"/>
                <w:szCs w:val="22"/>
              </w:rPr>
              <w:t>25</w:t>
            </w:r>
          </w:p>
        </w:tc>
        <w:tc>
          <w:tcPr>
            <w:tcW w:w="3150" w:type="dxa"/>
            <w:tcBorders>
              <w:top w:val="nil"/>
              <w:left w:val="nil"/>
              <w:bottom w:val="single" w:sz="4" w:space="0" w:color="auto"/>
              <w:right w:val="single" w:sz="4" w:space="0" w:color="auto"/>
            </w:tcBorders>
            <w:shd w:val="clear" w:color="auto" w:fill="auto"/>
            <w:noWrap/>
            <w:hideMark/>
          </w:tcPr>
          <w:p w14:paraId="50205015" w14:textId="77777777" w:rsidR="00222EE5" w:rsidRPr="00E828E9" w:rsidRDefault="00222EE5" w:rsidP="00222EE5">
            <w:pPr>
              <w:autoSpaceDE w:val="0"/>
              <w:autoSpaceDN w:val="0"/>
              <w:adjustRightInd w:val="0"/>
              <w:jc w:val="center"/>
              <w:rPr>
                <w:rFonts w:ascii="Calibri" w:hAnsi="Calibri" w:cs="Calibri"/>
                <w:color w:val="000000"/>
                <w:sz w:val="22"/>
                <w:szCs w:val="22"/>
              </w:rPr>
            </w:pPr>
            <w:r w:rsidRPr="00E828E9">
              <w:rPr>
                <w:rFonts w:ascii="Calibri" w:hAnsi="Calibri" w:cs="Calibri"/>
                <w:color w:val="000000"/>
                <w:sz w:val="22"/>
                <w:szCs w:val="22"/>
              </w:rPr>
              <w:t>4.1% (.041)</w:t>
            </w:r>
          </w:p>
        </w:tc>
        <w:tc>
          <w:tcPr>
            <w:tcW w:w="3330" w:type="dxa"/>
            <w:tcBorders>
              <w:top w:val="nil"/>
              <w:left w:val="nil"/>
              <w:bottom w:val="single" w:sz="4" w:space="0" w:color="auto"/>
              <w:right w:val="single" w:sz="4" w:space="0" w:color="auto"/>
            </w:tcBorders>
            <w:shd w:val="clear" w:color="auto" w:fill="auto"/>
            <w:noWrap/>
            <w:hideMark/>
          </w:tcPr>
          <w:p w14:paraId="50205016" w14:textId="77777777" w:rsidR="00222EE5" w:rsidRPr="00E828E9" w:rsidRDefault="00222EE5" w:rsidP="00222EE5">
            <w:pPr>
              <w:autoSpaceDE w:val="0"/>
              <w:autoSpaceDN w:val="0"/>
              <w:adjustRightInd w:val="0"/>
              <w:jc w:val="center"/>
              <w:rPr>
                <w:rFonts w:ascii="Calibri" w:hAnsi="Calibri" w:cs="Calibri"/>
                <w:color w:val="000000"/>
                <w:sz w:val="22"/>
                <w:szCs w:val="22"/>
              </w:rPr>
            </w:pPr>
            <w:r w:rsidRPr="00E828E9">
              <w:rPr>
                <w:rFonts w:ascii="Calibri" w:hAnsi="Calibri" w:cs="Calibri"/>
                <w:color w:val="000000"/>
                <w:sz w:val="22"/>
                <w:szCs w:val="22"/>
              </w:rPr>
              <w:t>1.0</w:t>
            </w:r>
          </w:p>
        </w:tc>
      </w:tr>
      <w:tr w:rsidR="00222EE5" w14:paraId="5020501C" w14:textId="77777777" w:rsidTr="00222EE5">
        <w:trPr>
          <w:trHeight w:val="290"/>
        </w:trPr>
        <w:tc>
          <w:tcPr>
            <w:tcW w:w="1093" w:type="dxa"/>
            <w:tcBorders>
              <w:top w:val="nil"/>
              <w:left w:val="single" w:sz="4" w:space="0" w:color="auto"/>
              <w:bottom w:val="single" w:sz="4" w:space="0" w:color="auto"/>
              <w:right w:val="single" w:sz="4" w:space="0" w:color="auto"/>
            </w:tcBorders>
            <w:shd w:val="clear" w:color="auto" w:fill="auto"/>
            <w:noWrap/>
            <w:vAlign w:val="bottom"/>
            <w:hideMark/>
          </w:tcPr>
          <w:p w14:paraId="50205018" w14:textId="77777777" w:rsidR="00222EE5" w:rsidRPr="00F5184D" w:rsidRDefault="00222EE5" w:rsidP="00CF0CA7">
            <w:pPr>
              <w:jc w:val="center"/>
              <w:rPr>
                <w:rFonts w:ascii="Calibri" w:hAnsi="Calibri"/>
                <w:color w:val="000000"/>
                <w:sz w:val="22"/>
                <w:szCs w:val="22"/>
              </w:rPr>
            </w:pPr>
            <w:r w:rsidRPr="00F5184D">
              <w:rPr>
                <w:rFonts w:ascii="Calibri" w:hAnsi="Calibri"/>
                <w:color w:val="000000"/>
                <w:sz w:val="22"/>
                <w:szCs w:val="22"/>
              </w:rPr>
              <w:t>2</w:t>
            </w:r>
          </w:p>
        </w:tc>
        <w:tc>
          <w:tcPr>
            <w:tcW w:w="2250" w:type="dxa"/>
            <w:tcBorders>
              <w:top w:val="nil"/>
              <w:left w:val="nil"/>
              <w:bottom w:val="single" w:sz="4" w:space="0" w:color="auto"/>
              <w:right w:val="single" w:sz="4" w:space="0" w:color="auto"/>
            </w:tcBorders>
            <w:shd w:val="clear" w:color="auto" w:fill="auto"/>
            <w:noWrap/>
            <w:vAlign w:val="bottom"/>
            <w:hideMark/>
          </w:tcPr>
          <w:p w14:paraId="50205019" w14:textId="77777777" w:rsidR="00222EE5" w:rsidRPr="00F5184D" w:rsidRDefault="00222EE5" w:rsidP="00CF0CA7">
            <w:pPr>
              <w:jc w:val="center"/>
              <w:rPr>
                <w:rFonts w:ascii="Calibri" w:hAnsi="Calibri"/>
                <w:color w:val="000000"/>
                <w:sz w:val="22"/>
                <w:szCs w:val="22"/>
              </w:rPr>
            </w:pPr>
            <w:r w:rsidRPr="00F5184D">
              <w:rPr>
                <w:rFonts w:ascii="Calibri" w:hAnsi="Calibri"/>
                <w:color w:val="000000"/>
                <w:sz w:val="22"/>
                <w:szCs w:val="22"/>
              </w:rPr>
              <w:t>40</w:t>
            </w:r>
          </w:p>
        </w:tc>
        <w:tc>
          <w:tcPr>
            <w:tcW w:w="3150" w:type="dxa"/>
            <w:tcBorders>
              <w:top w:val="nil"/>
              <w:left w:val="nil"/>
              <w:bottom w:val="single" w:sz="4" w:space="0" w:color="auto"/>
              <w:right w:val="single" w:sz="4" w:space="0" w:color="auto"/>
            </w:tcBorders>
            <w:shd w:val="clear" w:color="auto" w:fill="auto"/>
            <w:noWrap/>
            <w:hideMark/>
          </w:tcPr>
          <w:p w14:paraId="5020501A" w14:textId="77777777" w:rsidR="00222EE5" w:rsidRPr="00E828E9" w:rsidRDefault="00222EE5" w:rsidP="00222EE5">
            <w:pPr>
              <w:autoSpaceDE w:val="0"/>
              <w:autoSpaceDN w:val="0"/>
              <w:adjustRightInd w:val="0"/>
              <w:jc w:val="center"/>
              <w:rPr>
                <w:rFonts w:ascii="Calibri" w:hAnsi="Calibri" w:cs="Calibri"/>
                <w:color w:val="000000"/>
                <w:sz w:val="22"/>
                <w:szCs w:val="22"/>
              </w:rPr>
            </w:pPr>
            <w:r w:rsidRPr="00E828E9">
              <w:rPr>
                <w:rFonts w:ascii="Calibri" w:hAnsi="Calibri" w:cs="Calibri"/>
                <w:color w:val="000000"/>
                <w:sz w:val="22"/>
                <w:szCs w:val="22"/>
              </w:rPr>
              <w:t>7.7% (.077)</w:t>
            </w:r>
          </w:p>
        </w:tc>
        <w:tc>
          <w:tcPr>
            <w:tcW w:w="3330" w:type="dxa"/>
            <w:tcBorders>
              <w:top w:val="nil"/>
              <w:left w:val="nil"/>
              <w:bottom w:val="single" w:sz="4" w:space="0" w:color="auto"/>
              <w:right w:val="single" w:sz="4" w:space="0" w:color="auto"/>
            </w:tcBorders>
            <w:shd w:val="clear" w:color="auto" w:fill="auto"/>
            <w:noWrap/>
            <w:hideMark/>
          </w:tcPr>
          <w:p w14:paraId="5020501B" w14:textId="77777777" w:rsidR="00222EE5" w:rsidRPr="00E828E9" w:rsidRDefault="00222EE5" w:rsidP="00222EE5">
            <w:pPr>
              <w:autoSpaceDE w:val="0"/>
              <w:autoSpaceDN w:val="0"/>
              <w:adjustRightInd w:val="0"/>
              <w:jc w:val="center"/>
              <w:rPr>
                <w:rFonts w:ascii="Calibri" w:hAnsi="Calibri" w:cs="Calibri"/>
                <w:color w:val="000000"/>
                <w:sz w:val="22"/>
                <w:szCs w:val="22"/>
              </w:rPr>
            </w:pPr>
            <w:r w:rsidRPr="00E828E9">
              <w:rPr>
                <w:rFonts w:ascii="Calibri" w:hAnsi="Calibri" w:cs="Calibri"/>
                <w:color w:val="000000"/>
                <w:sz w:val="22"/>
                <w:szCs w:val="22"/>
              </w:rPr>
              <w:t>3.1</w:t>
            </w:r>
          </w:p>
        </w:tc>
      </w:tr>
      <w:tr w:rsidR="00222EE5" w14:paraId="50205021" w14:textId="77777777" w:rsidTr="00222EE5">
        <w:trPr>
          <w:trHeight w:val="290"/>
        </w:trPr>
        <w:tc>
          <w:tcPr>
            <w:tcW w:w="1093" w:type="dxa"/>
            <w:tcBorders>
              <w:top w:val="nil"/>
              <w:left w:val="single" w:sz="4" w:space="0" w:color="auto"/>
              <w:bottom w:val="single" w:sz="4" w:space="0" w:color="auto"/>
              <w:right w:val="single" w:sz="4" w:space="0" w:color="auto"/>
            </w:tcBorders>
            <w:shd w:val="clear" w:color="auto" w:fill="auto"/>
            <w:noWrap/>
            <w:vAlign w:val="bottom"/>
            <w:hideMark/>
          </w:tcPr>
          <w:p w14:paraId="5020501D" w14:textId="77777777" w:rsidR="00222EE5" w:rsidRPr="00F5184D" w:rsidRDefault="00222EE5" w:rsidP="00CF0CA7">
            <w:pPr>
              <w:jc w:val="center"/>
              <w:rPr>
                <w:rFonts w:ascii="Calibri" w:hAnsi="Calibri"/>
                <w:color w:val="000000"/>
                <w:sz w:val="22"/>
                <w:szCs w:val="22"/>
              </w:rPr>
            </w:pPr>
            <w:r w:rsidRPr="00F5184D">
              <w:rPr>
                <w:rFonts w:ascii="Calibri" w:hAnsi="Calibri"/>
                <w:color w:val="000000"/>
                <w:sz w:val="22"/>
                <w:szCs w:val="22"/>
              </w:rPr>
              <w:t>3</w:t>
            </w:r>
          </w:p>
        </w:tc>
        <w:tc>
          <w:tcPr>
            <w:tcW w:w="2250" w:type="dxa"/>
            <w:tcBorders>
              <w:top w:val="nil"/>
              <w:left w:val="nil"/>
              <w:bottom w:val="single" w:sz="4" w:space="0" w:color="auto"/>
              <w:right w:val="single" w:sz="4" w:space="0" w:color="auto"/>
            </w:tcBorders>
            <w:shd w:val="clear" w:color="auto" w:fill="auto"/>
            <w:noWrap/>
            <w:vAlign w:val="bottom"/>
            <w:hideMark/>
          </w:tcPr>
          <w:p w14:paraId="5020501E" w14:textId="77777777" w:rsidR="00222EE5" w:rsidRPr="00F5184D" w:rsidRDefault="00222EE5" w:rsidP="00CF0CA7">
            <w:pPr>
              <w:jc w:val="center"/>
              <w:rPr>
                <w:rFonts w:ascii="Calibri" w:hAnsi="Calibri"/>
                <w:color w:val="000000"/>
                <w:sz w:val="22"/>
                <w:szCs w:val="22"/>
              </w:rPr>
            </w:pPr>
            <w:r w:rsidRPr="00F5184D">
              <w:rPr>
                <w:rFonts w:ascii="Calibri" w:hAnsi="Calibri"/>
                <w:color w:val="000000"/>
                <w:sz w:val="22"/>
                <w:szCs w:val="22"/>
              </w:rPr>
              <w:t>60</w:t>
            </w:r>
          </w:p>
        </w:tc>
        <w:tc>
          <w:tcPr>
            <w:tcW w:w="3150" w:type="dxa"/>
            <w:tcBorders>
              <w:top w:val="nil"/>
              <w:left w:val="nil"/>
              <w:bottom w:val="single" w:sz="4" w:space="0" w:color="auto"/>
              <w:right w:val="single" w:sz="4" w:space="0" w:color="auto"/>
            </w:tcBorders>
            <w:shd w:val="clear" w:color="auto" w:fill="auto"/>
            <w:noWrap/>
            <w:hideMark/>
          </w:tcPr>
          <w:p w14:paraId="5020501F" w14:textId="77777777" w:rsidR="00222EE5" w:rsidRPr="00E828E9" w:rsidRDefault="00222EE5" w:rsidP="00222EE5">
            <w:pPr>
              <w:autoSpaceDE w:val="0"/>
              <w:autoSpaceDN w:val="0"/>
              <w:adjustRightInd w:val="0"/>
              <w:jc w:val="center"/>
              <w:rPr>
                <w:rFonts w:ascii="Calibri" w:hAnsi="Calibri" w:cs="Calibri"/>
                <w:color w:val="000000"/>
                <w:sz w:val="22"/>
                <w:szCs w:val="22"/>
              </w:rPr>
            </w:pPr>
            <w:r w:rsidRPr="00E828E9">
              <w:rPr>
                <w:rFonts w:ascii="Calibri" w:hAnsi="Calibri" w:cs="Calibri"/>
                <w:color w:val="000000"/>
                <w:sz w:val="22"/>
                <w:szCs w:val="22"/>
              </w:rPr>
              <w:t>15.7% (.157)</w:t>
            </w:r>
          </w:p>
        </w:tc>
        <w:tc>
          <w:tcPr>
            <w:tcW w:w="3330" w:type="dxa"/>
            <w:tcBorders>
              <w:top w:val="nil"/>
              <w:left w:val="nil"/>
              <w:bottom w:val="single" w:sz="4" w:space="0" w:color="auto"/>
              <w:right w:val="single" w:sz="4" w:space="0" w:color="auto"/>
            </w:tcBorders>
            <w:shd w:val="clear" w:color="auto" w:fill="auto"/>
            <w:noWrap/>
            <w:hideMark/>
          </w:tcPr>
          <w:p w14:paraId="50205020" w14:textId="77777777" w:rsidR="00222EE5" w:rsidRPr="00E828E9" w:rsidRDefault="00222EE5" w:rsidP="00222EE5">
            <w:pPr>
              <w:autoSpaceDE w:val="0"/>
              <w:autoSpaceDN w:val="0"/>
              <w:adjustRightInd w:val="0"/>
              <w:jc w:val="center"/>
              <w:rPr>
                <w:rFonts w:ascii="Calibri" w:hAnsi="Calibri" w:cs="Calibri"/>
                <w:color w:val="000000"/>
                <w:sz w:val="22"/>
                <w:szCs w:val="22"/>
              </w:rPr>
            </w:pPr>
            <w:r w:rsidRPr="00E828E9">
              <w:rPr>
                <w:rFonts w:ascii="Calibri" w:hAnsi="Calibri" w:cs="Calibri"/>
                <w:color w:val="000000"/>
                <w:sz w:val="22"/>
                <w:szCs w:val="22"/>
              </w:rPr>
              <w:t>9.4</w:t>
            </w:r>
          </w:p>
        </w:tc>
      </w:tr>
      <w:tr w:rsidR="00222EE5" w14:paraId="50205026" w14:textId="77777777" w:rsidTr="00222EE5">
        <w:trPr>
          <w:trHeight w:val="290"/>
        </w:trPr>
        <w:tc>
          <w:tcPr>
            <w:tcW w:w="1093" w:type="dxa"/>
            <w:tcBorders>
              <w:top w:val="nil"/>
              <w:left w:val="single" w:sz="4" w:space="0" w:color="auto"/>
              <w:bottom w:val="single" w:sz="4" w:space="0" w:color="auto"/>
              <w:right w:val="single" w:sz="4" w:space="0" w:color="auto"/>
            </w:tcBorders>
            <w:shd w:val="clear" w:color="auto" w:fill="auto"/>
            <w:noWrap/>
            <w:vAlign w:val="bottom"/>
            <w:hideMark/>
          </w:tcPr>
          <w:p w14:paraId="50205022" w14:textId="77777777" w:rsidR="00222EE5" w:rsidRPr="00F5184D" w:rsidRDefault="00222EE5" w:rsidP="00CF0CA7">
            <w:pPr>
              <w:jc w:val="center"/>
              <w:rPr>
                <w:rFonts w:ascii="Calibri" w:hAnsi="Calibri"/>
                <w:color w:val="000000"/>
                <w:sz w:val="22"/>
                <w:szCs w:val="22"/>
              </w:rPr>
            </w:pPr>
            <w:r w:rsidRPr="00F5184D">
              <w:rPr>
                <w:rFonts w:ascii="Calibri" w:hAnsi="Calibri"/>
                <w:color w:val="000000"/>
                <w:sz w:val="22"/>
                <w:szCs w:val="22"/>
              </w:rPr>
              <w:t>4</w:t>
            </w:r>
          </w:p>
        </w:tc>
        <w:tc>
          <w:tcPr>
            <w:tcW w:w="2250" w:type="dxa"/>
            <w:tcBorders>
              <w:top w:val="nil"/>
              <w:left w:val="nil"/>
              <w:bottom w:val="single" w:sz="4" w:space="0" w:color="auto"/>
              <w:right w:val="single" w:sz="4" w:space="0" w:color="auto"/>
            </w:tcBorders>
            <w:shd w:val="clear" w:color="auto" w:fill="auto"/>
            <w:noWrap/>
            <w:vAlign w:val="bottom"/>
            <w:hideMark/>
          </w:tcPr>
          <w:p w14:paraId="50205023" w14:textId="77777777" w:rsidR="00222EE5" w:rsidRPr="00F5184D" w:rsidRDefault="00222EE5" w:rsidP="00CF0CA7">
            <w:pPr>
              <w:jc w:val="center"/>
              <w:rPr>
                <w:rFonts w:ascii="Calibri" w:hAnsi="Calibri"/>
                <w:color w:val="000000"/>
                <w:sz w:val="22"/>
                <w:szCs w:val="22"/>
              </w:rPr>
            </w:pPr>
            <w:r w:rsidRPr="00F5184D">
              <w:rPr>
                <w:rFonts w:ascii="Calibri" w:hAnsi="Calibri"/>
                <w:color w:val="000000"/>
                <w:sz w:val="22"/>
                <w:szCs w:val="22"/>
              </w:rPr>
              <w:t>70</w:t>
            </w:r>
          </w:p>
        </w:tc>
        <w:tc>
          <w:tcPr>
            <w:tcW w:w="3150" w:type="dxa"/>
            <w:tcBorders>
              <w:top w:val="nil"/>
              <w:left w:val="nil"/>
              <w:bottom w:val="single" w:sz="4" w:space="0" w:color="auto"/>
              <w:right w:val="single" w:sz="4" w:space="0" w:color="auto"/>
            </w:tcBorders>
            <w:shd w:val="clear" w:color="auto" w:fill="auto"/>
            <w:noWrap/>
            <w:hideMark/>
          </w:tcPr>
          <w:p w14:paraId="50205024" w14:textId="77777777" w:rsidR="00222EE5" w:rsidRPr="00E828E9" w:rsidRDefault="00222EE5" w:rsidP="00222EE5">
            <w:pPr>
              <w:autoSpaceDE w:val="0"/>
              <w:autoSpaceDN w:val="0"/>
              <w:adjustRightInd w:val="0"/>
              <w:jc w:val="center"/>
              <w:rPr>
                <w:rFonts w:ascii="Calibri" w:hAnsi="Calibri" w:cs="Calibri"/>
                <w:color w:val="000000"/>
                <w:sz w:val="22"/>
                <w:szCs w:val="22"/>
              </w:rPr>
            </w:pPr>
            <w:r w:rsidRPr="00E828E9">
              <w:rPr>
                <w:rFonts w:ascii="Calibri" w:hAnsi="Calibri" w:cs="Calibri"/>
                <w:color w:val="000000"/>
                <w:sz w:val="22"/>
                <w:szCs w:val="22"/>
              </w:rPr>
              <w:t>32.8% (.328)</w:t>
            </w:r>
          </w:p>
        </w:tc>
        <w:tc>
          <w:tcPr>
            <w:tcW w:w="3330" w:type="dxa"/>
            <w:tcBorders>
              <w:top w:val="nil"/>
              <w:left w:val="nil"/>
              <w:bottom w:val="single" w:sz="4" w:space="0" w:color="auto"/>
              <w:right w:val="single" w:sz="4" w:space="0" w:color="auto"/>
            </w:tcBorders>
            <w:shd w:val="clear" w:color="auto" w:fill="auto"/>
            <w:noWrap/>
            <w:hideMark/>
          </w:tcPr>
          <w:p w14:paraId="50205025" w14:textId="77777777" w:rsidR="00222EE5" w:rsidRPr="00E828E9" w:rsidRDefault="00222EE5" w:rsidP="00222EE5">
            <w:pPr>
              <w:autoSpaceDE w:val="0"/>
              <w:autoSpaceDN w:val="0"/>
              <w:adjustRightInd w:val="0"/>
              <w:jc w:val="center"/>
              <w:rPr>
                <w:rFonts w:ascii="Calibri" w:hAnsi="Calibri" w:cs="Calibri"/>
                <w:color w:val="000000"/>
                <w:sz w:val="22"/>
                <w:szCs w:val="22"/>
              </w:rPr>
            </w:pPr>
            <w:r w:rsidRPr="00E828E9">
              <w:rPr>
                <w:rFonts w:ascii="Calibri" w:hAnsi="Calibri" w:cs="Calibri"/>
                <w:color w:val="000000"/>
                <w:sz w:val="22"/>
                <w:szCs w:val="22"/>
              </w:rPr>
              <w:t>23.0</w:t>
            </w:r>
          </w:p>
        </w:tc>
      </w:tr>
      <w:tr w:rsidR="00222EE5" w14:paraId="5020502B" w14:textId="77777777" w:rsidTr="00222EE5">
        <w:trPr>
          <w:trHeight w:val="290"/>
        </w:trPr>
        <w:tc>
          <w:tcPr>
            <w:tcW w:w="1093" w:type="dxa"/>
            <w:tcBorders>
              <w:top w:val="nil"/>
              <w:left w:val="single" w:sz="4" w:space="0" w:color="auto"/>
              <w:bottom w:val="single" w:sz="4" w:space="0" w:color="auto"/>
              <w:right w:val="single" w:sz="4" w:space="0" w:color="auto"/>
            </w:tcBorders>
            <w:shd w:val="clear" w:color="auto" w:fill="auto"/>
            <w:noWrap/>
            <w:vAlign w:val="bottom"/>
            <w:hideMark/>
          </w:tcPr>
          <w:p w14:paraId="50205027" w14:textId="77777777" w:rsidR="00222EE5" w:rsidRPr="00F5184D" w:rsidRDefault="00222EE5" w:rsidP="00CF0CA7">
            <w:pPr>
              <w:jc w:val="center"/>
              <w:rPr>
                <w:rFonts w:ascii="Calibri" w:hAnsi="Calibri"/>
                <w:color w:val="000000"/>
                <w:sz w:val="22"/>
                <w:szCs w:val="22"/>
              </w:rPr>
            </w:pPr>
            <w:r w:rsidRPr="00F5184D">
              <w:rPr>
                <w:rFonts w:ascii="Calibri" w:hAnsi="Calibri"/>
                <w:color w:val="000000"/>
                <w:sz w:val="22"/>
                <w:szCs w:val="22"/>
              </w:rPr>
              <w:t>5+</w:t>
            </w:r>
          </w:p>
        </w:tc>
        <w:tc>
          <w:tcPr>
            <w:tcW w:w="2250" w:type="dxa"/>
            <w:tcBorders>
              <w:top w:val="nil"/>
              <w:left w:val="nil"/>
              <w:bottom w:val="single" w:sz="4" w:space="0" w:color="auto"/>
              <w:right w:val="single" w:sz="4" w:space="0" w:color="auto"/>
            </w:tcBorders>
            <w:shd w:val="clear" w:color="auto" w:fill="auto"/>
            <w:noWrap/>
            <w:vAlign w:val="bottom"/>
            <w:hideMark/>
          </w:tcPr>
          <w:p w14:paraId="50205028" w14:textId="77777777" w:rsidR="00222EE5" w:rsidRPr="00F5184D" w:rsidRDefault="00222EE5" w:rsidP="00CF0CA7">
            <w:pPr>
              <w:jc w:val="center"/>
              <w:rPr>
                <w:rFonts w:ascii="Calibri" w:hAnsi="Calibri"/>
                <w:color w:val="000000"/>
                <w:sz w:val="22"/>
                <w:szCs w:val="22"/>
              </w:rPr>
            </w:pPr>
            <w:r w:rsidRPr="00F5184D">
              <w:rPr>
                <w:rFonts w:ascii="Calibri" w:hAnsi="Calibri"/>
                <w:color w:val="000000"/>
                <w:sz w:val="22"/>
                <w:szCs w:val="22"/>
              </w:rPr>
              <w:t>80</w:t>
            </w:r>
          </w:p>
        </w:tc>
        <w:tc>
          <w:tcPr>
            <w:tcW w:w="3150" w:type="dxa"/>
            <w:tcBorders>
              <w:top w:val="nil"/>
              <w:left w:val="nil"/>
              <w:bottom w:val="single" w:sz="4" w:space="0" w:color="auto"/>
              <w:right w:val="single" w:sz="4" w:space="0" w:color="auto"/>
            </w:tcBorders>
            <w:shd w:val="clear" w:color="auto" w:fill="auto"/>
            <w:noWrap/>
            <w:hideMark/>
          </w:tcPr>
          <w:p w14:paraId="50205029" w14:textId="77777777" w:rsidR="00222EE5" w:rsidRPr="00E828E9" w:rsidRDefault="00222EE5" w:rsidP="00222EE5">
            <w:pPr>
              <w:autoSpaceDE w:val="0"/>
              <w:autoSpaceDN w:val="0"/>
              <w:adjustRightInd w:val="0"/>
              <w:jc w:val="center"/>
              <w:rPr>
                <w:rFonts w:ascii="Calibri" w:hAnsi="Calibri" w:cs="Calibri"/>
                <w:color w:val="000000"/>
                <w:sz w:val="22"/>
                <w:szCs w:val="22"/>
              </w:rPr>
            </w:pPr>
            <w:r w:rsidRPr="00E828E9">
              <w:rPr>
                <w:rFonts w:ascii="Calibri" w:hAnsi="Calibri" w:cs="Calibri"/>
                <w:color w:val="000000"/>
                <w:sz w:val="22"/>
                <w:szCs w:val="22"/>
              </w:rPr>
              <w:t>31.7% (.317)</w:t>
            </w:r>
          </w:p>
        </w:tc>
        <w:tc>
          <w:tcPr>
            <w:tcW w:w="3330" w:type="dxa"/>
            <w:tcBorders>
              <w:top w:val="nil"/>
              <w:left w:val="nil"/>
              <w:bottom w:val="single" w:sz="4" w:space="0" w:color="auto"/>
              <w:right w:val="single" w:sz="4" w:space="0" w:color="auto"/>
            </w:tcBorders>
            <w:shd w:val="clear" w:color="auto" w:fill="auto"/>
            <w:noWrap/>
            <w:hideMark/>
          </w:tcPr>
          <w:p w14:paraId="5020502A" w14:textId="77777777" w:rsidR="00222EE5" w:rsidRPr="00E828E9" w:rsidRDefault="00222EE5" w:rsidP="00222EE5">
            <w:pPr>
              <w:autoSpaceDE w:val="0"/>
              <w:autoSpaceDN w:val="0"/>
              <w:adjustRightInd w:val="0"/>
              <w:jc w:val="center"/>
              <w:rPr>
                <w:rFonts w:ascii="Calibri" w:hAnsi="Calibri" w:cs="Calibri"/>
                <w:color w:val="000000"/>
                <w:sz w:val="22"/>
                <w:szCs w:val="22"/>
              </w:rPr>
            </w:pPr>
            <w:r w:rsidRPr="00E828E9">
              <w:rPr>
                <w:rFonts w:ascii="Calibri" w:hAnsi="Calibri" w:cs="Calibri"/>
                <w:color w:val="000000"/>
                <w:sz w:val="22"/>
                <w:szCs w:val="22"/>
              </w:rPr>
              <w:t>25.4</w:t>
            </w:r>
          </w:p>
        </w:tc>
      </w:tr>
      <w:tr w:rsidR="00222EE5" w:rsidRPr="005E2B5F" w14:paraId="50205030" w14:textId="77777777" w:rsidTr="00222EE5">
        <w:trPr>
          <w:trHeight w:val="290"/>
        </w:trPr>
        <w:tc>
          <w:tcPr>
            <w:tcW w:w="1093" w:type="dxa"/>
            <w:tcBorders>
              <w:top w:val="nil"/>
              <w:left w:val="single" w:sz="4" w:space="0" w:color="auto"/>
              <w:bottom w:val="single" w:sz="4" w:space="0" w:color="auto"/>
              <w:right w:val="single" w:sz="4" w:space="0" w:color="auto"/>
            </w:tcBorders>
            <w:shd w:val="clear" w:color="auto" w:fill="auto"/>
            <w:noWrap/>
            <w:vAlign w:val="bottom"/>
            <w:hideMark/>
          </w:tcPr>
          <w:p w14:paraId="5020502C" w14:textId="77777777" w:rsidR="00222EE5" w:rsidRPr="00007D7E" w:rsidRDefault="00222EE5" w:rsidP="00CF0CA7">
            <w:pPr>
              <w:jc w:val="center"/>
              <w:rPr>
                <w:rFonts w:ascii="Calibri" w:hAnsi="Calibri"/>
                <w:b/>
                <w:color w:val="000000"/>
                <w:sz w:val="22"/>
                <w:szCs w:val="22"/>
              </w:rPr>
            </w:pPr>
            <w:r w:rsidRPr="00007D7E">
              <w:rPr>
                <w:rFonts w:ascii="Calibri" w:hAnsi="Calibri"/>
                <w:b/>
                <w:color w:val="000000"/>
                <w:sz w:val="22"/>
                <w:szCs w:val="22"/>
              </w:rPr>
              <w:t>TOTAL</w:t>
            </w:r>
          </w:p>
        </w:tc>
        <w:tc>
          <w:tcPr>
            <w:tcW w:w="2250" w:type="dxa"/>
            <w:tcBorders>
              <w:top w:val="nil"/>
              <w:left w:val="nil"/>
              <w:bottom w:val="single" w:sz="4" w:space="0" w:color="auto"/>
              <w:right w:val="single" w:sz="4" w:space="0" w:color="auto"/>
            </w:tcBorders>
            <w:shd w:val="clear" w:color="auto" w:fill="auto"/>
            <w:noWrap/>
            <w:vAlign w:val="bottom"/>
            <w:hideMark/>
          </w:tcPr>
          <w:p w14:paraId="5020502D" w14:textId="77777777" w:rsidR="00222EE5" w:rsidRPr="005E2B5F" w:rsidRDefault="00222EE5" w:rsidP="00CF0CA7">
            <w:pPr>
              <w:jc w:val="center"/>
              <w:rPr>
                <w:rFonts w:ascii="Calibri" w:hAnsi="Calibri"/>
                <w:b/>
                <w:color w:val="000000"/>
                <w:sz w:val="22"/>
                <w:szCs w:val="22"/>
              </w:rPr>
            </w:pPr>
            <w:r w:rsidRPr="005E2B5F">
              <w:rPr>
                <w:rFonts w:ascii="Calibri" w:hAnsi="Calibri"/>
                <w:b/>
                <w:color w:val="000000"/>
                <w:sz w:val="22"/>
                <w:szCs w:val="22"/>
              </w:rPr>
              <w:t>275</w:t>
            </w:r>
          </w:p>
        </w:tc>
        <w:tc>
          <w:tcPr>
            <w:tcW w:w="3150" w:type="dxa"/>
            <w:tcBorders>
              <w:top w:val="nil"/>
              <w:left w:val="nil"/>
              <w:bottom w:val="single" w:sz="4" w:space="0" w:color="auto"/>
              <w:right w:val="single" w:sz="4" w:space="0" w:color="auto"/>
            </w:tcBorders>
            <w:shd w:val="clear" w:color="auto" w:fill="auto"/>
            <w:noWrap/>
            <w:hideMark/>
          </w:tcPr>
          <w:p w14:paraId="5020502E" w14:textId="77777777" w:rsidR="00222EE5" w:rsidRPr="00E828E9" w:rsidRDefault="00222EE5" w:rsidP="00222EE5">
            <w:pPr>
              <w:autoSpaceDE w:val="0"/>
              <w:autoSpaceDN w:val="0"/>
              <w:adjustRightInd w:val="0"/>
              <w:jc w:val="center"/>
              <w:rPr>
                <w:rFonts w:ascii="Calibri" w:hAnsi="Calibri" w:cs="Calibri"/>
                <w:color w:val="000000"/>
                <w:sz w:val="22"/>
                <w:szCs w:val="22"/>
              </w:rPr>
            </w:pPr>
          </w:p>
        </w:tc>
        <w:tc>
          <w:tcPr>
            <w:tcW w:w="3330" w:type="dxa"/>
            <w:tcBorders>
              <w:top w:val="nil"/>
              <w:left w:val="nil"/>
              <w:bottom w:val="single" w:sz="4" w:space="0" w:color="auto"/>
              <w:right w:val="single" w:sz="4" w:space="0" w:color="auto"/>
            </w:tcBorders>
            <w:shd w:val="clear" w:color="auto" w:fill="auto"/>
            <w:noWrap/>
            <w:hideMark/>
          </w:tcPr>
          <w:p w14:paraId="5020502F" w14:textId="77777777" w:rsidR="00222EE5" w:rsidRPr="00222EE5" w:rsidRDefault="00222EE5" w:rsidP="00222EE5">
            <w:pPr>
              <w:autoSpaceDE w:val="0"/>
              <w:autoSpaceDN w:val="0"/>
              <w:adjustRightInd w:val="0"/>
              <w:jc w:val="center"/>
              <w:rPr>
                <w:rFonts w:ascii="Calibri" w:hAnsi="Calibri" w:cs="Calibri"/>
                <w:b/>
                <w:color w:val="000000"/>
                <w:sz w:val="22"/>
                <w:szCs w:val="22"/>
              </w:rPr>
            </w:pPr>
            <w:r w:rsidRPr="00222EE5">
              <w:rPr>
                <w:rFonts w:ascii="Calibri" w:hAnsi="Calibri" w:cs="Calibri"/>
                <w:b/>
                <w:color w:val="000000"/>
                <w:sz w:val="22"/>
                <w:szCs w:val="22"/>
              </w:rPr>
              <w:t>61.9</w:t>
            </w:r>
          </w:p>
        </w:tc>
      </w:tr>
      <w:tr w:rsidR="00216E60" w:rsidRPr="00F5184D" w14:paraId="50205032" w14:textId="77777777" w:rsidTr="00222EE5">
        <w:trPr>
          <w:trHeight w:val="539"/>
        </w:trPr>
        <w:tc>
          <w:tcPr>
            <w:tcW w:w="9823" w:type="dxa"/>
            <w:gridSpan w:val="4"/>
            <w:tcBorders>
              <w:top w:val="nil"/>
              <w:left w:val="single" w:sz="4" w:space="0" w:color="auto"/>
              <w:bottom w:val="single" w:sz="4" w:space="0" w:color="auto"/>
              <w:right w:val="single" w:sz="4" w:space="0" w:color="auto"/>
            </w:tcBorders>
            <w:shd w:val="clear" w:color="auto" w:fill="auto"/>
            <w:noWrap/>
            <w:vAlign w:val="center"/>
            <w:hideMark/>
          </w:tcPr>
          <w:p w14:paraId="50205031" w14:textId="77777777" w:rsidR="00216E60" w:rsidRPr="00C57AD6" w:rsidRDefault="00216E60" w:rsidP="005275FF">
            <w:pPr>
              <w:jc w:val="center"/>
              <w:rPr>
                <w:rFonts w:ascii="Arial" w:hAnsi="Arial" w:cs="Arial"/>
                <w:color w:val="000000"/>
                <w:sz w:val="22"/>
                <w:szCs w:val="22"/>
              </w:rPr>
            </w:pPr>
            <w:r w:rsidRPr="00222EE5">
              <w:rPr>
                <w:rFonts w:ascii="Arial" w:hAnsi="Arial" w:cs="Arial"/>
                <w:b/>
                <w:sz w:val="22"/>
                <w:szCs w:val="22"/>
              </w:rPr>
              <w:t>Composite Target</w:t>
            </w:r>
            <w:r w:rsidR="00222EE5" w:rsidRPr="00222EE5">
              <w:rPr>
                <w:rFonts w:ascii="Arial" w:hAnsi="Arial" w:cs="Arial"/>
                <w:b/>
                <w:sz w:val="22"/>
                <w:szCs w:val="22"/>
              </w:rPr>
              <w:t xml:space="preserve"> for ALL Students</w:t>
            </w:r>
            <w:r w:rsidR="00222EE5">
              <w:rPr>
                <w:rFonts w:ascii="Arial" w:hAnsi="Arial" w:cs="Arial"/>
                <w:b/>
                <w:sz w:val="22"/>
                <w:szCs w:val="22"/>
              </w:rPr>
              <w:t xml:space="preserve"> </w:t>
            </w:r>
            <w:r w:rsidR="005275FF">
              <w:rPr>
                <w:rFonts w:ascii="Arial" w:hAnsi="Arial" w:cs="Arial"/>
                <w:b/>
                <w:sz w:val="22"/>
                <w:szCs w:val="22"/>
              </w:rPr>
              <w:t xml:space="preserve">in the District </w:t>
            </w:r>
            <w:r w:rsidR="00222EE5">
              <w:rPr>
                <w:rFonts w:ascii="Arial" w:hAnsi="Arial" w:cs="Arial"/>
                <w:b/>
                <w:sz w:val="22"/>
                <w:szCs w:val="22"/>
              </w:rPr>
              <w:t>to Attain Proficiency</w:t>
            </w:r>
            <w:r w:rsidR="00222EE5">
              <w:rPr>
                <w:rFonts w:ascii="Arial" w:hAnsi="Arial" w:cs="Arial"/>
                <w:b/>
                <w:color w:val="000000"/>
                <w:sz w:val="22"/>
                <w:szCs w:val="22"/>
              </w:rPr>
              <w:t xml:space="preserve"> </w:t>
            </w:r>
            <w:r w:rsidRPr="001D0562">
              <w:rPr>
                <w:rFonts w:ascii="Arial" w:hAnsi="Arial" w:cs="Arial"/>
                <w:b/>
                <w:color w:val="000000"/>
                <w:sz w:val="22"/>
                <w:szCs w:val="22"/>
              </w:rPr>
              <w:t>=</w:t>
            </w:r>
            <w:r w:rsidRPr="00222EE5">
              <w:rPr>
                <w:rFonts w:ascii="Arial" w:hAnsi="Arial" w:cs="Arial"/>
                <w:b/>
                <w:color w:val="000000"/>
                <w:sz w:val="22"/>
                <w:szCs w:val="22"/>
              </w:rPr>
              <w:t xml:space="preserve"> </w:t>
            </w:r>
            <w:r w:rsidR="00222EE5" w:rsidRPr="00222EE5">
              <w:rPr>
                <w:rFonts w:ascii="Arial" w:hAnsi="Arial" w:cs="Arial"/>
                <w:b/>
                <w:bCs/>
                <w:color w:val="000000"/>
                <w:sz w:val="22"/>
                <w:szCs w:val="22"/>
              </w:rPr>
              <w:t>6</w:t>
            </w:r>
            <w:r w:rsidR="005275FF">
              <w:rPr>
                <w:rFonts w:ascii="Arial" w:hAnsi="Arial" w:cs="Arial"/>
                <w:b/>
                <w:bCs/>
                <w:color w:val="000000"/>
                <w:sz w:val="22"/>
                <w:szCs w:val="22"/>
              </w:rPr>
              <w:t>1</w:t>
            </w:r>
            <w:r w:rsidR="00222EE5" w:rsidRPr="00222EE5">
              <w:rPr>
                <w:rFonts w:ascii="Arial" w:hAnsi="Arial" w:cs="Arial"/>
                <w:b/>
                <w:bCs/>
                <w:color w:val="000000"/>
                <w:sz w:val="22"/>
                <w:szCs w:val="22"/>
              </w:rPr>
              <w:t>.</w:t>
            </w:r>
            <w:r w:rsidR="005275FF">
              <w:rPr>
                <w:rFonts w:ascii="Arial" w:hAnsi="Arial" w:cs="Arial"/>
                <w:b/>
                <w:bCs/>
                <w:color w:val="000000"/>
                <w:sz w:val="22"/>
                <w:szCs w:val="22"/>
              </w:rPr>
              <w:t>9</w:t>
            </w:r>
            <w:r w:rsidR="00222EE5" w:rsidRPr="00222EE5">
              <w:rPr>
                <w:rFonts w:ascii="Arial" w:hAnsi="Arial" w:cs="Arial"/>
                <w:b/>
                <w:bCs/>
                <w:color w:val="000000"/>
                <w:sz w:val="22"/>
                <w:szCs w:val="22"/>
              </w:rPr>
              <w:t>/275</w:t>
            </w:r>
            <w:r w:rsidR="00222EE5">
              <w:rPr>
                <w:rFonts w:ascii="Arial" w:hAnsi="Arial" w:cs="Arial"/>
                <w:b/>
                <w:bCs/>
                <w:color w:val="000000"/>
                <w:sz w:val="22"/>
                <w:szCs w:val="22"/>
              </w:rPr>
              <w:t xml:space="preserve"> </w:t>
            </w:r>
            <w:r w:rsidR="00222EE5" w:rsidRPr="00222EE5">
              <w:rPr>
                <w:rFonts w:ascii="Arial" w:hAnsi="Arial" w:cs="Arial"/>
                <w:b/>
                <w:bCs/>
                <w:color w:val="000000"/>
                <w:sz w:val="22"/>
                <w:szCs w:val="22"/>
              </w:rPr>
              <w:t>= 22.5%</w:t>
            </w:r>
          </w:p>
        </w:tc>
      </w:tr>
    </w:tbl>
    <w:p w14:paraId="50205033" w14:textId="77777777" w:rsidR="00216E60" w:rsidRPr="00740D9B" w:rsidRDefault="00216E60" w:rsidP="00216E60">
      <w:pPr>
        <w:pStyle w:val="BodyText"/>
        <w:jc w:val="center"/>
        <w:rPr>
          <w:b/>
          <w:szCs w:val="22"/>
        </w:rPr>
      </w:pPr>
    </w:p>
    <w:p w14:paraId="50205034" w14:textId="77777777" w:rsidR="00555525" w:rsidRDefault="005275FF" w:rsidP="00555525">
      <w:pPr>
        <w:autoSpaceDE w:val="0"/>
        <w:autoSpaceDN w:val="0"/>
        <w:adjustRightInd w:val="0"/>
        <w:ind w:right="-450"/>
      </w:pPr>
      <w:r>
        <w:t>Please note that</w:t>
      </w:r>
      <w:r w:rsidR="00555525">
        <w:t>, for the first time,</w:t>
      </w:r>
      <w:r w:rsidR="00555525" w:rsidRPr="00C954DE">
        <w:t xml:space="preserve"> </w:t>
      </w:r>
      <w:r w:rsidRPr="00C954DE">
        <w:t xml:space="preserve">Massachusetts will </w:t>
      </w:r>
      <w:r>
        <w:t xml:space="preserve">also </w:t>
      </w:r>
      <w:r w:rsidRPr="00C954DE">
        <w:t xml:space="preserve">include </w:t>
      </w:r>
      <w:r w:rsidR="00555525" w:rsidRPr="00C954DE">
        <w:t xml:space="preserve">a requirement that </w:t>
      </w:r>
      <w:r w:rsidR="00555525">
        <w:t xml:space="preserve">at least </w:t>
      </w:r>
      <w:r w:rsidR="00555525" w:rsidRPr="00216E60">
        <w:rPr>
          <w:b/>
        </w:rPr>
        <w:t xml:space="preserve">95 percent of ELLs in the district participate in the ACCESS tests </w:t>
      </w:r>
      <w:r w:rsidR="00555525" w:rsidRPr="00C954DE">
        <w:t xml:space="preserve">in order to be eligible to </w:t>
      </w:r>
      <w:r w:rsidR="00555525">
        <w:t xml:space="preserve">meet the </w:t>
      </w:r>
      <w:r w:rsidR="00555525" w:rsidRPr="00C954DE">
        <w:t>AMAO 2</w:t>
      </w:r>
      <w:r w:rsidR="00555525">
        <w:t xml:space="preserve"> targets</w:t>
      </w:r>
      <w:r w:rsidR="00555525" w:rsidRPr="00C954DE">
        <w:t>.</w:t>
      </w:r>
    </w:p>
    <w:p w14:paraId="50205035" w14:textId="77777777" w:rsidR="00555525" w:rsidRDefault="00555525" w:rsidP="00F16459">
      <w:pPr>
        <w:pStyle w:val="BodyText"/>
        <w:spacing w:after="120"/>
        <w:rPr>
          <w:b/>
          <w:sz w:val="24"/>
        </w:rPr>
      </w:pPr>
    </w:p>
    <w:p w14:paraId="50205036" w14:textId="77777777" w:rsidR="00405ACB" w:rsidRPr="00F16459" w:rsidRDefault="00FD4EB9" w:rsidP="00F16459">
      <w:pPr>
        <w:pStyle w:val="BodyText"/>
        <w:spacing w:after="120"/>
        <w:rPr>
          <w:b/>
          <w:sz w:val="24"/>
        </w:rPr>
      </w:pPr>
      <w:r>
        <w:rPr>
          <w:b/>
          <w:sz w:val="24"/>
        </w:rPr>
        <w:t>Alternate ACCESS</w:t>
      </w:r>
      <w:r w:rsidR="00E16004">
        <w:rPr>
          <w:b/>
          <w:sz w:val="24"/>
        </w:rPr>
        <w:t xml:space="preserve"> </w:t>
      </w:r>
      <w:r w:rsidR="00405ACB">
        <w:rPr>
          <w:b/>
          <w:sz w:val="24"/>
        </w:rPr>
        <w:t>Attainment Targets</w:t>
      </w:r>
      <w:r w:rsidR="00F07E72">
        <w:rPr>
          <w:b/>
          <w:sz w:val="24"/>
        </w:rPr>
        <w:t xml:space="preserve"> </w:t>
      </w:r>
    </w:p>
    <w:p w14:paraId="50205037" w14:textId="77777777" w:rsidR="00405ACB" w:rsidRDefault="00405ACB">
      <w:pPr>
        <w:pStyle w:val="BodyText"/>
        <w:rPr>
          <w:rFonts w:ascii="Times New Roman" w:hAnsi="Times New Roman" w:cs="Times New Roman"/>
          <w:sz w:val="24"/>
        </w:rPr>
      </w:pPr>
      <w:r>
        <w:rPr>
          <w:rFonts w:ascii="Times New Roman" w:hAnsi="Times New Roman" w:cs="Times New Roman"/>
          <w:sz w:val="24"/>
        </w:rPr>
        <w:t xml:space="preserve">The </w:t>
      </w:r>
      <w:r w:rsidR="00FD4EB9">
        <w:rPr>
          <w:rFonts w:ascii="Times New Roman" w:hAnsi="Times New Roman" w:cs="Times New Roman"/>
          <w:sz w:val="24"/>
        </w:rPr>
        <w:t xml:space="preserve">Alternate </w:t>
      </w:r>
      <w:r>
        <w:rPr>
          <w:rFonts w:ascii="Times New Roman" w:hAnsi="Times New Roman" w:cs="Times New Roman"/>
          <w:sz w:val="24"/>
        </w:rPr>
        <w:t>ACCESS</w:t>
      </w:r>
      <w:r w:rsidR="00031A48">
        <w:rPr>
          <w:rFonts w:ascii="Times New Roman" w:hAnsi="Times New Roman" w:cs="Times New Roman"/>
          <w:sz w:val="24"/>
        </w:rPr>
        <w:t xml:space="preserve"> </w:t>
      </w:r>
      <w:r>
        <w:rPr>
          <w:rFonts w:ascii="Times New Roman" w:hAnsi="Times New Roman" w:cs="Times New Roman"/>
          <w:sz w:val="24"/>
        </w:rPr>
        <w:t>for ELLs is reported in six proficiency levels, as follows.</w:t>
      </w:r>
    </w:p>
    <w:p w14:paraId="50205038" w14:textId="77777777" w:rsidR="00405ACB" w:rsidRPr="00812A58" w:rsidRDefault="00405ACB">
      <w:pPr>
        <w:pStyle w:val="BodyText"/>
        <w:rPr>
          <w:rFonts w:ascii="Times New Roman" w:hAnsi="Times New Roman" w:cs="Times New Roman"/>
          <w:sz w:val="16"/>
          <w:szCs w:val="16"/>
        </w:rPr>
      </w:pPr>
    </w:p>
    <w:p w14:paraId="50205039" w14:textId="77777777" w:rsidR="00405ACB" w:rsidRPr="00405ACB" w:rsidRDefault="00405ACB" w:rsidP="00405ACB">
      <w:pPr>
        <w:pStyle w:val="BodyText"/>
        <w:ind w:left="720"/>
        <w:rPr>
          <w:rFonts w:ascii="Times New Roman" w:hAnsi="Times New Roman" w:cs="Times New Roman"/>
          <w:sz w:val="24"/>
        </w:rPr>
      </w:pPr>
      <w:r>
        <w:rPr>
          <w:rFonts w:ascii="Times New Roman" w:hAnsi="Times New Roman" w:cs="Times New Roman"/>
          <w:sz w:val="24"/>
        </w:rPr>
        <w:t>A1 =</w:t>
      </w:r>
      <w:r w:rsidRPr="00405ACB">
        <w:rPr>
          <w:rFonts w:ascii="Times New Roman" w:hAnsi="Times New Roman" w:cs="Times New Roman"/>
          <w:sz w:val="24"/>
        </w:rPr>
        <w:t xml:space="preserve"> Initiating </w:t>
      </w:r>
    </w:p>
    <w:p w14:paraId="5020503A" w14:textId="77777777" w:rsidR="00405ACB" w:rsidRPr="00405ACB" w:rsidRDefault="00405ACB" w:rsidP="00405ACB">
      <w:pPr>
        <w:pStyle w:val="BodyText"/>
        <w:ind w:left="720"/>
        <w:rPr>
          <w:rFonts w:ascii="Times New Roman" w:hAnsi="Times New Roman" w:cs="Times New Roman"/>
          <w:sz w:val="24"/>
        </w:rPr>
      </w:pPr>
      <w:r>
        <w:rPr>
          <w:rFonts w:ascii="Times New Roman" w:hAnsi="Times New Roman" w:cs="Times New Roman"/>
          <w:sz w:val="24"/>
        </w:rPr>
        <w:t>A2 =</w:t>
      </w:r>
      <w:r w:rsidRPr="00405ACB">
        <w:rPr>
          <w:rFonts w:ascii="Times New Roman" w:hAnsi="Times New Roman" w:cs="Times New Roman"/>
          <w:sz w:val="24"/>
        </w:rPr>
        <w:t xml:space="preserve"> Exploring </w:t>
      </w:r>
    </w:p>
    <w:p w14:paraId="5020503B" w14:textId="77777777" w:rsidR="00405ACB" w:rsidRPr="00405ACB" w:rsidRDefault="00405ACB" w:rsidP="00405ACB">
      <w:pPr>
        <w:pStyle w:val="BodyText"/>
        <w:ind w:left="720"/>
        <w:rPr>
          <w:rFonts w:ascii="Times New Roman" w:hAnsi="Times New Roman" w:cs="Times New Roman"/>
          <w:sz w:val="24"/>
        </w:rPr>
      </w:pPr>
      <w:r w:rsidRPr="00405ACB">
        <w:rPr>
          <w:rFonts w:ascii="Times New Roman" w:hAnsi="Times New Roman" w:cs="Times New Roman"/>
          <w:sz w:val="24"/>
        </w:rPr>
        <w:t>A3</w:t>
      </w:r>
      <w:r>
        <w:rPr>
          <w:rFonts w:ascii="Times New Roman" w:hAnsi="Times New Roman" w:cs="Times New Roman"/>
          <w:sz w:val="24"/>
        </w:rPr>
        <w:t xml:space="preserve"> =</w:t>
      </w:r>
      <w:r w:rsidRPr="00405ACB">
        <w:rPr>
          <w:rFonts w:ascii="Times New Roman" w:hAnsi="Times New Roman" w:cs="Times New Roman"/>
          <w:sz w:val="24"/>
        </w:rPr>
        <w:t xml:space="preserve"> Engaging </w:t>
      </w:r>
    </w:p>
    <w:p w14:paraId="5020503C" w14:textId="77777777" w:rsidR="00405ACB" w:rsidRPr="00405ACB" w:rsidRDefault="00405ACB" w:rsidP="00405ACB">
      <w:pPr>
        <w:pStyle w:val="BodyText"/>
        <w:ind w:left="720"/>
        <w:rPr>
          <w:rFonts w:ascii="Times New Roman" w:hAnsi="Times New Roman" w:cs="Times New Roman"/>
          <w:sz w:val="24"/>
        </w:rPr>
      </w:pPr>
      <w:r>
        <w:rPr>
          <w:rFonts w:ascii="Times New Roman" w:hAnsi="Times New Roman" w:cs="Times New Roman"/>
          <w:sz w:val="24"/>
        </w:rPr>
        <w:t>P1 =</w:t>
      </w:r>
      <w:r w:rsidRPr="00405ACB">
        <w:rPr>
          <w:rFonts w:ascii="Times New Roman" w:hAnsi="Times New Roman" w:cs="Times New Roman"/>
          <w:sz w:val="24"/>
        </w:rPr>
        <w:t xml:space="preserve"> Entering </w:t>
      </w:r>
    </w:p>
    <w:p w14:paraId="5020503D" w14:textId="77777777" w:rsidR="00405ACB" w:rsidRPr="00405ACB" w:rsidRDefault="00405ACB" w:rsidP="00405ACB">
      <w:pPr>
        <w:pStyle w:val="BodyText"/>
        <w:ind w:left="720"/>
        <w:rPr>
          <w:rFonts w:ascii="Times New Roman" w:hAnsi="Times New Roman" w:cs="Times New Roman"/>
          <w:sz w:val="24"/>
        </w:rPr>
      </w:pPr>
      <w:r>
        <w:rPr>
          <w:rFonts w:ascii="Times New Roman" w:hAnsi="Times New Roman" w:cs="Times New Roman"/>
          <w:sz w:val="24"/>
        </w:rPr>
        <w:t>P2 =</w:t>
      </w:r>
      <w:r w:rsidRPr="00405ACB">
        <w:rPr>
          <w:rFonts w:ascii="Times New Roman" w:hAnsi="Times New Roman" w:cs="Times New Roman"/>
          <w:sz w:val="24"/>
        </w:rPr>
        <w:t xml:space="preserve"> Emerging </w:t>
      </w:r>
    </w:p>
    <w:p w14:paraId="5020503E" w14:textId="77777777" w:rsidR="00405ACB" w:rsidRDefault="00405ACB" w:rsidP="00405ACB">
      <w:pPr>
        <w:pStyle w:val="BodyText"/>
        <w:ind w:left="720"/>
        <w:rPr>
          <w:rFonts w:ascii="Times New Roman" w:hAnsi="Times New Roman" w:cs="Times New Roman"/>
          <w:sz w:val="24"/>
        </w:rPr>
      </w:pPr>
      <w:r w:rsidRPr="00405ACB">
        <w:rPr>
          <w:rFonts w:ascii="Times New Roman" w:hAnsi="Times New Roman" w:cs="Times New Roman"/>
          <w:sz w:val="24"/>
        </w:rPr>
        <w:t>P3</w:t>
      </w:r>
      <w:r>
        <w:rPr>
          <w:rFonts w:ascii="Times New Roman" w:hAnsi="Times New Roman" w:cs="Times New Roman"/>
          <w:sz w:val="24"/>
        </w:rPr>
        <w:t xml:space="preserve"> = </w:t>
      </w:r>
      <w:r w:rsidRPr="00405ACB">
        <w:rPr>
          <w:rFonts w:ascii="Times New Roman" w:hAnsi="Times New Roman" w:cs="Times New Roman"/>
          <w:sz w:val="24"/>
        </w:rPr>
        <w:t>Developing</w:t>
      </w:r>
    </w:p>
    <w:p w14:paraId="5020503F" w14:textId="77777777" w:rsidR="00405ACB" w:rsidRPr="00812A58" w:rsidRDefault="00405ACB" w:rsidP="00405ACB">
      <w:pPr>
        <w:pStyle w:val="BodyText"/>
        <w:ind w:left="720"/>
        <w:rPr>
          <w:rFonts w:ascii="Times New Roman" w:hAnsi="Times New Roman" w:cs="Times New Roman"/>
          <w:sz w:val="16"/>
          <w:szCs w:val="16"/>
        </w:rPr>
      </w:pPr>
    </w:p>
    <w:p w14:paraId="50205040" w14:textId="77777777" w:rsidR="00E16004" w:rsidRDefault="00B87A98" w:rsidP="00405ACB">
      <w:pPr>
        <w:pStyle w:val="BodyText"/>
        <w:rPr>
          <w:rFonts w:ascii="Times New Roman" w:hAnsi="Times New Roman" w:cs="Times New Roman"/>
          <w:sz w:val="24"/>
        </w:rPr>
      </w:pPr>
      <w:r w:rsidRPr="00C954DE">
        <w:rPr>
          <w:rFonts w:ascii="Times New Roman" w:hAnsi="Times New Roman" w:cs="Times New Roman"/>
          <w:sz w:val="24"/>
        </w:rPr>
        <w:t xml:space="preserve">The three highest </w:t>
      </w:r>
      <w:r w:rsidR="00713038">
        <w:rPr>
          <w:rFonts w:ascii="Times New Roman" w:hAnsi="Times New Roman" w:cs="Times New Roman"/>
          <w:sz w:val="24"/>
        </w:rPr>
        <w:t xml:space="preserve">proficiency </w:t>
      </w:r>
      <w:r w:rsidRPr="00C954DE">
        <w:rPr>
          <w:rFonts w:ascii="Times New Roman" w:hAnsi="Times New Roman" w:cs="Times New Roman"/>
          <w:sz w:val="24"/>
        </w:rPr>
        <w:t>levels</w:t>
      </w:r>
      <w:r w:rsidR="00031A48">
        <w:rPr>
          <w:rFonts w:ascii="Times New Roman" w:hAnsi="Times New Roman" w:cs="Times New Roman"/>
          <w:sz w:val="24"/>
        </w:rPr>
        <w:t xml:space="preserve"> on ACCESS ALT</w:t>
      </w:r>
      <w:r w:rsidRPr="00C954DE">
        <w:rPr>
          <w:rFonts w:ascii="Times New Roman" w:hAnsi="Times New Roman" w:cs="Times New Roman"/>
          <w:sz w:val="24"/>
        </w:rPr>
        <w:t xml:space="preserve"> (P1, P2, P3) </w:t>
      </w:r>
      <w:r w:rsidR="00CE3E0C" w:rsidRPr="00C954DE">
        <w:rPr>
          <w:rFonts w:ascii="Times New Roman" w:hAnsi="Times New Roman" w:cs="Times New Roman"/>
          <w:sz w:val="24"/>
        </w:rPr>
        <w:t xml:space="preserve">coincide with </w:t>
      </w:r>
      <w:r w:rsidRPr="00C954DE">
        <w:rPr>
          <w:rFonts w:ascii="Times New Roman" w:hAnsi="Times New Roman" w:cs="Times New Roman"/>
          <w:sz w:val="24"/>
        </w:rPr>
        <w:t>the first three proficiency levels for the standard ACCESS tests</w:t>
      </w:r>
      <w:r w:rsidR="00C83EC9">
        <w:rPr>
          <w:rFonts w:ascii="Times New Roman" w:hAnsi="Times New Roman" w:cs="Times New Roman"/>
          <w:sz w:val="24"/>
        </w:rPr>
        <w:t xml:space="preserve"> (Levels 1, 2, and 3)</w:t>
      </w:r>
      <w:r w:rsidR="00713038">
        <w:rPr>
          <w:rFonts w:ascii="Times New Roman" w:hAnsi="Times New Roman" w:cs="Times New Roman"/>
          <w:sz w:val="24"/>
        </w:rPr>
        <w:t>, but the scale does not extend as high as Level 5, the score considered “attainment of English proficiency</w:t>
      </w:r>
      <w:r w:rsidR="00C83EC9">
        <w:rPr>
          <w:rFonts w:ascii="Times New Roman" w:hAnsi="Times New Roman" w:cs="Times New Roman"/>
          <w:sz w:val="24"/>
        </w:rPr>
        <w:t>.</w:t>
      </w:r>
      <w:r w:rsidR="00713038">
        <w:rPr>
          <w:rFonts w:ascii="Times New Roman" w:hAnsi="Times New Roman" w:cs="Times New Roman"/>
          <w:sz w:val="24"/>
        </w:rPr>
        <w:t xml:space="preserve">” </w:t>
      </w:r>
      <w:r w:rsidR="00031A48">
        <w:rPr>
          <w:rFonts w:ascii="Times New Roman" w:hAnsi="Times New Roman" w:cs="Times New Roman"/>
          <w:sz w:val="24"/>
        </w:rPr>
        <w:t xml:space="preserve">Consequently, </w:t>
      </w:r>
      <w:r w:rsidR="00FD4EB9">
        <w:rPr>
          <w:rFonts w:ascii="Times New Roman" w:hAnsi="Times New Roman" w:cs="Times New Roman"/>
          <w:sz w:val="24"/>
        </w:rPr>
        <w:t xml:space="preserve">students </w:t>
      </w:r>
      <w:r w:rsidR="00031A48">
        <w:rPr>
          <w:rFonts w:ascii="Times New Roman" w:hAnsi="Times New Roman" w:cs="Times New Roman"/>
          <w:sz w:val="24"/>
        </w:rPr>
        <w:t xml:space="preserve">taking </w:t>
      </w:r>
      <w:r w:rsidR="00FD4EB9">
        <w:rPr>
          <w:rFonts w:ascii="Times New Roman" w:hAnsi="Times New Roman" w:cs="Times New Roman"/>
          <w:sz w:val="24"/>
        </w:rPr>
        <w:t xml:space="preserve">the Alternate </w:t>
      </w:r>
      <w:r w:rsidR="00031A48">
        <w:rPr>
          <w:rFonts w:ascii="Times New Roman" w:hAnsi="Times New Roman" w:cs="Times New Roman"/>
          <w:sz w:val="24"/>
        </w:rPr>
        <w:t xml:space="preserve">ACCESS </w:t>
      </w:r>
      <w:r w:rsidR="00FD4EB9">
        <w:rPr>
          <w:rFonts w:ascii="Times New Roman" w:hAnsi="Times New Roman" w:cs="Times New Roman"/>
          <w:sz w:val="24"/>
        </w:rPr>
        <w:t xml:space="preserve">will be included in the AMAO 2 calculation as </w:t>
      </w:r>
      <w:r w:rsidR="00E8633E">
        <w:rPr>
          <w:rFonts w:ascii="Times New Roman" w:hAnsi="Times New Roman" w:cs="Times New Roman"/>
          <w:sz w:val="24"/>
        </w:rPr>
        <w:t xml:space="preserve">“not </w:t>
      </w:r>
      <w:r w:rsidR="005275FF">
        <w:rPr>
          <w:rFonts w:ascii="Times New Roman" w:hAnsi="Times New Roman" w:cs="Times New Roman"/>
          <w:sz w:val="24"/>
        </w:rPr>
        <w:t xml:space="preserve">attaining </w:t>
      </w:r>
      <w:r w:rsidR="00FD4EB9">
        <w:rPr>
          <w:rFonts w:ascii="Times New Roman" w:hAnsi="Times New Roman" w:cs="Times New Roman"/>
          <w:sz w:val="24"/>
        </w:rPr>
        <w:t xml:space="preserve">English </w:t>
      </w:r>
      <w:r w:rsidR="005275FF">
        <w:rPr>
          <w:rFonts w:ascii="Times New Roman" w:hAnsi="Times New Roman" w:cs="Times New Roman"/>
          <w:sz w:val="24"/>
        </w:rPr>
        <w:t>proficiency</w:t>
      </w:r>
      <w:r w:rsidR="00FD4EB9">
        <w:rPr>
          <w:rFonts w:ascii="Times New Roman" w:hAnsi="Times New Roman" w:cs="Times New Roman"/>
          <w:sz w:val="24"/>
        </w:rPr>
        <w:t>.</w:t>
      </w:r>
      <w:r w:rsidR="00E8633E">
        <w:rPr>
          <w:rFonts w:ascii="Times New Roman" w:hAnsi="Times New Roman" w:cs="Times New Roman"/>
          <w:sz w:val="24"/>
        </w:rPr>
        <w:t>”</w:t>
      </w:r>
      <w:r w:rsidR="00031A48">
        <w:rPr>
          <w:rFonts w:ascii="Times New Roman" w:hAnsi="Times New Roman" w:cs="Times New Roman"/>
          <w:sz w:val="24"/>
        </w:rPr>
        <w:t xml:space="preserve">  </w:t>
      </w:r>
    </w:p>
    <w:p w14:paraId="50205041" w14:textId="77777777" w:rsidR="00C83EC9" w:rsidRDefault="00C83EC9" w:rsidP="004516C6">
      <w:pPr>
        <w:pStyle w:val="BodyText"/>
        <w:jc w:val="center"/>
        <w:rPr>
          <w:b/>
        </w:rPr>
      </w:pPr>
    </w:p>
    <w:p w14:paraId="50205042" w14:textId="77777777" w:rsidR="005275FF" w:rsidRDefault="005275FF" w:rsidP="00281A21">
      <w:pPr>
        <w:rPr>
          <w:rFonts w:ascii="Arial" w:hAnsi="Arial" w:cs="Arial"/>
          <w:b/>
          <w:bCs/>
          <w:sz w:val="32"/>
          <w:szCs w:val="28"/>
        </w:rPr>
      </w:pPr>
    </w:p>
    <w:p w14:paraId="50205043" w14:textId="77777777" w:rsidR="005275FF" w:rsidRDefault="005275FF" w:rsidP="00281A21">
      <w:pPr>
        <w:rPr>
          <w:rFonts w:ascii="Arial" w:hAnsi="Arial" w:cs="Arial"/>
          <w:b/>
          <w:bCs/>
          <w:sz w:val="32"/>
          <w:szCs w:val="28"/>
        </w:rPr>
      </w:pPr>
    </w:p>
    <w:p w14:paraId="50205044" w14:textId="77777777" w:rsidR="00281A21" w:rsidRDefault="00281A21" w:rsidP="00281A21">
      <w:pPr>
        <w:rPr>
          <w:rFonts w:ascii="Arial" w:hAnsi="Arial" w:cs="Arial"/>
          <w:b/>
          <w:bCs/>
          <w:sz w:val="28"/>
          <w:szCs w:val="28"/>
        </w:rPr>
      </w:pPr>
      <w:r w:rsidRPr="00FD4EB9">
        <w:rPr>
          <w:rFonts w:ascii="Arial" w:hAnsi="Arial" w:cs="Arial"/>
          <w:b/>
          <w:bCs/>
          <w:sz w:val="32"/>
          <w:szCs w:val="28"/>
        </w:rPr>
        <w:lastRenderedPageBreak/>
        <w:t xml:space="preserve">AMAO 3: </w:t>
      </w:r>
      <w:r>
        <w:rPr>
          <w:rFonts w:ascii="Arial" w:hAnsi="Arial" w:cs="Arial"/>
          <w:b/>
          <w:bCs/>
          <w:sz w:val="28"/>
          <w:szCs w:val="28"/>
        </w:rPr>
        <w:t>Performance of the ELL</w:t>
      </w:r>
      <w:r w:rsidR="00FD4EB9">
        <w:rPr>
          <w:rFonts w:ascii="Arial" w:hAnsi="Arial" w:cs="Arial"/>
          <w:b/>
          <w:bCs/>
          <w:sz w:val="28"/>
          <w:szCs w:val="28"/>
        </w:rPr>
        <w:t>/Former ELL</w:t>
      </w:r>
      <w:r>
        <w:rPr>
          <w:rFonts w:ascii="Arial" w:hAnsi="Arial" w:cs="Arial"/>
          <w:b/>
          <w:bCs/>
          <w:sz w:val="28"/>
          <w:szCs w:val="28"/>
        </w:rPr>
        <w:t xml:space="preserve"> Subgroup on MCAS</w:t>
      </w:r>
      <w:r w:rsidR="00FD4EB9">
        <w:rPr>
          <w:rFonts w:ascii="Arial" w:hAnsi="Arial" w:cs="Arial"/>
          <w:b/>
          <w:bCs/>
          <w:sz w:val="28"/>
          <w:szCs w:val="28"/>
        </w:rPr>
        <w:t>/PARCC</w:t>
      </w:r>
    </w:p>
    <w:p w14:paraId="50205045" w14:textId="77777777" w:rsidR="00281A21" w:rsidRPr="003A3F8B" w:rsidRDefault="00281A21" w:rsidP="00281A21">
      <w:pPr>
        <w:rPr>
          <w:rFonts w:ascii="Arial" w:eastAsia="Calibri" w:hAnsi="Arial" w:cs="Arial"/>
          <w:b/>
          <w:bCs/>
        </w:rPr>
      </w:pPr>
    </w:p>
    <w:p w14:paraId="50205046" w14:textId="77777777" w:rsidR="00664D37" w:rsidRPr="00B35D26" w:rsidRDefault="00C83EC9" w:rsidP="00664D37">
      <w:pPr>
        <w:pStyle w:val="Heading1"/>
        <w:spacing w:after="120"/>
        <w:rPr>
          <w:rFonts w:ascii="Arial" w:hAnsi="Arial" w:cs="Arial"/>
          <w:b/>
          <w:u w:val="none"/>
        </w:rPr>
      </w:pPr>
      <w:bookmarkStart w:id="2" w:name="_Toc365270839"/>
      <w:r>
        <w:rPr>
          <w:rFonts w:ascii="Arial" w:hAnsi="Arial" w:cs="Arial"/>
          <w:b/>
          <w:u w:val="none"/>
        </w:rPr>
        <w:t>Background:</w:t>
      </w:r>
      <w:r w:rsidR="00FD4EB9">
        <w:rPr>
          <w:rFonts w:ascii="Arial" w:hAnsi="Arial" w:cs="Arial"/>
          <w:b/>
          <w:u w:val="none"/>
        </w:rPr>
        <w:t xml:space="preserve"> </w:t>
      </w:r>
      <w:r w:rsidR="00CF0CA7">
        <w:rPr>
          <w:rFonts w:ascii="Arial" w:hAnsi="Arial" w:cs="Arial"/>
          <w:b/>
          <w:u w:val="none"/>
        </w:rPr>
        <w:t>“</w:t>
      </w:r>
      <w:r w:rsidR="00664D37" w:rsidRPr="00B35D26">
        <w:rPr>
          <w:rFonts w:ascii="Arial" w:hAnsi="Arial" w:cs="Arial"/>
          <w:b/>
          <w:u w:val="none"/>
        </w:rPr>
        <w:t>Progress and Performance Index</w:t>
      </w:r>
      <w:r w:rsidR="00CF0CA7">
        <w:rPr>
          <w:rFonts w:ascii="Arial" w:hAnsi="Arial" w:cs="Arial"/>
          <w:b/>
          <w:u w:val="none"/>
        </w:rPr>
        <w:t>”</w:t>
      </w:r>
      <w:r w:rsidR="00664D37" w:rsidRPr="00B35D26">
        <w:rPr>
          <w:rFonts w:ascii="Arial" w:hAnsi="Arial" w:cs="Arial"/>
          <w:b/>
          <w:u w:val="none"/>
        </w:rPr>
        <w:t xml:space="preserve"> (PPI)</w:t>
      </w:r>
      <w:bookmarkEnd w:id="2"/>
    </w:p>
    <w:p w14:paraId="50205047" w14:textId="77777777" w:rsidR="00F16459" w:rsidRPr="00F16459" w:rsidRDefault="00F16459" w:rsidP="00F16459">
      <w:pPr>
        <w:pStyle w:val="PlainText"/>
        <w:spacing w:after="120"/>
        <w:rPr>
          <w:rFonts w:ascii="Times New Roman" w:hAnsi="Times New Roman"/>
          <w:sz w:val="24"/>
          <w:szCs w:val="24"/>
        </w:rPr>
      </w:pPr>
      <w:r w:rsidRPr="00F16459">
        <w:rPr>
          <w:rFonts w:ascii="Times New Roman" w:hAnsi="Times New Roman"/>
          <w:sz w:val="24"/>
          <w:szCs w:val="24"/>
        </w:rPr>
        <w:t xml:space="preserve">The state will use each district’s four-year cumulative Progress and Performance Index scores for the ELL/Former ELL subgroup to determine AMAO </w:t>
      </w:r>
      <w:r w:rsidR="00FD4EB9">
        <w:rPr>
          <w:rFonts w:ascii="Times New Roman" w:hAnsi="Times New Roman"/>
          <w:sz w:val="24"/>
          <w:szCs w:val="24"/>
        </w:rPr>
        <w:t>3</w:t>
      </w:r>
      <w:r w:rsidRPr="00F16459">
        <w:rPr>
          <w:rFonts w:ascii="Times New Roman" w:hAnsi="Times New Roman"/>
          <w:sz w:val="24"/>
          <w:szCs w:val="24"/>
        </w:rPr>
        <w:t>.</w:t>
      </w:r>
    </w:p>
    <w:p w14:paraId="50205048" w14:textId="77777777" w:rsidR="00CE3E0C" w:rsidRPr="00281A21" w:rsidRDefault="00750002" w:rsidP="00F16459">
      <w:pPr>
        <w:pStyle w:val="PlainText"/>
        <w:spacing w:after="120"/>
        <w:rPr>
          <w:rFonts w:ascii="Times New Roman" w:hAnsi="Times New Roman"/>
          <w:bCs/>
          <w:sz w:val="24"/>
          <w:szCs w:val="24"/>
        </w:rPr>
      </w:pPr>
      <w:r>
        <w:rPr>
          <w:rFonts w:ascii="Times New Roman" w:hAnsi="Times New Roman"/>
          <w:sz w:val="24"/>
          <w:szCs w:val="24"/>
        </w:rPr>
        <w:t>The S</w:t>
      </w:r>
      <w:r w:rsidR="005F70A0">
        <w:rPr>
          <w:rFonts w:ascii="Times New Roman" w:hAnsi="Times New Roman"/>
          <w:sz w:val="24"/>
          <w:szCs w:val="24"/>
        </w:rPr>
        <w:t>tate</w:t>
      </w:r>
      <w:r w:rsidR="00CE3E0C">
        <w:rPr>
          <w:rFonts w:ascii="Times New Roman" w:hAnsi="Times New Roman"/>
          <w:sz w:val="24"/>
          <w:szCs w:val="24"/>
        </w:rPr>
        <w:t>’s</w:t>
      </w:r>
      <w:r w:rsidR="00664D37" w:rsidRPr="00664D37">
        <w:rPr>
          <w:rFonts w:ascii="Times New Roman" w:hAnsi="Times New Roman"/>
          <w:sz w:val="24"/>
          <w:szCs w:val="24"/>
        </w:rPr>
        <w:t xml:space="preserve"> </w:t>
      </w:r>
      <w:r w:rsidR="005F70A0">
        <w:rPr>
          <w:rFonts w:ascii="Times New Roman" w:hAnsi="Times New Roman"/>
          <w:sz w:val="24"/>
          <w:szCs w:val="24"/>
        </w:rPr>
        <w:t xml:space="preserve">Title I </w:t>
      </w:r>
      <w:r w:rsidR="00664D37" w:rsidRPr="00664D37">
        <w:rPr>
          <w:rFonts w:ascii="Times New Roman" w:hAnsi="Times New Roman"/>
          <w:sz w:val="24"/>
          <w:szCs w:val="24"/>
        </w:rPr>
        <w:t>accountability system measures each school</w:t>
      </w:r>
      <w:r w:rsidR="005F70A0">
        <w:rPr>
          <w:rFonts w:ascii="Times New Roman" w:hAnsi="Times New Roman"/>
          <w:sz w:val="24"/>
          <w:szCs w:val="24"/>
        </w:rPr>
        <w:t>’s</w:t>
      </w:r>
      <w:r w:rsidR="00664D37" w:rsidRPr="00664D37">
        <w:rPr>
          <w:rFonts w:ascii="Times New Roman" w:hAnsi="Times New Roman"/>
          <w:sz w:val="24"/>
          <w:szCs w:val="24"/>
        </w:rPr>
        <w:t xml:space="preserve"> progress toward the goal of reducing proficienc</w:t>
      </w:r>
      <w:r w:rsidR="00FA7FEF">
        <w:rPr>
          <w:rFonts w:ascii="Times New Roman" w:hAnsi="Times New Roman"/>
          <w:sz w:val="24"/>
          <w:szCs w:val="24"/>
        </w:rPr>
        <w:t>y gaps by half between the 2010</w:t>
      </w:r>
      <w:r w:rsidR="00FA7FEF">
        <w:rPr>
          <w:rFonts w:ascii="Times New Roman" w:hAnsi="Times New Roman"/>
          <w:sz w:val="24"/>
          <w:szCs w:val="24"/>
        </w:rPr>
        <w:sym w:font="Symbol" w:char="F02D"/>
      </w:r>
      <w:r w:rsidR="00FA7FEF">
        <w:rPr>
          <w:rFonts w:ascii="Times New Roman" w:hAnsi="Times New Roman"/>
          <w:sz w:val="24"/>
          <w:szCs w:val="24"/>
        </w:rPr>
        <w:t>2011 and 2016</w:t>
      </w:r>
      <w:r w:rsidR="00FA7FEF">
        <w:rPr>
          <w:rFonts w:ascii="Times New Roman" w:hAnsi="Times New Roman"/>
          <w:sz w:val="24"/>
          <w:szCs w:val="24"/>
        </w:rPr>
        <w:sym w:font="Symbol" w:char="F02D"/>
      </w:r>
      <w:r w:rsidR="00FA7FEF">
        <w:rPr>
          <w:rFonts w:ascii="Times New Roman" w:hAnsi="Times New Roman"/>
          <w:sz w:val="24"/>
          <w:szCs w:val="24"/>
        </w:rPr>
        <w:t>20</w:t>
      </w:r>
      <w:r w:rsidR="00664D37" w:rsidRPr="00664D37">
        <w:rPr>
          <w:rFonts w:ascii="Times New Roman" w:hAnsi="Times New Roman"/>
          <w:sz w:val="24"/>
          <w:szCs w:val="24"/>
        </w:rPr>
        <w:t xml:space="preserve">17 school years. </w:t>
      </w:r>
      <w:r w:rsidR="00281A21" w:rsidRPr="00664D37">
        <w:rPr>
          <w:rFonts w:ascii="Times New Roman" w:hAnsi="Times New Roman"/>
          <w:sz w:val="24"/>
          <w:szCs w:val="24"/>
        </w:rPr>
        <w:t>Under the state’s</w:t>
      </w:r>
      <w:r w:rsidR="00CE3E0C">
        <w:rPr>
          <w:rFonts w:ascii="Times New Roman" w:hAnsi="Times New Roman"/>
          <w:sz w:val="24"/>
          <w:szCs w:val="24"/>
        </w:rPr>
        <w:t xml:space="preserve"> 2012 ESEA Flexibility Waiver, </w:t>
      </w:r>
      <w:r w:rsidR="00281A21" w:rsidRPr="00664D37">
        <w:rPr>
          <w:rFonts w:ascii="Times New Roman" w:hAnsi="Times New Roman"/>
          <w:sz w:val="24"/>
          <w:szCs w:val="24"/>
        </w:rPr>
        <w:t xml:space="preserve">AYP in Massachusetts </w:t>
      </w:r>
      <w:r w:rsidR="00E7369D" w:rsidRPr="00664D37">
        <w:rPr>
          <w:rFonts w:ascii="Times New Roman" w:hAnsi="Times New Roman"/>
          <w:sz w:val="24"/>
          <w:szCs w:val="24"/>
        </w:rPr>
        <w:t xml:space="preserve">was replaced </w:t>
      </w:r>
      <w:r w:rsidR="00281A21" w:rsidRPr="00664D37">
        <w:rPr>
          <w:rFonts w:ascii="Times New Roman" w:hAnsi="Times New Roman"/>
          <w:sz w:val="24"/>
          <w:szCs w:val="24"/>
        </w:rPr>
        <w:t xml:space="preserve">by </w:t>
      </w:r>
      <w:r w:rsidR="00CE3E0C">
        <w:rPr>
          <w:rFonts w:ascii="Times New Roman" w:hAnsi="Times New Roman"/>
          <w:sz w:val="24"/>
          <w:szCs w:val="24"/>
        </w:rPr>
        <w:t xml:space="preserve">a </w:t>
      </w:r>
      <w:r w:rsidR="00C83EC9">
        <w:rPr>
          <w:rFonts w:ascii="Times New Roman" w:hAnsi="Times New Roman"/>
          <w:b/>
          <w:sz w:val="24"/>
          <w:szCs w:val="24"/>
        </w:rPr>
        <w:t xml:space="preserve">four-year </w:t>
      </w:r>
      <w:r w:rsidR="00CE3E0C" w:rsidRPr="00C83EC9">
        <w:rPr>
          <w:rFonts w:ascii="Times New Roman" w:hAnsi="Times New Roman"/>
          <w:b/>
          <w:sz w:val="24"/>
          <w:szCs w:val="24"/>
        </w:rPr>
        <w:t>c</w:t>
      </w:r>
      <w:r w:rsidR="00281A21" w:rsidRPr="00C83EC9">
        <w:rPr>
          <w:rFonts w:ascii="Times New Roman" w:hAnsi="Times New Roman"/>
          <w:b/>
          <w:sz w:val="24"/>
          <w:szCs w:val="24"/>
        </w:rPr>
        <w:t>umulative Progress and Performance Index (PPI)</w:t>
      </w:r>
      <w:r w:rsidR="00CE3E0C">
        <w:rPr>
          <w:rFonts w:ascii="Times New Roman" w:hAnsi="Times New Roman"/>
          <w:sz w:val="24"/>
          <w:szCs w:val="24"/>
        </w:rPr>
        <w:t xml:space="preserve">. </w:t>
      </w:r>
      <w:r w:rsidR="00CE3E0C" w:rsidRPr="00281A21">
        <w:rPr>
          <w:rFonts w:ascii="Times New Roman" w:hAnsi="Times New Roman"/>
          <w:bCs/>
          <w:sz w:val="24"/>
          <w:szCs w:val="24"/>
        </w:rPr>
        <w:t>The cumulative PPI is a measure of progress</w:t>
      </w:r>
      <w:r w:rsidR="007D0348">
        <w:rPr>
          <w:rFonts w:ascii="Times New Roman" w:hAnsi="Times New Roman"/>
          <w:bCs/>
          <w:sz w:val="24"/>
          <w:szCs w:val="24"/>
        </w:rPr>
        <w:t xml:space="preserve"> </w:t>
      </w:r>
      <w:r w:rsidR="00CE3E0C" w:rsidRPr="00281A21">
        <w:rPr>
          <w:rFonts w:ascii="Times New Roman" w:hAnsi="Times New Roman"/>
          <w:bCs/>
          <w:sz w:val="24"/>
          <w:szCs w:val="24"/>
        </w:rPr>
        <w:t>toward narrowing proficiency gaps that incorporates</w:t>
      </w:r>
      <w:r w:rsidR="00C83EC9">
        <w:rPr>
          <w:rFonts w:ascii="Times New Roman" w:hAnsi="Times New Roman"/>
          <w:bCs/>
          <w:sz w:val="24"/>
          <w:szCs w:val="24"/>
        </w:rPr>
        <w:t xml:space="preserve"> a combination of</w:t>
      </w:r>
      <w:r w:rsidR="00CE3E0C" w:rsidRPr="00281A21">
        <w:rPr>
          <w:rFonts w:ascii="Times New Roman" w:hAnsi="Times New Roman"/>
          <w:bCs/>
          <w:sz w:val="24"/>
          <w:szCs w:val="24"/>
        </w:rPr>
        <w:t>:</w:t>
      </w:r>
    </w:p>
    <w:p w14:paraId="50205049" w14:textId="77777777" w:rsidR="00CE3E0C" w:rsidRPr="00281A21" w:rsidRDefault="00CE3E0C" w:rsidP="00CE3E0C">
      <w:pPr>
        <w:pStyle w:val="PlainText"/>
        <w:numPr>
          <w:ilvl w:val="0"/>
          <w:numId w:val="6"/>
        </w:numPr>
        <w:ind w:left="749" w:hanging="331"/>
        <w:rPr>
          <w:rFonts w:ascii="Times New Roman" w:hAnsi="Times New Roman"/>
          <w:bCs/>
          <w:sz w:val="24"/>
          <w:szCs w:val="24"/>
        </w:rPr>
      </w:pPr>
      <w:r w:rsidRPr="00281A21">
        <w:rPr>
          <w:rFonts w:ascii="Times New Roman" w:hAnsi="Times New Roman"/>
          <w:bCs/>
          <w:sz w:val="24"/>
          <w:szCs w:val="24"/>
        </w:rPr>
        <w:t>MCAS scores in ELA, Mathematics, and STE</w:t>
      </w:r>
      <w:r>
        <w:rPr>
          <w:rFonts w:ascii="Times New Roman" w:hAnsi="Times New Roman"/>
          <w:bCs/>
          <w:sz w:val="24"/>
          <w:szCs w:val="24"/>
        </w:rPr>
        <w:t xml:space="preserve"> (Composite Performance Index, or CPI)</w:t>
      </w:r>
      <w:r w:rsidRPr="00281A21">
        <w:rPr>
          <w:rFonts w:ascii="Times New Roman" w:hAnsi="Times New Roman"/>
          <w:bCs/>
          <w:sz w:val="24"/>
          <w:szCs w:val="24"/>
        </w:rPr>
        <w:t xml:space="preserve">; </w:t>
      </w:r>
    </w:p>
    <w:p w14:paraId="5020504A" w14:textId="77777777" w:rsidR="00CE3E0C" w:rsidRPr="0019165F" w:rsidRDefault="00CE3E0C" w:rsidP="00CE3E0C">
      <w:pPr>
        <w:pStyle w:val="PlainText"/>
        <w:numPr>
          <w:ilvl w:val="0"/>
          <w:numId w:val="6"/>
        </w:numPr>
        <w:rPr>
          <w:rFonts w:ascii="Times New Roman" w:hAnsi="Times New Roman"/>
          <w:bCs/>
          <w:sz w:val="24"/>
          <w:szCs w:val="24"/>
        </w:rPr>
      </w:pPr>
      <w:r>
        <w:rPr>
          <w:rFonts w:ascii="Times New Roman" w:hAnsi="Times New Roman"/>
          <w:bCs/>
          <w:sz w:val="24"/>
          <w:szCs w:val="24"/>
        </w:rPr>
        <w:t>Student g</w:t>
      </w:r>
      <w:r w:rsidRPr="00281A21">
        <w:rPr>
          <w:rFonts w:ascii="Times New Roman" w:hAnsi="Times New Roman"/>
          <w:bCs/>
          <w:sz w:val="24"/>
          <w:szCs w:val="24"/>
        </w:rPr>
        <w:t>rowth in ELA and Mathematics</w:t>
      </w:r>
      <w:r>
        <w:rPr>
          <w:rFonts w:ascii="Times New Roman" w:hAnsi="Times New Roman"/>
          <w:bCs/>
          <w:sz w:val="24"/>
          <w:szCs w:val="24"/>
        </w:rPr>
        <w:t xml:space="preserve"> (Student Growth Percentile, or SGP)</w:t>
      </w:r>
      <w:r w:rsidRPr="00281A21">
        <w:rPr>
          <w:rFonts w:ascii="Times New Roman" w:hAnsi="Times New Roman"/>
          <w:bCs/>
          <w:sz w:val="24"/>
          <w:szCs w:val="24"/>
        </w:rPr>
        <w:t>;</w:t>
      </w:r>
      <w:r>
        <w:rPr>
          <w:rFonts w:ascii="Times New Roman" w:hAnsi="Times New Roman"/>
          <w:bCs/>
          <w:sz w:val="24"/>
          <w:szCs w:val="24"/>
        </w:rPr>
        <w:t xml:space="preserve"> and</w:t>
      </w:r>
    </w:p>
    <w:p w14:paraId="5020504B" w14:textId="77777777" w:rsidR="00CE3E0C" w:rsidRPr="0019165F" w:rsidRDefault="00CE3E0C" w:rsidP="00CE3E0C">
      <w:pPr>
        <w:pStyle w:val="PlainText"/>
        <w:numPr>
          <w:ilvl w:val="0"/>
          <w:numId w:val="6"/>
        </w:numPr>
        <w:rPr>
          <w:rFonts w:ascii="Times New Roman" w:hAnsi="Times New Roman"/>
          <w:bCs/>
          <w:sz w:val="24"/>
          <w:szCs w:val="24"/>
        </w:rPr>
      </w:pPr>
      <w:r w:rsidRPr="0019165F">
        <w:rPr>
          <w:rFonts w:ascii="Times New Roman" w:hAnsi="Times New Roman"/>
          <w:bCs/>
          <w:sz w:val="24"/>
          <w:szCs w:val="24"/>
        </w:rPr>
        <w:t>High school graduation and dropout rates</w:t>
      </w:r>
    </w:p>
    <w:p w14:paraId="5020504C" w14:textId="77777777" w:rsidR="00CE3E0C" w:rsidRPr="00F16459" w:rsidRDefault="00CE3E0C" w:rsidP="00CE3E0C">
      <w:pPr>
        <w:pStyle w:val="PlainText"/>
        <w:rPr>
          <w:rFonts w:ascii="Times New Roman" w:hAnsi="Times New Roman"/>
          <w:bCs/>
          <w:sz w:val="16"/>
          <w:szCs w:val="20"/>
        </w:rPr>
      </w:pPr>
    </w:p>
    <w:p w14:paraId="5020504D" w14:textId="77777777" w:rsidR="00C83EC9" w:rsidRDefault="00C83EC9" w:rsidP="00CE3E0C">
      <w:pPr>
        <w:spacing w:after="120"/>
        <w:rPr>
          <w:bCs/>
        </w:rPr>
      </w:pPr>
      <w:r w:rsidRPr="00D85F69">
        <w:t xml:space="preserve">The annual PPIs from the four most recent years are combined into a four-year cumulative PPI, weighted in favor of the more recent year(s). </w:t>
      </w:r>
      <w:r w:rsidRPr="00D85F69">
        <w:rPr>
          <w:bCs/>
        </w:rPr>
        <w:t xml:space="preserve">Massachusetts uses the </w:t>
      </w:r>
      <w:r w:rsidRPr="00D85F69">
        <w:rPr>
          <w:i/>
        </w:rPr>
        <w:t>cumulative</w:t>
      </w:r>
      <w:r w:rsidRPr="00D85F69">
        <w:t xml:space="preserve"> Progress and Performance Index (PPI) </w:t>
      </w:r>
      <w:r w:rsidRPr="00D85F69">
        <w:rPr>
          <w:bCs/>
        </w:rPr>
        <w:t>to review whether a district has met its accountability targets</w:t>
      </w:r>
      <w:r>
        <w:rPr>
          <w:bCs/>
        </w:rPr>
        <w:t xml:space="preserve"> </w:t>
      </w:r>
      <w:r w:rsidRPr="00D85F69">
        <w:rPr>
          <w:bCs/>
        </w:rPr>
        <w:t>because it is a stable measure and fluctuates only incrementally from one year to the next</w:t>
      </w:r>
      <w:r w:rsidRPr="00C83EC9">
        <w:rPr>
          <w:b/>
          <w:bCs/>
        </w:rPr>
        <w:t>. The cumulative PPI will used as the measure for determining AMAO 3 for the ELL/former ELL subgroup.</w:t>
      </w:r>
    </w:p>
    <w:p w14:paraId="5020504E" w14:textId="77777777" w:rsidR="00CE3E0C" w:rsidRDefault="00CE3E0C" w:rsidP="00CE3E0C">
      <w:pPr>
        <w:spacing w:after="120"/>
      </w:pPr>
      <w:r>
        <w:t>D</w:t>
      </w:r>
      <w:r w:rsidRPr="008618A9">
        <w:t xml:space="preserve">istricts, schools, and subgroups are expected to demonstrate growth in student </w:t>
      </w:r>
      <w:r>
        <w:t xml:space="preserve">achievement on MCAS </w:t>
      </w:r>
      <w:r w:rsidR="00977023">
        <w:t xml:space="preserve">(and PARCC, if adopted in 2016) </w:t>
      </w:r>
      <w:r w:rsidRPr="008618A9">
        <w:t xml:space="preserve">each year between 2011 and 2017. </w:t>
      </w:r>
      <w:r w:rsidRPr="00C40584">
        <w:t xml:space="preserve">The </w:t>
      </w:r>
      <w:r>
        <w:t xml:space="preserve">cumulative </w:t>
      </w:r>
      <w:r w:rsidRPr="00C40584">
        <w:t>PPI combines information about narrowing proficiency gaps, growth, and graduation and dropout rates into a number</w:t>
      </w:r>
      <w:r>
        <w:t xml:space="preserve"> between 0 and 100</w:t>
      </w:r>
      <w:r w:rsidRPr="00C40584">
        <w:t xml:space="preserve">. </w:t>
      </w:r>
      <w:r w:rsidRPr="00FA7FEF">
        <w:rPr>
          <w:b/>
        </w:rPr>
        <w:t>A cumulative PPI of 75 or higher indicates that a group, school, or district is on track toward meeting its proficiency gap-narrowing goals</w:t>
      </w:r>
      <w:r>
        <w:t>, based on the following scale:</w:t>
      </w:r>
    </w:p>
    <w:p w14:paraId="5020504F" w14:textId="77777777" w:rsidR="00CE3E0C" w:rsidRPr="00CD3996" w:rsidRDefault="00CE3E0C" w:rsidP="00CE3E0C">
      <w:pPr>
        <w:pStyle w:val="ListParagraph"/>
        <w:numPr>
          <w:ilvl w:val="0"/>
          <w:numId w:val="7"/>
        </w:numPr>
        <w:spacing w:after="0" w:line="240" w:lineRule="auto"/>
        <w:rPr>
          <w:rFonts w:ascii="Times New Roman" w:hAnsi="Times New Roman"/>
          <w:sz w:val="24"/>
          <w:szCs w:val="24"/>
        </w:rPr>
      </w:pPr>
      <w:r w:rsidRPr="00CD3996">
        <w:rPr>
          <w:rFonts w:ascii="Times New Roman" w:hAnsi="Times New Roman"/>
          <w:sz w:val="24"/>
          <w:szCs w:val="24"/>
        </w:rPr>
        <w:t>100</w:t>
      </w:r>
      <w:r w:rsidRPr="00CD3996">
        <w:rPr>
          <w:rFonts w:ascii="Times New Roman" w:hAnsi="Times New Roman"/>
          <w:sz w:val="24"/>
          <w:szCs w:val="24"/>
        </w:rPr>
        <w:tab/>
        <w:t>Above target</w:t>
      </w:r>
    </w:p>
    <w:p w14:paraId="50205050" w14:textId="77777777" w:rsidR="00CE3E0C" w:rsidRPr="00CD3996" w:rsidRDefault="00CE3E0C" w:rsidP="00CE3E0C">
      <w:pPr>
        <w:pStyle w:val="ListParagraph"/>
        <w:numPr>
          <w:ilvl w:val="0"/>
          <w:numId w:val="7"/>
        </w:numPr>
        <w:spacing w:after="0" w:line="240" w:lineRule="auto"/>
        <w:rPr>
          <w:rFonts w:ascii="Times New Roman" w:hAnsi="Times New Roman"/>
          <w:sz w:val="24"/>
          <w:szCs w:val="24"/>
        </w:rPr>
      </w:pPr>
      <w:r w:rsidRPr="00CD3996">
        <w:rPr>
          <w:rFonts w:ascii="Times New Roman" w:hAnsi="Times New Roman"/>
          <w:sz w:val="24"/>
          <w:szCs w:val="24"/>
        </w:rPr>
        <w:t>75</w:t>
      </w:r>
      <w:r w:rsidRPr="00CD3996">
        <w:rPr>
          <w:rFonts w:ascii="Times New Roman" w:hAnsi="Times New Roman"/>
          <w:sz w:val="24"/>
          <w:szCs w:val="24"/>
        </w:rPr>
        <w:tab/>
        <w:t>On target</w:t>
      </w:r>
    </w:p>
    <w:p w14:paraId="50205051" w14:textId="77777777" w:rsidR="00CE3E0C" w:rsidRPr="00CD3996" w:rsidRDefault="00CE3E0C" w:rsidP="00CE3E0C">
      <w:pPr>
        <w:pStyle w:val="ListParagraph"/>
        <w:numPr>
          <w:ilvl w:val="0"/>
          <w:numId w:val="7"/>
        </w:numPr>
        <w:spacing w:after="0" w:line="240" w:lineRule="auto"/>
        <w:rPr>
          <w:rFonts w:ascii="Times New Roman" w:hAnsi="Times New Roman"/>
          <w:sz w:val="24"/>
          <w:szCs w:val="24"/>
        </w:rPr>
      </w:pPr>
      <w:r w:rsidRPr="00CD3996">
        <w:rPr>
          <w:rFonts w:ascii="Times New Roman" w:hAnsi="Times New Roman"/>
          <w:sz w:val="24"/>
          <w:szCs w:val="24"/>
        </w:rPr>
        <w:t xml:space="preserve">50 </w:t>
      </w:r>
      <w:r w:rsidRPr="00CD3996">
        <w:rPr>
          <w:rFonts w:ascii="Times New Roman" w:hAnsi="Times New Roman"/>
          <w:sz w:val="24"/>
          <w:szCs w:val="24"/>
        </w:rPr>
        <w:tab/>
        <w:t>Improved below target</w:t>
      </w:r>
    </w:p>
    <w:p w14:paraId="50205052" w14:textId="77777777" w:rsidR="00CE3E0C" w:rsidRPr="00CD3996" w:rsidRDefault="00CE3E0C" w:rsidP="00CE3E0C">
      <w:pPr>
        <w:pStyle w:val="ListParagraph"/>
        <w:numPr>
          <w:ilvl w:val="0"/>
          <w:numId w:val="7"/>
        </w:numPr>
        <w:spacing w:after="0" w:line="240" w:lineRule="auto"/>
        <w:rPr>
          <w:rFonts w:ascii="Times New Roman" w:hAnsi="Times New Roman"/>
          <w:sz w:val="24"/>
          <w:szCs w:val="24"/>
        </w:rPr>
      </w:pPr>
      <w:r w:rsidRPr="00CD3996">
        <w:rPr>
          <w:rFonts w:ascii="Times New Roman" w:hAnsi="Times New Roman"/>
          <w:sz w:val="24"/>
          <w:szCs w:val="24"/>
        </w:rPr>
        <w:t>25</w:t>
      </w:r>
      <w:r w:rsidRPr="00CD3996">
        <w:rPr>
          <w:rFonts w:ascii="Times New Roman" w:hAnsi="Times New Roman"/>
          <w:sz w:val="24"/>
          <w:szCs w:val="24"/>
        </w:rPr>
        <w:tab/>
        <w:t>No change</w:t>
      </w:r>
    </w:p>
    <w:p w14:paraId="50205053" w14:textId="77777777" w:rsidR="00CE3E0C" w:rsidRPr="00CD3996" w:rsidRDefault="00CE3E0C" w:rsidP="00CE3E0C">
      <w:pPr>
        <w:pStyle w:val="ListParagraph"/>
        <w:numPr>
          <w:ilvl w:val="0"/>
          <w:numId w:val="7"/>
        </w:numPr>
        <w:spacing w:after="0" w:line="240" w:lineRule="auto"/>
        <w:rPr>
          <w:rFonts w:ascii="Times New Roman" w:hAnsi="Times New Roman"/>
          <w:sz w:val="24"/>
          <w:szCs w:val="24"/>
        </w:rPr>
      </w:pPr>
      <w:r w:rsidRPr="00CD3996">
        <w:rPr>
          <w:rFonts w:ascii="Times New Roman" w:hAnsi="Times New Roman"/>
          <w:sz w:val="24"/>
          <w:szCs w:val="24"/>
        </w:rPr>
        <w:t>0</w:t>
      </w:r>
      <w:r w:rsidRPr="00CD3996">
        <w:rPr>
          <w:rFonts w:ascii="Times New Roman" w:hAnsi="Times New Roman"/>
          <w:sz w:val="24"/>
          <w:szCs w:val="24"/>
        </w:rPr>
        <w:tab/>
        <w:t>Declined</w:t>
      </w:r>
    </w:p>
    <w:p w14:paraId="50205054" w14:textId="77777777" w:rsidR="00CE3E0C" w:rsidRPr="0086129E" w:rsidRDefault="00CE3E0C" w:rsidP="00281A21">
      <w:pPr>
        <w:pStyle w:val="PlainText"/>
        <w:rPr>
          <w:rFonts w:ascii="Times New Roman" w:hAnsi="Times New Roman"/>
          <w:bCs/>
          <w:sz w:val="16"/>
          <w:szCs w:val="16"/>
        </w:rPr>
      </w:pPr>
    </w:p>
    <w:p w14:paraId="50205056" w14:textId="577E11A4" w:rsidR="007D0348" w:rsidRDefault="007D0348" w:rsidP="007D0348">
      <w:pPr>
        <w:rPr>
          <w:bCs/>
        </w:rPr>
      </w:pPr>
    </w:p>
    <w:p w14:paraId="1A77A908" w14:textId="7B9C5352" w:rsidR="006318A0" w:rsidRDefault="006318A0" w:rsidP="007D0348">
      <w:pPr>
        <w:rPr>
          <w:bCs/>
        </w:rPr>
      </w:pPr>
    </w:p>
    <w:p w14:paraId="37357291" w14:textId="77777777" w:rsidR="006318A0" w:rsidRDefault="006318A0" w:rsidP="007D0348">
      <w:pPr>
        <w:rPr>
          <w:bCs/>
        </w:rPr>
      </w:pPr>
    </w:p>
    <w:p w14:paraId="50205057" w14:textId="77777777" w:rsidR="00BF6F92" w:rsidRDefault="00BF6F92" w:rsidP="007D0348">
      <w:pPr>
        <w:rPr>
          <w:bCs/>
        </w:rPr>
      </w:pPr>
    </w:p>
    <w:p w14:paraId="50205058" w14:textId="77777777" w:rsidR="005275FF" w:rsidRDefault="005275FF" w:rsidP="00281A21">
      <w:pPr>
        <w:pStyle w:val="PlainText"/>
        <w:rPr>
          <w:rFonts w:ascii="Times New Roman" w:hAnsi="Times New Roman"/>
          <w:bCs/>
          <w:sz w:val="24"/>
          <w:szCs w:val="24"/>
        </w:rPr>
      </w:pPr>
    </w:p>
    <w:p w14:paraId="50205059" w14:textId="77777777" w:rsidR="005275FF" w:rsidRDefault="005275FF" w:rsidP="00281A21">
      <w:pPr>
        <w:pStyle w:val="PlainText"/>
        <w:rPr>
          <w:rFonts w:ascii="Times New Roman" w:hAnsi="Times New Roman"/>
          <w:bCs/>
          <w:sz w:val="24"/>
          <w:szCs w:val="24"/>
        </w:rPr>
      </w:pPr>
    </w:p>
    <w:p w14:paraId="5020505A" w14:textId="77777777" w:rsidR="005275FF" w:rsidRDefault="005275FF" w:rsidP="00281A21">
      <w:pPr>
        <w:pStyle w:val="PlainText"/>
        <w:rPr>
          <w:rFonts w:ascii="Times New Roman" w:hAnsi="Times New Roman"/>
          <w:bCs/>
          <w:sz w:val="24"/>
          <w:szCs w:val="24"/>
        </w:rPr>
      </w:pPr>
    </w:p>
    <w:p w14:paraId="5020505B" w14:textId="77777777" w:rsidR="005275FF" w:rsidRDefault="005275FF" w:rsidP="00281A21">
      <w:pPr>
        <w:pStyle w:val="PlainText"/>
        <w:rPr>
          <w:rFonts w:ascii="Times New Roman" w:hAnsi="Times New Roman"/>
          <w:bCs/>
          <w:sz w:val="24"/>
          <w:szCs w:val="24"/>
        </w:rPr>
      </w:pPr>
    </w:p>
    <w:p w14:paraId="5020505C" w14:textId="77777777" w:rsidR="005275FF" w:rsidRDefault="005275FF" w:rsidP="00281A21">
      <w:pPr>
        <w:pStyle w:val="PlainText"/>
        <w:rPr>
          <w:rFonts w:ascii="Times New Roman" w:hAnsi="Times New Roman"/>
          <w:bCs/>
          <w:sz w:val="24"/>
          <w:szCs w:val="24"/>
        </w:rPr>
      </w:pPr>
    </w:p>
    <w:p w14:paraId="5020505D" w14:textId="77777777" w:rsidR="005275FF" w:rsidRDefault="005275FF" w:rsidP="00281A21">
      <w:pPr>
        <w:pStyle w:val="PlainText"/>
        <w:rPr>
          <w:rFonts w:ascii="Times New Roman" w:hAnsi="Times New Roman"/>
          <w:bCs/>
          <w:sz w:val="24"/>
          <w:szCs w:val="24"/>
        </w:rPr>
      </w:pPr>
    </w:p>
    <w:p w14:paraId="5020505E" w14:textId="77777777" w:rsidR="005275FF" w:rsidRDefault="005275FF" w:rsidP="00281A21">
      <w:pPr>
        <w:pStyle w:val="PlainText"/>
        <w:rPr>
          <w:rFonts w:ascii="Times New Roman" w:hAnsi="Times New Roman"/>
          <w:bCs/>
          <w:sz w:val="24"/>
          <w:szCs w:val="24"/>
        </w:rPr>
      </w:pPr>
    </w:p>
    <w:p w14:paraId="5020505F" w14:textId="77777777" w:rsidR="005275FF" w:rsidRDefault="005275FF" w:rsidP="00281A21">
      <w:pPr>
        <w:pStyle w:val="PlainText"/>
        <w:rPr>
          <w:rFonts w:ascii="Times New Roman" w:hAnsi="Times New Roman"/>
          <w:bCs/>
          <w:sz w:val="24"/>
          <w:szCs w:val="24"/>
        </w:rPr>
      </w:pPr>
    </w:p>
    <w:p w14:paraId="50205060" w14:textId="77777777" w:rsidR="005275FF" w:rsidRDefault="005275FF" w:rsidP="00281A21">
      <w:pPr>
        <w:pStyle w:val="PlainText"/>
        <w:rPr>
          <w:rFonts w:ascii="Times New Roman" w:hAnsi="Times New Roman"/>
          <w:bCs/>
          <w:sz w:val="24"/>
          <w:szCs w:val="24"/>
        </w:rPr>
      </w:pPr>
    </w:p>
    <w:p w14:paraId="50205061" w14:textId="77777777" w:rsidR="00A46ABF" w:rsidRDefault="0019165F" w:rsidP="00281A21">
      <w:pPr>
        <w:pStyle w:val="PlainText"/>
        <w:rPr>
          <w:rFonts w:ascii="Times New Roman" w:hAnsi="Times New Roman"/>
          <w:bCs/>
          <w:sz w:val="24"/>
          <w:szCs w:val="24"/>
        </w:rPr>
      </w:pPr>
      <w:r>
        <w:rPr>
          <w:rFonts w:ascii="Times New Roman" w:hAnsi="Times New Roman"/>
          <w:bCs/>
          <w:sz w:val="24"/>
          <w:szCs w:val="24"/>
        </w:rPr>
        <w:lastRenderedPageBreak/>
        <w:t>REFERENCES</w:t>
      </w:r>
    </w:p>
    <w:p w14:paraId="50205062" w14:textId="77777777" w:rsidR="00A46ABF" w:rsidRDefault="00A46ABF" w:rsidP="00281A21">
      <w:pPr>
        <w:pStyle w:val="PlainText"/>
        <w:rPr>
          <w:rFonts w:ascii="Times New Roman" w:hAnsi="Times New Roman"/>
          <w:bCs/>
          <w:sz w:val="24"/>
          <w:szCs w:val="24"/>
        </w:rPr>
      </w:pPr>
    </w:p>
    <w:p w14:paraId="50205063" w14:textId="77777777" w:rsidR="005F3F1A" w:rsidRDefault="005F3F1A" w:rsidP="005F3F1A">
      <w:pPr>
        <w:contextualSpacing/>
      </w:pPr>
      <w:proofErr w:type="spellStart"/>
      <w:r>
        <w:t>Betebenner</w:t>
      </w:r>
      <w:proofErr w:type="spellEnd"/>
      <w:r>
        <w:t xml:space="preserve">, D.  (Winter 2009).  Norm- and criterion-referenced student growth.  </w:t>
      </w:r>
      <w:r w:rsidRPr="003E22AE">
        <w:rPr>
          <w:i/>
        </w:rPr>
        <w:t>Educational Measurement: Issues and Practice, 28</w:t>
      </w:r>
      <w:r>
        <w:t>:4, pp. 42-51.</w:t>
      </w:r>
    </w:p>
    <w:p w14:paraId="50205064" w14:textId="77777777" w:rsidR="005F3F1A" w:rsidRDefault="005F3F1A" w:rsidP="005F3F1A">
      <w:pPr>
        <w:contextualSpacing/>
      </w:pPr>
    </w:p>
    <w:p w14:paraId="50205065" w14:textId="77777777" w:rsidR="005F3F1A" w:rsidRDefault="005F3F1A" w:rsidP="005F3F1A">
      <w:pPr>
        <w:contextualSpacing/>
      </w:pPr>
      <w:proofErr w:type="spellStart"/>
      <w:r>
        <w:t>Betebenner</w:t>
      </w:r>
      <w:proofErr w:type="spellEnd"/>
      <w:r>
        <w:t xml:space="preserve">, D.  (2012).  </w:t>
      </w:r>
      <w:r w:rsidRPr="00402EFC">
        <w:rPr>
          <w:i/>
        </w:rPr>
        <w:t>An Overview of the Student Growth Percentile Methodology</w:t>
      </w:r>
      <w:r>
        <w:t xml:space="preserve">.  Presentation given to the MCAS Technical Assistance Committee, October 25, 2012.  </w:t>
      </w:r>
    </w:p>
    <w:p w14:paraId="50205066" w14:textId="77777777" w:rsidR="00C70731" w:rsidRDefault="00C70731" w:rsidP="005F3F1A">
      <w:pPr>
        <w:contextualSpacing/>
      </w:pPr>
    </w:p>
    <w:p w14:paraId="50205067" w14:textId="77777777" w:rsidR="00C70731" w:rsidRDefault="00C70731" w:rsidP="005F3F1A">
      <w:pPr>
        <w:contextualSpacing/>
      </w:pPr>
      <w:proofErr w:type="spellStart"/>
      <w:r>
        <w:t>Betebenner</w:t>
      </w:r>
      <w:proofErr w:type="spellEnd"/>
      <w:r>
        <w:t>, B., Diaz-</w:t>
      </w:r>
      <w:proofErr w:type="spellStart"/>
      <w:r>
        <w:t>Bilello</w:t>
      </w:r>
      <w:proofErr w:type="spellEnd"/>
      <w:r>
        <w:t xml:space="preserve">, E., Marion, S., &amp; </w:t>
      </w:r>
      <w:proofErr w:type="spellStart"/>
      <w:r>
        <w:t>Domaleski</w:t>
      </w:r>
      <w:proofErr w:type="spellEnd"/>
      <w:r>
        <w:t xml:space="preserve">, C.  (2014, October 27).  </w:t>
      </w:r>
      <w:r w:rsidRPr="00C70731">
        <w:rPr>
          <w:i/>
        </w:rPr>
        <w:t>Using Student Growth Percentiles During the Assessment Transition: Technical, Practical, and Political Implications</w:t>
      </w:r>
      <w:r>
        <w:t xml:space="preserve">.  Council of Chief State School Officers.  Retrieved from: </w:t>
      </w:r>
      <w:r w:rsidRPr="00C70731">
        <w:t>http://www.nciea.org/publication_PDFs/Using%20Student%20Growth%20Percentiles%20During%20the%20Assessment%20Transition%20SM14.pdf</w:t>
      </w:r>
    </w:p>
    <w:p w14:paraId="50205068" w14:textId="77777777" w:rsidR="00241E78" w:rsidRDefault="00241E78" w:rsidP="005F3F1A">
      <w:pPr>
        <w:pStyle w:val="PlainText"/>
        <w:contextualSpacing/>
        <w:rPr>
          <w:rFonts w:ascii="Times New Roman" w:hAnsi="Times New Roman"/>
          <w:bCs/>
          <w:sz w:val="24"/>
          <w:szCs w:val="24"/>
        </w:rPr>
      </w:pPr>
    </w:p>
    <w:p w14:paraId="50205069" w14:textId="77777777" w:rsidR="005F3F1A" w:rsidRDefault="005F3F1A" w:rsidP="00281A21">
      <w:pPr>
        <w:pStyle w:val="PlainText"/>
        <w:rPr>
          <w:rFonts w:ascii="Times New Roman" w:hAnsi="Times New Roman"/>
          <w:bCs/>
          <w:sz w:val="24"/>
          <w:szCs w:val="24"/>
        </w:rPr>
      </w:pPr>
      <w:r>
        <w:rPr>
          <w:rFonts w:ascii="Times New Roman" w:hAnsi="Times New Roman"/>
          <w:bCs/>
          <w:sz w:val="24"/>
          <w:szCs w:val="24"/>
        </w:rPr>
        <w:t xml:space="preserve">Cook, G. H., </w:t>
      </w:r>
      <w:proofErr w:type="spellStart"/>
      <w:r>
        <w:rPr>
          <w:rFonts w:ascii="Times New Roman" w:hAnsi="Times New Roman"/>
          <w:bCs/>
          <w:sz w:val="24"/>
          <w:szCs w:val="24"/>
        </w:rPr>
        <w:t>Boals</w:t>
      </w:r>
      <w:proofErr w:type="spellEnd"/>
      <w:r>
        <w:rPr>
          <w:rFonts w:ascii="Times New Roman" w:hAnsi="Times New Roman"/>
          <w:bCs/>
          <w:sz w:val="24"/>
          <w:szCs w:val="24"/>
        </w:rPr>
        <w:t xml:space="preserve">, T., </w:t>
      </w:r>
      <w:proofErr w:type="spellStart"/>
      <w:r>
        <w:rPr>
          <w:rFonts w:ascii="Times New Roman" w:hAnsi="Times New Roman"/>
          <w:bCs/>
          <w:sz w:val="24"/>
          <w:szCs w:val="24"/>
        </w:rPr>
        <w:t>Wilmes</w:t>
      </w:r>
      <w:proofErr w:type="spellEnd"/>
      <w:r>
        <w:rPr>
          <w:rFonts w:ascii="Times New Roman" w:hAnsi="Times New Roman"/>
          <w:bCs/>
          <w:sz w:val="24"/>
          <w:szCs w:val="24"/>
        </w:rPr>
        <w:t xml:space="preserve">, C., &amp; Santos, M.  (2008).  </w:t>
      </w:r>
      <w:r w:rsidRPr="005F3F1A">
        <w:rPr>
          <w:rFonts w:ascii="Times New Roman" w:hAnsi="Times New Roman"/>
          <w:bCs/>
          <w:i/>
          <w:sz w:val="24"/>
          <w:szCs w:val="24"/>
        </w:rPr>
        <w:t>Issues in the Development of Annual Measurable Achievement Objectives for WIDA Consortium States.</w:t>
      </w:r>
      <w:r>
        <w:rPr>
          <w:rFonts w:ascii="Times New Roman" w:hAnsi="Times New Roman"/>
          <w:bCs/>
          <w:sz w:val="24"/>
          <w:szCs w:val="24"/>
        </w:rPr>
        <w:t xml:space="preserve">  Wisconsin Center for Education Research, Working Paper No. 2008-2.  Retrieved from: </w:t>
      </w:r>
      <w:hyperlink r:id="rId13" w:history="1">
        <w:r w:rsidR="0087076F" w:rsidRPr="006F08DD">
          <w:rPr>
            <w:rStyle w:val="Hyperlink"/>
            <w:rFonts w:ascii="Times New Roman" w:hAnsi="Times New Roman"/>
            <w:bCs/>
            <w:sz w:val="24"/>
            <w:szCs w:val="24"/>
          </w:rPr>
          <w:t>http://www.wcer.wisc.edu/publications/workingpapers/working_paper_no_2008_02.pdf</w:t>
        </w:r>
      </w:hyperlink>
    </w:p>
    <w:p w14:paraId="5020506A" w14:textId="77777777" w:rsidR="005F3F1A" w:rsidRDefault="005F3F1A" w:rsidP="00281A21">
      <w:pPr>
        <w:pStyle w:val="PlainText"/>
        <w:rPr>
          <w:rFonts w:ascii="Times New Roman" w:hAnsi="Times New Roman"/>
          <w:bCs/>
          <w:sz w:val="24"/>
          <w:szCs w:val="24"/>
        </w:rPr>
      </w:pPr>
    </w:p>
    <w:p w14:paraId="5020506B" w14:textId="77777777" w:rsidR="00A46ABF" w:rsidRPr="00A46ABF" w:rsidRDefault="00A46ABF" w:rsidP="00281A21">
      <w:pPr>
        <w:pStyle w:val="PlainText"/>
        <w:rPr>
          <w:rFonts w:ascii="Times New Roman" w:hAnsi="Times New Roman"/>
          <w:bCs/>
          <w:sz w:val="24"/>
          <w:szCs w:val="24"/>
        </w:rPr>
      </w:pPr>
      <w:r>
        <w:rPr>
          <w:rFonts w:ascii="Times New Roman" w:hAnsi="Times New Roman"/>
          <w:bCs/>
          <w:sz w:val="24"/>
          <w:szCs w:val="24"/>
        </w:rPr>
        <w:t xml:space="preserve">Cook, G., </w:t>
      </w:r>
      <w:proofErr w:type="spellStart"/>
      <w:r>
        <w:rPr>
          <w:rFonts w:ascii="Times New Roman" w:hAnsi="Times New Roman"/>
          <w:bCs/>
          <w:sz w:val="24"/>
          <w:szCs w:val="24"/>
        </w:rPr>
        <w:t>Linquanti</w:t>
      </w:r>
      <w:proofErr w:type="spellEnd"/>
      <w:r>
        <w:rPr>
          <w:rFonts w:ascii="Times New Roman" w:hAnsi="Times New Roman"/>
          <w:bCs/>
          <w:sz w:val="24"/>
          <w:szCs w:val="24"/>
        </w:rPr>
        <w:t xml:space="preserve">, R., </w:t>
      </w:r>
      <w:proofErr w:type="spellStart"/>
      <w:r>
        <w:rPr>
          <w:rFonts w:ascii="Times New Roman" w:hAnsi="Times New Roman"/>
          <w:bCs/>
          <w:sz w:val="24"/>
          <w:szCs w:val="24"/>
        </w:rPr>
        <w:t>Chinen</w:t>
      </w:r>
      <w:proofErr w:type="spellEnd"/>
      <w:r>
        <w:rPr>
          <w:rFonts w:ascii="Times New Roman" w:hAnsi="Times New Roman"/>
          <w:bCs/>
          <w:sz w:val="24"/>
          <w:szCs w:val="24"/>
        </w:rPr>
        <w:t xml:space="preserve"> M., &amp; Jung, H.  (2012).  </w:t>
      </w:r>
      <w:r w:rsidRPr="00A46ABF">
        <w:rPr>
          <w:rFonts w:ascii="Times New Roman" w:hAnsi="Times New Roman"/>
          <w:bCs/>
          <w:i/>
          <w:sz w:val="24"/>
          <w:szCs w:val="24"/>
        </w:rPr>
        <w:t>National Evaluation of Title III Implementation Supplemental Report: Exploring Approaches to Setting English Language Proficiency Performance Criteria and Monitoring English Learner Progress</w:t>
      </w:r>
      <w:r>
        <w:rPr>
          <w:rFonts w:ascii="Times New Roman" w:hAnsi="Times New Roman"/>
          <w:bCs/>
          <w:sz w:val="24"/>
          <w:szCs w:val="24"/>
        </w:rPr>
        <w:t xml:space="preserve">.  Manuscript Submitted </w:t>
      </w:r>
      <w:proofErr w:type="gramStart"/>
      <w:r>
        <w:rPr>
          <w:rFonts w:ascii="Times New Roman" w:hAnsi="Times New Roman"/>
          <w:bCs/>
          <w:sz w:val="24"/>
          <w:szCs w:val="24"/>
        </w:rPr>
        <w:t>to:</w:t>
      </w:r>
      <w:proofErr w:type="gramEnd"/>
      <w:r>
        <w:rPr>
          <w:rFonts w:ascii="Times New Roman" w:hAnsi="Times New Roman"/>
          <w:bCs/>
          <w:sz w:val="24"/>
          <w:szCs w:val="24"/>
        </w:rPr>
        <w:t xml:space="preserve"> U.S. Department of Education, Office of Planning, Evaluation, and Policy Development.  Retrieved from: </w:t>
      </w:r>
      <w:hyperlink r:id="rId14" w:history="1">
        <w:r w:rsidR="0087076F" w:rsidRPr="006F08DD">
          <w:rPr>
            <w:rStyle w:val="Hyperlink"/>
            <w:rFonts w:ascii="Times New Roman" w:hAnsi="Times New Roman"/>
            <w:bCs/>
            <w:sz w:val="24"/>
            <w:szCs w:val="24"/>
          </w:rPr>
          <w:t>http://www.air.org/sites/default/files/downloads/report/Final_version_for_Release_Title_III_Exploratory_Report_020112_630pm_0.pdf</w:t>
        </w:r>
      </w:hyperlink>
    </w:p>
    <w:p w14:paraId="5020506C" w14:textId="77777777" w:rsidR="000755B6" w:rsidRDefault="000755B6" w:rsidP="00281A21">
      <w:pPr>
        <w:pStyle w:val="PlainText"/>
        <w:rPr>
          <w:rFonts w:ascii="Times New Roman" w:hAnsi="Times New Roman"/>
          <w:bCs/>
          <w:sz w:val="24"/>
          <w:szCs w:val="24"/>
        </w:rPr>
      </w:pPr>
    </w:p>
    <w:p w14:paraId="5020506D" w14:textId="77777777" w:rsidR="000755B6" w:rsidRDefault="00E121BC" w:rsidP="00281A21">
      <w:pPr>
        <w:pStyle w:val="PlainText"/>
        <w:rPr>
          <w:rFonts w:ascii="Times New Roman" w:hAnsi="Times New Roman"/>
          <w:bCs/>
          <w:sz w:val="24"/>
          <w:szCs w:val="24"/>
        </w:rPr>
      </w:pPr>
      <w:r>
        <w:rPr>
          <w:rFonts w:ascii="Times New Roman" w:hAnsi="Times New Roman"/>
          <w:bCs/>
          <w:sz w:val="24"/>
          <w:szCs w:val="24"/>
        </w:rPr>
        <w:t xml:space="preserve">Cook, G. H. (2015). </w:t>
      </w:r>
      <w:r w:rsidRPr="00C403FB">
        <w:rPr>
          <w:rFonts w:ascii="Times New Roman" w:hAnsi="Times New Roman"/>
          <w:bCs/>
          <w:i/>
          <w:sz w:val="24"/>
          <w:szCs w:val="24"/>
        </w:rPr>
        <w:t>What Does Alt ACCESS Growth Look Like Across WIDA?</w:t>
      </w:r>
      <w:r>
        <w:rPr>
          <w:rFonts w:ascii="Times New Roman" w:hAnsi="Times New Roman"/>
          <w:bCs/>
          <w:sz w:val="24"/>
          <w:szCs w:val="24"/>
        </w:rPr>
        <w:t xml:space="preserve"> Research presented at </w:t>
      </w:r>
      <w:r w:rsidR="005F3F1A">
        <w:rPr>
          <w:rFonts w:ascii="Times New Roman" w:hAnsi="Times New Roman"/>
          <w:bCs/>
          <w:sz w:val="24"/>
          <w:szCs w:val="24"/>
        </w:rPr>
        <w:t>WIDA Consortium</w:t>
      </w:r>
      <w:r>
        <w:rPr>
          <w:rFonts w:ascii="Times New Roman" w:hAnsi="Times New Roman"/>
          <w:bCs/>
          <w:sz w:val="24"/>
          <w:szCs w:val="24"/>
        </w:rPr>
        <w:t xml:space="preserve"> Board Meeting (in press). </w:t>
      </w:r>
      <w:r w:rsidR="005F3F1A">
        <w:rPr>
          <w:rFonts w:ascii="Times New Roman" w:hAnsi="Times New Roman"/>
          <w:bCs/>
          <w:sz w:val="24"/>
          <w:szCs w:val="24"/>
        </w:rPr>
        <w:t xml:space="preserve">The Board of Regents of the University of Wisconsin System, on behalf of the WIDA Consortium.  </w:t>
      </w:r>
    </w:p>
    <w:p w14:paraId="5020506E" w14:textId="77777777" w:rsidR="005D7394" w:rsidRDefault="005D7394" w:rsidP="00281A21">
      <w:pPr>
        <w:pStyle w:val="PlainText"/>
        <w:rPr>
          <w:rFonts w:ascii="Times New Roman" w:hAnsi="Times New Roman"/>
          <w:bCs/>
          <w:sz w:val="24"/>
          <w:szCs w:val="24"/>
        </w:rPr>
      </w:pPr>
    </w:p>
    <w:p w14:paraId="5020506F" w14:textId="77777777" w:rsidR="008D5CAB" w:rsidRDefault="008D5CAB" w:rsidP="00706514">
      <w:pPr>
        <w:rPr>
          <w:b/>
          <w:bCs/>
          <w:sz w:val="28"/>
          <w:szCs w:val="22"/>
        </w:rPr>
      </w:pPr>
    </w:p>
    <w:p w14:paraId="50205070" w14:textId="77777777" w:rsidR="00AD47BE" w:rsidRDefault="00AD47BE" w:rsidP="00706514">
      <w:pPr>
        <w:rPr>
          <w:b/>
          <w:bCs/>
          <w:sz w:val="28"/>
          <w:szCs w:val="22"/>
        </w:rPr>
      </w:pPr>
    </w:p>
    <w:p w14:paraId="50205071" w14:textId="77777777" w:rsidR="00AD47BE" w:rsidRDefault="00AD47BE" w:rsidP="00706514">
      <w:pPr>
        <w:rPr>
          <w:b/>
          <w:bCs/>
          <w:sz w:val="28"/>
          <w:szCs w:val="22"/>
        </w:rPr>
      </w:pPr>
    </w:p>
    <w:p w14:paraId="50205072" w14:textId="77777777" w:rsidR="00AD47BE" w:rsidRDefault="00AD47BE" w:rsidP="00706514">
      <w:pPr>
        <w:rPr>
          <w:b/>
          <w:bCs/>
          <w:sz w:val="28"/>
          <w:szCs w:val="22"/>
        </w:rPr>
      </w:pPr>
    </w:p>
    <w:p w14:paraId="50205073" w14:textId="77777777" w:rsidR="00AD47BE" w:rsidRDefault="00AD47BE" w:rsidP="00706514">
      <w:pPr>
        <w:rPr>
          <w:b/>
          <w:bCs/>
          <w:sz w:val="28"/>
          <w:szCs w:val="22"/>
        </w:rPr>
      </w:pPr>
    </w:p>
    <w:p w14:paraId="50205074" w14:textId="77777777" w:rsidR="00AD47BE" w:rsidRDefault="00AD47BE" w:rsidP="00706514">
      <w:pPr>
        <w:rPr>
          <w:b/>
          <w:bCs/>
          <w:sz w:val="28"/>
          <w:szCs w:val="22"/>
        </w:rPr>
      </w:pPr>
    </w:p>
    <w:p w14:paraId="50205075" w14:textId="77777777" w:rsidR="00AD47BE" w:rsidRDefault="00AD47BE" w:rsidP="00706514">
      <w:pPr>
        <w:rPr>
          <w:b/>
          <w:bCs/>
          <w:sz w:val="28"/>
          <w:szCs w:val="22"/>
        </w:rPr>
      </w:pPr>
    </w:p>
    <w:p w14:paraId="50205076" w14:textId="77777777" w:rsidR="00AD47BE" w:rsidRDefault="00AD47BE" w:rsidP="00706514">
      <w:pPr>
        <w:rPr>
          <w:b/>
          <w:bCs/>
          <w:sz w:val="28"/>
          <w:szCs w:val="22"/>
        </w:rPr>
      </w:pPr>
    </w:p>
    <w:p w14:paraId="50205077" w14:textId="77777777" w:rsidR="00AD47BE" w:rsidRDefault="00AD47BE" w:rsidP="00706514">
      <w:pPr>
        <w:rPr>
          <w:b/>
          <w:bCs/>
          <w:sz w:val="28"/>
          <w:szCs w:val="22"/>
        </w:rPr>
      </w:pPr>
    </w:p>
    <w:p w14:paraId="50205078" w14:textId="77777777" w:rsidR="00AD47BE" w:rsidRDefault="00AD47BE" w:rsidP="00706514">
      <w:pPr>
        <w:rPr>
          <w:b/>
          <w:bCs/>
          <w:sz w:val="28"/>
          <w:szCs w:val="22"/>
        </w:rPr>
      </w:pPr>
    </w:p>
    <w:p w14:paraId="50205079" w14:textId="77777777" w:rsidR="00AD47BE" w:rsidRDefault="00AD47BE" w:rsidP="00706514">
      <w:pPr>
        <w:rPr>
          <w:b/>
          <w:bCs/>
          <w:sz w:val="28"/>
          <w:szCs w:val="22"/>
        </w:rPr>
      </w:pPr>
    </w:p>
    <w:p w14:paraId="5020507A" w14:textId="77777777" w:rsidR="00AD47BE" w:rsidRDefault="00AD47BE" w:rsidP="00706514">
      <w:pPr>
        <w:rPr>
          <w:b/>
          <w:bCs/>
          <w:sz w:val="28"/>
          <w:szCs w:val="22"/>
        </w:rPr>
      </w:pPr>
    </w:p>
    <w:p w14:paraId="5020507B" w14:textId="77777777" w:rsidR="00AD47BE" w:rsidRDefault="00AD47BE" w:rsidP="00706514">
      <w:pPr>
        <w:rPr>
          <w:b/>
          <w:bCs/>
          <w:sz w:val="28"/>
          <w:szCs w:val="22"/>
        </w:rPr>
      </w:pPr>
    </w:p>
    <w:p w14:paraId="5020507C" w14:textId="77777777" w:rsidR="00AD47BE" w:rsidRDefault="00AD47BE" w:rsidP="00706514">
      <w:pPr>
        <w:rPr>
          <w:b/>
          <w:bCs/>
          <w:sz w:val="28"/>
          <w:szCs w:val="22"/>
        </w:rPr>
      </w:pPr>
    </w:p>
    <w:p w14:paraId="5020507D" w14:textId="77777777" w:rsidR="00706514" w:rsidRPr="00CF0CA7" w:rsidRDefault="00706514" w:rsidP="00706514">
      <w:pPr>
        <w:rPr>
          <w:b/>
          <w:bCs/>
          <w:sz w:val="28"/>
          <w:szCs w:val="22"/>
        </w:rPr>
      </w:pPr>
      <w:r>
        <w:rPr>
          <w:b/>
          <w:bCs/>
          <w:sz w:val="28"/>
          <w:szCs w:val="22"/>
        </w:rPr>
        <w:lastRenderedPageBreak/>
        <w:t>APPENDIX A</w:t>
      </w:r>
    </w:p>
    <w:p w14:paraId="5020507E" w14:textId="77777777" w:rsidR="00706514" w:rsidRDefault="00706514" w:rsidP="00706514">
      <w:pPr>
        <w:rPr>
          <w:bCs/>
          <w:sz w:val="22"/>
          <w:szCs w:val="22"/>
        </w:rPr>
      </w:pPr>
      <w:r>
        <w:rPr>
          <w:bCs/>
          <w:szCs w:val="22"/>
        </w:rPr>
        <w:t xml:space="preserve">79 </w:t>
      </w:r>
      <w:r w:rsidR="004516C6">
        <w:rPr>
          <w:bCs/>
          <w:szCs w:val="22"/>
        </w:rPr>
        <w:t>Massachusetts d</w:t>
      </w:r>
      <w:r w:rsidRPr="00D03692">
        <w:rPr>
          <w:bCs/>
          <w:szCs w:val="22"/>
        </w:rPr>
        <w:t xml:space="preserve">istricts </w:t>
      </w:r>
      <w:r w:rsidR="004516C6">
        <w:rPr>
          <w:bCs/>
          <w:szCs w:val="22"/>
        </w:rPr>
        <w:t>r</w:t>
      </w:r>
      <w:r w:rsidRPr="00D03692">
        <w:rPr>
          <w:bCs/>
          <w:szCs w:val="22"/>
        </w:rPr>
        <w:t xml:space="preserve">eporting at </w:t>
      </w:r>
      <w:r w:rsidR="004516C6">
        <w:rPr>
          <w:bCs/>
          <w:szCs w:val="22"/>
        </w:rPr>
        <w:t>l</w:t>
      </w:r>
      <w:r w:rsidRPr="00D03692">
        <w:rPr>
          <w:bCs/>
          <w:szCs w:val="22"/>
        </w:rPr>
        <w:t>east 100 E</w:t>
      </w:r>
      <w:r w:rsidR="004516C6">
        <w:rPr>
          <w:bCs/>
          <w:szCs w:val="22"/>
        </w:rPr>
        <w:t>nglish Language Learners in 2014</w:t>
      </w:r>
      <w:r w:rsidRPr="00D03692">
        <w:rPr>
          <w:bCs/>
          <w:szCs w:val="22"/>
        </w:rPr>
        <w:t>:</w:t>
      </w:r>
    </w:p>
    <w:p w14:paraId="5020507F" w14:textId="77777777" w:rsidR="00706514" w:rsidRDefault="00706514" w:rsidP="002779E1">
      <w:pPr>
        <w:rPr>
          <w:bCs/>
          <w:sz w:val="22"/>
          <w:szCs w:val="22"/>
        </w:rPr>
      </w:pPr>
    </w:p>
    <w:tbl>
      <w:tblPr>
        <w:tblW w:w="9288" w:type="dxa"/>
        <w:tblLook w:val="04A0" w:firstRow="1" w:lastRow="0" w:firstColumn="1" w:lastColumn="0" w:noHBand="0" w:noVBand="1"/>
      </w:tblPr>
      <w:tblGrid>
        <w:gridCol w:w="3355"/>
        <w:gridCol w:w="5933"/>
      </w:tblGrid>
      <w:tr w:rsidR="00706514" w:rsidRPr="00D03692" w14:paraId="50205082" w14:textId="77777777" w:rsidTr="00133FCF">
        <w:trPr>
          <w:trHeight w:val="240"/>
        </w:trPr>
        <w:tc>
          <w:tcPr>
            <w:tcW w:w="3355" w:type="dxa"/>
            <w:shd w:val="clear" w:color="auto" w:fill="auto"/>
            <w:noWrap/>
            <w:vAlign w:val="bottom"/>
            <w:hideMark/>
          </w:tcPr>
          <w:p w14:paraId="50205080" w14:textId="77777777" w:rsidR="00706514" w:rsidRPr="00D03692" w:rsidRDefault="00706514" w:rsidP="00BC5C42">
            <w:r w:rsidRPr="00D03692">
              <w:t>Acton</w:t>
            </w:r>
          </w:p>
        </w:tc>
        <w:tc>
          <w:tcPr>
            <w:tcW w:w="5933" w:type="dxa"/>
            <w:shd w:val="clear" w:color="auto" w:fill="auto"/>
            <w:vAlign w:val="bottom"/>
          </w:tcPr>
          <w:p w14:paraId="50205081" w14:textId="77777777" w:rsidR="00706514" w:rsidRPr="00D03692" w:rsidRDefault="00706514" w:rsidP="00BC5C42">
            <w:r w:rsidRPr="00D03692">
              <w:t>Norwood</w:t>
            </w:r>
          </w:p>
        </w:tc>
      </w:tr>
      <w:tr w:rsidR="00706514" w:rsidRPr="00D03692" w14:paraId="50205085" w14:textId="77777777" w:rsidTr="00133FCF">
        <w:trPr>
          <w:trHeight w:val="240"/>
        </w:trPr>
        <w:tc>
          <w:tcPr>
            <w:tcW w:w="3355" w:type="dxa"/>
            <w:shd w:val="clear" w:color="auto" w:fill="auto"/>
            <w:noWrap/>
            <w:vAlign w:val="bottom"/>
            <w:hideMark/>
          </w:tcPr>
          <w:p w14:paraId="50205083" w14:textId="77777777" w:rsidR="00706514" w:rsidRPr="00D03692" w:rsidRDefault="00706514" w:rsidP="00BC5C42">
            <w:r w:rsidRPr="00D03692">
              <w:t>Agawam</w:t>
            </w:r>
          </w:p>
        </w:tc>
        <w:tc>
          <w:tcPr>
            <w:tcW w:w="5933" w:type="dxa"/>
            <w:shd w:val="clear" w:color="auto" w:fill="auto"/>
            <w:vAlign w:val="bottom"/>
          </w:tcPr>
          <w:p w14:paraId="50205084" w14:textId="77777777" w:rsidR="00706514" w:rsidRPr="00D03692" w:rsidRDefault="00706514" w:rsidP="00BC5C42">
            <w:r w:rsidRPr="00D03692">
              <w:t>Peabody</w:t>
            </w:r>
          </w:p>
        </w:tc>
      </w:tr>
      <w:tr w:rsidR="00706514" w:rsidRPr="00D03692" w14:paraId="50205088" w14:textId="77777777" w:rsidTr="00133FCF">
        <w:trPr>
          <w:trHeight w:val="240"/>
        </w:trPr>
        <w:tc>
          <w:tcPr>
            <w:tcW w:w="3355" w:type="dxa"/>
            <w:shd w:val="clear" w:color="auto" w:fill="auto"/>
            <w:noWrap/>
            <w:vAlign w:val="bottom"/>
            <w:hideMark/>
          </w:tcPr>
          <w:p w14:paraId="50205086" w14:textId="77777777" w:rsidR="00706514" w:rsidRPr="00D03692" w:rsidRDefault="00706514" w:rsidP="00BC5C42">
            <w:r w:rsidRPr="00D03692">
              <w:t>Amherst</w:t>
            </w:r>
          </w:p>
        </w:tc>
        <w:tc>
          <w:tcPr>
            <w:tcW w:w="5933" w:type="dxa"/>
            <w:shd w:val="clear" w:color="auto" w:fill="auto"/>
            <w:vAlign w:val="bottom"/>
          </w:tcPr>
          <w:p w14:paraId="50205087" w14:textId="77777777" w:rsidR="00706514" w:rsidRPr="00D03692" w:rsidRDefault="00706514" w:rsidP="00BC5C42">
            <w:r w:rsidRPr="00D03692">
              <w:t>Quincy</w:t>
            </w:r>
          </w:p>
        </w:tc>
      </w:tr>
      <w:tr w:rsidR="00706514" w:rsidRPr="00D03692" w14:paraId="5020508B" w14:textId="77777777" w:rsidTr="00133FCF">
        <w:trPr>
          <w:trHeight w:val="240"/>
        </w:trPr>
        <w:tc>
          <w:tcPr>
            <w:tcW w:w="3355" w:type="dxa"/>
            <w:shd w:val="clear" w:color="auto" w:fill="auto"/>
            <w:noWrap/>
            <w:vAlign w:val="bottom"/>
            <w:hideMark/>
          </w:tcPr>
          <w:p w14:paraId="50205089" w14:textId="77777777" w:rsidR="00706514" w:rsidRPr="00D03692" w:rsidRDefault="00706514" w:rsidP="00BC5C42">
            <w:r w:rsidRPr="00D03692">
              <w:t>Andover</w:t>
            </w:r>
          </w:p>
        </w:tc>
        <w:tc>
          <w:tcPr>
            <w:tcW w:w="5933" w:type="dxa"/>
            <w:shd w:val="clear" w:color="auto" w:fill="auto"/>
            <w:vAlign w:val="bottom"/>
          </w:tcPr>
          <w:p w14:paraId="5020508A" w14:textId="77777777" w:rsidR="00706514" w:rsidRPr="00D03692" w:rsidRDefault="00706514" w:rsidP="00BC5C42">
            <w:r w:rsidRPr="00D03692">
              <w:t>Randolph</w:t>
            </w:r>
          </w:p>
        </w:tc>
      </w:tr>
      <w:tr w:rsidR="00706514" w:rsidRPr="00D03692" w14:paraId="5020508E" w14:textId="77777777" w:rsidTr="00133FCF">
        <w:trPr>
          <w:trHeight w:val="240"/>
        </w:trPr>
        <w:tc>
          <w:tcPr>
            <w:tcW w:w="3355" w:type="dxa"/>
            <w:shd w:val="clear" w:color="auto" w:fill="auto"/>
            <w:noWrap/>
            <w:vAlign w:val="bottom"/>
            <w:hideMark/>
          </w:tcPr>
          <w:p w14:paraId="5020508C" w14:textId="77777777" w:rsidR="00706514" w:rsidRPr="00D03692" w:rsidRDefault="00706514" w:rsidP="00BC5C42">
            <w:r w:rsidRPr="00D03692">
              <w:t>Arlington</w:t>
            </w:r>
          </w:p>
        </w:tc>
        <w:tc>
          <w:tcPr>
            <w:tcW w:w="5933" w:type="dxa"/>
            <w:shd w:val="clear" w:color="auto" w:fill="auto"/>
            <w:vAlign w:val="bottom"/>
          </w:tcPr>
          <w:p w14:paraId="5020508D" w14:textId="77777777" w:rsidR="00706514" w:rsidRPr="00D03692" w:rsidRDefault="00706514" w:rsidP="00BC5C42">
            <w:r w:rsidRPr="00D03692">
              <w:t>Revere</w:t>
            </w:r>
          </w:p>
        </w:tc>
      </w:tr>
      <w:tr w:rsidR="00706514" w:rsidRPr="00D03692" w14:paraId="50205091" w14:textId="77777777" w:rsidTr="00133FCF">
        <w:trPr>
          <w:trHeight w:val="240"/>
        </w:trPr>
        <w:tc>
          <w:tcPr>
            <w:tcW w:w="3355" w:type="dxa"/>
            <w:shd w:val="clear" w:color="auto" w:fill="auto"/>
            <w:noWrap/>
            <w:vAlign w:val="bottom"/>
            <w:hideMark/>
          </w:tcPr>
          <w:p w14:paraId="5020508F" w14:textId="77777777" w:rsidR="00706514" w:rsidRPr="00D03692" w:rsidRDefault="00706514" w:rsidP="00BC5C42">
            <w:r w:rsidRPr="00D03692">
              <w:t>Attleboro</w:t>
            </w:r>
          </w:p>
        </w:tc>
        <w:tc>
          <w:tcPr>
            <w:tcW w:w="5933" w:type="dxa"/>
            <w:shd w:val="clear" w:color="auto" w:fill="auto"/>
            <w:vAlign w:val="bottom"/>
          </w:tcPr>
          <w:p w14:paraId="50205090" w14:textId="77777777" w:rsidR="00706514" w:rsidRPr="00D03692" w:rsidRDefault="00706514" w:rsidP="00BC5C42">
            <w:r w:rsidRPr="00D03692">
              <w:t>Salem</w:t>
            </w:r>
          </w:p>
        </w:tc>
      </w:tr>
      <w:tr w:rsidR="00706514" w:rsidRPr="00D03692" w14:paraId="50205094" w14:textId="77777777" w:rsidTr="00133FCF">
        <w:trPr>
          <w:trHeight w:val="240"/>
        </w:trPr>
        <w:tc>
          <w:tcPr>
            <w:tcW w:w="3355" w:type="dxa"/>
            <w:shd w:val="clear" w:color="auto" w:fill="auto"/>
            <w:noWrap/>
            <w:vAlign w:val="bottom"/>
            <w:hideMark/>
          </w:tcPr>
          <w:p w14:paraId="50205092" w14:textId="77777777" w:rsidR="00706514" w:rsidRPr="00D03692" w:rsidRDefault="00706514" w:rsidP="00BC5C42">
            <w:r w:rsidRPr="00D03692">
              <w:t>Barnstable</w:t>
            </w:r>
          </w:p>
        </w:tc>
        <w:tc>
          <w:tcPr>
            <w:tcW w:w="5933" w:type="dxa"/>
            <w:shd w:val="clear" w:color="auto" w:fill="auto"/>
            <w:vAlign w:val="bottom"/>
          </w:tcPr>
          <w:p w14:paraId="50205093" w14:textId="77777777" w:rsidR="00706514" w:rsidRPr="00D03692" w:rsidRDefault="00706514" w:rsidP="00BC5C42">
            <w:r w:rsidRPr="00D03692">
              <w:t>Shrewsbury</w:t>
            </w:r>
          </w:p>
        </w:tc>
      </w:tr>
      <w:tr w:rsidR="00706514" w:rsidRPr="00D03692" w14:paraId="50205097" w14:textId="77777777" w:rsidTr="00133FCF">
        <w:trPr>
          <w:trHeight w:val="240"/>
        </w:trPr>
        <w:tc>
          <w:tcPr>
            <w:tcW w:w="3355" w:type="dxa"/>
            <w:shd w:val="clear" w:color="auto" w:fill="auto"/>
            <w:noWrap/>
            <w:vAlign w:val="bottom"/>
            <w:hideMark/>
          </w:tcPr>
          <w:p w14:paraId="50205095" w14:textId="77777777" w:rsidR="00706514" w:rsidRPr="00D03692" w:rsidRDefault="00706514" w:rsidP="00BC5C42">
            <w:r w:rsidRPr="00D03692">
              <w:t>Belmont</w:t>
            </w:r>
          </w:p>
        </w:tc>
        <w:tc>
          <w:tcPr>
            <w:tcW w:w="5933" w:type="dxa"/>
            <w:shd w:val="clear" w:color="auto" w:fill="auto"/>
            <w:vAlign w:val="bottom"/>
          </w:tcPr>
          <w:p w14:paraId="50205096" w14:textId="77777777" w:rsidR="00706514" w:rsidRPr="00D03692" w:rsidRDefault="00706514" w:rsidP="00BC5C42">
            <w:r w:rsidRPr="00D03692">
              <w:t>Somerville</w:t>
            </w:r>
          </w:p>
        </w:tc>
      </w:tr>
      <w:tr w:rsidR="00706514" w:rsidRPr="00D03692" w14:paraId="5020509A" w14:textId="77777777" w:rsidTr="00133FCF">
        <w:trPr>
          <w:trHeight w:val="240"/>
        </w:trPr>
        <w:tc>
          <w:tcPr>
            <w:tcW w:w="3355" w:type="dxa"/>
            <w:shd w:val="clear" w:color="auto" w:fill="auto"/>
            <w:noWrap/>
            <w:vAlign w:val="bottom"/>
            <w:hideMark/>
          </w:tcPr>
          <w:p w14:paraId="50205098" w14:textId="77777777" w:rsidR="00706514" w:rsidRPr="00D03692" w:rsidRDefault="00706514" w:rsidP="00BC5C42">
            <w:r w:rsidRPr="00D03692">
              <w:t>Boston</w:t>
            </w:r>
          </w:p>
        </w:tc>
        <w:tc>
          <w:tcPr>
            <w:tcW w:w="5933" w:type="dxa"/>
            <w:shd w:val="clear" w:color="auto" w:fill="auto"/>
            <w:vAlign w:val="bottom"/>
          </w:tcPr>
          <w:p w14:paraId="50205099" w14:textId="77777777" w:rsidR="00706514" w:rsidRPr="00D03692" w:rsidRDefault="00706514" w:rsidP="00BC5C42">
            <w:r w:rsidRPr="00D03692">
              <w:t>Southbridge</w:t>
            </w:r>
          </w:p>
        </w:tc>
      </w:tr>
      <w:tr w:rsidR="00706514" w:rsidRPr="00D03692" w14:paraId="5020509D" w14:textId="77777777" w:rsidTr="00133FCF">
        <w:trPr>
          <w:trHeight w:val="240"/>
        </w:trPr>
        <w:tc>
          <w:tcPr>
            <w:tcW w:w="3355" w:type="dxa"/>
            <w:shd w:val="clear" w:color="auto" w:fill="auto"/>
            <w:noWrap/>
            <w:vAlign w:val="bottom"/>
            <w:hideMark/>
          </w:tcPr>
          <w:p w14:paraId="5020509B" w14:textId="77777777" w:rsidR="00706514" w:rsidRPr="00D03692" w:rsidRDefault="00706514" w:rsidP="00BC5C42">
            <w:r w:rsidRPr="00D03692">
              <w:t>Braintree</w:t>
            </w:r>
          </w:p>
        </w:tc>
        <w:tc>
          <w:tcPr>
            <w:tcW w:w="5933" w:type="dxa"/>
            <w:shd w:val="clear" w:color="auto" w:fill="auto"/>
            <w:vAlign w:val="bottom"/>
          </w:tcPr>
          <w:p w14:paraId="5020509C" w14:textId="77777777" w:rsidR="00706514" w:rsidRPr="00D03692" w:rsidRDefault="00706514" w:rsidP="00BC5C42">
            <w:r w:rsidRPr="00D03692">
              <w:t>Springfield</w:t>
            </w:r>
          </w:p>
        </w:tc>
      </w:tr>
      <w:tr w:rsidR="00706514" w:rsidRPr="00D03692" w14:paraId="502050A0" w14:textId="77777777" w:rsidTr="00133FCF">
        <w:trPr>
          <w:trHeight w:val="240"/>
        </w:trPr>
        <w:tc>
          <w:tcPr>
            <w:tcW w:w="3355" w:type="dxa"/>
            <w:shd w:val="clear" w:color="auto" w:fill="auto"/>
            <w:noWrap/>
            <w:vAlign w:val="bottom"/>
            <w:hideMark/>
          </w:tcPr>
          <w:p w14:paraId="5020509E" w14:textId="77777777" w:rsidR="00706514" w:rsidRPr="00D03692" w:rsidRDefault="00706514" w:rsidP="00BC5C42">
            <w:r w:rsidRPr="00D03692">
              <w:t>Brockton</w:t>
            </w:r>
          </w:p>
        </w:tc>
        <w:tc>
          <w:tcPr>
            <w:tcW w:w="5933" w:type="dxa"/>
            <w:shd w:val="clear" w:color="auto" w:fill="auto"/>
            <w:vAlign w:val="bottom"/>
          </w:tcPr>
          <w:p w14:paraId="5020509F" w14:textId="77777777" w:rsidR="00706514" w:rsidRPr="00D03692" w:rsidRDefault="00706514" w:rsidP="00BC5C42">
            <w:r w:rsidRPr="00D03692">
              <w:t>Stoughton</w:t>
            </w:r>
          </w:p>
        </w:tc>
      </w:tr>
      <w:tr w:rsidR="00706514" w:rsidRPr="00D03692" w14:paraId="502050A3" w14:textId="77777777" w:rsidTr="00133FCF">
        <w:trPr>
          <w:trHeight w:val="240"/>
        </w:trPr>
        <w:tc>
          <w:tcPr>
            <w:tcW w:w="3355" w:type="dxa"/>
            <w:shd w:val="clear" w:color="auto" w:fill="auto"/>
            <w:noWrap/>
            <w:vAlign w:val="bottom"/>
            <w:hideMark/>
          </w:tcPr>
          <w:p w14:paraId="502050A1" w14:textId="77777777" w:rsidR="00706514" w:rsidRPr="00D03692" w:rsidRDefault="00706514" w:rsidP="00BC5C42">
            <w:r w:rsidRPr="00D03692">
              <w:t>Brookline</w:t>
            </w:r>
          </w:p>
        </w:tc>
        <w:tc>
          <w:tcPr>
            <w:tcW w:w="5933" w:type="dxa"/>
            <w:shd w:val="clear" w:color="auto" w:fill="auto"/>
            <w:vAlign w:val="bottom"/>
          </w:tcPr>
          <w:p w14:paraId="502050A2" w14:textId="77777777" w:rsidR="00706514" w:rsidRPr="00D03692" w:rsidRDefault="00706514" w:rsidP="00BC5C42">
            <w:r w:rsidRPr="00D03692">
              <w:t>Taunton</w:t>
            </w:r>
          </w:p>
        </w:tc>
      </w:tr>
      <w:tr w:rsidR="00706514" w:rsidRPr="00D03692" w14:paraId="502050A6" w14:textId="77777777" w:rsidTr="00133FCF">
        <w:trPr>
          <w:trHeight w:val="240"/>
        </w:trPr>
        <w:tc>
          <w:tcPr>
            <w:tcW w:w="3355" w:type="dxa"/>
            <w:shd w:val="clear" w:color="auto" w:fill="auto"/>
            <w:noWrap/>
            <w:vAlign w:val="bottom"/>
            <w:hideMark/>
          </w:tcPr>
          <w:p w14:paraId="502050A4" w14:textId="77777777" w:rsidR="00706514" w:rsidRPr="00D03692" w:rsidRDefault="00706514" w:rsidP="00BC5C42">
            <w:r w:rsidRPr="00D03692">
              <w:t>Cambridge</w:t>
            </w:r>
          </w:p>
        </w:tc>
        <w:tc>
          <w:tcPr>
            <w:tcW w:w="5933" w:type="dxa"/>
            <w:shd w:val="clear" w:color="auto" w:fill="auto"/>
            <w:vAlign w:val="bottom"/>
          </w:tcPr>
          <w:p w14:paraId="502050A5" w14:textId="77777777" w:rsidR="00706514" w:rsidRPr="00D03692" w:rsidRDefault="00706514" w:rsidP="00BC5C42">
            <w:r w:rsidRPr="00D03692">
              <w:t>Waltham</w:t>
            </w:r>
          </w:p>
        </w:tc>
      </w:tr>
      <w:tr w:rsidR="00706514" w:rsidRPr="00D03692" w14:paraId="502050A9" w14:textId="77777777" w:rsidTr="00133FCF">
        <w:trPr>
          <w:trHeight w:val="240"/>
        </w:trPr>
        <w:tc>
          <w:tcPr>
            <w:tcW w:w="3355" w:type="dxa"/>
            <w:shd w:val="clear" w:color="auto" w:fill="auto"/>
            <w:noWrap/>
            <w:vAlign w:val="bottom"/>
            <w:hideMark/>
          </w:tcPr>
          <w:p w14:paraId="502050A7" w14:textId="77777777" w:rsidR="00706514" w:rsidRPr="00D03692" w:rsidRDefault="00706514" w:rsidP="00BC5C42">
            <w:r w:rsidRPr="00D03692">
              <w:t>Chelmsford</w:t>
            </w:r>
          </w:p>
        </w:tc>
        <w:tc>
          <w:tcPr>
            <w:tcW w:w="5933" w:type="dxa"/>
            <w:shd w:val="clear" w:color="auto" w:fill="auto"/>
            <w:vAlign w:val="bottom"/>
          </w:tcPr>
          <w:p w14:paraId="502050A8" w14:textId="77777777" w:rsidR="00706514" w:rsidRPr="00D03692" w:rsidRDefault="00706514" w:rsidP="00BC5C42">
            <w:r w:rsidRPr="00D03692">
              <w:t>Watertown</w:t>
            </w:r>
          </w:p>
        </w:tc>
      </w:tr>
      <w:tr w:rsidR="00706514" w:rsidRPr="00D03692" w14:paraId="502050AC" w14:textId="77777777" w:rsidTr="00133FCF">
        <w:trPr>
          <w:trHeight w:val="240"/>
        </w:trPr>
        <w:tc>
          <w:tcPr>
            <w:tcW w:w="3355" w:type="dxa"/>
            <w:shd w:val="clear" w:color="auto" w:fill="auto"/>
            <w:noWrap/>
            <w:vAlign w:val="bottom"/>
            <w:hideMark/>
          </w:tcPr>
          <w:p w14:paraId="502050AA" w14:textId="77777777" w:rsidR="00706514" w:rsidRPr="00D03692" w:rsidRDefault="00706514" w:rsidP="00BC5C42">
            <w:r w:rsidRPr="00D03692">
              <w:t>Chelsea</w:t>
            </w:r>
          </w:p>
        </w:tc>
        <w:tc>
          <w:tcPr>
            <w:tcW w:w="5933" w:type="dxa"/>
            <w:shd w:val="clear" w:color="auto" w:fill="auto"/>
            <w:vAlign w:val="bottom"/>
          </w:tcPr>
          <w:p w14:paraId="502050AB" w14:textId="77777777" w:rsidR="00706514" w:rsidRPr="00D03692" w:rsidRDefault="00706514" w:rsidP="00BC5C42">
            <w:r w:rsidRPr="00D03692">
              <w:t>Westborough</w:t>
            </w:r>
          </w:p>
        </w:tc>
      </w:tr>
      <w:tr w:rsidR="00706514" w:rsidRPr="00D03692" w14:paraId="502050AF" w14:textId="77777777" w:rsidTr="00133FCF">
        <w:trPr>
          <w:trHeight w:val="240"/>
        </w:trPr>
        <w:tc>
          <w:tcPr>
            <w:tcW w:w="3355" w:type="dxa"/>
            <w:shd w:val="clear" w:color="auto" w:fill="auto"/>
            <w:noWrap/>
            <w:vAlign w:val="bottom"/>
            <w:hideMark/>
          </w:tcPr>
          <w:p w14:paraId="502050AD" w14:textId="77777777" w:rsidR="00706514" w:rsidRPr="00D03692" w:rsidRDefault="00706514" w:rsidP="00BC5C42">
            <w:r w:rsidRPr="00D03692">
              <w:t>Chicopee</w:t>
            </w:r>
          </w:p>
        </w:tc>
        <w:tc>
          <w:tcPr>
            <w:tcW w:w="5933" w:type="dxa"/>
            <w:shd w:val="clear" w:color="auto" w:fill="auto"/>
            <w:vAlign w:val="bottom"/>
          </w:tcPr>
          <w:p w14:paraId="502050AE" w14:textId="77777777" w:rsidR="00706514" w:rsidRPr="00D03692" w:rsidRDefault="00706514" w:rsidP="00BC5C42">
            <w:r w:rsidRPr="00D03692">
              <w:t>Westfield</w:t>
            </w:r>
          </w:p>
        </w:tc>
      </w:tr>
      <w:tr w:rsidR="00706514" w:rsidRPr="00D03692" w14:paraId="502050B2" w14:textId="77777777" w:rsidTr="00133FCF">
        <w:trPr>
          <w:trHeight w:val="240"/>
        </w:trPr>
        <w:tc>
          <w:tcPr>
            <w:tcW w:w="3355" w:type="dxa"/>
            <w:shd w:val="clear" w:color="auto" w:fill="auto"/>
            <w:noWrap/>
            <w:vAlign w:val="bottom"/>
            <w:hideMark/>
          </w:tcPr>
          <w:p w14:paraId="502050B0" w14:textId="77777777" w:rsidR="00706514" w:rsidRPr="00D03692" w:rsidRDefault="00706514" w:rsidP="00BC5C42">
            <w:r w:rsidRPr="00D03692">
              <w:t>Clinton</w:t>
            </w:r>
          </w:p>
        </w:tc>
        <w:tc>
          <w:tcPr>
            <w:tcW w:w="5933" w:type="dxa"/>
            <w:shd w:val="clear" w:color="auto" w:fill="auto"/>
            <w:vAlign w:val="bottom"/>
          </w:tcPr>
          <w:p w14:paraId="502050B1" w14:textId="77777777" w:rsidR="00706514" w:rsidRPr="00D03692" w:rsidRDefault="00706514" w:rsidP="00BC5C42">
            <w:r w:rsidRPr="00D03692">
              <w:t>West Springfield</w:t>
            </w:r>
          </w:p>
        </w:tc>
      </w:tr>
      <w:tr w:rsidR="00706514" w:rsidRPr="00D03692" w14:paraId="502050B5" w14:textId="77777777" w:rsidTr="00133FCF">
        <w:trPr>
          <w:trHeight w:val="240"/>
        </w:trPr>
        <w:tc>
          <w:tcPr>
            <w:tcW w:w="3355" w:type="dxa"/>
            <w:shd w:val="clear" w:color="auto" w:fill="auto"/>
            <w:noWrap/>
            <w:vAlign w:val="bottom"/>
            <w:hideMark/>
          </w:tcPr>
          <w:p w14:paraId="502050B3" w14:textId="77777777" w:rsidR="00706514" w:rsidRPr="00D03692" w:rsidRDefault="00706514" w:rsidP="00BC5C42">
            <w:r w:rsidRPr="00D03692">
              <w:t>Dedham</w:t>
            </w:r>
          </w:p>
        </w:tc>
        <w:tc>
          <w:tcPr>
            <w:tcW w:w="5933" w:type="dxa"/>
            <w:shd w:val="clear" w:color="auto" w:fill="auto"/>
            <w:vAlign w:val="bottom"/>
          </w:tcPr>
          <w:p w14:paraId="502050B4" w14:textId="77777777" w:rsidR="00706514" w:rsidRPr="00D03692" w:rsidRDefault="00706514" w:rsidP="00BC5C42">
            <w:r w:rsidRPr="00D03692">
              <w:t>Weymouth</w:t>
            </w:r>
          </w:p>
        </w:tc>
      </w:tr>
      <w:tr w:rsidR="00706514" w:rsidRPr="00D03692" w14:paraId="502050B8" w14:textId="77777777" w:rsidTr="00133FCF">
        <w:trPr>
          <w:trHeight w:val="240"/>
        </w:trPr>
        <w:tc>
          <w:tcPr>
            <w:tcW w:w="3355" w:type="dxa"/>
            <w:shd w:val="clear" w:color="auto" w:fill="auto"/>
            <w:noWrap/>
            <w:vAlign w:val="bottom"/>
            <w:hideMark/>
          </w:tcPr>
          <w:p w14:paraId="502050B6" w14:textId="77777777" w:rsidR="00706514" w:rsidRPr="00D03692" w:rsidRDefault="00706514" w:rsidP="00BC5C42">
            <w:r w:rsidRPr="00D03692">
              <w:t>Everett</w:t>
            </w:r>
          </w:p>
        </w:tc>
        <w:tc>
          <w:tcPr>
            <w:tcW w:w="5933" w:type="dxa"/>
            <w:shd w:val="clear" w:color="auto" w:fill="auto"/>
            <w:vAlign w:val="bottom"/>
          </w:tcPr>
          <w:p w14:paraId="502050B7" w14:textId="77777777" w:rsidR="00706514" w:rsidRPr="00D03692" w:rsidRDefault="00706514" w:rsidP="00BC5C42">
            <w:r w:rsidRPr="00D03692">
              <w:t>Winchester</w:t>
            </w:r>
          </w:p>
        </w:tc>
      </w:tr>
      <w:tr w:rsidR="00706514" w:rsidRPr="00D03692" w14:paraId="502050BB" w14:textId="77777777" w:rsidTr="00133FCF">
        <w:trPr>
          <w:trHeight w:val="240"/>
        </w:trPr>
        <w:tc>
          <w:tcPr>
            <w:tcW w:w="3355" w:type="dxa"/>
            <w:shd w:val="clear" w:color="auto" w:fill="auto"/>
            <w:noWrap/>
            <w:vAlign w:val="bottom"/>
            <w:hideMark/>
          </w:tcPr>
          <w:p w14:paraId="502050B9" w14:textId="77777777" w:rsidR="00706514" w:rsidRPr="00D03692" w:rsidRDefault="00706514" w:rsidP="00BC5C42">
            <w:r w:rsidRPr="00D03692">
              <w:t>Fall River</w:t>
            </w:r>
          </w:p>
        </w:tc>
        <w:tc>
          <w:tcPr>
            <w:tcW w:w="5933" w:type="dxa"/>
            <w:shd w:val="clear" w:color="auto" w:fill="auto"/>
            <w:vAlign w:val="bottom"/>
          </w:tcPr>
          <w:p w14:paraId="502050BA" w14:textId="77777777" w:rsidR="00706514" w:rsidRPr="00D03692" w:rsidRDefault="00706514" w:rsidP="00BC5C42">
            <w:r w:rsidRPr="00D03692">
              <w:t>Winthrop</w:t>
            </w:r>
          </w:p>
        </w:tc>
      </w:tr>
      <w:tr w:rsidR="00706514" w:rsidRPr="00D03692" w14:paraId="502050BE" w14:textId="77777777" w:rsidTr="00133FCF">
        <w:trPr>
          <w:trHeight w:val="240"/>
        </w:trPr>
        <w:tc>
          <w:tcPr>
            <w:tcW w:w="3355" w:type="dxa"/>
            <w:shd w:val="clear" w:color="auto" w:fill="auto"/>
            <w:noWrap/>
            <w:vAlign w:val="bottom"/>
            <w:hideMark/>
          </w:tcPr>
          <w:p w14:paraId="502050BC" w14:textId="77777777" w:rsidR="00706514" w:rsidRPr="00D03692" w:rsidRDefault="00706514" w:rsidP="00BC5C42">
            <w:r w:rsidRPr="00D03692">
              <w:t>Fitchburg</w:t>
            </w:r>
          </w:p>
        </w:tc>
        <w:tc>
          <w:tcPr>
            <w:tcW w:w="5933" w:type="dxa"/>
            <w:shd w:val="clear" w:color="auto" w:fill="auto"/>
            <w:vAlign w:val="bottom"/>
          </w:tcPr>
          <w:p w14:paraId="502050BD" w14:textId="77777777" w:rsidR="00706514" w:rsidRPr="00D03692" w:rsidRDefault="00706514" w:rsidP="00BC5C42">
            <w:r w:rsidRPr="00D03692">
              <w:t>Woburn</w:t>
            </w:r>
          </w:p>
        </w:tc>
      </w:tr>
      <w:tr w:rsidR="00706514" w:rsidRPr="00D03692" w14:paraId="502050C1" w14:textId="77777777" w:rsidTr="00133FCF">
        <w:trPr>
          <w:trHeight w:val="240"/>
        </w:trPr>
        <w:tc>
          <w:tcPr>
            <w:tcW w:w="3355" w:type="dxa"/>
            <w:shd w:val="clear" w:color="auto" w:fill="auto"/>
            <w:noWrap/>
            <w:vAlign w:val="bottom"/>
            <w:hideMark/>
          </w:tcPr>
          <w:p w14:paraId="502050BF" w14:textId="77777777" w:rsidR="00706514" w:rsidRPr="00D03692" w:rsidRDefault="00706514" w:rsidP="00BC5C42">
            <w:r w:rsidRPr="00D03692">
              <w:t>Framingham</w:t>
            </w:r>
          </w:p>
        </w:tc>
        <w:tc>
          <w:tcPr>
            <w:tcW w:w="5933" w:type="dxa"/>
            <w:shd w:val="clear" w:color="auto" w:fill="auto"/>
            <w:vAlign w:val="bottom"/>
          </w:tcPr>
          <w:p w14:paraId="502050C0" w14:textId="77777777" w:rsidR="00706514" w:rsidRPr="00D03692" w:rsidRDefault="00706514" w:rsidP="00BC5C42">
            <w:r w:rsidRPr="00D03692">
              <w:t>Worcester</w:t>
            </w:r>
          </w:p>
        </w:tc>
      </w:tr>
      <w:tr w:rsidR="00706514" w:rsidRPr="00D03692" w14:paraId="502050C4" w14:textId="77777777" w:rsidTr="00133FCF">
        <w:trPr>
          <w:trHeight w:val="240"/>
        </w:trPr>
        <w:tc>
          <w:tcPr>
            <w:tcW w:w="3355" w:type="dxa"/>
            <w:shd w:val="clear" w:color="auto" w:fill="auto"/>
            <w:noWrap/>
            <w:vAlign w:val="bottom"/>
            <w:hideMark/>
          </w:tcPr>
          <w:p w14:paraId="502050C2" w14:textId="77777777" w:rsidR="00706514" w:rsidRPr="00D03692" w:rsidRDefault="00706514" w:rsidP="00BC5C42">
            <w:r w:rsidRPr="00D03692">
              <w:t>Gardner</w:t>
            </w:r>
          </w:p>
        </w:tc>
        <w:tc>
          <w:tcPr>
            <w:tcW w:w="5933" w:type="dxa"/>
            <w:shd w:val="clear" w:color="auto" w:fill="auto"/>
            <w:vAlign w:val="bottom"/>
          </w:tcPr>
          <w:p w14:paraId="502050C3" w14:textId="77777777" w:rsidR="00706514" w:rsidRPr="00D03692" w:rsidRDefault="00706514" w:rsidP="00133FCF">
            <w:r w:rsidRPr="00D03692">
              <w:t xml:space="preserve">Lawrence Family Development Charter </w:t>
            </w:r>
          </w:p>
        </w:tc>
      </w:tr>
      <w:tr w:rsidR="00706514" w:rsidRPr="00D03692" w14:paraId="502050C7" w14:textId="77777777" w:rsidTr="00133FCF">
        <w:trPr>
          <w:trHeight w:val="240"/>
        </w:trPr>
        <w:tc>
          <w:tcPr>
            <w:tcW w:w="3355" w:type="dxa"/>
            <w:shd w:val="clear" w:color="auto" w:fill="auto"/>
            <w:noWrap/>
            <w:vAlign w:val="bottom"/>
            <w:hideMark/>
          </w:tcPr>
          <w:p w14:paraId="502050C5" w14:textId="77777777" w:rsidR="00706514" w:rsidRPr="00D03692" w:rsidRDefault="00706514" w:rsidP="00BC5C42">
            <w:r w:rsidRPr="00D03692">
              <w:t>Haverhill</w:t>
            </w:r>
          </w:p>
        </w:tc>
        <w:tc>
          <w:tcPr>
            <w:tcW w:w="5933" w:type="dxa"/>
            <w:shd w:val="clear" w:color="auto" w:fill="auto"/>
            <w:vAlign w:val="bottom"/>
          </w:tcPr>
          <w:p w14:paraId="502050C6" w14:textId="77777777" w:rsidR="00706514" w:rsidRPr="00D03692" w:rsidRDefault="00706514" w:rsidP="00133FCF">
            <w:r w:rsidRPr="00D03692">
              <w:t xml:space="preserve">Lowell Community Charter </w:t>
            </w:r>
          </w:p>
        </w:tc>
      </w:tr>
      <w:tr w:rsidR="00706514" w:rsidRPr="00D03692" w14:paraId="502050CA" w14:textId="77777777" w:rsidTr="00133FCF">
        <w:trPr>
          <w:trHeight w:val="240"/>
        </w:trPr>
        <w:tc>
          <w:tcPr>
            <w:tcW w:w="3355" w:type="dxa"/>
            <w:shd w:val="clear" w:color="auto" w:fill="auto"/>
            <w:noWrap/>
            <w:vAlign w:val="bottom"/>
            <w:hideMark/>
          </w:tcPr>
          <w:p w14:paraId="502050C8" w14:textId="77777777" w:rsidR="00706514" w:rsidRPr="00D03692" w:rsidRDefault="00706514" w:rsidP="00BC5C42">
            <w:r w:rsidRPr="00D03692">
              <w:t>Holyoke</w:t>
            </w:r>
          </w:p>
        </w:tc>
        <w:tc>
          <w:tcPr>
            <w:tcW w:w="5933" w:type="dxa"/>
            <w:shd w:val="clear" w:color="auto" w:fill="auto"/>
            <w:vAlign w:val="bottom"/>
          </w:tcPr>
          <w:p w14:paraId="502050C9" w14:textId="77777777" w:rsidR="00706514" w:rsidRPr="00D03692" w:rsidRDefault="00706514" w:rsidP="00133FCF">
            <w:r w:rsidRPr="00D03692">
              <w:t xml:space="preserve">MATCH Community Day Charter </w:t>
            </w:r>
          </w:p>
        </w:tc>
      </w:tr>
      <w:tr w:rsidR="00706514" w:rsidRPr="00D03692" w14:paraId="502050CD" w14:textId="77777777" w:rsidTr="00133FCF">
        <w:trPr>
          <w:trHeight w:val="240"/>
        </w:trPr>
        <w:tc>
          <w:tcPr>
            <w:tcW w:w="3355" w:type="dxa"/>
            <w:shd w:val="clear" w:color="auto" w:fill="auto"/>
            <w:noWrap/>
            <w:vAlign w:val="bottom"/>
            <w:hideMark/>
          </w:tcPr>
          <w:p w14:paraId="502050CB" w14:textId="77777777" w:rsidR="00706514" w:rsidRPr="00D03692" w:rsidRDefault="00706514" w:rsidP="00BC5C42">
            <w:r w:rsidRPr="00D03692">
              <w:t>Hudson</w:t>
            </w:r>
          </w:p>
        </w:tc>
        <w:tc>
          <w:tcPr>
            <w:tcW w:w="5933" w:type="dxa"/>
            <w:shd w:val="clear" w:color="auto" w:fill="auto"/>
            <w:vAlign w:val="bottom"/>
          </w:tcPr>
          <w:p w14:paraId="502050CC" w14:textId="77777777" w:rsidR="00706514" w:rsidRPr="00D03692" w:rsidRDefault="00706514" w:rsidP="00133FCF">
            <w:r w:rsidRPr="00D03692">
              <w:t xml:space="preserve">Seven Hills Charter </w:t>
            </w:r>
          </w:p>
        </w:tc>
      </w:tr>
      <w:tr w:rsidR="00706514" w:rsidRPr="00D03692" w14:paraId="502050D0" w14:textId="77777777" w:rsidTr="00133FCF">
        <w:trPr>
          <w:trHeight w:val="240"/>
        </w:trPr>
        <w:tc>
          <w:tcPr>
            <w:tcW w:w="3355" w:type="dxa"/>
            <w:shd w:val="clear" w:color="auto" w:fill="auto"/>
            <w:noWrap/>
            <w:vAlign w:val="bottom"/>
            <w:hideMark/>
          </w:tcPr>
          <w:p w14:paraId="502050CE" w14:textId="77777777" w:rsidR="00706514" w:rsidRPr="00D03692" w:rsidRDefault="00706514" w:rsidP="00BC5C42">
            <w:r w:rsidRPr="00D03692">
              <w:t>Lawrence</w:t>
            </w:r>
          </w:p>
        </w:tc>
        <w:tc>
          <w:tcPr>
            <w:tcW w:w="5933" w:type="dxa"/>
            <w:shd w:val="clear" w:color="auto" w:fill="auto"/>
            <w:vAlign w:val="bottom"/>
          </w:tcPr>
          <w:p w14:paraId="502050CF" w14:textId="77777777" w:rsidR="00706514" w:rsidRPr="00D03692" w:rsidRDefault="00706514" w:rsidP="00133FCF">
            <w:r w:rsidRPr="00D03692">
              <w:t xml:space="preserve">Prospect Hill Academy Charter </w:t>
            </w:r>
          </w:p>
        </w:tc>
      </w:tr>
      <w:tr w:rsidR="00706514" w:rsidRPr="00D03692" w14:paraId="502050D3" w14:textId="77777777" w:rsidTr="00133FCF">
        <w:trPr>
          <w:trHeight w:val="240"/>
        </w:trPr>
        <w:tc>
          <w:tcPr>
            <w:tcW w:w="3355" w:type="dxa"/>
            <w:shd w:val="clear" w:color="auto" w:fill="auto"/>
            <w:noWrap/>
            <w:vAlign w:val="bottom"/>
            <w:hideMark/>
          </w:tcPr>
          <w:p w14:paraId="502050D1" w14:textId="77777777" w:rsidR="00706514" w:rsidRPr="00D03692" w:rsidRDefault="00706514" w:rsidP="00BC5C42">
            <w:r w:rsidRPr="00D03692">
              <w:t>Leominster</w:t>
            </w:r>
          </w:p>
        </w:tc>
        <w:tc>
          <w:tcPr>
            <w:tcW w:w="5933" w:type="dxa"/>
            <w:shd w:val="clear" w:color="auto" w:fill="auto"/>
            <w:vAlign w:val="bottom"/>
          </w:tcPr>
          <w:p w14:paraId="502050D2" w14:textId="77777777" w:rsidR="00706514" w:rsidRPr="00D03692" w:rsidRDefault="00706514" w:rsidP="00BC5C42">
            <w:r w:rsidRPr="00D03692">
              <w:t>Dennis-Yarmouth</w:t>
            </w:r>
          </w:p>
        </w:tc>
      </w:tr>
      <w:tr w:rsidR="00706514" w:rsidRPr="00D03692" w14:paraId="502050D6" w14:textId="77777777" w:rsidTr="00133FCF">
        <w:trPr>
          <w:trHeight w:val="240"/>
        </w:trPr>
        <w:tc>
          <w:tcPr>
            <w:tcW w:w="3355" w:type="dxa"/>
            <w:shd w:val="clear" w:color="auto" w:fill="auto"/>
            <w:noWrap/>
            <w:vAlign w:val="bottom"/>
            <w:hideMark/>
          </w:tcPr>
          <w:p w14:paraId="502050D4" w14:textId="77777777" w:rsidR="00706514" w:rsidRPr="00D03692" w:rsidRDefault="00706514" w:rsidP="00BC5C42">
            <w:r w:rsidRPr="00D03692">
              <w:t>Lexington</w:t>
            </w:r>
          </w:p>
        </w:tc>
        <w:tc>
          <w:tcPr>
            <w:tcW w:w="5933" w:type="dxa"/>
            <w:shd w:val="clear" w:color="auto" w:fill="auto"/>
            <w:vAlign w:val="bottom"/>
          </w:tcPr>
          <w:p w14:paraId="502050D5" w14:textId="77777777" w:rsidR="00706514" w:rsidRPr="00D03692" w:rsidRDefault="00706514" w:rsidP="00BC5C42">
            <w:r w:rsidRPr="00D03692">
              <w:t>Greater Lowell Regional Vocational Technical</w:t>
            </w:r>
          </w:p>
        </w:tc>
      </w:tr>
      <w:tr w:rsidR="00706514" w:rsidRPr="00D03692" w14:paraId="502050D9" w14:textId="77777777" w:rsidTr="00133FCF">
        <w:trPr>
          <w:trHeight w:val="240"/>
        </w:trPr>
        <w:tc>
          <w:tcPr>
            <w:tcW w:w="3355" w:type="dxa"/>
            <w:shd w:val="clear" w:color="auto" w:fill="auto"/>
            <w:noWrap/>
            <w:vAlign w:val="bottom"/>
            <w:hideMark/>
          </w:tcPr>
          <w:p w14:paraId="502050D7" w14:textId="77777777" w:rsidR="00706514" w:rsidRPr="00D03692" w:rsidRDefault="00706514" w:rsidP="00BC5C42">
            <w:r w:rsidRPr="00D03692">
              <w:t>Lowell</w:t>
            </w:r>
          </w:p>
        </w:tc>
        <w:tc>
          <w:tcPr>
            <w:tcW w:w="5933" w:type="dxa"/>
            <w:shd w:val="clear" w:color="auto" w:fill="auto"/>
            <w:vAlign w:val="bottom"/>
          </w:tcPr>
          <w:p w14:paraId="502050D8" w14:textId="77777777" w:rsidR="00706514" w:rsidRPr="00D03692" w:rsidRDefault="00706514" w:rsidP="00BC5C42">
            <w:r w:rsidRPr="00D03692">
              <w:t>Northboro</w:t>
            </w:r>
            <w:r w:rsidRPr="000E49FB">
              <w:t>ugh</w:t>
            </w:r>
            <w:r w:rsidRPr="00D03692">
              <w:t>-Southboro</w:t>
            </w:r>
            <w:r w:rsidRPr="000E49FB">
              <w:t>ugh</w:t>
            </w:r>
          </w:p>
        </w:tc>
      </w:tr>
      <w:tr w:rsidR="00706514" w:rsidRPr="00D03692" w14:paraId="502050DC" w14:textId="77777777" w:rsidTr="00133FCF">
        <w:trPr>
          <w:trHeight w:val="240"/>
        </w:trPr>
        <w:tc>
          <w:tcPr>
            <w:tcW w:w="3355" w:type="dxa"/>
            <w:shd w:val="clear" w:color="auto" w:fill="auto"/>
            <w:noWrap/>
            <w:vAlign w:val="bottom"/>
            <w:hideMark/>
          </w:tcPr>
          <w:p w14:paraId="502050DA" w14:textId="77777777" w:rsidR="00706514" w:rsidRPr="00D03692" w:rsidRDefault="00706514" w:rsidP="00BC5C42">
            <w:r w:rsidRPr="00D03692">
              <w:t>Lynn</w:t>
            </w:r>
          </w:p>
        </w:tc>
        <w:tc>
          <w:tcPr>
            <w:tcW w:w="5933" w:type="dxa"/>
            <w:shd w:val="clear" w:color="auto" w:fill="auto"/>
            <w:vAlign w:val="bottom"/>
          </w:tcPr>
          <w:p w14:paraId="502050DB" w14:textId="77777777" w:rsidR="00706514" w:rsidRPr="00D03692" w:rsidRDefault="00706514" w:rsidP="00BC5C42">
            <w:r w:rsidRPr="00D03692">
              <w:t>Ashland</w:t>
            </w:r>
          </w:p>
        </w:tc>
      </w:tr>
      <w:tr w:rsidR="00706514" w:rsidRPr="00D03692" w14:paraId="502050DF" w14:textId="77777777" w:rsidTr="00133FCF">
        <w:trPr>
          <w:trHeight w:val="240"/>
        </w:trPr>
        <w:tc>
          <w:tcPr>
            <w:tcW w:w="3355" w:type="dxa"/>
            <w:shd w:val="clear" w:color="auto" w:fill="auto"/>
            <w:noWrap/>
            <w:vAlign w:val="bottom"/>
            <w:hideMark/>
          </w:tcPr>
          <w:p w14:paraId="502050DD" w14:textId="77777777" w:rsidR="00706514" w:rsidRPr="00D03692" w:rsidRDefault="00706514" w:rsidP="00BC5C42">
            <w:r w:rsidRPr="00D03692">
              <w:t>Malden</w:t>
            </w:r>
          </w:p>
        </w:tc>
        <w:tc>
          <w:tcPr>
            <w:tcW w:w="5933" w:type="dxa"/>
            <w:shd w:val="clear" w:color="auto" w:fill="auto"/>
            <w:vAlign w:val="bottom"/>
          </w:tcPr>
          <w:p w14:paraId="502050DE" w14:textId="77777777" w:rsidR="00706514" w:rsidRPr="00D03692" w:rsidRDefault="00706514" w:rsidP="00BC5C42">
            <w:r w:rsidRPr="00D03692">
              <w:t>Cape Cod Collaborative</w:t>
            </w:r>
          </w:p>
        </w:tc>
      </w:tr>
      <w:tr w:rsidR="00706514" w:rsidRPr="00D03692" w14:paraId="502050E2" w14:textId="77777777" w:rsidTr="00133FCF">
        <w:trPr>
          <w:trHeight w:val="240"/>
        </w:trPr>
        <w:tc>
          <w:tcPr>
            <w:tcW w:w="3355" w:type="dxa"/>
            <w:shd w:val="clear" w:color="auto" w:fill="auto"/>
            <w:noWrap/>
            <w:vAlign w:val="bottom"/>
            <w:hideMark/>
          </w:tcPr>
          <w:p w14:paraId="502050E0" w14:textId="77777777" w:rsidR="00706514" w:rsidRPr="00D03692" w:rsidRDefault="00706514" w:rsidP="00BC5C42">
            <w:r w:rsidRPr="00D03692">
              <w:t>Marlborough</w:t>
            </w:r>
          </w:p>
        </w:tc>
        <w:tc>
          <w:tcPr>
            <w:tcW w:w="5933" w:type="dxa"/>
            <w:shd w:val="clear" w:color="auto" w:fill="auto"/>
            <w:vAlign w:val="bottom"/>
          </w:tcPr>
          <w:p w14:paraId="502050E1" w14:textId="77777777" w:rsidR="00706514" w:rsidRPr="00D03692" w:rsidRDefault="00706514" w:rsidP="00133FCF">
            <w:r w:rsidRPr="00D03692">
              <w:t>Community Day Charter Public</w:t>
            </w:r>
          </w:p>
        </w:tc>
      </w:tr>
      <w:tr w:rsidR="00706514" w:rsidRPr="00D03692" w14:paraId="502050E5" w14:textId="77777777" w:rsidTr="00133FCF">
        <w:trPr>
          <w:trHeight w:val="240"/>
        </w:trPr>
        <w:tc>
          <w:tcPr>
            <w:tcW w:w="3355" w:type="dxa"/>
            <w:shd w:val="clear" w:color="auto" w:fill="auto"/>
            <w:noWrap/>
            <w:vAlign w:val="bottom"/>
            <w:hideMark/>
          </w:tcPr>
          <w:p w14:paraId="502050E3" w14:textId="77777777" w:rsidR="00706514" w:rsidRPr="00D03692" w:rsidRDefault="00706514" w:rsidP="00BC5C42">
            <w:r w:rsidRPr="00D03692">
              <w:t>Medford</w:t>
            </w:r>
          </w:p>
        </w:tc>
        <w:tc>
          <w:tcPr>
            <w:tcW w:w="5933" w:type="dxa"/>
            <w:shd w:val="clear" w:color="auto" w:fill="auto"/>
            <w:vAlign w:val="bottom"/>
          </w:tcPr>
          <w:p w14:paraId="502050E4" w14:textId="77777777" w:rsidR="00706514" w:rsidRPr="00D03692" w:rsidRDefault="00706514" w:rsidP="00BC5C42">
            <w:r w:rsidRPr="00D03692">
              <w:t>Collaborative for Educational Services</w:t>
            </w:r>
          </w:p>
        </w:tc>
      </w:tr>
      <w:tr w:rsidR="00706514" w:rsidRPr="00D03692" w14:paraId="502050E8" w14:textId="77777777" w:rsidTr="00133FCF">
        <w:trPr>
          <w:trHeight w:val="240"/>
        </w:trPr>
        <w:tc>
          <w:tcPr>
            <w:tcW w:w="3355" w:type="dxa"/>
            <w:shd w:val="clear" w:color="auto" w:fill="auto"/>
            <w:noWrap/>
            <w:vAlign w:val="bottom"/>
            <w:hideMark/>
          </w:tcPr>
          <w:p w14:paraId="502050E6" w14:textId="77777777" w:rsidR="00706514" w:rsidRPr="00D03692" w:rsidRDefault="00706514" w:rsidP="00BC5C42">
            <w:r w:rsidRPr="00D03692">
              <w:t>Methuen</w:t>
            </w:r>
          </w:p>
        </w:tc>
        <w:tc>
          <w:tcPr>
            <w:tcW w:w="5933" w:type="dxa"/>
            <w:shd w:val="clear" w:color="auto" w:fill="auto"/>
            <w:vAlign w:val="bottom"/>
          </w:tcPr>
          <w:p w14:paraId="502050E7" w14:textId="77777777" w:rsidR="00706514" w:rsidRPr="00D03692" w:rsidRDefault="00706514" w:rsidP="00BC5C42">
            <w:r w:rsidRPr="00D03692">
              <w:t>Dartmouth</w:t>
            </w:r>
          </w:p>
        </w:tc>
      </w:tr>
      <w:tr w:rsidR="00706514" w:rsidRPr="00D03692" w14:paraId="502050EB" w14:textId="77777777" w:rsidTr="00133FCF">
        <w:trPr>
          <w:trHeight w:val="240"/>
        </w:trPr>
        <w:tc>
          <w:tcPr>
            <w:tcW w:w="3355" w:type="dxa"/>
            <w:shd w:val="clear" w:color="auto" w:fill="auto"/>
            <w:noWrap/>
            <w:vAlign w:val="bottom"/>
            <w:hideMark/>
          </w:tcPr>
          <w:p w14:paraId="502050E9" w14:textId="77777777" w:rsidR="00706514" w:rsidRPr="00D03692" w:rsidRDefault="00706514" w:rsidP="00BC5C42">
            <w:r w:rsidRPr="00D03692">
              <w:t>Milford</w:t>
            </w:r>
          </w:p>
        </w:tc>
        <w:tc>
          <w:tcPr>
            <w:tcW w:w="5933" w:type="dxa"/>
            <w:shd w:val="clear" w:color="auto" w:fill="auto"/>
            <w:vAlign w:val="bottom"/>
          </w:tcPr>
          <w:p w14:paraId="502050EA" w14:textId="77777777" w:rsidR="00706514" w:rsidRPr="00D03692" w:rsidRDefault="00706514" w:rsidP="00BC5C42">
            <w:r w:rsidRPr="00D03692">
              <w:t>EDCO Collaborative</w:t>
            </w:r>
          </w:p>
        </w:tc>
      </w:tr>
      <w:tr w:rsidR="00706514" w:rsidRPr="00D03692" w14:paraId="502050EE" w14:textId="77777777" w:rsidTr="00133FCF">
        <w:trPr>
          <w:trHeight w:val="240"/>
        </w:trPr>
        <w:tc>
          <w:tcPr>
            <w:tcW w:w="3355" w:type="dxa"/>
            <w:shd w:val="clear" w:color="auto" w:fill="auto"/>
            <w:noWrap/>
            <w:vAlign w:val="bottom"/>
            <w:hideMark/>
          </w:tcPr>
          <w:p w14:paraId="502050EC" w14:textId="77777777" w:rsidR="00706514" w:rsidRPr="00D03692" w:rsidRDefault="00706514" w:rsidP="00BC5C42">
            <w:r w:rsidRPr="00D03692">
              <w:t>Nantucket</w:t>
            </w:r>
          </w:p>
        </w:tc>
        <w:tc>
          <w:tcPr>
            <w:tcW w:w="5933" w:type="dxa"/>
            <w:shd w:val="clear" w:color="auto" w:fill="auto"/>
            <w:vAlign w:val="bottom"/>
          </w:tcPr>
          <w:p w14:paraId="502050ED" w14:textId="77777777" w:rsidR="00706514" w:rsidRPr="00D03692" w:rsidRDefault="00706514" w:rsidP="00BC5C42">
            <w:r w:rsidRPr="00D03692">
              <w:t>Lower Pioneer Valley Educational Collaborative</w:t>
            </w:r>
          </w:p>
        </w:tc>
      </w:tr>
      <w:tr w:rsidR="00706514" w:rsidRPr="00D03692" w14:paraId="502050F1" w14:textId="77777777" w:rsidTr="00133FCF">
        <w:trPr>
          <w:trHeight w:val="240"/>
        </w:trPr>
        <w:tc>
          <w:tcPr>
            <w:tcW w:w="3355" w:type="dxa"/>
            <w:shd w:val="clear" w:color="auto" w:fill="auto"/>
            <w:noWrap/>
            <w:vAlign w:val="bottom"/>
            <w:hideMark/>
          </w:tcPr>
          <w:p w14:paraId="502050EF" w14:textId="77777777" w:rsidR="00706514" w:rsidRPr="00D03692" w:rsidRDefault="00706514" w:rsidP="00BC5C42">
            <w:r w:rsidRPr="00D03692">
              <w:t>New Bedford</w:t>
            </w:r>
          </w:p>
        </w:tc>
        <w:tc>
          <w:tcPr>
            <w:tcW w:w="5933" w:type="dxa"/>
            <w:shd w:val="clear" w:color="auto" w:fill="auto"/>
            <w:vAlign w:val="bottom"/>
          </w:tcPr>
          <w:p w14:paraId="502050F0" w14:textId="77777777" w:rsidR="00706514" w:rsidRPr="00D03692" w:rsidRDefault="00706514" w:rsidP="00BC5C42">
            <w:r w:rsidRPr="00D03692">
              <w:t>Milton-Canton</w:t>
            </w:r>
          </w:p>
        </w:tc>
      </w:tr>
      <w:tr w:rsidR="00706514" w:rsidRPr="00D03692" w14:paraId="502050F4" w14:textId="77777777" w:rsidTr="00133FCF">
        <w:trPr>
          <w:trHeight w:val="240"/>
        </w:trPr>
        <w:tc>
          <w:tcPr>
            <w:tcW w:w="3355" w:type="dxa"/>
            <w:shd w:val="clear" w:color="auto" w:fill="auto"/>
            <w:noWrap/>
            <w:vAlign w:val="bottom"/>
            <w:hideMark/>
          </w:tcPr>
          <w:p w14:paraId="502050F2" w14:textId="77777777" w:rsidR="00706514" w:rsidRPr="00D03692" w:rsidRDefault="00706514" w:rsidP="00BC5C42">
            <w:r w:rsidRPr="00D03692">
              <w:t>Newton</w:t>
            </w:r>
          </w:p>
        </w:tc>
        <w:tc>
          <w:tcPr>
            <w:tcW w:w="5933" w:type="dxa"/>
            <w:shd w:val="clear" w:color="auto" w:fill="auto"/>
            <w:vAlign w:val="bottom"/>
          </w:tcPr>
          <w:p w14:paraId="502050F3" w14:textId="77777777" w:rsidR="00706514" w:rsidRPr="00D03692" w:rsidRDefault="00706514" w:rsidP="00BC5C42">
            <w:r w:rsidRPr="00D03692">
              <w:t>North River Collaborative</w:t>
            </w:r>
          </w:p>
        </w:tc>
      </w:tr>
    </w:tbl>
    <w:p w14:paraId="502050F5" w14:textId="77777777" w:rsidR="00CF0CA7" w:rsidRDefault="00CF0CA7" w:rsidP="002779E1">
      <w:pPr>
        <w:rPr>
          <w:bCs/>
          <w:sz w:val="22"/>
          <w:szCs w:val="22"/>
        </w:rPr>
      </w:pPr>
    </w:p>
    <w:p w14:paraId="502050F6" w14:textId="77777777" w:rsidR="00133FCF" w:rsidRDefault="00133FCF" w:rsidP="002779E1">
      <w:pPr>
        <w:rPr>
          <w:bCs/>
          <w:sz w:val="22"/>
          <w:szCs w:val="22"/>
        </w:rPr>
      </w:pPr>
    </w:p>
    <w:p w14:paraId="502050F7" w14:textId="77777777" w:rsidR="00CF0CA7" w:rsidRDefault="00CF0CA7" w:rsidP="002779E1">
      <w:pPr>
        <w:rPr>
          <w:bCs/>
          <w:sz w:val="22"/>
          <w:szCs w:val="22"/>
        </w:rPr>
      </w:pPr>
    </w:p>
    <w:p w14:paraId="502050F8" w14:textId="77777777" w:rsidR="00133FCF" w:rsidRDefault="00133FCF" w:rsidP="002779E1">
      <w:pPr>
        <w:rPr>
          <w:bCs/>
          <w:sz w:val="22"/>
          <w:szCs w:val="22"/>
        </w:rPr>
      </w:pPr>
    </w:p>
    <w:p w14:paraId="502050F9" w14:textId="77777777" w:rsidR="00133FCF" w:rsidRDefault="00133FCF" w:rsidP="002779E1">
      <w:pPr>
        <w:rPr>
          <w:bCs/>
          <w:sz w:val="22"/>
          <w:szCs w:val="22"/>
        </w:rPr>
      </w:pPr>
    </w:p>
    <w:p w14:paraId="502050FA" w14:textId="77777777" w:rsidR="00CF0CA7" w:rsidRDefault="00CF0CA7" w:rsidP="002779E1">
      <w:pPr>
        <w:rPr>
          <w:bCs/>
          <w:sz w:val="22"/>
          <w:szCs w:val="22"/>
        </w:rPr>
      </w:pPr>
    </w:p>
    <w:p w14:paraId="502050FB" w14:textId="77777777" w:rsidR="00CF0CA7" w:rsidRPr="00CF0CA7" w:rsidRDefault="00CF0CA7" w:rsidP="002779E1">
      <w:pPr>
        <w:rPr>
          <w:b/>
          <w:bCs/>
          <w:sz w:val="28"/>
          <w:szCs w:val="22"/>
        </w:rPr>
      </w:pPr>
      <w:r>
        <w:rPr>
          <w:b/>
          <w:bCs/>
          <w:sz w:val="28"/>
          <w:szCs w:val="22"/>
        </w:rPr>
        <w:lastRenderedPageBreak/>
        <w:t>APPENDIX B</w:t>
      </w:r>
    </w:p>
    <w:p w14:paraId="502050FC" w14:textId="77777777" w:rsidR="00CF0CA7" w:rsidRPr="00D03692" w:rsidRDefault="00CF0CA7" w:rsidP="00CF0CA7">
      <w:pPr>
        <w:pStyle w:val="PlainText"/>
        <w:ind w:right="87"/>
        <w:rPr>
          <w:rFonts w:ascii="Times New Roman" w:hAnsi="Times New Roman"/>
          <w:bCs/>
          <w:sz w:val="24"/>
          <w:szCs w:val="22"/>
        </w:rPr>
      </w:pPr>
      <w:r>
        <w:rPr>
          <w:rFonts w:ascii="Times New Roman" w:hAnsi="Times New Roman"/>
          <w:bCs/>
          <w:sz w:val="24"/>
          <w:szCs w:val="22"/>
        </w:rPr>
        <w:t xml:space="preserve">81 </w:t>
      </w:r>
      <w:r w:rsidRPr="00D03692">
        <w:rPr>
          <w:rFonts w:ascii="Times New Roman" w:hAnsi="Times New Roman"/>
          <w:bCs/>
          <w:sz w:val="24"/>
          <w:szCs w:val="22"/>
        </w:rPr>
        <w:t xml:space="preserve">Massachusetts </w:t>
      </w:r>
      <w:r w:rsidR="004516C6">
        <w:rPr>
          <w:rFonts w:ascii="Times New Roman" w:hAnsi="Times New Roman"/>
          <w:bCs/>
          <w:sz w:val="24"/>
          <w:szCs w:val="22"/>
        </w:rPr>
        <w:t>d</w:t>
      </w:r>
      <w:r w:rsidRPr="00D03692">
        <w:rPr>
          <w:rFonts w:ascii="Times New Roman" w:hAnsi="Times New Roman"/>
          <w:bCs/>
          <w:sz w:val="24"/>
          <w:szCs w:val="22"/>
        </w:rPr>
        <w:t xml:space="preserve">istricts </w:t>
      </w:r>
      <w:r w:rsidR="004516C6">
        <w:rPr>
          <w:rFonts w:ascii="Times New Roman" w:hAnsi="Times New Roman"/>
          <w:bCs/>
          <w:sz w:val="24"/>
          <w:szCs w:val="22"/>
        </w:rPr>
        <w:t>r</w:t>
      </w:r>
      <w:r w:rsidRPr="00D03692">
        <w:rPr>
          <w:rFonts w:ascii="Times New Roman" w:hAnsi="Times New Roman"/>
          <w:bCs/>
          <w:sz w:val="24"/>
          <w:szCs w:val="22"/>
        </w:rPr>
        <w:t xml:space="preserve">eporting at </w:t>
      </w:r>
      <w:r w:rsidR="004516C6">
        <w:rPr>
          <w:rFonts w:ascii="Times New Roman" w:hAnsi="Times New Roman"/>
          <w:bCs/>
          <w:sz w:val="24"/>
          <w:szCs w:val="22"/>
        </w:rPr>
        <w:t>l</w:t>
      </w:r>
      <w:r w:rsidRPr="00D03692">
        <w:rPr>
          <w:rFonts w:ascii="Times New Roman" w:hAnsi="Times New Roman"/>
          <w:bCs/>
          <w:sz w:val="24"/>
          <w:szCs w:val="22"/>
        </w:rPr>
        <w:t>east 100 E</w:t>
      </w:r>
      <w:r>
        <w:rPr>
          <w:rFonts w:ascii="Times New Roman" w:hAnsi="Times New Roman"/>
          <w:bCs/>
          <w:sz w:val="24"/>
          <w:szCs w:val="22"/>
        </w:rPr>
        <w:t>nglish Language Learners in 2015</w:t>
      </w:r>
      <w:r w:rsidRPr="00D03692">
        <w:rPr>
          <w:rFonts w:ascii="Times New Roman" w:hAnsi="Times New Roman"/>
          <w:bCs/>
          <w:sz w:val="24"/>
          <w:szCs w:val="22"/>
        </w:rPr>
        <w:t>:</w:t>
      </w:r>
    </w:p>
    <w:p w14:paraId="502050FD" w14:textId="77777777" w:rsidR="00172CFE" w:rsidRDefault="00172CFE">
      <w:pPr>
        <w:rPr>
          <w:bCs/>
          <w:sz w:val="22"/>
          <w:szCs w:val="22"/>
        </w:rPr>
      </w:pPr>
    </w:p>
    <w:tbl>
      <w:tblPr>
        <w:tblW w:w="9484" w:type="dxa"/>
        <w:tblInd w:w="92" w:type="dxa"/>
        <w:tblLook w:val="04A0" w:firstRow="1" w:lastRow="0" w:firstColumn="1" w:lastColumn="0" w:noHBand="0" w:noVBand="1"/>
      </w:tblPr>
      <w:tblGrid>
        <w:gridCol w:w="3256"/>
        <w:gridCol w:w="5313"/>
        <w:gridCol w:w="915"/>
      </w:tblGrid>
      <w:tr w:rsidR="00C75CEE" w:rsidRPr="00CF0CA7" w14:paraId="50205100" w14:textId="77777777" w:rsidTr="00133FCF">
        <w:trPr>
          <w:gridAfter w:val="1"/>
          <w:wAfter w:w="915" w:type="dxa"/>
          <w:trHeight w:val="288"/>
        </w:trPr>
        <w:tc>
          <w:tcPr>
            <w:tcW w:w="3256" w:type="dxa"/>
            <w:shd w:val="clear" w:color="auto" w:fill="auto"/>
            <w:noWrap/>
            <w:vAlign w:val="bottom"/>
            <w:hideMark/>
          </w:tcPr>
          <w:p w14:paraId="502050FE" w14:textId="77777777" w:rsidR="00C75CEE" w:rsidRPr="00C75CEE" w:rsidRDefault="00C75CEE" w:rsidP="00CF0CA7">
            <w:pPr>
              <w:rPr>
                <w:color w:val="000000"/>
              </w:rPr>
            </w:pPr>
            <w:r w:rsidRPr="00C75CEE">
              <w:rPr>
                <w:color w:val="000000"/>
              </w:rPr>
              <w:t>Acton-Boxborough</w:t>
            </w:r>
          </w:p>
        </w:tc>
        <w:tc>
          <w:tcPr>
            <w:tcW w:w="5313" w:type="dxa"/>
            <w:shd w:val="clear" w:color="auto" w:fill="auto"/>
            <w:vAlign w:val="bottom"/>
          </w:tcPr>
          <w:p w14:paraId="502050FF" w14:textId="77777777" w:rsidR="00C75CEE" w:rsidRPr="00C75CEE" w:rsidRDefault="00C75CEE" w:rsidP="00C75CEE">
            <w:pPr>
              <w:rPr>
                <w:color w:val="000000"/>
              </w:rPr>
            </w:pPr>
            <w:r w:rsidRPr="00C75CEE">
              <w:rPr>
                <w:color w:val="000000"/>
              </w:rPr>
              <w:t>Norwood</w:t>
            </w:r>
          </w:p>
        </w:tc>
      </w:tr>
      <w:tr w:rsidR="00C75CEE" w:rsidRPr="00CF0CA7" w14:paraId="50205103" w14:textId="77777777" w:rsidTr="00133FCF">
        <w:trPr>
          <w:gridAfter w:val="1"/>
          <w:wAfter w:w="915" w:type="dxa"/>
          <w:trHeight w:val="288"/>
        </w:trPr>
        <w:tc>
          <w:tcPr>
            <w:tcW w:w="3256" w:type="dxa"/>
            <w:tcBorders>
              <w:top w:val="nil"/>
            </w:tcBorders>
            <w:shd w:val="clear" w:color="auto" w:fill="auto"/>
            <w:noWrap/>
            <w:vAlign w:val="bottom"/>
            <w:hideMark/>
          </w:tcPr>
          <w:p w14:paraId="50205101" w14:textId="77777777" w:rsidR="00C75CEE" w:rsidRPr="00C75CEE" w:rsidRDefault="00C75CEE" w:rsidP="00CF0CA7">
            <w:pPr>
              <w:rPr>
                <w:color w:val="000000"/>
              </w:rPr>
            </w:pPr>
            <w:r w:rsidRPr="00C75CEE">
              <w:rPr>
                <w:color w:val="000000"/>
              </w:rPr>
              <w:t>Agawam</w:t>
            </w:r>
          </w:p>
        </w:tc>
        <w:tc>
          <w:tcPr>
            <w:tcW w:w="5313" w:type="dxa"/>
            <w:tcBorders>
              <w:top w:val="nil"/>
            </w:tcBorders>
            <w:shd w:val="clear" w:color="auto" w:fill="auto"/>
            <w:vAlign w:val="bottom"/>
          </w:tcPr>
          <w:p w14:paraId="50205102" w14:textId="77777777" w:rsidR="00C75CEE" w:rsidRPr="00C75CEE" w:rsidRDefault="00C75CEE" w:rsidP="00C75CEE">
            <w:pPr>
              <w:rPr>
                <w:color w:val="000000"/>
              </w:rPr>
            </w:pPr>
            <w:r w:rsidRPr="00C75CEE">
              <w:rPr>
                <w:color w:val="000000"/>
              </w:rPr>
              <w:t>Peabody</w:t>
            </w:r>
          </w:p>
        </w:tc>
      </w:tr>
      <w:tr w:rsidR="00C75CEE" w:rsidRPr="00CF0CA7" w14:paraId="50205106" w14:textId="77777777" w:rsidTr="00133FCF">
        <w:trPr>
          <w:gridAfter w:val="1"/>
          <w:wAfter w:w="915" w:type="dxa"/>
          <w:trHeight w:val="288"/>
        </w:trPr>
        <w:tc>
          <w:tcPr>
            <w:tcW w:w="3256" w:type="dxa"/>
            <w:tcBorders>
              <w:top w:val="nil"/>
            </w:tcBorders>
            <w:shd w:val="clear" w:color="auto" w:fill="auto"/>
            <w:noWrap/>
            <w:vAlign w:val="bottom"/>
            <w:hideMark/>
          </w:tcPr>
          <w:p w14:paraId="50205104" w14:textId="77777777" w:rsidR="00C75CEE" w:rsidRPr="00C75CEE" w:rsidRDefault="00C75CEE" w:rsidP="00CF0CA7">
            <w:pPr>
              <w:rPr>
                <w:color w:val="000000"/>
              </w:rPr>
            </w:pPr>
            <w:r w:rsidRPr="00C75CEE">
              <w:rPr>
                <w:color w:val="000000"/>
              </w:rPr>
              <w:t>Amherst</w:t>
            </w:r>
          </w:p>
        </w:tc>
        <w:tc>
          <w:tcPr>
            <w:tcW w:w="5313" w:type="dxa"/>
            <w:tcBorders>
              <w:top w:val="nil"/>
            </w:tcBorders>
            <w:shd w:val="clear" w:color="auto" w:fill="auto"/>
            <w:vAlign w:val="bottom"/>
          </w:tcPr>
          <w:p w14:paraId="50205105" w14:textId="77777777" w:rsidR="00C75CEE" w:rsidRPr="00C75CEE" w:rsidRDefault="00C75CEE" w:rsidP="00C75CEE">
            <w:pPr>
              <w:rPr>
                <w:color w:val="000000"/>
              </w:rPr>
            </w:pPr>
            <w:r w:rsidRPr="00C75CEE">
              <w:rPr>
                <w:color w:val="000000"/>
              </w:rPr>
              <w:t>Pittsfield</w:t>
            </w:r>
          </w:p>
        </w:tc>
      </w:tr>
      <w:tr w:rsidR="00C75CEE" w:rsidRPr="00CF0CA7" w14:paraId="50205109" w14:textId="77777777" w:rsidTr="00133FCF">
        <w:trPr>
          <w:gridAfter w:val="1"/>
          <w:wAfter w:w="915" w:type="dxa"/>
          <w:trHeight w:val="288"/>
        </w:trPr>
        <w:tc>
          <w:tcPr>
            <w:tcW w:w="3256" w:type="dxa"/>
            <w:tcBorders>
              <w:top w:val="nil"/>
            </w:tcBorders>
            <w:shd w:val="clear" w:color="auto" w:fill="auto"/>
            <w:noWrap/>
            <w:vAlign w:val="bottom"/>
            <w:hideMark/>
          </w:tcPr>
          <w:p w14:paraId="50205107" w14:textId="77777777" w:rsidR="00C75CEE" w:rsidRPr="00C75CEE" w:rsidRDefault="00C75CEE" w:rsidP="00CF0CA7">
            <w:pPr>
              <w:rPr>
                <w:color w:val="000000"/>
              </w:rPr>
            </w:pPr>
            <w:r w:rsidRPr="00C75CEE">
              <w:rPr>
                <w:color w:val="000000"/>
              </w:rPr>
              <w:t>Andover</w:t>
            </w:r>
          </w:p>
        </w:tc>
        <w:tc>
          <w:tcPr>
            <w:tcW w:w="5313" w:type="dxa"/>
            <w:tcBorders>
              <w:top w:val="nil"/>
            </w:tcBorders>
            <w:shd w:val="clear" w:color="auto" w:fill="auto"/>
            <w:vAlign w:val="bottom"/>
          </w:tcPr>
          <w:p w14:paraId="50205108" w14:textId="77777777" w:rsidR="00C75CEE" w:rsidRPr="00C75CEE" w:rsidRDefault="00C75CEE" w:rsidP="00C75CEE">
            <w:pPr>
              <w:rPr>
                <w:color w:val="000000"/>
              </w:rPr>
            </w:pPr>
            <w:r w:rsidRPr="00C75CEE">
              <w:rPr>
                <w:color w:val="000000"/>
              </w:rPr>
              <w:t>Quincy</w:t>
            </w:r>
          </w:p>
        </w:tc>
      </w:tr>
      <w:tr w:rsidR="00C75CEE" w:rsidRPr="00CF0CA7" w14:paraId="5020510C" w14:textId="77777777" w:rsidTr="00133FCF">
        <w:trPr>
          <w:gridAfter w:val="1"/>
          <w:wAfter w:w="915" w:type="dxa"/>
          <w:trHeight w:val="288"/>
        </w:trPr>
        <w:tc>
          <w:tcPr>
            <w:tcW w:w="3256" w:type="dxa"/>
            <w:tcBorders>
              <w:top w:val="nil"/>
            </w:tcBorders>
            <w:shd w:val="clear" w:color="auto" w:fill="auto"/>
            <w:noWrap/>
            <w:vAlign w:val="bottom"/>
            <w:hideMark/>
          </w:tcPr>
          <w:p w14:paraId="5020510A" w14:textId="77777777" w:rsidR="00C75CEE" w:rsidRPr="00C75CEE" w:rsidRDefault="00C75CEE" w:rsidP="00CF0CA7">
            <w:pPr>
              <w:rPr>
                <w:color w:val="000000"/>
              </w:rPr>
            </w:pPr>
            <w:r w:rsidRPr="00C75CEE">
              <w:rPr>
                <w:color w:val="000000"/>
              </w:rPr>
              <w:t>Arlington</w:t>
            </w:r>
          </w:p>
        </w:tc>
        <w:tc>
          <w:tcPr>
            <w:tcW w:w="5313" w:type="dxa"/>
            <w:tcBorders>
              <w:top w:val="nil"/>
            </w:tcBorders>
            <w:shd w:val="clear" w:color="auto" w:fill="auto"/>
            <w:vAlign w:val="bottom"/>
          </w:tcPr>
          <w:p w14:paraId="5020510B" w14:textId="77777777" w:rsidR="00C75CEE" w:rsidRPr="00C75CEE" w:rsidRDefault="00C75CEE" w:rsidP="00C75CEE">
            <w:pPr>
              <w:rPr>
                <w:color w:val="000000"/>
              </w:rPr>
            </w:pPr>
            <w:r w:rsidRPr="00C75CEE">
              <w:rPr>
                <w:color w:val="000000"/>
              </w:rPr>
              <w:t>Randolph</w:t>
            </w:r>
          </w:p>
        </w:tc>
      </w:tr>
      <w:tr w:rsidR="00C75CEE" w:rsidRPr="00CF0CA7" w14:paraId="5020510F" w14:textId="77777777" w:rsidTr="00133FCF">
        <w:trPr>
          <w:gridAfter w:val="1"/>
          <w:wAfter w:w="915" w:type="dxa"/>
          <w:trHeight w:val="288"/>
        </w:trPr>
        <w:tc>
          <w:tcPr>
            <w:tcW w:w="3256" w:type="dxa"/>
            <w:tcBorders>
              <w:top w:val="nil"/>
            </w:tcBorders>
            <w:shd w:val="clear" w:color="auto" w:fill="auto"/>
            <w:noWrap/>
            <w:vAlign w:val="bottom"/>
            <w:hideMark/>
          </w:tcPr>
          <w:p w14:paraId="5020510D" w14:textId="77777777" w:rsidR="00C75CEE" w:rsidRPr="00C75CEE" w:rsidRDefault="00C75CEE" w:rsidP="00CF0CA7">
            <w:pPr>
              <w:rPr>
                <w:color w:val="000000"/>
              </w:rPr>
            </w:pPr>
            <w:r w:rsidRPr="00C75CEE">
              <w:rPr>
                <w:color w:val="000000"/>
              </w:rPr>
              <w:t>Attleboro</w:t>
            </w:r>
          </w:p>
        </w:tc>
        <w:tc>
          <w:tcPr>
            <w:tcW w:w="5313" w:type="dxa"/>
            <w:tcBorders>
              <w:top w:val="nil"/>
            </w:tcBorders>
            <w:shd w:val="clear" w:color="auto" w:fill="auto"/>
            <w:vAlign w:val="bottom"/>
          </w:tcPr>
          <w:p w14:paraId="5020510E" w14:textId="77777777" w:rsidR="00C75CEE" w:rsidRPr="00C75CEE" w:rsidRDefault="00C75CEE" w:rsidP="00C75CEE">
            <w:pPr>
              <w:rPr>
                <w:color w:val="000000"/>
              </w:rPr>
            </w:pPr>
            <w:r w:rsidRPr="00C75CEE">
              <w:rPr>
                <w:color w:val="000000"/>
              </w:rPr>
              <w:t>Revere</w:t>
            </w:r>
          </w:p>
        </w:tc>
      </w:tr>
      <w:tr w:rsidR="00C75CEE" w:rsidRPr="00CF0CA7" w14:paraId="50205112" w14:textId="77777777" w:rsidTr="00133FCF">
        <w:trPr>
          <w:gridAfter w:val="1"/>
          <w:wAfter w:w="915" w:type="dxa"/>
          <w:trHeight w:val="288"/>
        </w:trPr>
        <w:tc>
          <w:tcPr>
            <w:tcW w:w="3256" w:type="dxa"/>
            <w:tcBorders>
              <w:top w:val="nil"/>
            </w:tcBorders>
            <w:shd w:val="clear" w:color="auto" w:fill="auto"/>
            <w:noWrap/>
            <w:vAlign w:val="bottom"/>
            <w:hideMark/>
          </w:tcPr>
          <w:p w14:paraId="50205110" w14:textId="77777777" w:rsidR="00C75CEE" w:rsidRPr="00C75CEE" w:rsidRDefault="00C75CEE" w:rsidP="00CF0CA7">
            <w:pPr>
              <w:rPr>
                <w:color w:val="000000"/>
              </w:rPr>
            </w:pPr>
            <w:r w:rsidRPr="00C75CEE">
              <w:rPr>
                <w:color w:val="000000"/>
              </w:rPr>
              <w:t>Barnstable</w:t>
            </w:r>
          </w:p>
        </w:tc>
        <w:tc>
          <w:tcPr>
            <w:tcW w:w="5313" w:type="dxa"/>
            <w:tcBorders>
              <w:top w:val="nil"/>
            </w:tcBorders>
            <w:shd w:val="clear" w:color="auto" w:fill="auto"/>
            <w:vAlign w:val="bottom"/>
          </w:tcPr>
          <w:p w14:paraId="50205111" w14:textId="77777777" w:rsidR="00C75CEE" w:rsidRPr="00C75CEE" w:rsidRDefault="00C75CEE" w:rsidP="00C75CEE">
            <w:pPr>
              <w:rPr>
                <w:color w:val="000000"/>
              </w:rPr>
            </w:pPr>
            <w:r w:rsidRPr="00C75CEE">
              <w:rPr>
                <w:color w:val="000000"/>
              </w:rPr>
              <w:t>Salem</w:t>
            </w:r>
          </w:p>
        </w:tc>
      </w:tr>
      <w:tr w:rsidR="00C75CEE" w:rsidRPr="00CF0CA7" w14:paraId="50205115" w14:textId="77777777" w:rsidTr="00133FCF">
        <w:trPr>
          <w:gridAfter w:val="1"/>
          <w:wAfter w:w="915" w:type="dxa"/>
          <w:trHeight w:val="288"/>
        </w:trPr>
        <w:tc>
          <w:tcPr>
            <w:tcW w:w="3256" w:type="dxa"/>
            <w:tcBorders>
              <w:top w:val="nil"/>
            </w:tcBorders>
            <w:shd w:val="clear" w:color="auto" w:fill="auto"/>
            <w:noWrap/>
            <w:vAlign w:val="bottom"/>
            <w:hideMark/>
          </w:tcPr>
          <w:p w14:paraId="50205113" w14:textId="77777777" w:rsidR="00C75CEE" w:rsidRPr="00C75CEE" w:rsidRDefault="00C75CEE" w:rsidP="00CF0CA7">
            <w:pPr>
              <w:rPr>
                <w:color w:val="000000"/>
              </w:rPr>
            </w:pPr>
            <w:r w:rsidRPr="00C75CEE">
              <w:rPr>
                <w:color w:val="000000"/>
              </w:rPr>
              <w:t>Belmont</w:t>
            </w:r>
          </w:p>
        </w:tc>
        <w:tc>
          <w:tcPr>
            <w:tcW w:w="5313" w:type="dxa"/>
            <w:tcBorders>
              <w:top w:val="nil"/>
            </w:tcBorders>
            <w:shd w:val="clear" w:color="auto" w:fill="auto"/>
            <w:vAlign w:val="bottom"/>
          </w:tcPr>
          <w:p w14:paraId="50205114" w14:textId="77777777" w:rsidR="00C75CEE" w:rsidRPr="00C75CEE" w:rsidRDefault="00C75CEE" w:rsidP="00C75CEE">
            <w:pPr>
              <w:rPr>
                <w:color w:val="000000"/>
              </w:rPr>
            </w:pPr>
            <w:r w:rsidRPr="00C75CEE">
              <w:rPr>
                <w:color w:val="000000"/>
              </w:rPr>
              <w:t>Shrewsbury</w:t>
            </w:r>
          </w:p>
        </w:tc>
      </w:tr>
      <w:tr w:rsidR="00C75CEE" w:rsidRPr="00CF0CA7" w14:paraId="50205118" w14:textId="77777777" w:rsidTr="00133FCF">
        <w:trPr>
          <w:gridAfter w:val="1"/>
          <w:wAfter w:w="915" w:type="dxa"/>
          <w:trHeight w:val="288"/>
        </w:trPr>
        <w:tc>
          <w:tcPr>
            <w:tcW w:w="3256" w:type="dxa"/>
            <w:tcBorders>
              <w:top w:val="nil"/>
            </w:tcBorders>
            <w:shd w:val="clear" w:color="auto" w:fill="auto"/>
            <w:noWrap/>
            <w:vAlign w:val="bottom"/>
            <w:hideMark/>
          </w:tcPr>
          <w:p w14:paraId="50205116" w14:textId="77777777" w:rsidR="00C75CEE" w:rsidRPr="00C75CEE" w:rsidRDefault="00C75CEE" w:rsidP="00CF0CA7">
            <w:pPr>
              <w:rPr>
                <w:color w:val="000000"/>
              </w:rPr>
            </w:pPr>
            <w:r w:rsidRPr="00C75CEE">
              <w:rPr>
                <w:color w:val="000000"/>
              </w:rPr>
              <w:t>Boston</w:t>
            </w:r>
          </w:p>
        </w:tc>
        <w:tc>
          <w:tcPr>
            <w:tcW w:w="5313" w:type="dxa"/>
            <w:tcBorders>
              <w:top w:val="nil"/>
            </w:tcBorders>
            <w:shd w:val="clear" w:color="auto" w:fill="auto"/>
            <w:vAlign w:val="bottom"/>
          </w:tcPr>
          <w:p w14:paraId="50205117" w14:textId="77777777" w:rsidR="00C75CEE" w:rsidRPr="00C75CEE" w:rsidRDefault="00C75CEE" w:rsidP="00C75CEE">
            <w:pPr>
              <w:rPr>
                <w:color w:val="000000"/>
              </w:rPr>
            </w:pPr>
            <w:r w:rsidRPr="00C75CEE">
              <w:rPr>
                <w:color w:val="000000"/>
              </w:rPr>
              <w:t>Somerville</w:t>
            </w:r>
          </w:p>
        </w:tc>
      </w:tr>
      <w:tr w:rsidR="00C75CEE" w:rsidRPr="00CF0CA7" w14:paraId="5020511B" w14:textId="77777777" w:rsidTr="00133FCF">
        <w:trPr>
          <w:gridAfter w:val="1"/>
          <w:wAfter w:w="915" w:type="dxa"/>
          <w:trHeight w:val="288"/>
        </w:trPr>
        <w:tc>
          <w:tcPr>
            <w:tcW w:w="3256" w:type="dxa"/>
            <w:tcBorders>
              <w:top w:val="nil"/>
            </w:tcBorders>
            <w:shd w:val="clear" w:color="auto" w:fill="auto"/>
            <w:noWrap/>
            <w:vAlign w:val="bottom"/>
            <w:hideMark/>
          </w:tcPr>
          <w:p w14:paraId="50205119" w14:textId="77777777" w:rsidR="00C75CEE" w:rsidRPr="00C75CEE" w:rsidRDefault="00C75CEE" w:rsidP="00CF0CA7">
            <w:pPr>
              <w:rPr>
                <w:color w:val="000000"/>
              </w:rPr>
            </w:pPr>
            <w:r w:rsidRPr="00C75CEE">
              <w:rPr>
                <w:color w:val="000000"/>
              </w:rPr>
              <w:t>Braintree</w:t>
            </w:r>
          </w:p>
        </w:tc>
        <w:tc>
          <w:tcPr>
            <w:tcW w:w="5313" w:type="dxa"/>
            <w:tcBorders>
              <w:top w:val="nil"/>
            </w:tcBorders>
            <w:shd w:val="clear" w:color="auto" w:fill="auto"/>
            <w:vAlign w:val="bottom"/>
          </w:tcPr>
          <w:p w14:paraId="5020511A" w14:textId="77777777" w:rsidR="00C75CEE" w:rsidRPr="00C75CEE" w:rsidRDefault="00C75CEE" w:rsidP="00C75CEE">
            <w:pPr>
              <w:rPr>
                <w:color w:val="000000"/>
              </w:rPr>
            </w:pPr>
            <w:r w:rsidRPr="00C75CEE">
              <w:rPr>
                <w:color w:val="000000"/>
              </w:rPr>
              <w:t>Southbridge</w:t>
            </w:r>
          </w:p>
        </w:tc>
      </w:tr>
      <w:tr w:rsidR="00C75CEE" w:rsidRPr="00CF0CA7" w14:paraId="5020511E" w14:textId="77777777" w:rsidTr="00133FCF">
        <w:trPr>
          <w:gridAfter w:val="1"/>
          <w:wAfter w:w="915" w:type="dxa"/>
          <w:trHeight w:val="288"/>
        </w:trPr>
        <w:tc>
          <w:tcPr>
            <w:tcW w:w="3256" w:type="dxa"/>
            <w:tcBorders>
              <w:top w:val="nil"/>
            </w:tcBorders>
            <w:shd w:val="clear" w:color="auto" w:fill="auto"/>
            <w:noWrap/>
            <w:vAlign w:val="bottom"/>
            <w:hideMark/>
          </w:tcPr>
          <w:p w14:paraId="5020511C" w14:textId="77777777" w:rsidR="00C75CEE" w:rsidRPr="00C75CEE" w:rsidRDefault="00C75CEE" w:rsidP="00CF0CA7">
            <w:pPr>
              <w:rPr>
                <w:color w:val="000000"/>
              </w:rPr>
            </w:pPr>
            <w:r w:rsidRPr="00C75CEE">
              <w:rPr>
                <w:color w:val="000000"/>
              </w:rPr>
              <w:t>Brockton</w:t>
            </w:r>
          </w:p>
        </w:tc>
        <w:tc>
          <w:tcPr>
            <w:tcW w:w="5313" w:type="dxa"/>
            <w:tcBorders>
              <w:top w:val="nil"/>
            </w:tcBorders>
            <w:shd w:val="clear" w:color="auto" w:fill="auto"/>
            <w:vAlign w:val="bottom"/>
          </w:tcPr>
          <w:p w14:paraId="5020511D" w14:textId="77777777" w:rsidR="00C75CEE" w:rsidRPr="00C75CEE" w:rsidRDefault="00C75CEE" w:rsidP="00C75CEE">
            <w:pPr>
              <w:rPr>
                <w:color w:val="000000"/>
              </w:rPr>
            </w:pPr>
            <w:r w:rsidRPr="00C75CEE">
              <w:rPr>
                <w:color w:val="000000"/>
              </w:rPr>
              <w:t>Springfield</w:t>
            </w:r>
          </w:p>
        </w:tc>
      </w:tr>
      <w:tr w:rsidR="00C75CEE" w:rsidRPr="00CF0CA7" w14:paraId="50205121" w14:textId="77777777" w:rsidTr="00133FCF">
        <w:trPr>
          <w:gridAfter w:val="1"/>
          <w:wAfter w:w="915" w:type="dxa"/>
          <w:trHeight w:val="288"/>
        </w:trPr>
        <w:tc>
          <w:tcPr>
            <w:tcW w:w="3256" w:type="dxa"/>
            <w:tcBorders>
              <w:top w:val="nil"/>
            </w:tcBorders>
            <w:shd w:val="clear" w:color="auto" w:fill="auto"/>
            <w:noWrap/>
            <w:vAlign w:val="bottom"/>
            <w:hideMark/>
          </w:tcPr>
          <w:p w14:paraId="5020511F" w14:textId="77777777" w:rsidR="00C75CEE" w:rsidRPr="00C75CEE" w:rsidRDefault="00C75CEE" w:rsidP="00CF0CA7">
            <w:pPr>
              <w:rPr>
                <w:color w:val="000000"/>
              </w:rPr>
            </w:pPr>
            <w:r w:rsidRPr="00C75CEE">
              <w:rPr>
                <w:color w:val="000000"/>
              </w:rPr>
              <w:t>Brookline</w:t>
            </w:r>
          </w:p>
        </w:tc>
        <w:tc>
          <w:tcPr>
            <w:tcW w:w="5313" w:type="dxa"/>
            <w:tcBorders>
              <w:top w:val="nil"/>
            </w:tcBorders>
            <w:shd w:val="clear" w:color="auto" w:fill="auto"/>
            <w:vAlign w:val="bottom"/>
          </w:tcPr>
          <w:p w14:paraId="50205120" w14:textId="77777777" w:rsidR="00C75CEE" w:rsidRPr="00C75CEE" w:rsidRDefault="00C75CEE" w:rsidP="00C75CEE">
            <w:pPr>
              <w:rPr>
                <w:color w:val="000000"/>
              </w:rPr>
            </w:pPr>
            <w:r w:rsidRPr="00C75CEE">
              <w:rPr>
                <w:color w:val="000000"/>
              </w:rPr>
              <w:t>Stoughton</w:t>
            </w:r>
          </w:p>
        </w:tc>
      </w:tr>
      <w:tr w:rsidR="00C75CEE" w:rsidRPr="00CF0CA7" w14:paraId="50205124" w14:textId="77777777" w:rsidTr="00133FCF">
        <w:trPr>
          <w:gridAfter w:val="1"/>
          <w:wAfter w:w="915" w:type="dxa"/>
          <w:trHeight w:val="288"/>
        </w:trPr>
        <w:tc>
          <w:tcPr>
            <w:tcW w:w="3256" w:type="dxa"/>
            <w:tcBorders>
              <w:top w:val="nil"/>
            </w:tcBorders>
            <w:shd w:val="clear" w:color="auto" w:fill="auto"/>
            <w:noWrap/>
            <w:vAlign w:val="bottom"/>
            <w:hideMark/>
          </w:tcPr>
          <w:p w14:paraId="50205122" w14:textId="77777777" w:rsidR="00C75CEE" w:rsidRPr="00C75CEE" w:rsidRDefault="00C75CEE" w:rsidP="00CF0CA7">
            <w:pPr>
              <w:rPr>
                <w:color w:val="000000"/>
              </w:rPr>
            </w:pPr>
            <w:r w:rsidRPr="00C75CEE">
              <w:rPr>
                <w:color w:val="000000"/>
              </w:rPr>
              <w:t>Cambridge</w:t>
            </w:r>
          </w:p>
        </w:tc>
        <w:tc>
          <w:tcPr>
            <w:tcW w:w="5313" w:type="dxa"/>
            <w:tcBorders>
              <w:top w:val="nil"/>
            </w:tcBorders>
            <w:shd w:val="clear" w:color="auto" w:fill="auto"/>
            <w:vAlign w:val="bottom"/>
          </w:tcPr>
          <w:p w14:paraId="50205123" w14:textId="77777777" w:rsidR="00C75CEE" w:rsidRPr="00C75CEE" w:rsidRDefault="00C75CEE" w:rsidP="00C75CEE">
            <w:pPr>
              <w:rPr>
                <w:color w:val="000000"/>
              </w:rPr>
            </w:pPr>
            <w:r w:rsidRPr="00C75CEE">
              <w:rPr>
                <w:color w:val="000000"/>
              </w:rPr>
              <w:t>Taunton</w:t>
            </w:r>
          </w:p>
        </w:tc>
      </w:tr>
      <w:tr w:rsidR="00C75CEE" w:rsidRPr="00CF0CA7" w14:paraId="50205127" w14:textId="77777777" w:rsidTr="00133FCF">
        <w:trPr>
          <w:gridAfter w:val="1"/>
          <w:wAfter w:w="915" w:type="dxa"/>
          <w:trHeight w:val="288"/>
        </w:trPr>
        <w:tc>
          <w:tcPr>
            <w:tcW w:w="3256" w:type="dxa"/>
            <w:tcBorders>
              <w:top w:val="nil"/>
            </w:tcBorders>
            <w:shd w:val="clear" w:color="auto" w:fill="auto"/>
            <w:noWrap/>
            <w:vAlign w:val="bottom"/>
            <w:hideMark/>
          </w:tcPr>
          <w:p w14:paraId="50205125" w14:textId="77777777" w:rsidR="00C75CEE" w:rsidRPr="00C75CEE" w:rsidRDefault="00C75CEE" w:rsidP="00CF0CA7">
            <w:pPr>
              <w:rPr>
                <w:color w:val="000000"/>
              </w:rPr>
            </w:pPr>
            <w:r w:rsidRPr="00C75CEE">
              <w:rPr>
                <w:color w:val="000000"/>
              </w:rPr>
              <w:t>Chelmsford</w:t>
            </w:r>
          </w:p>
        </w:tc>
        <w:tc>
          <w:tcPr>
            <w:tcW w:w="5313" w:type="dxa"/>
            <w:tcBorders>
              <w:top w:val="nil"/>
            </w:tcBorders>
            <w:shd w:val="clear" w:color="auto" w:fill="auto"/>
            <w:vAlign w:val="bottom"/>
          </w:tcPr>
          <w:p w14:paraId="50205126" w14:textId="77777777" w:rsidR="00C75CEE" w:rsidRPr="00C75CEE" w:rsidRDefault="00C75CEE" w:rsidP="00C75CEE">
            <w:pPr>
              <w:rPr>
                <w:color w:val="000000"/>
              </w:rPr>
            </w:pPr>
            <w:r w:rsidRPr="00C75CEE">
              <w:rPr>
                <w:color w:val="000000"/>
              </w:rPr>
              <w:t>Walpole</w:t>
            </w:r>
          </w:p>
        </w:tc>
      </w:tr>
      <w:tr w:rsidR="00C75CEE" w:rsidRPr="00CF0CA7" w14:paraId="5020512A" w14:textId="77777777" w:rsidTr="00133FCF">
        <w:trPr>
          <w:gridAfter w:val="1"/>
          <w:wAfter w:w="915" w:type="dxa"/>
          <w:trHeight w:val="288"/>
        </w:trPr>
        <w:tc>
          <w:tcPr>
            <w:tcW w:w="3256" w:type="dxa"/>
            <w:tcBorders>
              <w:top w:val="nil"/>
            </w:tcBorders>
            <w:shd w:val="clear" w:color="auto" w:fill="auto"/>
            <w:noWrap/>
            <w:vAlign w:val="bottom"/>
            <w:hideMark/>
          </w:tcPr>
          <w:p w14:paraId="50205128" w14:textId="77777777" w:rsidR="00C75CEE" w:rsidRPr="00C75CEE" w:rsidRDefault="00C75CEE" w:rsidP="00CF0CA7">
            <w:pPr>
              <w:rPr>
                <w:color w:val="000000"/>
              </w:rPr>
            </w:pPr>
            <w:r w:rsidRPr="00C75CEE">
              <w:rPr>
                <w:color w:val="000000"/>
              </w:rPr>
              <w:t>Chelsea</w:t>
            </w:r>
          </w:p>
        </w:tc>
        <w:tc>
          <w:tcPr>
            <w:tcW w:w="5313" w:type="dxa"/>
            <w:tcBorders>
              <w:top w:val="nil"/>
            </w:tcBorders>
            <w:shd w:val="clear" w:color="auto" w:fill="auto"/>
            <w:vAlign w:val="bottom"/>
          </w:tcPr>
          <w:p w14:paraId="50205129" w14:textId="77777777" w:rsidR="00C75CEE" w:rsidRPr="00C75CEE" w:rsidRDefault="00C75CEE" w:rsidP="00C75CEE">
            <w:pPr>
              <w:rPr>
                <w:color w:val="000000"/>
              </w:rPr>
            </w:pPr>
            <w:r w:rsidRPr="00C75CEE">
              <w:rPr>
                <w:color w:val="000000"/>
              </w:rPr>
              <w:t>Waltham</w:t>
            </w:r>
          </w:p>
        </w:tc>
      </w:tr>
      <w:tr w:rsidR="00C75CEE" w:rsidRPr="00CF0CA7" w14:paraId="5020512D" w14:textId="77777777" w:rsidTr="00133FCF">
        <w:trPr>
          <w:gridAfter w:val="1"/>
          <w:wAfter w:w="915" w:type="dxa"/>
          <w:trHeight w:val="288"/>
        </w:trPr>
        <w:tc>
          <w:tcPr>
            <w:tcW w:w="3256" w:type="dxa"/>
            <w:tcBorders>
              <w:top w:val="nil"/>
            </w:tcBorders>
            <w:shd w:val="clear" w:color="auto" w:fill="auto"/>
            <w:noWrap/>
            <w:vAlign w:val="bottom"/>
            <w:hideMark/>
          </w:tcPr>
          <w:p w14:paraId="5020512B" w14:textId="77777777" w:rsidR="00C75CEE" w:rsidRPr="00C75CEE" w:rsidRDefault="00C75CEE" w:rsidP="00CF0CA7">
            <w:pPr>
              <w:rPr>
                <w:color w:val="000000"/>
              </w:rPr>
            </w:pPr>
            <w:r w:rsidRPr="00C75CEE">
              <w:rPr>
                <w:color w:val="000000"/>
              </w:rPr>
              <w:t>Chicopee</w:t>
            </w:r>
          </w:p>
        </w:tc>
        <w:tc>
          <w:tcPr>
            <w:tcW w:w="5313" w:type="dxa"/>
            <w:tcBorders>
              <w:top w:val="nil"/>
            </w:tcBorders>
            <w:shd w:val="clear" w:color="auto" w:fill="auto"/>
            <w:vAlign w:val="bottom"/>
          </w:tcPr>
          <w:p w14:paraId="5020512C" w14:textId="77777777" w:rsidR="00C75CEE" w:rsidRPr="00C75CEE" w:rsidRDefault="00C75CEE" w:rsidP="00C75CEE">
            <w:pPr>
              <w:rPr>
                <w:color w:val="000000"/>
              </w:rPr>
            </w:pPr>
            <w:r w:rsidRPr="00C75CEE">
              <w:rPr>
                <w:color w:val="000000"/>
              </w:rPr>
              <w:t>Watertown</w:t>
            </w:r>
          </w:p>
        </w:tc>
      </w:tr>
      <w:tr w:rsidR="00C75CEE" w:rsidRPr="00CF0CA7" w14:paraId="50205130" w14:textId="77777777" w:rsidTr="00133FCF">
        <w:trPr>
          <w:gridAfter w:val="1"/>
          <w:wAfter w:w="915" w:type="dxa"/>
          <w:trHeight w:val="288"/>
        </w:trPr>
        <w:tc>
          <w:tcPr>
            <w:tcW w:w="3256" w:type="dxa"/>
            <w:tcBorders>
              <w:top w:val="nil"/>
            </w:tcBorders>
            <w:shd w:val="clear" w:color="auto" w:fill="auto"/>
            <w:noWrap/>
            <w:vAlign w:val="bottom"/>
            <w:hideMark/>
          </w:tcPr>
          <w:p w14:paraId="5020512E" w14:textId="77777777" w:rsidR="00C75CEE" w:rsidRPr="00C75CEE" w:rsidRDefault="00C75CEE" w:rsidP="00CF0CA7">
            <w:pPr>
              <w:rPr>
                <w:color w:val="000000"/>
              </w:rPr>
            </w:pPr>
            <w:r w:rsidRPr="00C75CEE">
              <w:rPr>
                <w:color w:val="000000"/>
              </w:rPr>
              <w:t>Clinton</w:t>
            </w:r>
          </w:p>
        </w:tc>
        <w:tc>
          <w:tcPr>
            <w:tcW w:w="5313" w:type="dxa"/>
            <w:tcBorders>
              <w:top w:val="nil"/>
            </w:tcBorders>
            <w:shd w:val="clear" w:color="auto" w:fill="auto"/>
            <w:vAlign w:val="bottom"/>
          </w:tcPr>
          <w:p w14:paraId="5020512F" w14:textId="77777777" w:rsidR="00C75CEE" w:rsidRPr="00C75CEE" w:rsidRDefault="00C75CEE" w:rsidP="00C75CEE">
            <w:pPr>
              <w:rPr>
                <w:color w:val="000000"/>
              </w:rPr>
            </w:pPr>
            <w:r w:rsidRPr="00C75CEE">
              <w:rPr>
                <w:color w:val="000000"/>
              </w:rPr>
              <w:t>Westborough</w:t>
            </w:r>
          </w:p>
        </w:tc>
      </w:tr>
      <w:tr w:rsidR="00C75CEE" w:rsidRPr="00CF0CA7" w14:paraId="50205133" w14:textId="77777777" w:rsidTr="00133FCF">
        <w:trPr>
          <w:gridAfter w:val="1"/>
          <w:wAfter w:w="915" w:type="dxa"/>
          <w:trHeight w:val="288"/>
        </w:trPr>
        <w:tc>
          <w:tcPr>
            <w:tcW w:w="3256" w:type="dxa"/>
            <w:tcBorders>
              <w:top w:val="nil"/>
            </w:tcBorders>
            <w:shd w:val="clear" w:color="auto" w:fill="auto"/>
            <w:noWrap/>
            <w:vAlign w:val="bottom"/>
            <w:hideMark/>
          </w:tcPr>
          <w:p w14:paraId="50205131" w14:textId="77777777" w:rsidR="00C75CEE" w:rsidRPr="00C75CEE" w:rsidRDefault="00C75CEE" w:rsidP="00CF0CA7">
            <w:pPr>
              <w:rPr>
                <w:color w:val="000000"/>
              </w:rPr>
            </w:pPr>
            <w:r w:rsidRPr="00C75CEE">
              <w:rPr>
                <w:color w:val="000000"/>
              </w:rPr>
              <w:t>Dartmouth</w:t>
            </w:r>
          </w:p>
        </w:tc>
        <w:tc>
          <w:tcPr>
            <w:tcW w:w="5313" w:type="dxa"/>
            <w:tcBorders>
              <w:top w:val="nil"/>
            </w:tcBorders>
            <w:shd w:val="clear" w:color="auto" w:fill="auto"/>
            <w:vAlign w:val="bottom"/>
          </w:tcPr>
          <w:p w14:paraId="50205132" w14:textId="77777777" w:rsidR="00C75CEE" w:rsidRPr="00C75CEE" w:rsidRDefault="00C75CEE" w:rsidP="00C75CEE">
            <w:pPr>
              <w:rPr>
                <w:color w:val="000000"/>
              </w:rPr>
            </w:pPr>
            <w:r w:rsidRPr="00C75CEE">
              <w:rPr>
                <w:color w:val="000000"/>
              </w:rPr>
              <w:t>Westfield</w:t>
            </w:r>
          </w:p>
        </w:tc>
      </w:tr>
      <w:tr w:rsidR="00C75CEE" w:rsidRPr="00CF0CA7" w14:paraId="50205136" w14:textId="77777777" w:rsidTr="00133FCF">
        <w:trPr>
          <w:gridAfter w:val="1"/>
          <w:wAfter w:w="915" w:type="dxa"/>
          <w:trHeight w:val="288"/>
        </w:trPr>
        <w:tc>
          <w:tcPr>
            <w:tcW w:w="3256" w:type="dxa"/>
            <w:tcBorders>
              <w:top w:val="nil"/>
            </w:tcBorders>
            <w:shd w:val="clear" w:color="auto" w:fill="auto"/>
            <w:noWrap/>
            <w:vAlign w:val="bottom"/>
            <w:hideMark/>
          </w:tcPr>
          <w:p w14:paraId="50205134" w14:textId="77777777" w:rsidR="00C75CEE" w:rsidRPr="00C75CEE" w:rsidRDefault="00C75CEE" w:rsidP="00CF0CA7">
            <w:pPr>
              <w:rPr>
                <w:color w:val="000000"/>
              </w:rPr>
            </w:pPr>
            <w:r w:rsidRPr="00C75CEE">
              <w:rPr>
                <w:color w:val="000000"/>
              </w:rPr>
              <w:t>Dedham</w:t>
            </w:r>
          </w:p>
        </w:tc>
        <w:tc>
          <w:tcPr>
            <w:tcW w:w="5313" w:type="dxa"/>
            <w:tcBorders>
              <w:top w:val="nil"/>
            </w:tcBorders>
            <w:shd w:val="clear" w:color="auto" w:fill="auto"/>
            <w:vAlign w:val="bottom"/>
          </w:tcPr>
          <w:p w14:paraId="50205135" w14:textId="77777777" w:rsidR="00C75CEE" w:rsidRPr="00C75CEE" w:rsidRDefault="00C75CEE" w:rsidP="00C75CEE">
            <w:pPr>
              <w:rPr>
                <w:color w:val="000000"/>
              </w:rPr>
            </w:pPr>
            <w:r w:rsidRPr="00C75CEE">
              <w:rPr>
                <w:color w:val="000000"/>
              </w:rPr>
              <w:t>West Springfield</w:t>
            </w:r>
          </w:p>
        </w:tc>
      </w:tr>
      <w:tr w:rsidR="00C75CEE" w:rsidRPr="00CF0CA7" w14:paraId="50205139" w14:textId="77777777" w:rsidTr="00133FCF">
        <w:trPr>
          <w:gridAfter w:val="1"/>
          <w:wAfter w:w="915" w:type="dxa"/>
          <w:trHeight w:val="288"/>
        </w:trPr>
        <w:tc>
          <w:tcPr>
            <w:tcW w:w="3256" w:type="dxa"/>
            <w:tcBorders>
              <w:top w:val="nil"/>
            </w:tcBorders>
            <w:shd w:val="clear" w:color="auto" w:fill="auto"/>
            <w:noWrap/>
            <w:vAlign w:val="bottom"/>
            <w:hideMark/>
          </w:tcPr>
          <w:p w14:paraId="50205137" w14:textId="77777777" w:rsidR="00C75CEE" w:rsidRPr="00C75CEE" w:rsidRDefault="00C75CEE" w:rsidP="00CF0CA7">
            <w:pPr>
              <w:rPr>
                <w:color w:val="000000"/>
              </w:rPr>
            </w:pPr>
            <w:r w:rsidRPr="00C75CEE">
              <w:rPr>
                <w:color w:val="000000"/>
              </w:rPr>
              <w:t>Everett</w:t>
            </w:r>
          </w:p>
        </w:tc>
        <w:tc>
          <w:tcPr>
            <w:tcW w:w="5313" w:type="dxa"/>
            <w:tcBorders>
              <w:top w:val="nil"/>
            </w:tcBorders>
            <w:shd w:val="clear" w:color="auto" w:fill="auto"/>
            <w:vAlign w:val="bottom"/>
          </w:tcPr>
          <w:p w14:paraId="50205138" w14:textId="77777777" w:rsidR="00C75CEE" w:rsidRPr="00C75CEE" w:rsidRDefault="00C75CEE" w:rsidP="00C75CEE">
            <w:pPr>
              <w:rPr>
                <w:color w:val="000000"/>
              </w:rPr>
            </w:pPr>
            <w:r w:rsidRPr="00C75CEE">
              <w:rPr>
                <w:color w:val="000000"/>
              </w:rPr>
              <w:t>Weymouth</w:t>
            </w:r>
          </w:p>
        </w:tc>
      </w:tr>
      <w:tr w:rsidR="00C75CEE" w:rsidRPr="00CF0CA7" w14:paraId="5020513C" w14:textId="77777777" w:rsidTr="00133FCF">
        <w:trPr>
          <w:gridAfter w:val="1"/>
          <w:wAfter w:w="915" w:type="dxa"/>
          <w:trHeight w:val="288"/>
        </w:trPr>
        <w:tc>
          <w:tcPr>
            <w:tcW w:w="3256" w:type="dxa"/>
            <w:tcBorders>
              <w:top w:val="nil"/>
            </w:tcBorders>
            <w:shd w:val="clear" w:color="auto" w:fill="auto"/>
            <w:noWrap/>
            <w:vAlign w:val="bottom"/>
            <w:hideMark/>
          </w:tcPr>
          <w:p w14:paraId="5020513A" w14:textId="77777777" w:rsidR="00C75CEE" w:rsidRPr="00C75CEE" w:rsidRDefault="00C75CEE" w:rsidP="00CF0CA7">
            <w:pPr>
              <w:rPr>
                <w:color w:val="000000"/>
              </w:rPr>
            </w:pPr>
            <w:r w:rsidRPr="00C75CEE">
              <w:rPr>
                <w:color w:val="000000"/>
              </w:rPr>
              <w:t>Fall River</w:t>
            </w:r>
          </w:p>
        </w:tc>
        <w:tc>
          <w:tcPr>
            <w:tcW w:w="5313" w:type="dxa"/>
            <w:tcBorders>
              <w:top w:val="nil"/>
            </w:tcBorders>
            <w:shd w:val="clear" w:color="auto" w:fill="auto"/>
            <w:vAlign w:val="bottom"/>
          </w:tcPr>
          <w:p w14:paraId="5020513B" w14:textId="77777777" w:rsidR="00C75CEE" w:rsidRPr="00C75CEE" w:rsidRDefault="00C75CEE" w:rsidP="00C75CEE">
            <w:pPr>
              <w:rPr>
                <w:color w:val="000000"/>
              </w:rPr>
            </w:pPr>
            <w:r w:rsidRPr="00C75CEE">
              <w:rPr>
                <w:color w:val="000000"/>
              </w:rPr>
              <w:t>Winchester</w:t>
            </w:r>
          </w:p>
        </w:tc>
      </w:tr>
      <w:tr w:rsidR="00C75CEE" w:rsidRPr="00CF0CA7" w14:paraId="5020513F" w14:textId="77777777" w:rsidTr="00133FCF">
        <w:trPr>
          <w:gridAfter w:val="1"/>
          <w:wAfter w:w="915" w:type="dxa"/>
          <w:trHeight w:val="288"/>
        </w:trPr>
        <w:tc>
          <w:tcPr>
            <w:tcW w:w="3256" w:type="dxa"/>
            <w:tcBorders>
              <w:top w:val="nil"/>
            </w:tcBorders>
            <w:shd w:val="clear" w:color="auto" w:fill="auto"/>
            <w:noWrap/>
            <w:vAlign w:val="bottom"/>
            <w:hideMark/>
          </w:tcPr>
          <w:p w14:paraId="5020513D" w14:textId="77777777" w:rsidR="00C75CEE" w:rsidRPr="00C75CEE" w:rsidRDefault="00C75CEE" w:rsidP="00CF0CA7">
            <w:pPr>
              <w:rPr>
                <w:color w:val="000000"/>
              </w:rPr>
            </w:pPr>
            <w:r w:rsidRPr="00C75CEE">
              <w:rPr>
                <w:color w:val="000000"/>
              </w:rPr>
              <w:t>Fitchburg</w:t>
            </w:r>
          </w:p>
        </w:tc>
        <w:tc>
          <w:tcPr>
            <w:tcW w:w="5313" w:type="dxa"/>
            <w:tcBorders>
              <w:top w:val="nil"/>
            </w:tcBorders>
            <w:shd w:val="clear" w:color="auto" w:fill="auto"/>
            <w:vAlign w:val="bottom"/>
          </w:tcPr>
          <w:p w14:paraId="5020513E" w14:textId="77777777" w:rsidR="00C75CEE" w:rsidRPr="00C75CEE" w:rsidRDefault="00C75CEE" w:rsidP="00C75CEE">
            <w:pPr>
              <w:rPr>
                <w:color w:val="000000"/>
              </w:rPr>
            </w:pPr>
            <w:r w:rsidRPr="00C75CEE">
              <w:rPr>
                <w:color w:val="000000"/>
              </w:rPr>
              <w:t>Winthrop</w:t>
            </w:r>
          </w:p>
        </w:tc>
      </w:tr>
      <w:tr w:rsidR="00C75CEE" w:rsidRPr="00CF0CA7" w14:paraId="50205142" w14:textId="77777777" w:rsidTr="00133FCF">
        <w:trPr>
          <w:gridAfter w:val="1"/>
          <w:wAfter w:w="915" w:type="dxa"/>
          <w:trHeight w:val="288"/>
        </w:trPr>
        <w:tc>
          <w:tcPr>
            <w:tcW w:w="3256" w:type="dxa"/>
            <w:tcBorders>
              <w:top w:val="nil"/>
            </w:tcBorders>
            <w:shd w:val="clear" w:color="auto" w:fill="auto"/>
            <w:noWrap/>
            <w:vAlign w:val="bottom"/>
            <w:hideMark/>
          </w:tcPr>
          <w:p w14:paraId="50205140" w14:textId="77777777" w:rsidR="00C75CEE" w:rsidRPr="00C75CEE" w:rsidRDefault="00C75CEE" w:rsidP="00CF0CA7">
            <w:pPr>
              <w:rPr>
                <w:color w:val="000000"/>
              </w:rPr>
            </w:pPr>
            <w:r w:rsidRPr="00C75CEE">
              <w:rPr>
                <w:color w:val="000000"/>
              </w:rPr>
              <w:t>Framingham</w:t>
            </w:r>
          </w:p>
        </w:tc>
        <w:tc>
          <w:tcPr>
            <w:tcW w:w="5313" w:type="dxa"/>
            <w:tcBorders>
              <w:top w:val="nil"/>
            </w:tcBorders>
            <w:shd w:val="clear" w:color="auto" w:fill="auto"/>
            <w:vAlign w:val="bottom"/>
          </w:tcPr>
          <w:p w14:paraId="50205141" w14:textId="77777777" w:rsidR="00C75CEE" w:rsidRPr="00C75CEE" w:rsidRDefault="00C75CEE" w:rsidP="00C75CEE">
            <w:pPr>
              <w:rPr>
                <w:color w:val="000000"/>
              </w:rPr>
            </w:pPr>
            <w:r w:rsidRPr="00C75CEE">
              <w:rPr>
                <w:color w:val="000000"/>
              </w:rPr>
              <w:t>Woburn</w:t>
            </w:r>
          </w:p>
        </w:tc>
      </w:tr>
      <w:tr w:rsidR="00C75CEE" w:rsidRPr="00CF0CA7" w14:paraId="50205145" w14:textId="77777777" w:rsidTr="00133FCF">
        <w:trPr>
          <w:gridAfter w:val="1"/>
          <w:wAfter w:w="915" w:type="dxa"/>
          <w:trHeight w:val="288"/>
        </w:trPr>
        <w:tc>
          <w:tcPr>
            <w:tcW w:w="3256" w:type="dxa"/>
            <w:tcBorders>
              <w:top w:val="nil"/>
            </w:tcBorders>
            <w:shd w:val="clear" w:color="auto" w:fill="auto"/>
            <w:noWrap/>
            <w:vAlign w:val="bottom"/>
            <w:hideMark/>
          </w:tcPr>
          <w:p w14:paraId="50205143" w14:textId="77777777" w:rsidR="00C75CEE" w:rsidRPr="00C75CEE" w:rsidRDefault="00C75CEE" w:rsidP="00CF0CA7">
            <w:pPr>
              <w:rPr>
                <w:color w:val="000000"/>
              </w:rPr>
            </w:pPr>
            <w:r w:rsidRPr="00C75CEE">
              <w:rPr>
                <w:color w:val="000000"/>
              </w:rPr>
              <w:t>Gardner</w:t>
            </w:r>
          </w:p>
        </w:tc>
        <w:tc>
          <w:tcPr>
            <w:tcW w:w="5313" w:type="dxa"/>
            <w:tcBorders>
              <w:top w:val="nil"/>
            </w:tcBorders>
            <w:shd w:val="clear" w:color="auto" w:fill="auto"/>
            <w:vAlign w:val="bottom"/>
          </w:tcPr>
          <w:p w14:paraId="50205144" w14:textId="77777777" w:rsidR="00C75CEE" w:rsidRPr="00C75CEE" w:rsidRDefault="00C75CEE" w:rsidP="00C75CEE">
            <w:pPr>
              <w:rPr>
                <w:color w:val="000000"/>
              </w:rPr>
            </w:pPr>
            <w:r w:rsidRPr="00C75CEE">
              <w:rPr>
                <w:color w:val="000000"/>
              </w:rPr>
              <w:t>Worcester</w:t>
            </w:r>
          </w:p>
        </w:tc>
      </w:tr>
      <w:tr w:rsidR="00C75CEE" w:rsidRPr="00CF0CA7" w14:paraId="50205148" w14:textId="77777777" w:rsidTr="00133FCF">
        <w:trPr>
          <w:gridAfter w:val="1"/>
          <w:wAfter w:w="915" w:type="dxa"/>
          <w:trHeight w:val="288"/>
        </w:trPr>
        <w:tc>
          <w:tcPr>
            <w:tcW w:w="3256" w:type="dxa"/>
            <w:tcBorders>
              <w:top w:val="nil"/>
            </w:tcBorders>
            <w:shd w:val="clear" w:color="auto" w:fill="auto"/>
            <w:noWrap/>
            <w:vAlign w:val="bottom"/>
            <w:hideMark/>
          </w:tcPr>
          <w:p w14:paraId="50205146" w14:textId="77777777" w:rsidR="00C75CEE" w:rsidRPr="00C75CEE" w:rsidRDefault="00C75CEE" w:rsidP="00CF0CA7">
            <w:pPr>
              <w:rPr>
                <w:color w:val="000000"/>
              </w:rPr>
            </w:pPr>
            <w:r w:rsidRPr="00C75CEE">
              <w:rPr>
                <w:color w:val="000000"/>
              </w:rPr>
              <w:t>Haverhill</w:t>
            </w:r>
          </w:p>
        </w:tc>
        <w:tc>
          <w:tcPr>
            <w:tcW w:w="5313" w:type="dxa"/>
            <w:tcBorders>
              <w:top w:val="nil"/>
            </w:tcBorders>
            <w:shd w:val="clear" w:color="auto" w:fill="auto"/>
            <w:vAlign w:val="bottom"/>
          </w:tcPr>
          <w:p w14:paraId="50205147" w14:textId="77777777" w:rsidR="00C75CEE" w:rsidRPr="00C75CEE" w:rsidRDefault="00C75CEE" w:rsidP="00133FCF">
            <w:pPr>
              <w:rPr>
                <w:color w:val="000000"/>
              </w:rPr>
            </w:pPr>
            <w:r w:rsidRPr="00C75CEE">
              <w:rPr>
                <w:color w:val="000000"/>
              </w:rPr>
              <w:t xml:space="preserve">Lawrence Family Development </w:t>
            </w:r>
            <w:r w:rsidR="00133FCF">
              <w:rPr>
                <w:color w:val="000000"/>
              </w:rPr>
              <w:t>Charter</w:t>
            </w:r>
          </w:p>
        </w:tc>
      </w:tr>
      <w:tr w:rsidR="00C75CEE" w:rsidRPr="00CF0CA7" w14:paraId="5020514B" w14:textId="77777777" w:rsidTr="00133FCF">
        <w:trPr>
          <w:gridAfter w:val="1"/>
          <w:wAfter w:w="915" w:type="dxa"/>
          <w:trHeight w:val="288"/>
        </w:trPr>
        <w:tc>
          <w:tcPr>
            <w:tcW w:w="3256" w:type="dxa"/>
            <w:tcBorders>
              <w:top w:val="nil"/>
            </w:tcBorders>
            <w:shd w:val="clear" w:color="auto" w:fill="auto"/>
            <w:noWrap/>
            <w:vAlign w:val="bottom"/>
            <w:hideMark/>
          </w:tcPr>
          <w:p w14:paraId="50205149" w14:textId="77777777" w:rsidR="00C75CEE" w:rsidRPr="00C75CEE" w:rsidRDefault="00C75CEE" w:rsidP="00CF0CA7">
            <w:pPr>
              <w:rPr>
                <w:color w:val="000000"/>
              </w:rPr>
            </w:pPr>
            <w:r w:rsidRPr="00C75CEE">
              <w:rPr>
                <w:color w:val="000000"/>
              </w:rPr>
              <w:t>Holyoke</w:t>
            </w:r>
          </w:p>
        </w:tc>
        <w:tc>
          <w:tcPr>
            <w:tcW w:w="5313" w:type="dxa"/>
            <w:tcBorders>
              <w:top w:val="nil"/>
            </w:tcBorders>
            <w:shd w:val="clear" w:color="auto" w:fill="auto"/>
            <w:vAlign w:val="bottom"/>
          </w:tcPr>
          <w:p w14:paraId="5020514A" w14:textId="77777777" w:rsidR="00C75CEE" w:rsidRPr="00C75CEE" w:rsidRDefault="00C75CEE" w:rsidP="00C75CEE">
            <w:pPr>
              <w:rPr>
                <w:color w:val="000000"/>
              </w:rPr>
            </w:pPr>
            <w:r w:rsidRPr="00C75CEE">
              <w:rPr>
                <w:color w:val="000000"/>
              </w:rPr>
              <w:t>Lowell Comm</w:t>
            </w:r>
            <w:r w:rsidR="00133FCF">
              <w:rPr>
                <w:color w:val="000000"/>
              </w:rPr>
              <w:t>unity</w:t>
            </w:r>
            <w:r w:rsidRPr="00C75CEE">
              <w:rPr>
                <w:color w:val="000000"/>
              </w:rPr>
              <w:t xml:space="preserve"> Charter</w:t>
            </w:r>
          </w:p>
        </w:tc>
      </w:tr>
      <w:tr w:rsidR="00C75CEE" w:rsidRPr="00CF0CA7" w14:paraId="5020514E" w14:textId="77777777" w:rsidTr="00133FCF">
        <w:trPr>
          <w:gridAfter w:val="1"/>
          <w:wAfter w:w="915" w:type="dxa"/>
          <w:trHeight w:val="288"/>
        </w:trPr>
        <w:tc>
          <w:tcPr>
            <w:tcW w:w="3256" w:type="dxa"/>
            <w:tcBorders>
              <w:top w:val="nil"/>
            </w:tcBorders>
            <w:shd w:val="clear" w:color="auto" w:fill="auto"/>
            <w:noWrap/>
            <w:vAlign w:val="bottom"/>
            <w:hideMark/>
          </w:tcPr>
          <w:p w14:paraId="5020514C" w14:textId="77777777" w:rsidR="00C75CEE" w:rsidRPr="00C75CEE" w:rsidRDefault="00C75CEE" w:rsidP="00CF0CA7">
            <w:pPr>
              <w:rPr>
                <w:color w:val="000000"/>
              </w:rPr>
            </w:pPr>
            <w:r w:rsidRPr="00C75CEE">
              <w:rPr>
                <w:color w:val="000000"/>
              </w:rPr>
              <w:t>Hudson</w:t>
            </w:r>
          </w:p>
        </w:tc>
        <w:tc>
          <w:tcPr>
            <w:tcW w:w="5313" w:type="dxa"/>
            <w:tcBorders>
              <w:top w:val="nil"/>
            </w:tcBorders>
            <w:shd w:val="clear" w:color="auto" w:fill="auto"/>
            <w:vAlign w:val="bottom"/>
          </w:tcPr>
          <w:p w14:paraId="5020514D" w14:textId="77777777" w:rsidR="00C75CEE" w:rsidRPr="00C75CEE" w:rsidRDefault="00C75CEE" w:rsidP="00C75CEE">
            <w:pPr>
              <w:rPr>
                <w:color w:val="000000"/>
              </w:rPr>
            </w:pPr>
            <w:r w:rsidRPr="00C75CEE">
              <w:rPr>
                <w:color w:val="000000"/>
              </w:rPr>
              <w:t>MATCH</w:t>
            </w:r>
            <w:r w:rsidR="00133FCF">
              <w:rPr>
                <w:color w:val="000000"/>
              </w:rPr>
              <w:t xml:space="preserve"> </w:t>
            </w:r>
            <w:r w:rsidR="00133FCF" w:rsidRPr="00D03692">
              <w:t>Community Day Charter</w:t>
            </w:r>
          </w:p>
        </w:tc>
      </w:tr>
      <w:tr w:rsidR="00C75CEE" w:rsidRPr="00CF0CA7" w14:paraId="50205151" w14:textId="77777777" w:rsidTr="00133FCF">
        <w:trPr>
          <w:gridAfter w:val="1"/>
          <w:wAfter w:w="915" w:type="dxa"/>
          <w:trHeight w:val="288"/>
        </w:trPr>
        <w:tc>
          <w:tcPr>
            <w:tcW w:w="3256" w:type="dxa"/>
            <w:tcBorders>
              <w:top w:val="nil"/>
            </w:tcBorders>
            <w:shd w:val="clear" w:color="auto" w:fill="auto"/>
            <w:noWrap/>
            <w:vAlign w:val="bottom"/>
            <w:hideMark/>
          </w:tcPr>
          <w:p w14:paraId="5020514F" w14:textId="77777777" w:rsidR="00C75CEE" w:rsidRPr="00C75CEE" w:rsidRDefault="00C75CEE" w:rsidP="00CF0CA7">
            <w:pPr>
              <w:rPr>
                <w:color w:val="000000"/>
              </w:rPr>
            </w:pPr>
            <w:r w:rsidRPr="00C75CEE">
              <w:rPr>
                <w:color w:val="000000"/>
              </w:rPr>
              <w:t>Lawrence</w:t>
            </w:r>
          </w:p>
        </w:tc>
        <w:tc>
          <w:tcPr>
            <w:tcW w:w="5313" w:type="dxa"/>
            <w:tcBorders>
              <w:top w:val="nil"/>
            </w:tcBorders>
            <w:shd w:val="clear" w:color="auto" w:fill="auto"/>
            <w:vAlign w:val="bottom"/>
          </w:tcPr>
          <w:p w14:paraId="50205150" w14:textId="77777777" w:rsidR="00C75CEE" w:rsidRPr="00C75CEE" w:rsidRDefault="00C75CEE" w:rsidP="00133FCF">
            <w:pPr>
              <w:rPr>
                <w:color w:val="000000"/>
              </w:rPr>
            </w:pPr>
            <w:r w:rsidRPr="00C75CEE">
              <w:rPr>
                <w:color w:val="000000"/>
              </w:rPr>
              <w:t>Seven Hills Charter</w:t>
            </w:r>
          </w:p>
        </w:tc>
      </w:tr>
      <w:tr w:rsidR="00C75CEE" w:rsidRPr="00CF0CA7" w14:paraId="50205154" w14:textId="77777777" w:rsidTr="00133FCF">
        <w:trPr>
          <w:gridAfter w:val="1"/>
          <w:wAfter w:w="915" w:type="dxa"/>
          <w:trHeight w:val="288"/>
        </w:trPr>
        <w:tc>
          <w:tcPr>
            <w:tcW w:w="3256" w:type="dxa"/>
            <w:tcBorders>
              <w:top w:val="nil"/>
            </w:tcBorders>
            <w:shd w:val="clear" w:color="auto" w:fill="auto"/>
            <w:noWrap/>
            <w:vAlign w:val="bottom"/>
            <w:hideMark/>
          </w:tcPr>
          <w:p w14:paraId="50205152" w14:textId="77777777" w:rsidR="00C75CEE" w:rsidRPr="00C75CEE" w:rsidRDefault="00C75CEE" w:rsidP="00CF0CA7">
            <w:pPr>
              <w:rPr>
                <w:color w:val="000000"/>
              </w:rPr>
            </w:pPr>
            <w:r w:rsidRPr="00C75CEE">
              <w:rPr>
                <w:color w:val="000000"/>
              </w:rPr>
              <w:t>Leominster</w:t>
            </w:r>
          </w:p>
        </w:tc>
        <w:tc>
          <w:tcPr>
            <w:tcW w:w="5313" w:type="dxa"/>
            <w:tcBorders>
              <w:top w:val="nil"/>
            </w:tcBorders>
            <w:shd w:val="clear" w:color="auto" w:fill="auto"/>
            <w:vAlign w:val="bottom"/>
          </w:tcPr>
          <w:p w14:paraId="50205153" w14:textId="77777777" w:rsidR="00C75CEE" w:rsidRPr="00C75CEE" w:rsidRDefault="00C75CEE" w:rsidP="00133FCF">
            <w:pPr>
              <w:rPr>
                <w:color w:val="000000"/>
              </w:rPr>
            </w:pPr>
            <w:r w:rsidRPr="00C75CEE">
              <w:rPr>
                <w:color w:val="000000"/>
              </w:rPr>
              <w:t>Prospect Hill Academy Charter</w:t>
            </w:r>
          </w:p>
        </w:tc>
      </w:tr>
      <w:tr w:rsidR="00C75CEE" w:rsidRPr="00CF0CA7" w14:paraId="50205157" w14:textId="77777777" w:rsidTr="00133FCF">
        <w:trPr>
          <w:gridAfter w:val="1"/>
          <w:wAfter w:w="915" w:type="dxa"/>
          <w:trHeight w:val="288"/>
        </w:trPr>
        <w:tc>
          <w:tcPr>
            <w:tcW w:w="3256" w:type="dxa"/>
            <w:tcBorders>
              <w:top w:val="nil"/>
            </w:tcBorders>
            <w:shd w:val="clear" w:color="auto" w:fill="auto"/>
            <w:noWrap/>
            <w:vAlign w:val="bottom"/>
            <w:hideMark/>
          </w:tcPr>
          <w:p w14:paraId="50205155" w14:textId="77777777" w:rsidR="00C75CEE" w:rsidRPr="00C75CEE" w:rsidRDefault="00C75CEE" w:rsidP="00CF0CA7">
            <w:pPr>
              <w:rPr>
                <w:color w:val="000000"/>
              </w:rPr>
            </w:pPr>
            <w:r w:rsidRPr="00C75CEE">
              <w:rPr>
                <w:color w:val="000000"/>
              </w:rPr>
              <w:t>Lexington</w:t>
            </w:r>
          </w:p>
        </w:tc>
        <w:tc>
          <w:tcPr>
            <w:tcW w:w="5313" w:type="dxa"/>
            <w:tcBorders>
              <w:top w:val="nil"/>
            </w:tcBorders>
            <w:shd w:val="clear" w:color="auto" w:fill="auto"/>
            <w:vAlign w:val="bottom"/>
          </w:tcPr>
          <w:p w14:paraId="50205156" w14:textId="77777777" w:rsidR="00C75CEE" w:rsidRPr="00C75CEE" w:rsidRDefault="00C75CEE" w:rsidP="00C75CEE">
            <w:pPr>
              <w:rPr>
                <w:color w:val="000000"/>
              </w:rPr>
            </w:pPr>
            <w:r w:rsidRPr="00C75CEE">
              <w:rPr>
                <w:color w:val="000000"/>
              </w:rPr>
              <w:t>Dennis-Yarmouth</w:t>
            </w:r>
          </w:p>
        </w:tc>
      </w:tr>
      <w:tr w:rsidR="00C75CEE" w:rsidRPr="00CF0CA7" w14:paraId="5020515A" w14:textId="77777777" w:rsidTr="00133FCF">
        <w:trPr>
          <w:gridAfter w:val="1"/>
          <w:wAfter w:w="915" w:type="dxa"/>
          <w:trHeight w:val="288"/>
        </w:trPr>
        <w:tc>
          <w:tcPr>
            <w:tcW w:w="3256" w:type="dxa"/>
            <w:tcBorders>
              <w:top w:val="nil"/>
            </w:tcBorders>
            <w:shd w:val="clear" w:color="auto" w:fill="auto"/>
            <w:noWrap/>
            <w:vAlign w:val="bottom"/>
            <w:hideMark/>
          </w:tcPr>
          <w:p w14:paraId="50205158" w14:textId="77777777" w:rsidR="00C75CEE" w:rsidRPr="00C75CEE" w:rsidRDefault="00C75CEE" w:rsidP="00CF0CA7">
            <w:pPr>
              <w:rPr>
                <w:color w:val="000000"/>
              </w:rPr>
            </w:pPr>
            <w:r w:rsidRPr="00C75CEE">
              <w:rPr>
                <w:color w:val="000000"/>
              </w:rPr>
              <w:t>Lowell</w:t>
            </w:r>
          </w:p>
        </w:tc>
        <w:tc>
          <w:tcPr>
            <w:tcW w:w="5313" w:type="dxa"/>
            <w:tcBorders>
              <w:top w:val="nil"/>
            </w:tcBorders>
            <w:shd w:val="clear" w:color="auto" w:fill="auto"/>
            <w:vAlign w:val="bottom"/>
          </w:tcPr>
          <w:p w14:paraId="50205159" w14:textId="77777777" w:rsidR="00C75CEE" w:rsidRPr="00C75CEE" w:rsidRDefault="00C75CEE" w:rsidP="00C75CEE">
            <w:pPr>
              <w:rPr>
                <w:color w:val="000000"/>
              </w:rPr>
            </w:pPr>
            <w:r w:rsidRPr="00C75CEE">
              <w:rPr>
                <w:color w:val="000000"/>
              </w:rPr>
              <w:t>Wachusett</w:t>
            </w:r>
            <w:r w:rsidR="008D5CAB">
              <w:rPr>
                <w:color w:val="000000"/>
              </w:rPr>
              <w:t xml:space="preserve"> Regional</w:t>
            </w:r>
          </w:p>
        </w:tc>
      </w:tr>
      <w:tr w:rsidR="00C75CEE" w:rsidRPr="00CF0CA7" w14:paraId="5020515D" w14:textId="77777777" w:rsidTr="00133FCF">
        <w:trPr>
          <w:gridAfter w:val="1"/>
          <w:wAfter w:w="915" w:type="dxa"/>
          <w:trHeight w:val="288"/>
        </w:trPr>
        <w:tc>
          <w:tcPr>
            <w:tcW w:w="3256" w:type="dxa"/>
            <w:tcBorders>
              <w:top w:val="nil"/>
            </w:tcBorders>
            <w:shd w:val="clear" w:color="auto" w:fill="auto"/>
            <w:noWrap/>
            <w:vAlign w:val="bottom"/>
            <w:hideMark/>
          </w:tcPr>
          <w:p w14:paraId="5020515B" w14:textId="77777777" w:rsidR="00C75CEE" w:rsidRPr="00C75CEE" w:rsidRDefault="00C75CEE" w:rsidP="00CF0CA7">
            <w:pPr>
              <w:rPr>
                <w:color w:val="000000"/>
              </w:rPr>
            </w:pPr>
            <w:r w:rsidRPr="00C75CEE">
              <w:rPr>
                <w:color w:val="000000"/>
              </w:rPr>
              <w:t>Lynn</w:t>
            </w:r>
          </w:p>
        </w:tc>
        <w:tc>
          <w:tcPr>
            <w:tcW w:w="5313" w:type="dxa"/>
            <w:tcBorders>
              <w:top w:val="nil"/>
            </w:tcBorders>
            <w:shd w:val="clear" w:color="auto" w:fill="auto"/>
            <w:vAlign w:val="bottom"/>
          </w:tcPr>
          <w:p w14:paraId="5020515C" w14:textId="77777777" w:rsidR="00C75CEE" w:rsidRPr="00C75CEE" w:rsidRDefault="00C75CEE" w:rsidP="00C75CEE">
            <w:pPr>
              <w:rPr>
                <w:color w:val="000000"/>
              </w:rPr>
            </w:pPr>
            <w:r w:rsidRPr="00C75CEE">
              <w:rPr>
                <w:color w:val="000000"/>
              </w:rPr>
              <w:t>Greater Lowell Regional Vocational Technical</w:t>
            </w:r>
          </w:p>
        </w:tc>
      </w:tr>
      <w:tr w:rsidR="00C75CEE" w:rsidRPr="00CF0CA7" w14:paraId="50205160" w14:textId="77777777" w:rsidTr="00133FCF">
        <w:trPr>
          <w:gridAfter w:val="1"/>
          <w:wAfter w:w="915" w:type="dxa"/>
          <w:trHeight w:val="288"/>
        </w:trPr>
        <w:tc>
          <w:tcPr>
            <w:tcW w:w="3256" w:type="dxa"/>
            <w:tcBorders>
              <w:top w:val="nil"/>
            </w:tcBorders>
            <w:shd w:val="clear" w:color="auto" w:fill="auto"/>
            <w:noWrap/>
            <w:vAlign w:val="bottom"/>
            <w:hideMark/>
          </w:tcPr>
          <w:p w14:paraId="5020515E" w14:textId="77777777" w:rsidR="00C75CEE" w:rsidRPr="00C75CEE" w:rsidRDefault="00C75CEE" w:rsidP="00CF0CA7">
            <w:pPr>
              <w:rPr>
                <w:color w:val="000000"/>
              </w:rPr>
            </w:pPr>
            <w:r w:rsidRPr="00C75CEE">
              <w:rPr>
                <w:color w:val="000000"/>
              </w:rPr>
              <w:t>Malden</w:t>
            </w:r>
          </w:p>
        </w:tc>
        <w:tc>
          <w:tcPr>
            <w:tcW w:w="5313" w:type="dxa"/>
            <w:tcBorders>
              <w:top w:val="nil"/>
            </w:tcBorders>
            <w:shd w:val="clear" w:color="auto" w:fill="auto"/>
            <w:vAlign w:val="bottom"/>
          </w:tcPr>
          <w:p w14:paraId="5020515F" w14:textId="77777777" w:rsidR="00C75CEE" w:rsidRPr="00C75CEE" w:rsidRDefault="00133FCF" w:rsidP="00C75CEE">
            <w:pPr>
              <w:rPr>
                <w:color w:val="000000"/>
              </w:rPr>
            </w:pPr>
            <w:r w:rsidRPr="00D03692">
              <w:t>North River Collaborative</w:t>
            </w:r>
          </w:p>
        </w:tc>
      </w:tr>
      <w:tr w:rsidR="00133FCF" w:rsidRPr="00CF0CA7" w14:paraId="50205163" w14:textId="77777777" w:rsidTr="00133FCF">
        <w:trPr>
          <w:gridAfter w:val="1"/>
          <w:wAfter w:w="915" w:type="dxa"/>
          <w:trHeight w:val="288"/>
        </w:trPr>
        <w:tc>
          <w:tcPr>
            <w:tcW w:w="3256" w:type="dxa"/>
            <w:tcBorders>
              <w:top w:val="nil"/>
            </w:tcBorders>
            <w:shd w:val="clear" w:color="auto" w:fill="auto"/>
            <w:noWrap/>
            <w:vAlign w:val="bottom"/>
            <w:hideMark/>
          </w:tcPr>
          <w:p w14:paraId="50205161" w14:textId="77777777" w:rsidR="00133FCF" w:rsidRPr="00C75CEE" w:rsidRDefault="00133FCF" w:rsidP="00CF0CA7">
            <w:pPr>
              <w:rPr>
                <w:color w:val="000000"/>
              </w:rPr>
            </w:pPr>
            <w:r w:rsidRPr="00C75CEE">
              <w:rPr>
                <w:color w:val="000000"/>
              </w:rPr>
              <w:t>Marlborough</w:t>
            </w:r>
          </w:p>
        </w:tc>
        <w:tc>
          <w:tcPr>
            <w:tcW w:w="5313" w:type="dxa"/>
            <w:tcBorders>
              <w:top w:val="nil"/>
            </w:tcBorders>
            <w:shd w:val="clear" w:color="auto" w:fill="auto"/>
            <w:vAlign w:val="bottom"/>
          </w:tcPr>
          <w:p w14:paraId="50205162" w14:textId="77777777" w:rsidR="00133FCF" w:rsidRPr="00D03692" w:rsidRDefault="00133FCF" w:rsidP="00BC5C42">
            <w:r w:rsidRPr="00D03692">
              <w:t>Collaborative for Educational Services</w:t>
            </w:r>
          </w:p>
        </w:tc>
      </w:tr>
      <w:tr w:rsidR="00C75CEE" w:rsidRPr="00CF0CA7" w14:paraId="50205166" w14:textId="77777777" w:rsidTr="00133FCF">
        <w:trPr>
          <w:gridAfter w:val="1"/>
          <w:wAfter w:w="915" w:type="dxa"/>
          <w:trHeight w:val="288"/>
        </w:trPr>
        <w:tc>
          <w:tcPr>
            <w:tcW w:w="3256" w:type="dxa"/>
            <w:tcBorders>
              <w:top w:val="nil"/>
            </w:tcBorders>
            <w:shd w:val="clear" w:color="auto" w:fill="auto"/>
            <w:noWrap/>
            <w:vAlign w:val="bottom"/>
            <w:hideMark/>
          </w:tcPr>
          <w:p w14:paraId="50205164" w14:textId="77777777" w:rsidR="00C75CEE" w:rsidRPr="00C75CEE" w:rsidRDefault="00C75CEE" w:rsidP="00CF0CA7">
            <w:pPr>
              <w:rPr>
                <w:color w:val="000000"/>
              </w:rPr>
            </w:pPr>
            <w:r w:rsidRPr="00C75CEE">
              <w:rPr>
                <w:color w:val="000000"/>
              </w:rPr>
              <w:t>Medford</w:t>
            </w:r>
          </w:p>
        </w:tc>
        <w:tc>
          <w:tcPr>
            <w:tcW w:w="5313" w:type="dxa"/>
            <w:tcBorders>
              <w:top w:val="nil"/>
            </w:tcBorders>
            <w:shd w:val="clear" w:color="auto" w:fill="auto"/>
            <w:vAlign w:val="bottom"/>
          </w:tcPr>
          <w:p w14:paraId="50205165" w14:textId="77777777" w:rsidR="00C75CEE" w:rsidRPr="00C75CEE" w:rsidRDefault="00133FCF" w:rsidP="00C75CEE">
            <w:pPr>
              <w:rPr>
                <w:color w:val="000000"/>
              </w:rPr>
            </w:pPr>
            <w:r w:rsidRPr="00D03692">
              <w:t>Community Day Charter Public</w:t>
            </w:r>
          </w:p>
        </w:tc>
      </w:tr>
      <w:tr w:rsidR="00C75CEE" w:rsidRPr="00CF0CA7" w14:paraId="50205169" w14:textId="77777777" w:rsidTr="00133FCF">
        <w:trPr>
          <w:gridAfter w:val="1"/>
          <w:wAfter w:w="915" w:type="dxa"/>
          <w:trHeight w:val="288"/>
        </w:trPr>
        <w:tc>
          <w:tcPr>
            <w:tcW w:w="3256" w:type="dxa"/>
            <w:tcBorders>
              <w:top w:val="nil"/>
            </w:tcBorders>
            <w:shd w:val="clear" w:color="auto" w:fill="auto"/>
            <w:noWrap/>
            <w:vAlign w:val="bottom"/>
            <w:hideMark/>
          </w:tcPr>
          <w:p w14:paraId="50205167" w14:textId="77777777" w:rsidR="00C75CEE" w:rsidRPr="00C75CEE" w:rsidRDefault="00C75CEE" w:rsidP="00CF0CA7">
            <w:pPr>
              <w:rPr>
                <w:color w:val="000000"/>
              </w:rPr>
            </w:pPr>
            <w:r w:rsidRPr="00C75CEE">
              <w:rPr>
                <w:color w:val="000000"/>
              </w:rPr>
              <w:t>Methuen</w:t>
            </w:r>
          </w:p>
        </w:tc>
        <w:tc>
          <w:tcPr>
            <w:tcW w:w="5313" w:type="dxa"/>
            <w:tcBorders>
              <w:top w:val="nil"/>
            </w:tcBorders>
            <w:shd w:val="clear" w:color="auto" w:fill="auto"/>
            <w:vAlign w:val="bottom"/>
          </w:tcPr>
          <w:p w14:paraId="50205168" w14:textId="77777777" w:rsidR="00C75CEE" w:rsidRPr="00C75CEE" w:rsidRDefault="00C75CEE" w:rsidP="00C75CEE">
            <w:pPr>
              <w:rPr>
                <w:color w:val="000000"/>
              </w:rPr>
            </w:pPr>
            <w:r w:rsidRPr="00C75CEE">
              <w:t>Ashland</w:t>
            </w:r>
          </w:p>
        </w:tc>
      </w:tr>
      <w:tr w:rsidR="00133FCF" w:rsidRPr="00CF0CA7" w14:paraId="5020516C" w14:textId="77777777" w:rsidTr="00133FCF">
        <w:trPr>
          <w:gridAfter w:val="1"/>
          <w:wAfter w:w="915" w:type="dxa"/>
          <w:trHeight w:val="288"/>
        </w:trPr>
        <w:tc>
          <w:tcPr>
            <w:tcW w:w="3256" w:type="dxa"/>
            <w:tcBorders>
              <w:top w:val="nil"/>
            </w:tcBorders>
            <w:shd w:val="clear" w:color="auto" w:fill="auto"/>
            <w:noWrap/>
            <w:vAlign w:val="bottom"/>
            <w:hideMark/>
          </w:tcPr>
          <w:p w14:paraId="5020516A" w14:textId="77777777" w:rsidR="00133FCF" w:rsidRPr="00C75CEE" w:rsidRDefault="00133FCF" w:rsidP="00CF0CA7">
            <w:pPr>
              <w:rPr>
                <w:color w:val="000000"/>
              </w:rPr>
            </w:pPr>
            <w:r w:rsidRPr="00C75CEE">
              <w:rPr>
                <w:color w:val="000000"/>
              </w:rPr>
              <w:t>Milford</w:t>
            </w:r>
          </w:p>
        </w:tc>
        <w:tc>
          <w:tcPr>
            <w:tcW w:w="5313" w:type="dxa"/>
            <w:tcBorders>
              <w:top w:val="nil"/>
            </w:tcBorders>
            <w:shd w:val="clear" w:color="auto" w:fill="auto"/>
            <w:vAlign w:val="bottom"/>
          </w:tcPr>
          <w:p w14:paraId="5020516B" w14:textId="77777777" w:rsidR="00133FCF" w:rsidRPr="00D03692" w:rsidRDefault="00133FCF" w:rsidP="00BC5C42">
            <w:r w:rsidRPr="00D03692">
              <w:t>Northboro</w:t>
            </w:r>
            <w:r w:rsidRPr="000E49FB">
              <w:t>ugh</w:t>
            </w:r>
            <w:r w:rsidRPr="00D03692">
              <w:t>-Southboro</w:t>
            </w:r>
            <w:r w:rsidRPr="000E49FB">
              <w:t>ugh</w:t>
            </w:r>
          </w:p>
        </w:tc>
      </w:tr>
      <w:tr w:rsidR="00C75CEE" w:rsidRPr="00CF0CA7" w14:paraId="5020516F" w14:textId="77777777" w:rsidTr="00133FCF">
        <w:trPr>
          <w:gridAfter w:val="1"/>
          <w:wAfter w:w="915" w:type="dxa"/>
          <w:trHeight w:val="288"/>
        </w:trPr>
        <w:tc>
          <w:tcPr>
            <w:tcW w:w="3256" w:type="dxa"/>
            <w:tcBorders>
              <w:top w:val="nil"/>
            </w:tcBorders>
            <w:shd w:val="clear" w:color="auto" w:fill="auto"/>
            <w:noWrap/>
            <w:vAlign w:val="bottom"/>
            <w:hideMark/>
          </w:tcPr>
          <w:p w14:paraId="5020516D" w14:textId="77777777" w:rsidR="00C75CEE" w:rsidRPr="00C75CEE" w:rsidRDefault="00C75CEE" w:rsidP="00CF0CA7">
            <w:pPr>
              <w:rPr>
                <w:color w:val="000000"/>
              </w:rPr>
            </w:pPr>
            <w:r w:rsidRPr="00C75CEE">
              <w:rPr>
                <w:color w:val="000000"/>
              </w:rPr>
              <w:t>Nantucket</w:t>
            </w:r>
          </w:p>
        </w:tc>
        <w:tc>
          <w:tcPr>
            <w:tcW w:w="5313" w:type="dxa"/>
            <w:tcBorders>
              <w:top w:val="nil"/>
            </w:tcBorders>
            <w:shd w:val="clear" w:color="auto" w:fill="auto"/>
            <w:vAlign w:val="bottom"/>
          </w:tcPr>
          <w:p w14:paraId="5020516E" w14:textId="77777777" w:rsidR="00C75CEE" w:rsidRPr="00C75CEE" w:rsidRDefault="00C75CEE" w:rsidP="00C75CEE">
            <w:pPr>
              <w:rPr>
                <w:color w:val="000000"/>
              </w:rPr>
            </w:pPr>
            <w:r w:rsidRPr="00C75CEE">
              <w:rPr>
                <w:color w:val="000000"/>
              </w:rPr>
              <w:t>EDCO</w:t>
            </w:r>
            <w:r w:rsidR="00133FCF">
              <w:rPr>
                <w:color w:val="000000"/>
              </w:rPr>
              <w:t xml:space="preserve"> </w:t>
            </w:r>
            <w:r w:rsidR="00133FCF">
              <w:t>Collaborative</w:t>
            </w:r>
          </w:p>
        </w:tc>
      </w:tr>
      <w:tr w:rsidR="00C75CEE" w:rsidRPr="00CF0CA7" w14:paraId="50205172" w14:textId="77777777" w:rsidTr="00133FCF">
        <w:trPr>
          <w:gridAfter w:val="1"/>
          <w:wAfter w:w="915" w:type="dxa"/>
          <w:trHeight w:val="288"/>
        </w:trPr>
        <w:tc>
          <w:tcPr>
            <w:tcW w:w="3256" w:type="dxa"/>
            <w:tcBorders>
              <w:top w:val="nil"/>
            </w:tcBorders>
            <w:shd w:val="clear" w:color="auto" w:fill="auto"/>
            <w:noWrap/>
            <w:vAlign w:val="bottom"/>
            <w:hideMark/>
          </w:tcPr>
          <w:p w14:paraId="50205170" w14:textId="77777777" w:rsidR="00C75CEE" w:rsidRPr="00C75CEE" w:rsidRDefault="00C75CEE" w:rsidP="00CF0CA7">
            <w:pPr>
              <w:rPr>
                <w:color w:val="000000"/>
              </w:rPr>
            </w:pPr>
            <w:r w:rsidRPr="00C75CEE">
              <w:rPr>
                <w:color w:val="000000"/>
              </w:rPr>
              <w:t>New Bedford</w:t>
            </w:r>
          </w:p>
        </w:tc>
        <w:tc>
          <w:tcPr>
            <w:tcW w:w="5313" w:type="dxa"/>
            <w:tcBorders>
              <w:top w:val="nil"/>
            </w:tcBorders>
            <w:shd w:val="clear" w:color="auto" w:fill="auto"/>
            <w:vAlign w:val="bottom"/>
          </w:tcPr>
          <w:p w14:paraId="50205171" w14:textId="77777777" w:rsidR="00C75CEE" w:rsidRPr="00C75CEE" w:rsidRDefault="00C75CEE" w:rsidP="00C75CEE">
            <w:pPr>
              <w:rPr>
                <w:color w:val="000000"/>
              </w:rPr>
            </w:pPr>
            <w:r w:rsidRPr="00C75CEE">
              <w:t>Martha's Vineyard</w:t>
            </w:r>
          </w:p>
        </w:tc>
      </w:tr>
      <w:tr w:rsidR="00C75CEE" w:rsidRPr="00CF0CA7" w14:paraId="50205175" w14:textId="77777777" w:rsidTr="00133FCF">
        <w:trPr>
          <w:gridAfter w:val="1"/>
          <w:wAfter w:w="915" w:type="dxa"/>
          <w:trHeight w:val="288"/>
        </w:trPr>
        <w:tc>
          <w:tcPr>
            <w:tcW w:w="3256" w:type="dxa"/>
            <w:tcBorders>
              <w:top w:val="nil"/>
            </w:tcBorders>
            <w:shd w:val="clear" w:color="auto" w:fill="auto"/>
            <w:noWrap/>
            <w:vAlign w:val="bottom"/>
            <w:hideMark/>
          </w:tcPr>
          <w:p w14:paraId="50205173" w14:textId="77777777" w:rsidR="00C75CEE" w:rsidRPr="00C75CEE" w:rsidRDefault="00C75CEE" w:rsidP="00CF0CA7">
            <w:pPr>
              <w:rPr>
                <w:color w:val="000000"/>
              </w:rPr>
            </w:pPr>
            <w:r w:rsidRPr="00C75CEE">
              <w:rPr>
                <w:color w:val="000000"/>
              </w:rPr>
              <w:t>Newton</w:t>
            </w:r>
          </w:p>
        </w:tc>
        <w:tc>
          <w:tcPr>
            <w:tcW w:w="5313" w:type="dxa"/>
            <w:tcBorders>
              <w:top w:val="nil"/>
            </w:tcBorders>
            <w:shd w:val="clear" w:color="auto" w:fill="auto"/>
            <w:vAlign w:val="bottom"/>
          </w:tcPr>
          <w:p w14:paraId="50205174" w14:textId="77777777" w:rsidR="00C75CEE" w:rsidRPr="00C75CEE" w:rsidRDefault="00C75CEE" w:rsidP="00C75CEE">
            <w:pPr>
              <w:rPr>
                <w:color w:val="000000"/>
              </w:rPr>
            </w:pPr>
            <w:r w:rsidRPr="00C75CEE">
              <w:t>SEEM</w:t>
            </w:r>
            <w:r w:rsidR="00133FCF">
              <w:t xml:space="preserve"> Collaborative</w:t>
            </w:r>
          </w:p>
        </w:tc>
      </w:tr>
      <w:tr w:rsidR="00133FCF" w:rsidRPr="00CF0CA7" w14:paraId="50205179" w14:textId="77777777" w:rsidTr="00133FCF">
        <w:trPr>
          <w:trHeight w:val="288"/>
        </w:trPr>
        <w:tc>
          <w:tcPr>
            <w:tcW w:w="3256" w:type="dxa"/>
            <w:tcBorders>
              <w:top w:val="nil"/>
            </w:tcBorders>
            <w:shd w:val="clear" w:color="auto" w:fill="auto"/>
            <w:noWrap/>
            <w:vAlign w:val="bottom"/>
            <w:hideMark/>
          </w:tcPr>
          <w:p w14:paraId="50205176" w14:textId="77777777" w:rsidR="00133FCF" w:rsidRPr="00C75CEE" w:rsidRDefault="00133FCF" w:rsidP="00CF0CA7">
            <w:pPr>
              <w:rPr>
                <w:color w:val="000000"/>
              </w:rPr>
            </w:pPr>
          </w:p>
        </w:tc>
        <w:tc>
          <w:tcPr>
            <w:tcW w:w="5313" w:type="dxa"/>
            <w:tcBorders>
              <w:top w:val="nil"/>
            </w:tcBorders>
            <w:shd w:val="clear" w:color="auto" w:fill="auto"/>
            <w:vAlign w:val="bottom"/>
          </w:tcPr>
          <w:p w14:paraId="50205177" w14:textId="77777777" w:rsidR="00133FCF" w:rsidRPr="00C75CEE" w:rsidRDefault="00133FCF" w:rsidP="00CF0CA7">
            <w:pPr>
              <w:rPr>
                <w:color w:val="000000"/>
              </w:rPr>
            </w:pPr>
            <w:r>
              <w:rPr>
                <w:color w:val="000000"/>
              </w:rPr>
              <w:t>Milton-Canton</w:t>
            </w:r>
          </w:p>
        </w:tc>
        <w:tc>
          <w:tcPr>
            <w:tcW w:w="915" w:type="dxa"/>
            <w:tcBorders>
              <w:left w:val="nil"/>
            </w:tcBorders>
            <w:vAlign w:val="bottom"/>
          </w:tcPr>
          <w:p w14:paraId="50205178" w14:textId="77777777" w:rsidR="00133FCF" w:rsidRPr="00CF0CA7" w:rsidRDefault="00133FCF">
            <w:pPr>
              <w:rPr>
                <w:sz w:val="20"/>
                <w:szCs w:val="20"/>
              </w:rPr>
            </w:pPr>
          </w:p>
        </w:tc>
      </w:tr>
    </w:tbl>
    <w:p w14:paraId="5020517A" w14:textId="77777777" w:rsidR="00172CFE" w:rsidRPr="00E878C1" w:rsidRDefault="00E878C1" w:rsidP="00C83EC9">
      <w:pPr>
        <w:pStyle w:val="NoSpacing"/>
        <w:spacing w:after="120"/>
        <w:rPr>
          <w:rFonts w:ascii="Times New Roman" w:hAnsi="Times New Roman"/>
          <w:sz w:val="24"/>
          <w:szCs w:val="24"/>
        </w:rPr>
      </w:pPr>
      <w:r>
        <w:rPr>
          <w:rFonts w:ascii="Times New Roman" w:hAnsi="Times New Roman"/>
          <w:sz w:val="24"/>
          <w:szCs w:val="24"/>
        </w:rPr>
        <w:t xml:space="preserve"> </w:t>
      </w:r>
    </w:p>
    <w:sectPr w:rsidR="00172CFE" w:rsidRPr="00E878C1" w:rsidSect="00545259">
      <w:headerReference w:type="default" r:id="rId15"/>
      <w:footerReference w:type="default" r:id="rId16"/>
      <w:type w:val="continuous"/>
      <w:pgSz w:w="12240" w:h="15840" w:code="1"/>
      <w:pgMar w:top="990" w:right="1440" w:bottom="1620" w:left="1440" w:header="576" w:footer="576" w:gutter="0"/>
      <w:cols w:space="5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BA7B54" w14:textId="77777777" w:rsidR="00B76214" w:rsidRDefault="00B76214">
      <w:r>
        <w:separator/>
      </w:r>
    </w:p>
  </w:endnote>
  <w:endnote w:type="continuationSeparator" w:id="0">
    <w:p w14:paraId="6F5FB5A9" w14:textId="77777777" w:rsidR="00B76214" w:rsidRDefault="00B76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Look w:val="0000" w:firstRow="0" w:lastRow="0" w:firstColumn="0" w:lastColumn="0" w:noHBand="0" w:noVBand="0"/>
    </w:tblPr>
    <w:tblGrid>
      <w:gridCol w:w="9252"/>
    </w:tblGrid>
    <w:tr w:rsidR="004779F6" w14:paraId="50205185" w14:textId="77777777">
      <w:trPr>
        <w:trHeight w:val="180"/>
      </w:trPr>
      <w:tc>
        <w:tcPr>
          <w:tcW w:w="9360" w:type="dxa"/>
        </w:tcPr>
        <w:p w14:paraId="50205182" w14:textId="77777777" w:rsidR="004779F6" w:rsidRDefault="004779F6" w:rsidP="005C7173">
          <w:pPr>
            <w:pStyle w:val="Footer"/>
            <w:tabs>
              <w:tab w:val="clear" w:pos="8640"/>
              <w:tab w:val="right" w:pos="9144"/>
            </w:tabs>
            <w:rPr>
              <w:rStyle w:val="PageNumber"/>
              <w:rFonts w:ascii="Arial" w:hAnsi="Arial" w:cs="Arial"/>
              <w:color w:val="999999"/>
              <w:sz w:val="20"/>
              <w:szCs w:val="20"/>
            </w:rPr>
          </w:pPr>
          <w:r>
            <w:rPr>
              <w:rFonts w:ascii="Arial" w:hAnsi="Arial" w:cs="Arial"/>
              <w:sz w:val="20"/>
            </w:rPr>
            <w:t>Methods</w:t>
          </w:r>
          <w:r w:rsidRPr="00936DAE">
            <w:rPr>
              <w:rFonts w:ascii="Arial" w:hAnsi="Arial" w:cs="Arial"/>
              <w:sz w:val="20"/>
            </w:rPr>
            <w:t xml:space="preserve"> for Determining Annual Me</w:t>
          </w:r>
          <w:r>
            <w:rPr>
              <w:rFonts w:ascii="Arial" w:hAnsi="Arial" w:cs="Arial"/>
              <w:sz w:val="20"/>
            </w:rPr>
            <w:t xml:space="preserve">asurable Achievement Objectives (AMAOs) </w:t>
          </w:r>
          <w:r>
            <w:rPr>
              <w:rFonts w:ascii="Arial" w:hAnsi="Arial" w:cs="Arial"/>
              <w:sz w:val="20"/>
            </w:rPr>
            <w:tab/>
            <w:t xml:space="preserve">                </w:t>
          </w:r>
          <w:r>
            <w:rPr>
              <w:rFonts w:ascii="Arial" w:hAnsi="Arial" w:cs="Arial"/>
              <w:color w:val="999999"/>
              <w:sz w:val="20"/>
            </w:rPr>
            <w:t xml:space="preserve">         </w:t>
          </w:r>
          <w:r w:rsidR="005D61CB">
            <w:rPr>
              <w:rStyle w:val="PageNumber"/>
              <w:rFonts w:ascii="Arial" w:hAnsi="Arial" w:cs="Arial"/>
              <w:color w:val="999999"/>
              <w:sz w:val="20"/>
              <w:szCs w:val="20"/>
            </w:rPr>
            <w:fldChar w:fldCharType="begin"/>
          </w:r>
          <w:r>
            <w:rPr>
              <w:rStyle w:val="PageNumber"/>
              <w:rFonts w:ascii="Arial" w:hAnsi="Arial" w:cs="Arial"/>
              <w:color w:val="999999"/>
              <w:sz w:val="20"/>
              <w:szCs w:val="20"/>
            </w:rPr>
            <w:instrText xml:space="preserve"> PAGE </w:instrText>
          </w:r>
          <w:r w:rsidR="005D61CB">
            <w:rPr>
              <w:rStyle w:val="PageNumber"/>
              <w:rFonts w:ascii="Arial" w:hAnsi="Arial" w:cs="Arial"/>
              <w:color w:val="999999"/>
              <w:sz w:val="20"/>
              <w:szCs w:val="20"/>
            </w:rPr>
            <w:fldChar w:fldCharType="separate"/>
          </w:r>
          <w:r w:rsidR="00B37182">
            <w:rPr>
              <w:rStyle w:val="PageNumber"/>
              <w:rFonts w:ascii="Arial" w:hAnsi="Arial" w:cs="Arial"/>
              <w:noProof/>
              <w:color w:val="999999"/>
              <w:sz w:val="20"/>
              <w:szCs w:val="20"/>
            </w:rPr>
            <w:t>1</w:t>
          </w:r>
          <w:r w:rsidR="005D61CB">
            <w:rPr>
              <w:rStyle w:val="PageNumber"/>
              <w:rFonts w:ascii="Arial" w:hAnsi="Arial" w:cs="Arial"/>
              <w:color w:val="999999"/>
              <w:sz w:val="20"/>
              <w:szCs w:val="20"/>
            </w:rPr>
            <w:fldChar w:fldCharType="end"/>
          </w:r>
        </w:p>
        <w:p w14:paraId="50205183" w14:textId="77777777" w:rsidR="005275FF" w:rsidRDefault="004779F6" w:rsidP="005C7173">
          <w:pPr>
            <w:pStyle w:val="Header"/>
            <w:tabs>
              <w:tab w:val="left" w:pos="6282"/>
            </w:tabs>
            <w:rPr>
              <w:rFonts w:ascii="Arial" w:hAnsi="Arial" w:cs="Arial"/>
              <w:sz w:val="20"/>
            </w:rPr>
          </w:pPr>
          <w:r w:rsidRPr="005C7173">
            <w:rPr>
              <w:rFonts w:ascii="Arial" w:hAnsi="Arial" w:cs="Arial"/>
              <w:sz w:val="20"/>
            </w:rPr>
            <w:t>Massachusetts Department of Elem</w:t>
          </w:r>
          <w:r w:rsidR="005275FF">
            <w:rPr>
              <w:rFonts w:ascii="Arial" w:hAnsi="Arial" w:cs="Arial"/>
              <w:sz w:val="20"/>
            </w:rPr>
            <w:t>entary and Secondary Education</w:t>
          </w:r>
          <w:r w:rsidR="005275FF">
            <w:rPr>
              <w:rFonts w:ascii="Arial" w:hAnsi="Arial" w:cs="Arial"/>
              <w:sz w:val="20"/>
            </w:rPr>
            <w:tab/>
          </w:r>
        </w:p>
        <w:p w14:paraId="50205184" w14:textId="77777777" w:rsidR="004779F6" w:rsidRPr="005275FF" w:rsidRDefault="005275FF" w:rsidP="005C7173">
          <w:pPr>
            <w:pStyle w:val="Header"/>
            <w:tabs>
              <w:tab w:val="left" w:pos="6282"/>
            </w:tabs>
            <w:rPr>
              <w:rFonts w:ascii="Arial" w:hAnsi="Arial" w:cs="Arial"/>
              <w:sz w:val="20"/>
            </w:rPr>
          </w:pPr>
          <w:r>
            <w:rPr>
              <w:rFonts w:ascii="Arial" w:hAnsi="Arial" w:cs="Arial"/>
              <w:sz w:val="20"/>
            </w:rPr>
            <w:t>Novem</w:t>
          </w:r>
          <w:r w:rsidR="004779F6" w:rsidRPr="005C7173">
            <w:rPr>
              <w:rFonts w:ascii="Arial" w:hAnsi="Arial" w:cs="Arial"/>
              <w:sz w:val="20"/>
            </w:rPr>
            <w:t>ber 2015</w:t>
          </w:r>
        </w:p>
      </w:tc>
    </w:tr>
  </w:tbl>
  <w:p w14:paraId="50205186" w14:textId="77777777" w:rsidR="004779F6" w:rsidRDefault="004779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EF94D4" w14:textId="77777777" w:rsidR="00B76214" w:rsidRDefault="00B76214">
      <w:r>
        <w:separator/>
      </w:r>
    </w:p>
  </w:footnote>
  <w:footnote w:type="continuationSeparator" w:id="0">
    <w:p w14:paraId="6F10B379" w14:textId="77777777" w:rsidR="00B76214" w:rsidRDefault="00B76214">
      <w:r>
        <w:continuationSeparator/>
      </w:r>
    </w:p>
  </w:footnote>
  <w:footnote w:id="1">
    <w:p w14:paraId="50205187" w14:textId="77777777" w:rsidR="0076476C" w:rsidRDefault="0076476C">
      <w:pPr>
        <w:pStyle w:val="FootnoteText"/>
      </w:pPr>
    </w:p>
    <w:p w14:paraId="50205188" w14:textId="77777777" w:rsidR="004779F6" w:rsidRDefault="004779F6">
      <w:pPr>
        <w:pStyle w:val="FootnoteText"/>
      </w:pPr>
      <w:r w:rsidRPr="00AA0053">
        <w:rPr>
          <w:rStyle w:val="FootnoteReference"/>
          <w:sz w:val="24"/>
        </w:rPr>
        <w:footnoteRef/>
      </w:r>
      <w:r>
        <w:t xml:space="preserve">  </w:t>
      </w:r>
      <w:r w:rsidRPr="00AA0053">
        <w:t>Growth-to-profici</w:t>
      </w:r>
      <w:r>
        <w:t>ency targets were generated based on</w:t>
      </w:r>
      <w:r w:rsidRPr="00AA0053">
        <w:t xml:space="preserve"> consortium-level data provided by the WIDA consortium.  WIDA research staff provided the Department with a set of “growth coefficient matrices” that indicate</w:t>
      </w:r>
      <w:r w:rsidR="0076476C">
        <w:t>d</w:t>
      </w:r>
      <w:r w:rsidRPr="00AA0053">
        <w:t xml:space="preserve"> the growth of students in WIDA member states who took ACCESS tests (all four subdomain tests) in two successive years anytime between 2011 and 2014.</w:t>
      </w:r>
    </w:p>
    <w:p w14:paraId="50205189" w14:textId="77777777" w:rsidR="004779F6" w:rsidRPr="00AA0053" w:rsidRDefault="004779F6">
      <w:pPr>
        <w:pStyle w:val="FootnoteText"/>
        <w:rPr>
          <w:sz w:val="16"/>
        </w:rPr>
      </w:pPr>
    </w:p>
  </w:footnote>
  <w:footnote w:id="2">
    <w:p w14:paraId="5020518A" w14:textId="77777777" w:rsidR="004779F6" w:rsidRPr="00AA0053" w:rsidRDefault="004779F6" w:rsidP="00B04445">
      <w:pPr>
        <w:pStyle w:val="FootnoteText"/>
      </w:pPr>
      <w:r w:rsidRPr="00A26703">
        <w:rPr>
          <w:rStyle w:val="FootnoteReference"/>
          <w:sz w:val="24"/>
        </w:rPr>
        <w:footnoteRef/>
      </w:r>
      <w:r w:rsidRPr="00A26703">
        <w:rPr>
          <w:sz w:val="24"/>
        </w:rPr>
        <w:t xml:space="preserve"> </w:t>
      </w:r>
      <w:r w:rsidRPr="00AA0053">
        <w:t>“A State is not required to include in its AMAO 1 calculation Title III-served LEP students who have not participated in at least two administrations of a State’s annual ELP assessment…” (Notice of Final Interpretations,  p. 61835,  October 2008)</w:t>
      </w:r>
    </w:p>
    <w:p w14:paraId="5020518B" w14:textId="77777777" w:rsidR="004779F6" w:rsidRPr="00AA0053" w:rsidRDefault="004779F6" w:rsidP="00B04445">
      <w:pPr>
        <w:pStyle w:val="FootnoteText"/>
        <w:rPr>
          <w:sz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05181" w14:textId="77777777" w:rsidR="004779F6" w:rsidRDefault="004779F6">
    <w:pPr>
      <w:pStyle w:val="Header"/>
      <w:tabs>
        <w:tab w:val="left" w:pos="7740"/>
      </w:tabs>
      <w:rPr>
        <w:rFonts w:ascii="Arial" w:hAnsi="Arial" w:cs="Arial"/>
        <w:color w:val="999999"/>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E77D6"/>
    <w:multiLevelType w:val="hybridMultilevel"/>
    <w:tmpl w:val="8B4C8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70A78"/>
    <w:multiLevelType w:val="hybridMultilevel"/>
    <w:tmpl w:val="8F10C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AD1134"/>
    <w:multiLevelType w:val="hybridMultilevel"/>
    <w:tmpl w:val="C01C70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1F02DC"/>
    <w:multiLevelType w:val="hybridMultilevel"/>
    <w:tmpl w:val="C1848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AE2821"/>
    <w:multiLevelType w:val="hybridMultilevel"/>
    <w:tmpl w:val="527E30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C5330D"/>
    <w:multiLevelType w:val="hybridMultilevel"/>
    <w:tmpl w:val="4EF6BA58"/>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6" w15:restartNumberingAfterBreak="0">
    <w:nsid w:val="1F4B26BA"/>
    <w:multiLevelType w:val="hybridMultilevel"/>
    <w:tmpl w:val="EBBC2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E27B9E"/>
    <w:multiLevelType w:val="hybridMultilevel"/>
    <w:tmpl w:val="558AD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FA03DF"/>
    <w:multiLevelType w:val="hybridMultilevel"/>
    <w:tmpl w:val="D32491D6"/>
    <w:lvl w:ilvl="0" w:tplc="DEF88788">
      <w:start w:val="1"/>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2500D26A">
      <w:start w:val="1"/>
      <w:numFmt w:val="lowerRoman"/>
      <w:lvlText w:val="%3."/>
      <w:lvlJc w:val="right"/>
      <w:pPr>
        <w:ind w:left="2160" w:hanging="180"/>
      </w:pPr>
      <w:rPr>
        <w:rFonts w:hint="default"/>
        <w:sz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553D74"/>
    <w:multiLevelType w:val="hybridMultilevel"/>
    <w:tmpl w:val="ACF25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BF50F4"/>
    <w:multiLevelType w:val="hybridMultilevel"/>
    <w:tmpl w:val="C01C70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F880238"/>
    <w:multiLevelType w:val="hybridMultilevel"/>
    <w:tmpl w:val="8BF0F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5A650D"/>
    <w:multiLevelType w:val="hybridMultilevel"/>
    <w:tmpl w:val="CE8EC752"/>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3" w15:restartNumberingAfterBreak="0">
    <w:nsid w:val="5CD22DBA"/>
    <w:multiLevelType w:val="hybridMultilevel"/>
    <w:tmpl w:val="E8C68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11327A"/>
    <w:multiLevelType w:val="hybridMultilevel"/>
    <w:tmpl w:val="58BA3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426727"/>
    <w:multiLevelType w:val="hybridMultilevel"/>
    <w:tmpl w:val="21C83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3A0AFC"/>
    <w:multiLevelType w:val="hybridMultilevel"/>
    <w:tmpl w:val="46187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4"/>
  </w:num>
  <w:num w:numId="4">
    <w:abstractNumId w:val="7"/>
  </w:num>
  <w:num w:numId="5">
    <w:abstractNumId w:val="12"/>
  </w:num>
  <w:num w:numId="6">
    <w:abstractNumId w:val="5"/>
  </w:num>
  <w:num w:numId="7">
    <w:abstractNumId w:val="14"/>
  </w:num>
  <w:num w:numId="8">
    <w:abstractNumId w:val="11"/>
  </w:num>
  <w:num w:numId="9">
    <w:abstractNumId w:val="1"/>
  </w:num>
  <w:num w:numId="10">
    <w:abstractNumId w:val="3"/>
  </w:num>
  <w:num w:numId="11">
    <w:abstractNumId w:val="16"/>
  </w:num>
  <w:num w:numId="12">
    <w:abstractNumId w:val="6"/>
  </w:num>
  <w:num w:numId="13">
    <w:abstractNumId w:val="10"/>
  </w:num>
  <w:num w:numId="14">
    <w:abstractNumId w:val="9"/>
  </w:num>
  <w:num w:numId="15">
    <w:abstractNumId w:val="8"/>
  </w:num>
  <w:num w:numId="16">
    <w:abstractNumId w:val="1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1DC"/>
    <w:rsid w:val="00000283"/>
    <w:rsid w:val="00004B34"/>
    <w:rsid w:val="00007D7E"/>
    <w:rsid w:val="00014C31"/>
    <w:rsid w:val="00022710"/>
    <w:rsid w:val="00024A77"/>
    <w:rsid w:val="00031A48"/>
    <w:rsid w:val="00032EBB"/>
    <w:rsid w:val="00052C59"/>
    <w:rsid w:val="000555B2"/>
    <w:rsid w:val="000609D1"/>
    <w:rsid w:val="00062274"/>
    <w:rsid w:val="00065A74"/>
    <w:rsid w:val="00067A79"/>
    <w:rsid w:val="00071C0C"/>
    <w:rsid w:val="000755B6"/>
    <w:rsid w:val="00080261"/>
    <w:rsid w:val="0008074D"/>
    <w:rsid w:val="000822E5"/>
    <w:rsid w:val="00083123"/>
    <w:rsid w:val="00083EB9"/>
    <w:rsid w:val="00085FB6"/>
    <w:rsid w:val="00087CA0"/>
    <w:rsid w:val="00091615"/>
    <w:rsid w:val="0009272C"/>
    <w:rsid w:val="000928FC"/>
    <w:rsid w:val="00094304"/>
    <w:rsid w:val="00094F67"/>
    <w:rsid w:val="00096A3D"/>
    <w:rsid w:val="0009752A"/>
    <w:rsid w:val="000B341F"/>
    <w:rsid w:val="000B40A9"/>
    <w:rsid w:val="000C170B"/>
    <w:rsid w:val="000C1FB4"/>
    <w:rsid w:val="000C40FC"/>
    <w:rsid w:val="000D04E7"/>
    <w:rsid w:val="000D4527"/>
    <w:rsid w:val="000D60C1"/>
    <w:rsid w:val="000D7C9E"/>
    <w:rsid w:val="000E49FB"/>
    <w:rsid w:val="000E62C8"/>
    <w:rsid w:val="000E62F5"/>
    <w:rsid w:val="000E6F82"/>
    <w:rsid w:val="000F0AA0"/>
    <w:rsid w:val="000F1FE2"/>
    <w:rsid w:val="000F322D"/>
    <w:rsid w:val="000F57D1"/>
    <w:rsid w:val="00104629"/>
    <w:rsid w:val="00110742"/>
    <w:rsid w:val="001140CA"/>
    <w:rsid w:val="00116918"/>
    <w:rsid w:val="00125E72"/>
    <w:rsid w:val="001274B3"/>
    <w:rsid w:val="00127C9E"/>
    <w:rsid w:val="00132506"/>
    <w:rsid w:val="00133FCF"/>
    <w:rsid w:val="001360BF"/>
    <w:rsid w:val="00140AF4"/>
    <w:rsid w:val="0014154B"/>
    <w:rsid w:val="001518DB"/>
    <w:rsid w:val="00152A9E"/>
    <w:rsid w:val="00153350"/>
    <w:rsid w:val="001660A9"/>
    <w:rsid w:val="001704AA"/>
    <w:rsid w:val="00171242"/>
    <w:rsid w:val="00171A9D"/>
    <w:rsid w:val="00172856"/>
    <w:rsid w:val="00172CFE"/>
    <w:rsid w:val="00174F9B"/>
    <w:rsid w:val="00190AF5"/>
    <w:rsid w:val="0019165F"/>
    <w:rsid w:val="00195D62"/>
    <w:rsid w:val="001A5C18"/>
    <w:rsid w:val="001B08E0"/>
    <w:rsid w:val="001B1937"/>
    <w:rsid w:val="001B3848"/>
    <w:rsid w:val="001B61E0"/>
    <w:rsid w:val="001B772F"/>
    <w:rsid w:val="001D0562"/>
    <w:rsid w:val="001D621E"/>
    <w:rsid w:val="001D692D"/>
    <w:rsid w:val="001E6A42"/>
    <w:rsid w:val="001F019C"/>
    <w:rsid w:val="001F1245"/>
    <w:rsid w:val="001F1CC9"/>
    <w:rsid w:val="001F394D"/>
    <w:rsid w:val="0020154C"/>
    <w:rsid w:val="00201E6A"/>
    <w:rsid w:val="002147CA"/>
    <w:rsid w:val="002165C0"/>
    <w:rsid w:val="00216E60"/>
    <w:rsid w:val="00220BA1"/>
    <w:rsid w:val="00221DC8"/>
    <w:rsid w:val="00222EE5"/>
    <w:rsid w:val="00223B84"/>
    <w:rsid w:val="00224F91"/>
    <w:rsid w:val="00231BE3"/>
    <w:rsid w:val="00235A80"/>
    <w:rsid w:val="0023792D"/>
    <w:rsid w:val="00241E78"/>
    <w:rsid w:val="002432FC"/>
    <w:rsid w:val="00246AAC"/>
    <w:rsid w:val="00247EB1"/>
    <w:rsid w:val="00251F59"/>
    <w:rsid w:val="00256C69"/>
    <w:rsid w:val="0025775E"/>
    <w:rsid w:val="00257FF4"/>
    <w:rsid w:val="00262314"/>
    <w:rsid w:val="002651E9"/>
    <w:rsid w:val="00267E3F"/>
    <w:rsid w:val="00273F72"/>
    <w:rsid w:val="002750EE"/>
    <w:rsid w:val="002753CC"/>
    <w:rsid w:val="0027624A"/>
    <w:rsid w:val="002779E1"/>
    <w:rsid w:val="00281A21"/>
    <w:rsid w:val="00283CA8"/>
    <w:rsid w:val="00283CCA"/>
    <w:rsid w:val="002843FF"/>
    <w:rsid w:val="002867D0"/>
    <w:rsid w:val="002915A0"/>
    <w:rsid w:val="00291D95"/>
    <w:rsid w:val="00293AE0"/>
    <w:rsid w:val="00294327"/>
    <w:rsid w:val="002945D6"/>
    <w:rsid w:val="0029483D"/>
    <w:rsid w:val="002C192D"/>
    <w:rsid w:val="002C7C61"/>
    <w:rsid w:val="002D21E0"/>
    <w:rsid w:val="002D3797"/>
    <w:rsid w:val="002D6FBD"/>
    <w:rsid w:val="002D7B7B"/>
    <w:rsid w:val="002E2936"/>
    <w:rsid w:val="002F1B21"/>
    <w:rsid w:val="002F3FF2"/>
    <w:rsid w:val="002F5FBF"/>
    <w:rsid w:val="003111F6"/>
    <w:rsid w:val="0031710E"/>
    <w:rsid w:val="00317935"/>
    <w:rsid w:val="00320B3B"/>
    <w:rsid w:val="00322DBE"/>
    <w:rsid w:val="00325FC5"/>
    <w:rsid w:val="00331A64"/>
    <w:rsid w:val="00336553"/>
    <w:rsid w:val="00336974"/>
    <w:rsid w:val="00342A05"/>
    <w:rsid w:val="00342B60"/>
    <w:rsid w:val="00342D2A"/>
    <w:rsid w:val="0035138F"/>
    <w:rsid w:val="00352492"/>
    <w:rsid w:val="003539B3"/>
    <w:rsid w:val="00353E5C"/>
    <w:rsid w:val="0036132B"/>
    <w:rsid w:val="0036163B"/>
    <w:rsid w:val="00363397"/>
    <w:rsid w:val="00363A8E"/>
    <w:rsid w:val="00377B2B"/>
    <w:rsid w:val="003800DA"/>
    <w:rsid w:val="00382EB7"/>
    <w:rsid w:val="003951BF"/>
    <w:rsid w:val="00396B27"/>
    <w:rsid w:val="00397245"/>
    <w:rsid w:val="003A0F1B"/>
    <w:rsid w:val="003A25DC"/>
    <w:rsid w:val="003B0BE0"/>
    <w:rsid w:val="003B7E17"/>
    <w:rsid w:val="003C36F4"/>
    <w:rsid w:val="003C45DD"/>
    <w:rsid w:val="003C4721"/>
    <w:rsid w:val="003C6DAD"/>
    <w:rsid w:val="003C717C"/>
    <w:rsid w:val="003C7417"/>
    <w:rsid w:val="003D2AD9"/>
    <w:rsid w:val="003D3E74"/>
    <w:rsid w:val="003D51FF"/>
    <w:rsid w:val="003D7F12"/>
    <w:rsid w:val="003E0B1F"/>
    <w:rsid w:val="003E7A9C"/>
    <w:rsid w:val="003E7F5C"/>
    <w:rsid w:val="003F08EF"/>
    <w:rsid w:val="003F33FE"/>
    <w:rsid w:val="0040237E"/>
    <w:rsid w:val="00405ACB"/>
    <w:rsid w:val="00406EA7"/>
    <w:rsid w:val="00407A3C"/>
    <w:rsid w:val="004101E6"/>
    <w:rsid w:val="00410E18"/>
    <w:rsid w:val="004126B0"/>
    <w:rsid w:val="00415160"/>
    <w:rsid w:val="004210B0"/>
    <w:rsid w:val="00426333"/>
    <w:rsid w:val="00426E8E"/>
    <w:rsid w:val="00432A25"/>
    <w:rsid w:val="00437386"/>
    <w:rsid w:val="004375F3"/>
    <w:rsid w:val="0044091D"/>
    <w:rsid w:val="00446742"/>
    <w:rsid w:val="0044772E"/>
    <w:rsid w:val="004516C6"/>
    <w:rsid w:val="00451AF0"/>
    <w:rsid w:val="00457FD5"/>
    <w:rsid w:val="004646EC"/>
    <w:rsid w:val="0047767D"/>
    <w:rsid w:val="004779F6"/>
    <w:rsid w:val="00481207"/>
    <w:rsid w:val="00482D1F"/>
    <w:rsid w:val="00486C88"/>
    <w:rsid w:val="00490E00"/>
    <w:rsid w:val="00492D90"/>
    <w:rsid w:val="0049422F"/>
    <w:rsid w:val="00495A2A"/>
    <w:rsid w:val="004A30CF"/>
    <w:rsid w:val="004A6E31"/>
    <w:rsid w:val="004A7499"/>
    <w:rsid w:val="004A7EA4"/>
    <w:rsid w:val="004B7763"/>
    <w:rsid w:val="004C1FC4"/>
    <w:rsid w:val="004C30DE"/>
    <w:rsid w:val="004D550C"/>
    <w:rsid w:val="004D7FB7"/>
    <w:rsid w:val="004E2B04"/>
    <w:rsid w:val="004E5CD8"/>
    <w:rsid w:val="004E6007"/>
    <w:rsid w:val="004E6F91"/>
    <w:rsid w:val="004F0A3D"/>
    <w:rsid w:val="004F1017"/>
    <w:rsid w:val="004F5F2C"/>
    <w:rsid w:val="004F7FBB"/>
    <w:rsid w:val="00502F96"/>
    <w:rsid w:val="005053F9"/>
    <w:rsid w:val="0050575A"/>
    <w:rsid w:val="00517866"/>
    <w:rsid w:val="00526BD1"/>
    <w:rsid w:val="005275FF"/>
    <w:rsid w:val="00530266"/>
    <w:rsid w:val="005307B9"/>
    <w:rsid w:val="00531227"/>
    <w:rsid w:val="005319D3"/>
    <w:rsid w:val="00531C51"/>
    <w:rsid w:val="00531F82"/>
    <w:rsid w:val="00535FE1"/>
    <w:rsid w:val="00536F30"/>
    <w:rsid w:val="00540572"/>
    <w:rsid w:val="0054381D"/>
    <w:rsid w:val="00543831"/>
    <w:rsid w:val="00544E5B"/>
    <w:rsid w:val="005450B1"/>
    <w:rsid w:val="00545259"/>
    <w:rsid w:val="005526E9"/>
    <w:rsid w:val="00555525"/>
    <w:rsid w:val="00560D22"/>
    <w:rsid w:val="00565369"/>
    <w:rsid w:val="00565E76"/>
    <w:rsid w:val="00571DD4"/>
    <w:rsid w:val="00575131"/>
    <w:rsid w:val="005816F9"/>
    <w:rsid w:val="00586C3A"/>
    <w:rsid w:val="00587507"/>
    <w:rsid w:val="00593789"/>
    <w:rsid w:val="0059533D"/>
    <w:rsid w:val="0059786C"/>
    <w:rsid w:val="005A475D"/>
    <w:rsid w:val="005B541E"/>
    <w:rsid w:val="005B7880"/>
    <w:rsid w:val="005C377E"/>
    <w:rsid w:val="005C515A"/>
    <w:rsid w:val="005C7173"/>
    <w:rsid w:val="005D1DE1"/>
    <w:rsid w:val="005D1FEB"/>
    <w:rsid w:val="005D61CB"/>
    <w:rsid w:val="005D7394"/>
    <w:rsid w:val="005D7C4C"/>
    <w:rsid w:val="005E2093"/>
    <w:rsid w:val="005E4BB8"/>
    <w:rsid w:val="005F3F1A"/>
    <w:rsid w:val="005F70A0"/>
    <w:rsid w:val="005F7240"/>
    <w:rsid w:val="006053FD"/>
    <w:rsid w:val="00605F31"/>
    <w:rsid w:val="00614351"/>
    <w:rsid w:val="006228FA"/>
    <w:rsid w:val="006300C1"/>
    <w:rsid w:val="006318A0"/>
    <w:rsid w:val="006344E3"/>
    <w:rsid w:val="00635EAD"/>
    <w:rsid w:val="00640F25"/>
    <w:rsid w:val="00641DE4"/>
    <w:rsid w:val="00643A90"/>
    <w:rsid w:val="00655A78"/>
    <w:rsid w:val="00660600"/>
    <w:rsid w:val="00664D37"/>
    <w:rsid w:val="00666635"/>
    <w:rsid w:val="00671CEF"/>
    <w:rsid w:val="00672486"/>
    <w:rsid w:val="006759A9"/>
    <w:rsid w:val="00680CA4"/>
    <w:rsid w:val="00682325"/>
    <w:rsid w:val="00682946"/>
    <w:rsid w:val="006829A7"/>
    <w:rsid w:val="00686D6A"/>
    <w:rsid w:val="00690DA1"/>
    <w:rsid w:val="006A2B7F"/>
    <w:rsid w:val="006A67F7"/>
    <w:rsid w:val="006B4A96"/>
    <w:rsid w:val="006C172D"/>
    <w:rsid w:val="006C1898"/>
    <w:rsid w:val="006D38D5"/>
    <w:rsid w:val="006D3982"/>
    <w:rsid w:val="006E15A7"/>
    <w:rsid w:val="006E25A1"/>
    <w:rsid w:val="006E5BD7"/>
    <w:rsid w:val="006F2C76"/>
    <w:rsid w:val="007062E5"/>
    <w:rsid w:val="00706514"/>
    <w:rsid w:val="00706A0C"/>
    <w:rsid w:val="00711DC1"/>
    <w:rsid w:val="0071228C"/>
    <w:rsid w:val="00713038"/>
    <w:rsid w:val="00725940"/>
    <w:rsid w:val="00725E3C"/>
    <w:rsid w:val="007271F1"/>
    <w:rsid w:val="007326DB"/>
    <w:rsid w:val="0073424A"/>
    <w:rsid w:val="00737B39"/>
    <w:rsid w:val="00740D9B"/>
    <w:rsid w:val="0074136B"/>
    <w:rsid w:val="0074280A"/>
    <w:rsid w:val="00746465"/>
    <w:rsid w:val="00750002"/>
    <w:rsid w:val="007577CB"/>
    <w:rsid w:val="0076108B"/>
    <w:rsid w:val="0076476C"/>
    <w:rsid w:val="00764BF9"/>
    <w:rsid w:val="00773219"/>
    <w:rsid w:val="00781646"/>
    <w:rsid w:val="00794BAF"/>
    <w:rsid w:val="00797D89"/>
    <w:rsid w:val="007B0C0F"/>
    <w:rsid w:val="007B244B"/>
    <w:rsid w:val="007B67E2"/>
    <w:rsid w:val="007C5590"/>
    <w:rsid w:val="007C7891"/>
    <w:rsid w:val="007D0348"/>
    <w:rsid w:val="007D10A5"/>
    <w:rsid w:val="007D53BC"/>
    <w:rsid w:val="007D6701"/>
    <w:rsid w:val="007D6A0F"/>
    <w:rsid w:val="007E39E6"/>
    <w:rsid w:val="007F025D"/>
    <w:rsid w:val="007F0DCC"/>
    <w:rsid w:val="007F375C"/>
    <w:rsid w:val="007F3D53"/>
    <w:rsid w:val="00801C66"/>
    <w:rsid w:val="00804B13"/>
    <w:rsid w:val="00807262"/>
    <w:rsid w:val="00807DA0"/>
    <w:rsid w:val="00811190"/>
    <w:rsid w:val="00811774"/>
    <w:rsid w:val="00812A58"/>
    <w:rsid w:val="008140E3"/>
    <w:rsid w:val="00842666"/>
    <w:rsid w:val="00843C2A"/>
    <w:rsid w:val="00846CF1"/>
    <w:rsid w:val="0084743D"/>
    <w:rsid w:val="008507AF"/>
    <w:rsid w:val="00855D4B"/>
    <w:rsid w:val="0086129E"/>
    <w:rsid w:val="008618A9"/>
    <w:rsid w:val="00863F3C"/>
    <w:rsid w:val="0087076F"/>
    <w:rsid w:val="00876ED5"/>
    <w:rsid w:val="0088051E"/>
    <w:rsid w:val="0088261D"/>
    <w:rsid w:val="00882F52"/>
    <w:rsid w:val="00884CE6"/>
    <w:rsid w:val="00887DF4"/>
    <w:rsid w:val="00892469"/>
    <w:rsid w:val="008961BD"/>
    <w:rsid w:val="00896C09"/>
    <w:rsid w:val="008A3373"/>
    <w:rsid w:val="008B05F7"/>
    <w:rsid w:val="008B0915"/>
    <w:rsid w:val="008B4DE1"/>
    <w:rsid w:val="008B6797"/>
    <w:rsid w:val="008C3AE1"/>
    <w:rsid w:val="008C53FF"/>
    <w:rsid w:val="008D5CAB"/>
    <w:rsid w:val="008E079C"/>
    <w:rsid w:val="008E0D26"/>
    <w:rsid w:val="008E1EA8"/>
    <w:rsid w:val="008E4454"/>
    <w:rsid w:val="008E46EC"/>
    <w:rsid w:val="008F32CF"/>
    <w:rsid w:val="008F635D"/>
    <w:rsid w:val="00903482"/>
    <w:rsid w:val="00905B6B"/>
    <w:rsid w:val="00907BAA"/>
    <w:rsid w:val="00914330"/>
    <w:rsid w:val="009149D7"/>
    <w:rsid w:val="009233CD"/>
    <w:rsid w:val="009251E2"/>
    <w:rsid w:val="0092754B"/>
    <w:rsid w:val="009279B1"/>
    <w:rsid w:val="00931903"/>
    <w:rsid w:val="00934F7B"/>
    <w:rsid w:val="00936DAE"/>
    <w:rsid w:val="00937142"/>
    <w:rsid w:val="00937A08"/>
    <w:rsid w:val="00943C58"/>
    <w:rsid w:val="00945FC9"/>
    <w:rsid w:val="00951CEE"/>
    <w:rsid w:val="00952D75"/>
    <w:rsid w:val="00962636"/>
    <w:rsid w:val="00963858"/>
    <w:rsid w:val="009639F8"/>
    <w:rsid w:val="00971BFC"/>
    <w:rsid w:val="009728D6"/>
    <w:rsid w:val="00973FE7"/>
    <w:rsid w:val="00975728"/>
    <w:rsid w:val="00977023"/>
    <w:rsid w:val="0098295A"/>
    <w:rsid w:val="00987FA6"/>
    <w:rsid w:val="009908AF"/>
    <w:rsid w:val="009925EF"/>
    <w:rsid w:val="009963AB"/>
    <w:rsid w:val="009A2DCA"/>
    <w:rsid w:val="009A4183"/>
    <w:rsid w:val="009A619D"/>
    <w:rsid w:val="009B6F8A"/>
    <w:rsid w:val="009C2331"/>
    <w:rsid w:val="009C586A"/>
    <w:rsid w:val="009C729A"/>
    <w:rsid w:val="009D25DA"/>
    <w:rsid w:val="009D300E"/>
    <w:rsid w:val="009D6302"/>
    <w:rsid w:val="009E007B"/>
    <w:rsid w:val="009E1452"/>
    <w:rsid w:val="009F00E1"/>
    <w:rsid w:val="009F093F"/>
    <w:rsid w:val="009F42A4"/>
    <w:rsid w:val="00A023C2"/>
    <w:rsid w:val="00A12D6C"/>
    <w:rsid w:val="00A140C7"/>
    <w:rsid w:val="00A16D75"/>
    <w:rsid w:val="00A179F7"/>
    <w:rsid w:val="00A21D55"/>
    <w:rsid w:val="00A26703"/>
    <w:rsid w:val="00A30EE0"/>
    <w:rsid w:val="00A33161"/>
    <w:rsid w:val="00A34814"/>
    <w:rsid w:val="00A35F64"/>
    <w:rsid w:val="00A432F2"/>
    <w:rsid w:val="00A44037"/>
    <w:rsid w:val="00A44F0B"/>
    <w:rsid w:val="00A46ABF"/>
    <w:rsid w:val="00A51236"/>
    <w:rsid w:val="00A52948"/>
    <w:rsid w:val="00A53A4D"/>
    <w:rsid w:val="00A54C70"/>
    <w:rsid w:val="00A57AFD"/>
    <w:rsid w:val="00A6400A"/>
    <w:rsid w:val="00A65A23"/>
    <w:rsid w:val="00A80FBF"/>
    <w:rsid w:val="00A86AA0"/>
    <w:rsid w:val="00A8704B"/>
    <w:rsid w:val="00A91123"/>
    <w:rsid w:val="00A93646"/>
    <w:rsid w:val="00A93AB6"/>
    <w:rsid w:val="00A942A9"/>
    <w:rsid w:val="00AA0053"/>
    <w:rsid w:val="00AA0442"/>
    <w:rsid w:val="00AA0BC1"/>
    <w:rsid w:val="00AA2AFA"/>
    <w:rsid w:val="00AA3149"/>
    <w:rsid w:val="00AA42F4"/>
    <w:rsid w:val="00AA52D9"/>
    <w:rsid w:val="00AA5D5C"/>
    <w:rsid w:val="00AA7AE3"/>
    <w:rsid w:val="00AB156C"/>
    <w:rsid w:val="00AB4468"/>
    <w:rsid w:val="00AB46BD"/>
    <w:rsid w:val="00AB65B3"/>
    <w:rsid w:val="00AC5CFF"/>
    <w:rsid w:val="00AD47BE"/>
    <w:rsid w:val="00AD5C22"/>
    <w:rsid w:val="00AE0E77"/>
    <w:rsid w:val="00AE5FC6"/>
    <w:rsid w:val="00AF0AA8"/>
    <w:rsid w:val="00AF1501"/>
    <w:rsid w:val="00AF3AD3"/>
    <w:rsid w:val="00AF7BE7"/>
    <w:rsid w:val="00B004D8"/>
    <w:rsid w:val="00B043D0"/>
    <w:rsid w:val="00B04445"/>
    <w:rsid w:val="00B0502E"/>
    <w:rsid w:val="00B109DD"/>
    <w:rsid w:val="00B13ED2"/>
    <w:rsid w:val="00B223AB"/>
    <w:rsid w:val="00B23E9B"/>
    <w:rsid w:val="00B279F5"/>
    <w:rsid w:val="00B32A6E"/>
    <w:rsid w:val="00B3302B"/>
    <w:rsid w:val="00B35D26"/>
    <w:rsid w:val="00B37179"/>
    <w:rsid w:val="00B37182"/>
    <w:rsid w:val="00B45304"/>
    <w:rsid w:val="00B46A1F"/>
    <w:rsid w:val="00B52934"/>
    <w:rsid w:val="00B52DA5"/>
    <w:rsid w:val="00B531B3"/>
    <w:rsid w:val="00B53F4D"/>
    <w:rsid w:val="00B62A21"/>
    <w:rsid w:val="00B65195"/>
    <w:rsid w:val="00B66BF3"/>
    <w:rsid w:val="00B678FE"/>
    <w:rsid w:val="00B73419"/>
    <w:rsid w:val="00B74262"/>
    <w:rsid w:val="00B76214"/>
    <w:rsid w:val="00B775CB"/>
    <w:rsid w:val="00B77FE4"/>
    <w:rsid w:val="00B80450"/>
    <w:rsid w:val="00B8047D"/>
    <w:rsid w:val="00B81CC0"/>
    <w:rsid w:val="00B85359"/>
    <w:rsid w:val="00B87A98"/>
    <w:rsid w:val="00BA1D70"/>
    <w:rsid w:val="00BA3092"/>
    <w:rsid w:val="00BA4C5A"/>
    <w:rsid w:val="00BA56B9"/>
    <w:rsid w:val="00BB32BD"/>
    <w:rsid w:val="00BB3680"/>
    <w:rsid w:val="00BB40DE"/>
    <w:rsid w:val="00BB7E00"/>
    <w:rsid w:val="00BC43AC"/>
    <w:rsid w:val="00BC5AD9"/>
    <w:rsid w:val="00BC5C42"/>
    <w:rsid w:val="00BD18FF"/>
    <w:rsid w:val="00BD32BC"/>
    <w:rsid w:val="00BD39CD"/>
    <w:rsid w:val="00BD3D65"/>
    <w:rsid w:val="00BD4385"/>
    <w:rsid w:val="00BD6775"/>
    <w:rsid w:val="00BD7361"/>
    <w:rsid w:val="00BD7711"/>
    <w:rsid w:val="00BE205B"/>
    <w:rsid w:val="00BE4336"/>
    <w:rsid w:val="00BE7531"/>
    <w:rsid w:val="00BF455A"/>
    <w:rsid w:val="00BF4FED"/>
    <w:rsid w:val="00BF6CF7"/>
    <w:rsid w:val="00BF6F92"/>
    <w:rsid w:val="00C0066B"/>
    <w:rsid w:val="00C02D73"/>
    <w:rsid w:val="00C06F88"/>
    <w:rsid w:val="00C12204"/>
    <w:rsid w:val="00C24830"/>
    <w:rsid w:val="00C24ABD"/>
    <w:rsid w:val="00C2605D"/>
    <w:rsid w:val="00C31150"/>
    <w:rsid w:val="00C318BC"/>
    <w:rsid w:val="00C36889"/>
    <w:rsid w:val="00C373B2"/>
    <w:rsid w:val="00C403FB"/>
    <w:rsid w:val="00C40B73"/>
    <w:rsid w:val="00C40BDB"/>
    <w:rsid w:val="00C41FAC"/>
    <w:rsid w:val="00C45884"/>
    <w:rsid w:val="00C51F70"/>
    <w:rsid w:val="00C5220A"/>
    <w:rsid w:val="00C55DAE"/>
    <w:rsid w:val="00C57AD2"/>
    <w:rsid w:val="00C57AD6"/>
    <w:rsid w:val="00C64473"/>
    <w:rsid w:val="00C664F8"/>
    <w:rsid w:val="00C7018C"/>
    <w:rsid w:val="00C70731"/>
    <w:rsid w:val="00C722E9"/>
    <w:rsid w:val="00C75CEE"/>
    <w:rsid w:val="00C766E1"/>
    <w:rsid w:val="00C83AA7"/>
    <w:rsid w:val="00C83EC9"/>
    <w:rsid w:val="00C84F2C"/>
    <w:rsid w:val="00C87450"/>
    <w:rsid w:val="00C93EED"/>
    <w:rsid w:val="00C954DE"/>
    <w:rsid w:val="00C95ABC"/>
    <w:rsid w:val="00CA125E"/>
    <w:rsid w:val="00CA2762"/>
    <w:rsid w:val="00CA4D2D"/>
    <w:rsid w:val="00CA5F7E"/>
    <w:rsid w:val="00CA61BF"/>
    <w:rsid w:val="00CA7ABB"/>
    <w:rsid w:val="00CC1072"/>
    <w:rsid w:val="00CC17BE"/>
    <w:rsid w:val="00CC7794"/>
    <w:rsid w:val="00CD1963"/>
    <w:rsid w:val="00CD256B"/>
    <w:rsid w:val="00CD3996"/>
    <w:rsid w:val="00CE3E0C"/>
    <w:rsid w:val="00CE410C"/>
    <w:rsid w:val="00CF0CA7"/>
    <w:rsid w:val="00CF1942"/>
    <w:rsid w:val="00CF4372"/>
    <w:rsid w:val="00CF59BA"/>
    <w:rsid w:val="00D03692"/>
    <w:rsid w:val="00D06703"/>
    <w:rsid w:val="00D109C1"/>
    <w:rsid w:val="00D1105C"/>
    <w:rsid w:val="00D1265E"/>
    <w:rsid w:val="00D15ED4"/>
    <w:rsid w:val="00D17A4B"/>
    <w:rsid w:val="00D17D57"/>
    <w:rsid w:val="00D21EA0"/>
    <w:rsid w:val="00D32F23"/>
    <w:rsid w:val="00D447E0"/>
    <w:rsid w:val="00D63AEE"/>
    <w:rsid w:val="00D65CAF"/>
    <w:rsid w:val="00D67C87"/>
    <w:rsid w:val="00D724FE"/>
    <w:rsid w:val="00D72E64"/>
    <w:rsid w:val="00D76BC9"/>
    <w:rsid w:val="00D806DE"/>
    <w:rsid w:val="00D83148"/>
    <w:rsid w:val="00D84791"/>
    <w:rsid w:val="00D85264"/>
    <w:rsid w:val="00D85F69"/>
    <w:rsid w:val="00D90427"/>
    <w:rsid w:val="00D91491"/>
    <w:rsid w:val="00D91ECC"/>
    <w:rsid w:val="00D966E0"/>
    <w:rsid w:val="00D97DD7"/>
    <w:rsid w:val="00DA040B"/>
    <w:rsid w:val="00DA4B73"/>
    <w:rsid w:val="00DA7DFF"/>
    <w:rsid w:val="00DB034B"/>
    <w:rsid w:val="00DB0CA9"/>
    <w:rsid w:val="00DB3FC6"/>
    <w:rsid w:val="00DB4414"/>
    <w:rsid w:val="00DB4F20"/>
    <w:rsid w:val="00DC3A1B"/>
    <w:rsid w:val="00DC57ED"/>
    <w:rsid w:val="00DC62B8"/>
    <w:rsid w:val="00DD02AB"/>
    <w:rsid w:val="00DD0EB9"/>
    <w:rsid w:val="00DD337A"/>
    <w:rsid w:val="00DD52EC"/>
    <w:rsid w:val="00DD653B"/>
    <w:rsid w:val="00DF1F8F"/>
    <w:rsid w:val="00DF54CE"/>
    <w:rsid w:val="00DF58C6"/>
    <w:rsid w:val="00E005B0"/>
    <w:rsid w:val="00E05658"/>
    <w:rsid w:val="00E070AC"/>
    <w:rsid w:val="00E121BC"/>
    <w:rsid w:val="00E1526E"/>
    <w:rsid w:val="00E16004"/>
    <w:rsid w:val="00E23116"/>
    <w:rsid w:val="00E24385"/>
    <w:rsid w:val="00E25C8D"/>
    <w:rsid w:val="00E265B0"/>
    <w:rsid w:val="00E378F6"/>
    <w:rsid w:val="00E4455E"/>
    <w:rsid w:val="00E4647B"/>
    <w:rsid w:val="00E61DF2"/>
    <w:rsid w:val="00E62A47"/>
    <w:rsid w:val="00E636AB"/>
    <w:rsid w:val="00E63843"/>
    <w:rsid w:val="00E7369D"/>
    <w:rsid w:val="00E73C2B"/>
    <w:rsid w:val="00E75E8B"/>
    <w:rsid w:val="00E853FD"/>
    <w:rsid w:val="00E8633E"/>
    <w:rsid w:val="00E878C1"/>
    <w:rsid w:val="00E96DB5"/>
    <w:rsid w:val="00EA1D80"/>
    <w:rsid w:val="00EA5650"/>
    <w:rsid w:val="00EB4638"/>
    <w:rsid w:val="00EC0873"/>
    <w:rsid w:val="00EC45C2"/>
    <w:rsid w:val="00ED3B5F"/>
    <w:rsid w:val="00EE3C4E"/>
    <w:rsid w:val="00EF5EC3"/>
    <w:rsid w:val="00F006C6"/>
    <w:rsid w:val="00F01E93"/>
    <w:rsid w:val="00F07E72"/>
    <w:rsid w:val="00F123E7"/>
    <w:rsid w:val="00F154BB"/>
    <w:rsid w:val="00F15ED7"/>
    <w:rsid w:val="00F16459"/>
    <w:rsid w:val="00F21CD9"/>
    <w:rsid w:val="00F22455"/>
    <w:rsid w:val="00F23995"/>
    <w:rsid w:val="00F25617"/>
    <w:rsid w:val="00F26EC3"/>
    <w:rsid w:val="00F30242"/>
    <w:rsid w:val="00F325E1"/>
    <w:rsid w:val="00F35588"/>
    <w:rsid w:val="00F35604"/>
    <w:rsid w:val="00F42614"/>
    <w:rsid w:val="00F42895"/>
    <w:rsid w:val="00F462E5"/>
    <w:rsid w:val="00F54E09"/>
    <w:rsid w:val="00F56B73"/>
    <w:rsid w:val="00F57CE7"/>
    <w:rsid w:val="00F62297"/>
    <w:rsid w:val="00F71841"/>
    <w:rsid w:val="00F80A03"/>
    <w:rsid w:val="00F82C16"/>
    <w:rsid w:val="00F87738"/>
    <w:rsid w:val="00F87784"/>
    <w:rsid w:val="00F91223"/>
    <w:rsid w:val="00F9459B"/>
    <w:rsid w:val="00F967A4"/>
    <w:rsid w:val="00FA003C"/>
    <w:rsid w:val="00FA38D8"/>
    <w:rsid w:val="00FA3E88"/>
    <w:rsid w:val="00FA5126"/>
    <w:rsid w:val="00FA6D1A"/>
    <w:rsid w:val="00FA7FEF"/>
    <w:rsid w:val="00FB1F64"/>
    <w:rsid w:val="00FB39D4"/>
    <w:rsid w:val="00FB6882"/>
    <w:rsid w:val="00FC1153"/>
    <w:rsid w:val="00FC13A7"/>
    <w:rsid w:val="00FC1F64"/>
    <w:rsid w:val="00FC51DC"/>
    <w:rsid w:val="00FD434F"/>
    <w:rsid w:val="00FD472F"/>
    <w:rsid w:val="00FD4EB9"/>
    <w:rsid w:val="00FD6C4B"/>
    <w:rsid w:val="00FE0193"/>
    <w:rsid w:val="00FE049F"/>
    <w:rsid w:val="00FE1D21"/>
    <w:rsid w:val="00FE3E5B"/>
    <w:rsid w:val="00FE590E"/>
    <w:rsid w:val="00FE760D"/>
    <w:rsid w:val="00FF5CC3"/>
    <w:rsid w:val="00FF6EC1"/>
    <w:rsid w:val="00FF7C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204EDB"/>
  <w15:docId w15:val="{6B2D8EE8-4D06-426B-96FC-66838EF06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32F2"/>
    <w:rPr>
      <w:sz w:val="24"/>
      <w:szCs w:val="24"/>
    </w:rPr>
  </w:style>
  <w:style w:type="paragraph" w:styleId="Heading1">
    <w:name w:val="heading 1"/>
    <w:basedOn w:val="Normal"/>
    <w:next w:val="Normal"/>
    <w:qFormat/>
    <w:rsid w:val="00A432F2"/>
    <w:pPr>
      <w:keepNext/>
      <w:outlineLvl w:val="0"/>
    </w:pPr>
    <w:rPr>
      <w:u w:val="single"/>
    </w:rPr>
  </w:style>
  <w:style w:type="paragraph" w:styleId="Heading2">
    <w:name w:val="heading 2"/>
    <w:basedOn w:val="Normal"/>
    <w:next w:val="Normal"/>
    <w:qFormat/>
    <w:rsid w:val="00A432F2"/>
    <w:pPr>
      <w:keepNext/>
      <w:jc w:val="center"/>
      <w:outlineLvl w:val="1"/>
    </w:pPr>
    <w:rPr>
      <w:b/>
      <w:bCs/>
      <w:sz w:val="20"/>
    </w:rPr>
  </w:style>
  <w:style w:type="paragraph" w:styleId="Heading3">
    <w:name w:val="heading 3"/>
    <w:basedOn w:val="Normal"/>
    <w:next w:val="Normal"/>
    <w:qFormat/>
    <w:rsid w:val="00A432F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A432F2"/>
    <w:pPr>
      <w:shd w:val="clear" w:color="auto" w:fill="000080"/>
    </w:pPr>
    <w:rPr>
      <w:rFonts w:ascii="Tahoma" w:hAnsi="Tahoma" w:cs="Tahoma"/>
    </w:rPr>
  </w:style>
  <w:style w:type="character" w:styleId="Hyperlink">
    <w:name w:val="Hyperlink"/>
    <w:rsid w:val="00A432F2"/>
    <w:rPr>
      <w:color w:val="0000FF"/>
      <w:u w:val="single"/>
    </w:rPr>
  </w:style>
  <w:style w:type="paragraph" w:styleId="Header">
    <w:name w:val="header"/>
    <w:basedOn w:val="Normal"/>
    <w:rsid w:val="00A432F2"/>
    <w:pPr>
      <w:tabs>
        <w:tab w:val="center" w:pos="4320"/>
        <w:tab w:val="right" w:pos="8640"/>
      </w:tabs>
    </w:pPr>
  </w:style>
  <w:style w:type="paragraph" w:styleId="Footer">
    <w:name w:val="footer"/>
    <w:basedOn w:val="Normal"/>
    <w:link w:val="FooterChar"/>
    <w:uiPriority w:val="99"/>
    <w:rsid w:val="00A432F2"/>
    <w:pPr>
      <w:tabs>
        <w:tab w:val="center" w:pos="4320"/>
        <w:tab w:val="right" w:pos="8640"/>
      </w:tabs>
    </w:pPr>
  </w:style>
  <w:style w:type="character" w:styleId="PageNumber">
    <w:name w:val="page number"/>
    <w:basedOn w:val="DefaultParagraphFont"/>
    <w:rsid w:val="00A432F2"/>
  </w:style>
  <w:style w:type="paragraph" w:styleId="BodyText">
    <w:name w:val="Body Text"/>
    <w:basedOn w:val="Normal"/>
    <w:link w:val="BodyTextChar"/>
    <w:rsid w:val="00A432F2"/>
    <w:rPr>
      <w:rFonts w:ascii="Arial" w:hAnsi="Arial" w:cs="Arial"/>
      <w:sz w:val="22"/>
    </w:rPr>
  </w:style>
  <w:style w:type="paragraph" w:styleId="BalloonText">
    <w:name w:val="Balloon Text"/>
    <w:basedOn w:val="Normal"/>
    <w:semiHidden/>
    <w:rsid w:val="00A432F2"/>
    <w:rPr>
      <w:rFonts w:ascii="Tahoma" w:hAnsi="Tahoma" w:cs="Tahoma"/>
      <w:sz w:val="16"/>
      <w:szCs w:val="16"/>
    </w:rPr>
  </w:style>
  <w:style w:type="paragraph" w:styleId="FootnoteText">
    <w:name w:val="footnote text"/>
    <w:basedOn w:val="Normal"/>
    <w:semiHidden/>
    <w:rsid w:val="00A432F2"/>
    <w:rPr>
      <w:sz w:val="20"/>
      <w:szCs w:val="20"/>
    </w:rPr>
  </w:style>
  <w:style w:type="character" w:styleId="FootnoteReference">
    <w:name w:val="footnote reference"/>
    <w:semiHidden/>
    <w:rsid w:val="00A432F2"/>
    <w:rPr>
      <w:vertAlign w:val="superscript"/>
    </w:rPr>
  </w:style>
  <w:style w:type="table" w:styleId="TableGrid">
    <w:name w:val="Table Grid"/>
    <w:basedOn w:val="TableNormal"/>
    <w:rsid w:val="008117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D32BC"/>
    <w:rPr>
      <w:sz w:val="16"/>
      <w:szCs w:val="16"/>
    </w:rPr>
  </w:style>
  <w:style w:type="paragraph" w:styleId="CommentText">
    <w:name w:val="annotation text"/>
    <w:basedOn w:val="Normal"/>
    <w:link w:val="CommentTextChar"/>
    <w:rsid w:val="00BD32BC"/>
    <w:rPr>
      <w:sz w:val="20"/>
      <w:szCs w:val="20"/>
    </w:rPr>
  </w:style>
  <w:style w:type="character" w:customStyle="1" w:styleId="CommentTextChar">
    <w:name w:val="Comment Text Char"/>
    <w:basedOn w:val="DefaultParagraphFont"/>
    <w:link w:val="CommentText"/>
    <w:rsid w:val="00BD32BC"/>
  </w:style>
  <w:style w:type="paragraph" w:styleId="CommentSubject">
    <w:name w:val="annotation subject"/>
    <w:basedOn w:val="CommentText"/>
    <w:next w:val="CommentText"/>
    <w:link w:val="CommentSubjectChar"/>
    <w:rsid w:val="00BD32BC"/>
    <w:rPr>
      <w:b/>
      <w:bCs/>
    </w:rPr>
  </w:style>
  <w:style w:type="character" w:customStyle="1" w:styleId="CommentSubjectChar">
    <w:name w:val="Comment Subject Char"/>
    <w:link w:val="CommentSubject"/>
    <w:rsid w:val="00BD32BC"/>
    <w:rPr>
      <w:b/>
      <w:bCs/>
    </w:rPr>
  </w:style>
  <w:style w:type="paragraph" w:styleId="Revision">
    <w:name w:val="Revision"/>
    <w:hidden/>
    <w:uiPriority w:val="99"/>
    <w:semiHidden/>
    <w:rsid w:val="000C170B"/>
    <w:rPr>
      <w:sz w:val="24"/>
      <w:szCs w:val="24"/>
    </w:rPr>
  </w:style>
  <w:style w:type="paragraph" w:styleId="PlainText">
    <w:name w:val="Plain Text"/>
    <w:basedOn w:val="Normal"/>
    <w:link w:val="PlainTextChar"/>
    <w:uiPriority w:val="99"/>
    <w:unhideWhenUsed/>
    <w:rsid w:val="00281A21"/>
    <w:rPr>
      <w:rFonts w:ascii="Consolas" w:eastAsia="Calibri" w:hAnsi="Consolas"/>
      <w:sz w:val="21"/>
      <w:szCs w:val="21"/>
    </w:rPr>
  </w:style>
  <w:style w:type="character" w:customStyle="1" w:styleId="PlainTextChar">
    <w:name w:val="Plain Text Char"/>
    <w:link w:val="PlainText"/>
    <w:uiPriority w:val="99"/>
    <w:rsid w:val="00281A21"/>
    <w:rPr>
      <w:rFonts w:ascii="Consolas" w:eastAsia="Calibri" w:hAnsi="Consolas" w:cs="Consolas"/>
      <w:sz w:val="21"/>
      <w:szCs w:val="21"/>
    </w:rPr>
  </w:style>
  <w:style w:type="character" w:styleId="FollowedHyperlink">
    <w:name w:val="FollowedHyperlink"/>
    <w:basedOn w:val="DefaultParagraphFont"/>
    <w:rsid w:val="008618A9"/>
    <w:rPr>
      <w:color w:val="800080"/>
      <w:u w:val="single"/>
    </w:rPr>
  </w:style>
  <w:style w:type="paragraph" w:styleId="ListParagraph">
    <w:name w:val="List Paragraph"/>
    <w:basedOn w:val="Normal"/>
    <w:uiPriority w:val="34"/>
    <w:qFormat/>
    <w:rsid w:val="00CD3996"/>
    <w:pPr>
      <w:spacing w:after="200" w:line="276" w:lineRule="auto"/>
      <w:ind w:left="720"/>
      <w:contextualSpacing/>
    </w:pPr>
    <w:rPr>
      <w:rFonts w:ascii="Calibri" w:eastAsia="Calibri" w:hAnsi="Calibri"/>
      <w:sz w:val="22"/>
      <w:szCs w:val="22"/>
    </w:rPr>
  </w:style>
  <w:style w:type="paragraph" w:styleId="HTMLPreformatted">
    <w:name w:val="HTML Preformatted"/>
    <w:basedOn w:val="Normal"/>
    <w:link w:val="HTMLPreformattedChar"/>
    <w:uiPriority w:val="99"/>
    <w:unhideWhenUsed/>
    <w:rsid w:val="00797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797D89"/>
    <w:rPr>
      <w:rFonts w:ascii="Courier New" w:hAnsi="Courier New" w:cs="Courier New"/>
    </w:rPr>
  </w:style>
  <w:style w:type="paragraph" w:styleId="NoSpacing">
    <w:name w:val="No Spacing"/>
    <w:uiPriority w:val="1"/>
    <w:qFormat/>
    <w:rsid w:val="00172CFE"/>
    <w:rPr>
      <w:rFonts w:ascii="Calibri" w:eastAsia="Calibri" w:hAnsi="Calibri"/>
      <w:sz w:val="22"/>
      <w:szCs w:val="22"/>
    </w:rPr>
  </w:style>
  <w:style w:type="character" w:customStyle="1" w:styleId="FooterChar">
    <w:name w:val="Footer Char"/>
    <w:basedOn w:val="DefaultParagraphFont"/>
    <w:link w:val="Footer"/>
    <w:uiPriority w:val="99"/>
    <w:rsid w:val="00C75CEE"/>
    <w:rPr>
      <w:sz w:val="24"/>
      <w:szCs w:val="24"/>
    </w:rPr>
  </w:style>
  <w:style w:type="character" w:customStyle="1" w:styleId="BodyTextChar">
    <w:name w:val="Body Text Char"/>
    <w:basedOn w:val="DefaultParagraphFont"/>
    <w:link w:val="BodyText"/>
    <w:rsid w:val="003539B3"/>
    <w:rPr>
      <w:rFonts w:ascii="Arial" w:hAnsi="Arial" w:cs="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318261">
      <w:bodyDiv w:val="1"/>
      <w:marLeft w:val="0"/>
      <w:marRight w:val="0"/>
      <w:marTop w:val="0"/>
      <w:marBottom w:val="0"/>
      <w:divBdr>
        <w:top w:val="none" w:sz="0" w:space="0" w:color="auto"/>
        <w:left w:val="none" w:sz="0" w:space="0" w:color="auto"/>
        <w:bottom w:val="none" w:sz="0" w:space="0" w:color="auto"/>
        <w:right w:val="none" w:sz="0" w:space="0" w:color="auto"/>
      </w:divBdr>
    </w:div>
    <w:div w:id="84158360">
      <w:bodyDiv w:val="1"/>
      <w:marLeft w:val="0"/>
      <w:marRight w:val="0"/>
      <w:marTop w:val="0"/>
      <w:marBottom w:val="0"/>
      <w:divBdr>
        <w:top w:val="none" w:sz="0" w:space="0" w:color="auto"/>
        <w:left w:val="none" w:sz="0" w:space="0" w:color="auto"/>
        <w:bottom w:val="none" w:sz="0" w:space="0" w:color="auto"/>
        <w:right w:val="none" w:sz="0" w:space="0" w:color="auto"/>
      </w:divBdr>
    </w:div>
    <w:div w:id="172039446">
      <w:bodyDiv w:val="1"/>
      <w:marLeft w:val="0"/>
      <w:marRight w:val="0"/>
      <w:marTop w:val="0"/>
      <w:marBottom w:val="0"/>
      <w:divBdr>
        <w:top w:val="none" w:sz="0" w:space="0" w:color="auto"/>
        <w:left w:val="none" w:sz="0" w:space="0" w:color="auto"/>
        <w:bottom w:val="none" w:sz="0" w:space="0" w:color="auto"/>
        <w:right w:val="none" w:sz="0" w:space="0" w:color="auto"/>
      </w:divBdr>
    </w:div>
    <w:div w:id="203830381">
      <w:bodyDiv w:val="1"/>
      <w:marLeft w:val="0"/>
      <w:marRight w:val="0"/>
      <w:marTop w:val="0"/>
      <w:marBottom w:val="0"/>
      <w:divBdr>
        <w:top w:val="none" w:sz="0" w:space="0" w:color="auto"/>
        <w:left w:val="none" w:sz="0" w:space="0" w:color="auto"/>
        <w:bottom w:val="none" w:sz="0" w:space="0" w:color="auto"/>
        <w:right w:val="none" w:sz="0" w:space="0" w:color="auto"/>
      </w:divBdr>
    </w:div>
    <w:div w:id="235627634">
      <w:bodyDiv w:val="1"/>
      <w:marLeft w:val="0"/>
      <w:marRight w:val="0"/>
      <w:marTop w:val="0"/>
      <w:marBottom w:val="0"/>
      <w:divBdr>
        <w:top w:val="none" w:sz="0" w:space="0" w:color="auto"/>
        <w:left w:val="none" w:sz="0" w:space="0" w:color="auto"/>
        <w:bottom w:val="none" w:sz="0" w:space="0" w:color="auto"/>
        <w:right w:val="none" w:sz="0" w:space="0" w:color="auto"/>
      </w:divBdr>
      <w:divsChild>
        <w:div w:id="114713536">
          <w:marLeft w:val="0"/>
          <w:marRight w:val="0"/>
          <w:marTop w:val="0"/>
          <w:marBottom w:val="0"/>
          <w:divBdr>
            <w:top w:val="none" w:sz="0" w:space="0" w:color="auto"/>
            <w:left w:val="none" w:sz="0" w:space="0" w:color="auto"/>
            <w:bottom w:val="none" w:sz="0" w:space="0" w:color="auto"/>
            <w:right w:val="none" w:sz="0" w:space="0" w:color="auto"/>
          </w:divBdr>
        </w:div>
        <w:div w:id="348913941">
          <w:marLeft w:val="0"/>
          <w:marRight w:val="0"/>
          <w:marTop w:val="0"/>
          <w:marBottom w:val="0"/>
          <w:divBdr>
            <w:top w:val="none" w:sz="0" w:space="0" w:color="auto"/>
            <w:left w:val="none" w:sz="0" w:space="0" w:color="auto"/>
            <w:bottom w:val="none" w:sz="0" w:space="0" w:color="auto"/>
            <w:right w:val="none" w:sz="0" w:space="0" w:color="auto"/>
          </w:divBdr>
        </w:div>
        <w:div w:id="590358157">
          <w:marLeft w:val="0"/>
          <w:marRight w:val="0"/>
          <w:marTop w:val="0"/>
          <w:marBottom w:val="0"/>
          <w:divBdr>
            <w:top w:val="none" w:sz="0" w:space="0" w:color="auto"/>
            <w:left w:val="none" w:sz="0" w:space="0" w:color="auto"/>
            <w:bottom w:val="none" w:sz="0" w:space="0" w:color="auto"/>
            <w:right w:val="none" w:sz="0" w:space="0" w:color="auto"/>
          </w:divBdr>
        </w:div>
        <w:div w:id="601957301">
          <w:marLeft w:val="0"/>
          <w:marRight w:val="0"/>
          <w:marTop w:val="0"/>
          <w:marBottom w:val="0"/>
          <w:divBdr>
            <w:top w:val="none" w:sz="0" w:space="0" w:color="auto"/>
            <w:left w:val="none" w:sz="0" w:space="0" w:color="auto"/>
            <w:bottom w:val="none" w:sz="0" w:space="0" w:color="auto"/>
            <w:right w:val="none" w:sz="0" w:space="0" w:color="auto"/>
          </w:divBdr>
        </w:div>
        <w:div w:id="605116810">
          <w:marLeft w:val="0"/>
          <w:marRight w:val="0"/>
          <w:marTop w:val="0"/>
          <w:marBottom w:val="0"/>
          <w:divBdr>
            <w:top w:val="none" w:sz="0" w:space="0" w:color="auto"/>
            <w:left w:val="none" w:sz="0" w:space="0" w:color="auto"/>
            <w:bottom w:val="none" w:sz="0" w:space="0" w:color="auto"/>
            <w:right w:val="none" w:sz="0" w:space="0" w:color="auto"/>
          </w:divBdr>
        </w:div>
        <w:div w:id="735056916">
          <w:marLeft w:val="0"/>
          <w:marRight w:val="0"/>
          <w:marTop w:val="0"/>
          <w:marBottom w:val="0"/>
          <w:divBdr>
            <w:top w:val="none" w:sz="0" w:space="0" w:color="auto"/>
            <w:left w:val="none" w:sz="0" w:space="0" w:color="auto"/>
            <w:bottom w:val="none" w:sz="0" w:space="0" w:color="auto"/>
            <w:right w:val="none" w:sz="0" w:space="0" w:color="auto"/>
          </w:divBdr>
        </w:div>
        <w:div w:id="762994606">
          <w:marLeft w:val="0"/>
          <w:marRight w:val="0"/>
          <w:marTop w:val="0"/>
          <w:marBottom w:val="0"/>
          <w:divBdr>
            <w:top w:val="none" w:sz="0" w:space="0" w:color="auto"/>
            <w:left w:val="none" w:sz="0" w:space="0" w:color="auto"/>
            <w:bottom w:val="none" w:sz="0" w:space="0" w:color="auto"/>
            <w:right w:val="none" w:sz="0" w:space="0" w:color="auto"/>
          </w:divBdr>
        </w:div>
        <w:div w:id="1083260451">
          <w:marLeft w:val="0"/>
          <w:marRight w:val="0"/>
          <w:marTop w:val="0"/>
          <w:marBottom w:val="0"/>
          <w:divBdr>
            <w:top w:val="none" w:sz="0" w:space="0" w:color="auto"/>
            <w:left w:val="none" w:sz="0" w:space="0" w:color="auto"/>
            <w:bottom w:val="none" w:sz="0" w:space="0" w:color="auto"/>
            <w:right w:val="none" w:sz="0" w:space="0" w:color="auto"/>
          </w:divBdr>
        </w:div>
        <w:div w:id="1605381241">
          <w:marLeft w:val="0"/>
          <w:marRight w:val="0"/>
          <w:marTop w:val="0"/>
          <w:marBottom w:val="0"/>
          <w:divBdr>
            <w:top w:val="none" w:sz="0" w:space="0" w:color="auto"/>
            <w:left w:val="none" w:sz="0" w:space="0" w:color="auto"/>
            <w:bottom w:val="none" w:sz="0" w:space="0" w:color="auto"/>
            <w:right w:val="none" w:sz="0" w:space="0" w:color="auto"/>
          </w:divBdr>
        </w:div>
        <w:div w:id="1763530678">
          <w:marLeft w:val="0"/>
          <w:marRight w:val="0"/>
          <w:marTop w:val="0"/>
          <w:marBottom w:val="0"/>
          <w:divBdr>
            <w:top w:val="none" w:sz="0" w:space="0" w:color="auto"/>
            <w:left w:val="none" w:sz="0" w:space="0" w:color="auto"/>
            <w:bottom w:val="none" w:sz="0" w:space="0" w:color="auto"/>
            <w:right w:val="none" w:sz="0" w:space="0" w:color="auto"/>
          </w:divBdr>
        </w:div>
        <w:div w:id="1797945156">
          <w:marLeft w:val="0"/>
          <w:marRight w:val="0"/>
          <w:marTop w:val="0"/>
          <w:marBottom w:val="0"/>
          <w:divBdr>
            <w:top w:val="none" w:sz="0" w:space="0" w:color="auto"/>
            <w:left w:val="none" w:sz="0" w:space="0" w:color="auto"/>
            <w:bottom w:val="none" w:sz="0" w:space="0" w:color="auto"/>
            <w:right w:val="none" w:sz="0" w:space="0" w:color="auto"/>
          </w:divBdr>
        </w:div>
        <w:div w:id="1896119906">
          <w:marLeft w:val="0"/>
          <w:marRight w:val="0"/>
          <w:marTop w:val="0"/>
          <w:marBottom w:val="0"/>
          <w:divBdr>
            <w:top w:val="none" w:sz="0" w:space="0" w:color="auto"/>
            <w:left w:val="none" w:sz="0" w:space="0" w:color="auto"/>
            <w:bottom w:val="none" w:sz="0" w:space="0" w:color="auto"/>
            <w:right w:val="none" w:sz="0" w:space="0" w:color="auto"/>
          </w:divBdr>
        </w:div>
        <w:div w:id="1930385490">
          <w:marLeft w:val="0"/>
          <w:marRight w:val="0"/>
          <w:marTop w:val="0"/>
          <w:marBottom w:val="0"/>
          <w:divBdr>
            <w:top w:val="none" w:sz="0" w:space="0" w:color="auto"/>
            <w:left w:val="none" w:sz="0" w:space="0" w:color="auto"/>
            <w:bottom w:val="none" w:sz="0" w:space="0" w:color="auto"/>
            <w:right w:val="none" w:sz="0" w:space="0" w:color="auto"/>
          </w:divBdr>
        </w:div>
        <w:div w:id="1941334104">
          <w:marLeft w:val="0"/>
          <w:marRight w:val="0"/>
          <w:marTop w:val="0"/>
          <w:marBottom w:val="0"/>
          <w:divBdr>
            <w:top w:val="none" w:sz="0" w:space="0" w:color="auto"/>
            <w:left w:val="none" w:sz="0" w:space="0" w:color="auto"/>
            <w:bottom w:val="none" w:sz="0" w:space="0" w:color="auto"/>
            <w:right w:val="none" w:sz="0" w:space="0" w:color="auto"/>
          </w:divBdr>
        </w:div>
        <w:div w:id="2021083903">
          <w:marLeft w:val="0"/>
          <w:marRight w:val="0"/>
          <w:marTop w:val="0"/>
          <w:marBottom w:val="0"/>
          <w:divBdr>
            <w:top w:val="none" w:sz="0" w:space="0" w:color="auto"/>
            <w:left w:val="none" w:sz="0" w:space="0" w:color="auto"/>
            <w:bottom w:val="none" w:sz="0" w:space="0" w:color="auto"/>
            <w:right w:val="none" w:sz="0" w:space="0" w:color="auto"/>
          </w:divBdr>
        </w:div>
        <w:div w:id="2076387471">
          <w:marLeft w:val="0"/>
          <w:marRight w:val="0"/>
          <w:marTop w:val="0"/>
          <w:marBottom w:val="0"/>
          <w:divBdr>
            <w:top w:val="none" w:sz="0" w:space="0" w:color="auto"/>
            <w:left w:val="none" w:sz="0" w:space="0" w:color="auto"/>
            <w:bottom w:val="none" w:sz="0" w:space="0" w:color="auto"/>
            <w:right w:val="none" w:sz="0" w:space="0" w:color="auto"/>
          </w:divBdr>
        </w:div>
      </w:divsChild>
    </w:div>
    <w:div w:id="377972692">
      <w:bodyDiv w:val="1"/>
      <w:marLeft w:val="0"/>
      <w:marRight w:val="0"/>
      <w:marTop w:val="0"/>
      <w:marBottom w:val="0"/>
      <w:divBdr>
        <w:top w:val="none" w:sz="0" w:space="0" w:color="auto"/>
        <w:left w:val="none" w:sz="0" w:space="0" w:color="auto"/>
        <w:bottom w:val="none" w:sz="0" w:space="0" w:color="auto"/>
        <w:right w:val="none" w:sz="0" w:space="0" w:color="auto"/>
      </w:divBdr>
      <w:divsChild>
        <w:div w:id="194124870">
          <w:marLeft w:val="0"/>
          <w:marRight w:val="0"/>
          <w:marTop w:val="0"/>
          <w:marBottom w:val="0"/>
          <w:divBdr>
            <w:top w:val="none" w:sz="0" w:space="0" w:color="auto"/>
            <w:left w:val="none" w:sz="0" w:space="0" w:color="auto"/>
            <w:bottom w:val="none" w:sz="0" w:space="0" w:color="auto"/>
            <w:right w:val="none" w:sz="0" w:space="0" w:color="auto"/>
          </w:divBdr>
        </w:div>
        <w:div w:id="307784632">
          <w:marLeft w:val="0"/>
          <w:marRight w:val="0"/>
          <w:marTop w:val="0"/>
          <w:marBottom w:val="0"/>
          <w:divBdr>
            <w:top w:val="none" w:sz="0" w:space="0" w:color="auto"/>
            <w:left w:val="none" w:sz="0" w:space="0" w:color="auto"/>
            <w:bottom w:val="none" w:sz="0" w:space="0" w:color="auto"/>
            <w:right w:val="none" w:sz="0" w:space="0" w:color="auto"/>
          </w:divBdr>
        </w:div>
        <w:div w:id="419718915">
          <w:marLeft w:val="0"/>
          <w:marRight w:val="0"/>
          <w:marTop w:val="0"/>
          <w:marBottom w:val="0"/>
          <w:divBdr>
            <w:top w:val="none" w:sz="0" w:space="0" w:color="auto"/>
            <w:left w:val="none" w:sz="0" w:space="0" w:color="auto"/>
            <w:bottom w:val="none" w:sz="0" w:space="0" w:color="auto"/>
            <w:right w:val="none" w:sz="0" w:space="0" w:color="auto"/>
          </w:divBdr>
        </w:div>
        <w:div w:id="521094470">
          <w:marLeft w:val="0"/>
          <w:marRight w:val="0"/>
          <w:marTop w:val="0"/>
          <w:marBottom w:val="0"/>
          <w:divBdr>
            <w:top w:val="none" w:sz="0" w:space="0" w:color="auto"/>
            <w:left w:val="none" w:sz="0" w:space="0" w:color="auto"/>
            <w:bottom w:val="none" w:sz="0" w:space="0" w:color="auto"/>
            <w:right w:val="none" w:sz="0" w:space="0" w:color="auto"/>
          </w:divBdr>
        </w:div>
        <w:div w:id="987394996">
          <w:marLeft w:val="0"/>
          <w:marRight w:val="0"/>
          <w:marTop w:val="0"/>
          <w:marBottom w:val="0"/>
          <w:divBdr>
            <w:top w:val="none" w:sz="0" w:space="0" w:color="auto"/>
            <w:left w:val="none" w:sz="0" w:space="0" w:color="auto"/>
            <w:bottom w:val="none" w:sz="0" w:space="0" w:color="auto"/>
            <w:right w:val="none" w:sz="0" w:space="0" w:color="auto"/>
          </w:divBdr>
        </w:div>
        <w:div w:id="1907954850">
          <w:marLeft w:val="0"/>
          <w:marRight w:val="0"/>
          <w:marTop w:val="0"/>
          <w:marBottom w:val="0"/>
          <w:divBdr>
            <w:top w:val="none" w:sz="0" w:space="0" w:color="auto"/>
            <w:left w:val="none" w:sz="0" w:space="0" w:color="auto"/>
            <w:bottom w:val="none" w:sz="0" w:space="0" w:color="auto"/>
            <w:right w:val="none" w:sz="0" w:space="0" w:color="auto"/>
          </w:divBdr>
        </w:div>
      </w:divsChild>
    </w:div>
    <w:div w:id="516847970">
      <w:bodyDiv w:val="1"/>
      <w:marLeft w:val="0"/>
      <w:marRight w:val="0"/>
      <w:marTop w:val="0"/>
      <w:marBottom w:val="0"/>
      <w:divBdr>
        <w:top w:val="none" w:sz="0" w:space="0" w:color="auto"/>
        <w:left w:val="none" w:sz="0" w:space="0" w:color="auto"/>
        <w:bottom w:val="none" w:sz="0" w:space="0" w:color="auto"/>
        <w:right w:val="none" w:sz="0" w:space="0" w:color="auto"/>
      </w:divBdr>
    </w:div>
    <w:div w:id="524903814">
      <w:bodyDiv w:val="1"/>
      <w:marLeft w:val="0"/>
      <w:marRight w:val="0"/>
      <w:marTop w:val="0"/>
      <w:marBottom w:val="0"/>
      <w:divBdr>
        <w:top w:val="none" w:sz="0" w:space="0" w:color="auto"/>
        <w:left w:val="none" w:sz="0" w:space="0" w:color="auto"/>
        <w:bottom w:val="none" w:sz="0" w:space="0" w:color="auto"/>
        <w:right w:val="none" w:sz="0" w:space="0" w:color="auto"/>
      </w:divBdr>
    </w:div>
    <w:div w:id="615912854">
      <w:bodyDiv w:val="1"/>
      <w:marLeft w:val="0"/>
      <w:marRight w:val="0"/>
      <w:marTop w:val="0"/>
      <w:marBottom w:val="0"/>
      <w:divBdr>
        <w:top w:val="none" w:sz="0" w:space="0" w:color="auto"/>
        <w:left w:val="none" w:sz="0" w:space="0" w:color="auto"/>
        <w:bottom w:val="none" w:sz="0" w:space="0" w:color="auto"/>
        <w:right w:val="none" w:sz="0" w:space="0" w:color="auto"/>
      </w:divBdr>
    </w:div>
    <w:div w:id="715812583">
      <w:bodyDiv w:val="1"/>
      <w:marLeft w:val="0"/>
      <w:marRight w:val="0"/>
      <w:marTop w:val="0"/>
      <w:marBottom w:val="0"/>
      <w:divBdr>
        <w:top w:val="none" w:sz="0" w:space="0" w:color="auto"/>
        <w:left w:val="none" w:sz="0" w:space="0" w:color="auto"/>
        <w:bottom w:val="none" w:sz="0" w:space="0" w:color="auto"/>
        <w:right w:val="none" w:sz="0" w:space="0" w:color="auto"/>
      </w:divBdr>
    </w:div>
    <w:div w:id="1097406393">
      <w:bodyDiv w:val="1"/>
      <w:marLeft w:val="0"/>
      <w:marRight w:val="0"/>
      <w:marTop w:val="0"/>
      <w:marBottom w:val="0"/>
      <w:divBdr>
        <w:top w:val="none" w:sz="0" w:space="0" w:color="auto"/>
        <w:left w:val="none" w:sz="0" w:space="0" w:color="auto"/>
        <w:bottom w:val="none" w:sz="0" w:space="0" w:color="auto"/>
        <w:right w:val="none" w:sz="0" w:space="0" w:color="auto"/>
      </w:divBdr>
    </w:div>
    <w:div w:id="1274092611">
      <w:bodyDiv w:val="1"/>
      <w:marLeft w:val="0"/>
      <w:marRight w:val="0"/>
      <w:marTop w:val="0"/>
      <w:marBottom w:val="0"/>
      <w:divBdr>
        <w:top w:val="none" w:sz="0" w:space="0" w:color="auto"/>
        <w:left w:val="none" w:sz="0" w:space="0" w:color="auto"/>
        <w:bottom w:val="none" w:sz="0" w:space="0" w:color="auto"/>
        <w:right w:val="none" w:sz="0" w:space="0" w:color="auto"/>
      </w:divBdr>
    </w:div>
    <w:div w:id="1301182622">
      <w:bodyDiv w:val="1"/>
      <w:marLeft w:val="0"/>
      <w:marRight w:val="0"/>
      <w:marTop w:val="0"/>
      <w:marBottom w:val="0"/>
      <w:divBdr>
        <w:top w:val="none" w:sz="0" w:space="0" w:color="auto"/>
        <w:left w:val="none" w:sz="0" w:space="0" w:color="auto"/>
        <w:bottom w:val="none" w:sz="0" w:space="0" w:color="auto"/>
        <w:right w:val="none" w:sz="0" w:space="0" w:color="auto"/>
      </w:divBdr>
    </w:div>
    <w:div w:id="1342657238">
      <w:bodyDiv w:val="1"/>
      <w:marLeft w:val="0"/>
      <w:marRight w:val="0"/>
      <w:marTop w:val="0"/>
      <w:marBottom w:val="0"/>
      <w:divBdr>
        <w:top w:val="none" w:sz="0" w:space="0" w:color="auto"/>
        <w:left w:val="none" w:sz="0" w:space="0" w:color="auto"/>
        <w:bottom w:val="none" w:sz="0" w:space="0" w:color="auto"/>
        <w:right w:val="none" w:sz="0" w:space="0" w:color="auto"/>
      </w:divBdr>
    </w:div>
    <w:div w:id="1663586389">
      <w:bodyDiv w:val="1"/>
      <w:marLeft w:val="0"/>
      <w:marRight w:val="0"/>
      <w:marTop w:val="0"/>
      <w:marBottom w:val="0"/>
      <w:divBdr>
        <w:top w:val="none" w:sz="0" w:space="0" w:color="auto"/>
        <w:left w:val="none" w:sz="0" w:space="0" w:color="auto"/>
        <w:bottom w:val="none" w:sz="0" w:space="0" w:color="auto"/>
        <w:right w:val="none" w:sz="0" w:space="0" w:color="auto"/>
      </w:divBdr>
    </w:div>
    <w:div w:id="1859612191">
      <w:bodyDiv w:val="1"/>
      <w:marLeft w:val="0"/>
      <w:marRight w:val="0"/>
      <w:marTop w:val="0"/>
      <w:marBottom w:val="0"/>
      <w:divBdr>
        <w:top w:val="none" w:sz="0" w:space="0" w:color="auto"/>
        <w:left w:val="none" w:sz="0" w:space="0" w:color="auto"/>
        <w:bottom w:val="none" w:sz="0" w:space="0" w:color="auto"/>
        <w:right w:val="none" w:sz="0" w:space="0" w:color="auto"/>
      </w:divBdr>
    </w:div>
    <w:div w:id="1933968027">
      <w:bodyDiv w:val="1"/>
      <w:marLeft w:val="0"/>
      <w:marRight w:val="0"/>
      <w:marTop w:val="0"/>
      <w:marBottom w:val="0"/>
      <w:divBdr>
        <w:top w:val="none" w:sz="0" w:space="0" w:color="auto"/>
        <w:left w:val="none" w:sz="0" w:space="0" w:color="auto"/>
        <w:bottom w:val="none" w:sz="0" w:space="0" w:color="auto"/>
        <w:right w:val="none" w:sz="0" w:space="0" w:color="auto"/>
      </w:divBdr>
    </w:div>
    <w:div w:id="1941404022">
      <w:bodyDiv w:val="1"/>
      <w:marLeft w:val="0"/>
      <w:marRight w:val="0"/>
      <w:marTop w:val="0"/>
      <w:marBottom w:val="0"/>
      <w:divBdr>
        <w:top w:val="none" w:sz="0" w:space="0" w:color="auto"/>
        <w:left w:val="none" w:sz="0" w:space="0" w:color="auto"/>
        <w:bottom w:val="none" w:sz="0" w:space="0" w:color="auto"/>
        <w:right w:val="none" w:sz="0" w:space="0" w:color="auto"/>
      </w:divBdr>
    </w:div>
    <w:div w:id="1970432694">
      <w:bodyDiv w:val="1"/>
      <w:marLeft w:val="0"/>
      <w:marRight w:val="0"/>
      <w:marTop w:val="0"/>
      <w:marBottom w:val="0"/>
      <w:divBdr>
        <w:top w:val="none" w:sz="0" w:space="0" w:color="auto"/>
        <w:left w:val="none" w:sz="0" w:space="0" w:color="auto"/>
        <w:bottom w:val="none" w:sz="0" w:space="0" w:color="auto"/>
        <w:right w:val="none" w:sz="0" w:space="0" w:color="auto"/>
      </w:divBdr>
      <w:divsChild>
        <w:div w:id="138885794">
          <w:marLeft w:val="0"/>
          <w:marRight w:val="0"/>
          <w:marTop w:val="0"/>
          <w:marBottom w:val="0"/>
          <w:divBdr>
            <w:top w:val="none" w:sz="0" w:space="0" w:color="auto"/>
            <w:left w:val="none" w:sz="0" w:space="0" w:color="auto"/>
            <w:bottom w:val="none" w:sz="0" w:space="0" w:color="auto"/>
            <w:right w:val="none" w:sz="0" w:space="0" w:color="auto"/>
          </w:divBdr>
        </w:div>
        <w:div w:id="154928833">
          <w:marLeft w:val="0"/>
          <w:marRight w:val="0"/>
          <w:marTop w:val="0"/>
          <w:marBottom w:val="0"/>
          <w:divBdr>
            <w:top w:val="none" w:sz="0" w:space="0" w:color="auto"/>
            <w:left w:val="none" w:sz="0" w:space="0" w:color="auto"/>
            <w:bottom w:val="none" w:sz="0" w:space="0" w:color="auto"/>
            <w:right w:val="none" w:sz="0" w:space="0" w:color="auto"/>
          </w:divBdr>
        </w:div>
        <w:div w:id="191234587">
          <w:marLeft w:val="0"/>
          <w:marRight w:val="0"/>
          <w:marTop w:val="0"/>
          <w:marBottom w:val="0"/>
          <w:divBdr>
            <w:top w:val="none" w:sz="0" w:space="0" w:color="auto"/>
            <w:left w:val="none" w:sz="0" w:space="0" w:color="auto"/>
            <w:bottom w:val="none" w:sz="0" w:space="0" w:color="auto"/>
            <w:right w:val="none" w:sz="0" w:space="0" w:color="auto"/>
          </w:divBdr>
        </w:div>
        <w:div w:id="259724077">
          <w:marLeft w:val="0"/>
          <w:marRight w:val="0"/>
          <w:marTop w:val="0"/>
          <w:marBottom w:val="0"/>
          <w:divBdr>
            <w:top w:val="none" w:sz="0" w:space="0" w:color="auto"/>
            <w:left w:val="none" w:sz="0" w:space="0" w:color="auto"/>
            <w:bottom w:val="none" w:sz="0" w:space="0" w:color="auto"/>
            <w:right w:val="none" w:sz="0" w:space="0" w:color="auto"/>
          </w:divBdr>
        </w:div>
        <w:div w:id="331227440">
          <w:marLeft w:val="0"/>
          <w:marRight w:val="0"/>
          <w:marTop w:val="0"/>
          <w:marBottom w:val="0"/>
          <w:divBdr>
            <w:top w:val="none" w:sz="0" w:space="0" w:color="auto"/>
            <w:left w:val="none" w:sz="0" w:space="0" w:color="auto"/>
            <w:bottom w:val="none" w:sz="0" w:space="0" w:color="auto"/>
            <w:right w:val="none" w:sz="0" w:space="0" w:color="auto"/>
          </w:divBdr>
        </w:div>
        <w:div w:id="453866100">
          <w:marLeft w:val="0"/>
          <w:marRight w:val="0"/>
          <w:marTop w:val="0"/>
          <w:marBottom w:val="0"/>
          <w:divBdr>
            <w:top w:val="none" w:sz="0" w:space="0" w:color="auto"/>
            <w:left w:val="none" w:sz="0" w:space="0" w:color="auto"/>
            <w:bottom w:val="none" w:sz="0" w:space="0" w:color="auto"/>
            <w:right w:val="none" w:sz="0" w:space="0" w:color="auto"/>
          </w:divBdr>
        </w:div>
        <w:div w:id="603733742">
          <w:marLeft w:val="0"/>
          <w:marRight w:val="0"/>
          <w:marTop w:val="0"/>
          <w:marBottom w:val="0"/>
          <w:divBdr>
            <w:top w:val="none" w:sz="0" w:space="0" w:color="auto"/>
            <w:left w:val="none" w:sz="0" w:space="0" w:color="auto"/>
            <w:bottom w:val="none" w:sz="0" w:space="0" w:color="auto"/>
            <w:right w:val="none" w:sz="0" w:space="0" w:color="auto"/>
          </w:divBdr>
        </w:div>
        <w:div w:id="655108424">
          <w:marLeft w:val="0"/>
          <w:marRight w:val="0"/>
          <w:marTop w:val="0"/>
          <w:marBottom w:val="0"/>
          <w:divBdr>
            <w:top w:val="none" w:sz="0" w:space="0" w:color="auto"/>
            <w:left w:val="none" w:sz="0" w:space="0" w:color="auto"/>
            <w:bottom w:val="none" w:sz="0" w:space="0" w:color="auto"/>
            <w:right w:val="none" w:sz="0" w:space="0" w:color="auto"/>
          </w:divBdr>
        </w:div>
        <w:div w:id="818769819">
          <w:marLeft w:val="0"/>
          <w:marRight w:val="0"/>
          <w:marTop w:val="0"/>
          <w:marBottom w:val="0"/>
          <w:divBdr>
            <w:top w:val="none" w:sz="0" w:space="0" w:color="auto"/>
            <w:left w:val="none" w:sz="0" w:space="0" w:color="auto"/>
            <w:bottom w:val="none" w:sz="0" w:space="0" w:color="auto"/>
            <w:right w:val="none" w:sz="0" w:space="0" w:color="auto"/>
          </w:divBdr>
        </w:div>
        <w:div w:id="854614400">
          <w:marLeft w:val="0"/>
          <w:marRight w:val="0"/>
          <w:marTop w:val="0"/>
          <w:marBottom w:val="0"/>
          <w:divBdr>
            <w:top w:val="none" w:sz="0" w:space="0" w:color="auto"/>
            <w:left w:val="none" w:sz="0" w:space="0" w:color="auto"/>
            <w:bottom w:val="none" w:sz="0" w:space="0" w:color="auto"/>
            <w:right w:val="none" w:sz="0" w:space="0" w:color="auto"/>
          </w:divBdr>
        </w:div>
        <w:div w:id="952594437">
          <w:marLeft w:val="0"/>
          <w:marRight w:val="0"/>
          <w:marTop w:val="0"/>
          <w:marBottom w:val="0"/>
          <w:divBdr>
            <w:top w:val="none" w:sz="0" w:space="0" w:color="auto"/>
            <w:left w:val="none" w:sz="0" w:space="0" w:color="auto"/>
            <w:bottom w:val="none" w:sz="0" w:space="0" w:color="auto"/>
            <w:right w:val="none" w:sz="0" w:space="0" w:color="auto"/>
          </w:divBdr>
        </w:div>
        <w:div w:id="1000620557">
          <w:marLeft w:val="0"/>
          <w:marRight w:val="0"/>
          <w:marTop w:val="0"/>
          <w:marBottom w:val="0"/>
          <w:divBdr>
            <w:top w:val="none" w:sz="0" w:space="0" w:color="auto"/>
            <w:left w:val="none" w:sz="0" w:space="0" w:color="auto"/>
            <w:bottom w:val="none" w:sz="0" w:space="0" w:color="auto"/>
            <w:right w:val="none" w:sz="0" w:space="0" w:color="auto"/>
          </w:divBdr>
        </w:div>
        <w:div w:id="1005981630">
          <w:marLeft w:val="0"/>
          <w:marRight w:val="0"/>
          <w:marTop w:val="0"/>
          <w:marBottom w:val="0"/>
          <w:divBdr>
            <w:top w:val="none" w:sz="0" w:space="0" w:color="auto"/>
            <w:left w:val="none" w:sz="0" w:space="0" w:color="auto"/>
            <w:bottom w:val="none" w:sz="0" w:space="0" w:color="auto"/>
            <w:right w:val="none" w:sz="0" w:space="0" w:color="auto"/>
          </w:divBdr>
        </w:div>
        <w:div w:id="1038240693">
          <w:marLeft w:val="0"/>
          <w:marRight w:val="0"/>
          <w:marTop w:val="0"/>
          <w:marBottom w:val="0"/>
          <w:divBdr>
            <w:top w:val="none" w:sz="0" w:space="0" w:color="auto"/>
            <w:left w:val="none" w:sz="0" w:space="0" w:color="auto"/>
            <w:bottom w:val="none" w:sz="0" w:space="0" w:color="auto"/>
            <w:right w:val="none" w:sz="0" w:space="0" w:color="auto"/>
          </w:divBdr>
        </w:div>
        <w:div w:id="1040787331">
          <w:marLeft w:val="0"/>
          <w:marRight w:val="0"/>
          <w:marTop w:val="0"/>
          <w:marBottom w:val="0"/>
          <w:divBdr>
            <w:top w:val="none" w:sz="0" w:space="0" w:color="auto"/>
            <w:left w:val="none" w:sz="0" w:space="0" w:color="auto"/>
            <w:bottom w:val="none" w:sz="0" w:space="0" w:color="auto"/>
            <w:right w:val="none" w:sz="0" w:space="0" w:color="auto"/>
          </w:divBdr>
        </w:div>
        <w:div w:id="1062219479">
          <w:marLeft w:val="0"/>
          <w:marRight w:val="0"/>
          <w:marTop w:val="0"/>
          <w:marBottom w:val="0"/>
          <w:divBdr>
            <w:top w:val="none" w:sz="0" w:space="0" w:color="auto"/>
            <w:left w:val="none" w:sz="0" w:space="0" w:color="auto"/>
            <w:bottom w:val="none" w:sz="0" w:space="0" w:color="auto"/>
            <w:right w:val="none" w:sz="0" w:space="0" w:color="auto"/>
          </w:divBdr>
        </w:div>
        <w:div w:id="1219516707">
          <w:marLeft w:val="0"/>
          <w:marRight w:val="0"/>
          <w:marTop w:val="0"/>
          <w:marBottom w:val="0"/>
          <w:divBdr>
            <w:top w:val="none" w:sz="0" w:space="0" w:color="auto"/>
            <w:left w:val="none" w:sz="0" w:space="0" w:color="auto"/>
            <w:bottom w:val="none" w:sz="0" w:space="0" w:color="auto"/>
            <w:right w:val="none" w:sz="0" w:space="0" w:color="auto"/>
          </w:divBdr>
        </w:div>
        <w:div w:id="1342975284">
          <w:marLeft w:val="0"/>
          <w:marRight w:val="0"/>
          <w:marTop w:val="0"/>
          <w:marBottom w:val="0"/>
          <w:divBdr>
            <w:top w:val="none" w:sz="0" w:space="0" w:color="auto"/>
            <w:left w:val="none" w:sz="0" w:space="0" w:color="auto"/>
            <w:bottom w:val="none" w:sz="0" w:space="0" w:color="auto"/>
            <w:right w:val="none" w:sz="0" w:space="0" w:color="auto"/>
          </w:divBdr>
        </w:div>
        <w:div w:id="1358114909">
          <w:marLeft w:val="0"/>
          <w:marRight w:val="0"/>
          <w:marTop w:val="0"/>
          <w:marBottom w:val="0"/>
          <w:divBdr>
            <w:top w:val="none" w:sz="0" w:space="0" w:color="auto"/>
            <w:left w:val="none" w:sz="0" w:space="0" w:color="auto"/>
            <w:bottom w:val="none" w:sz="0" w:space="0" w:color="auto"/>
            <w:right w:val="none" w:sz="0" w:space="0" w:color="auto"/>
          </w:divBdr>
        </w:div>
        <w:div w:id="1408696963">
          <w:marLeft w:val="0"/>
          <w:marRight w:val="0"/>
          <w:marTop w:val="0"/>
          <w:marBottom w:val="0"/>
          <w:divBdr>
            <w:top w:val="none" w:sz="0" w:space="0" w:color="auto"/>
            <w:left w:val="none" w:sz="0" w:space="0" w:color="auto"/>
            <w:bottom w:val="none" w:sz="0" w:space="0" w:color="auto"/>
            <w:right w:val="none" w:sz="0" w:space="0" w:color="auto"/>
          </w:divBdr>
        </w:div>
        <w:div w:id="1471512328">
          <w:marLeft w:val="0"/>
          <w:marRight w:val="0"/>
          <w:marTop w:val="0"/>
          <w:marBottom w:val="0"/>
          <w:divBdr>
            <w:top w:val="none" w:sz="0" w:space="0" w:color="auto"/>
            <w:left w:val="none" w:sz="0" w:space="0" w:color="auto"/>
            <w:bottom w:val="none" w:sz="0" w:space="0" w:color="auto"/>
            <w:right w:val="none" w:sz="0" w:space="0" w:color="auto"/>
          </w:divBdr>
        </w:div>
        <w:div w:id="1515655091">
          <w:marLeft w:val="0"/>
          <w:marRight w:val="0"/>
          <w:marTop w:val="0"/>
          <w:marBottom w:val="0"/>
          <w:divBdr>
            <w:top w:val="none" w:sz="0" w:space="0" w:color="auto"/>
            <w:left w:val="none" w:sz="0" w:space="0" w:color="auto"/>
            <w:bottom w:val="none" w:sz="0" w:space="0" w:color="auto"/>
            <w:right w:val="none" w:sz="0" w:space="0" w:color="auto"/>
          </w:divBdr>
        </w:div>
        <w:div w:id="1529249116">
          <w:marLeft w:val="0"/>
          <w:marRight w:val="0"/>
          <w:marTop w:val="0"/>
          <w:marBottom w:val="0"/>
          <w:divBdr>
            <w:top w:val="none" w:sz="0" w:space="0" w:color="auto"/>
            <w:left w:val="none" w:sz="0" w:space="0" w:color="auto"/>
            <w:bottom w:val="none" w:sz="0" w:space="0" w:color="auto"/>
            <w:right w:val="none" w:sz="0" w:space="0" w:color="auto"/>
          </w:divBdr>
        </w:div>
        <w:div w:id="1672218770">
          <w:marLeft w:val="0"/>
          <w:marRight w:val="0"/>
          <w:marTop w:val="0"/>
          <w:marBottom w:val="0"/>
          <w:divBdr>
            <w:top w:val="none" w:sz="0" w:space="0" w:color="auto"/>
            <w:left w:val="none" w:sz="0" w:space="0" w:color="auto"/>
            <w:bottom w:val="none" w:sz="0" w:space="0" w:color="auto"/>
            <w:right w:val="none" w:sz="0" w:space="0" w:color="auto"/>
          </w:divBdr>
        </w:div>
        <w:div w:id="1756318624">
          <w:marLeft w:val="0"/>
          <w:marRight w:val="0"/>
          <w:marTop w:val="0"/>
          <w:marBottom w:val="0"/>
          <w:divBdr>
            <w:top w:val="none" w:sz="0" w:space="0" w:color="auto"/>
            <w:left w:val="none" w:sz="0" w:space="0" w:color="auto"/>
            <w:bottom w:val="none" w:sz="0" w:space="0" w:color="auto"/>
            <w:right w:val="none" w:sz="0" w:space="0" w:color="auto"/>
          </w:divBdr>
        </w:div>
        <w:div w:id="2027125285">
          <w:marLeft w:val="0"/>
          <w:marRight w:val="0"/>
          <w:marTop w:val="0"/>
          <w:marBottom w:val="0"/>
          <w:divBdr>
            <w:top w:val="none" w:sz="0" w:space="0" w:color="auto"/>
            <w:left w:val="none" w:sz="0" w:space="0" w:color="auto"/>
            <w:bottom w:val="none" w:sz="0" w:space="0" w:color="auto"/>
            <w:right w:val="none" w:sz="0" w:space="0" w:color="auto"/>
          </w:divBdr>
        </w:div>
        <w:div w:id="2037267625">
          <w:marLeft w:val="0"/>
          <w:marRight w:val="0"/>
          <w:marTop w:val="0"/>
          <w:marBottom w:val="0"/>
          <w:divBdr>
            <w:top w:val="none" w:sz="0" w:space="0" w:color="auto"/>
            <w:left w:val="none" w:sz="0" w:space="0" w:color="auto"/>
            <w:bottom w:val="none" w:sz="0" w:space="0" w:color="auto"/>
            <w:right w:val="none" w:sz="0" w:space="0" w:color="auto"/>
          </w:divBdr>
        </w:div>
        <w:div w:id="2085370155">
          <w:marLeft w:val="0"/>
          <w:marRight w:val="0"/>
          <w:marTop w:val="0"/>
          <w:marBottom w:val="0"/>
          <w:divBdr>
            <w:top w:val="none" w:sz="0" w:space="0" w:color="auto"/>
            <w:left w:val="none" w:sz="0" w:space="0" w:color="auto"/>
            <w:bottom w:val="none" w:sz="0" w:space="0" w:color="auto"/>
            <w:right w:val="none" w:sz="0" w:space="0" w:color="auto"/>
          </w:divBdr>
        </w:div>
        <w:div w:id="2105102717">
          <w:marLeft w:val="0"/>
          <w:marRight w:val="0"/>
          <w:marTop w:val="0"/>
          <w:marBottom w:val="0"/>
          <w:divBdr>
            <w:top w:val="none" w:sz="0" w:space="0" w:color="auto"/>
            <w:left w:val="none" w:sz="0" w:space="0" w:color="auto"/>
            <w:bottom w:val="none" w:sz="0" w:space="0" w:color="auto"/>
            <w:right w:val="none" w:sz="0" w:space="0" w:color="auto"/>
          </w:divBdr>
        </w:div>
      </w:divsChild>
    </w:div>
    <w:div w:id="2007901852">
      <w:bodyDiv w:val="1"/>
      <w:marLeft w:val="0"/>
      <w:marRight w:val="0"/>
      <w:marTop w:val="0"/>
      <w:marBottom w:val="0"/>
      <w:divBdr>
        <w:top w:val="none" w:sz="0" w:space="0" w:color="auto"/>
        <w:left w:val="none" w:sz="0" w:space="0" w:color="auto"/>
        <w:bottom w:val="none" w:sz="0" w:space="0" w:color="auto"/>
        <w:right w:val="none" w:sz="0" w:space="0" w:color="auto"/>
      </w:divBdr>
    </w:div>
    <w:div w:id="203726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wcer.wisc.edu/publications/workingpapers/working_paper_no_2008_02.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ir.org/sites/default/files/downloads/report/Final_version_for_Release_Title_III_Exploratory_Report_020112_630pm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DESE-231-62125</_dlc_DocId>
    <_dlc_DocIdUrl xmlns="733efe1c-5bbe-4968-87dc-d400e65c879f">
      <Url>https://sharepoint.doemass.org/ese/webteam/cps/_layouts/DocIdRedir.aspx?ID=DESE-231-62125</Url>
      <Description>DESE-231-62125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FD4C7F-B7F0-40C2-A63E-3D3F51C0C020}">
  <ds:schemaRefs>
    <ds:schemaRef ds:uri="http://schemas.microsoft.com/sharepoint/events"/>
  </ds:schemaRefs>
</ds:datastoreItem>
</file>

<file path=customXml/itemProps2.xml><?xml version="1.0" encoding="utf-8"?>
<ds:datastoreItem xmlns:ds="http://schemas.openxmlformats.org/officeDocument/2006/customXml" ds:itemID="{F014708F-5435-4E19-8F60-03EFDFAA688C}">
  <ds:schemaRefs>
    <ds:schemaRef ds:uri="http://schemas.microsoft.com/sharepoint/v3/contenttype/forms"/>
  </ds:schemaRefs>
</ds:datastoreItem>
</file>

<file path=customXml/itemProps3.xml><?xml version="1.0" encoding="utf-8"?>
<ds:datastoreItem xmlns:ds="http://schemas.openxmlformats.org/officeDocument/2006/customXml" ds:itemID="{C8D70961-49C2-4DC6-BEF7-434F32836E1B}">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E978953A-2856-4185-86FB-2E108C5E7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70EF983-1676-4B6C-8B9C-51509BFB3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3513</Words>
  <Characters>20028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Guide to Understanding AMAOs 2014 and Beyond</vt:lpstr>
    </vt:vector>
  </TitlesOfParts>
  <Company/>
  <LinksUpToDate>false</LinksUpToDate>
  <CharactersWithSpaces>23495</CharactersWithSpaces>
  <SharedDoc>false</SharedDoc>
  <HLinks>
    <vt:vector size="18" baseType="variant">
      <vt:variant>
        <vt:i4>7602274</vt:i4>
      </vt:variant>
      <vt:variant>
        <vt:i4>6</vt:i4>
      </vt:variant>
      <vt:variant>
        <vt:i4>0</vt:i4>
      </vt:variant>
      <vt:variant>
        <vt:i4>5</vt:i4>
      </vt:variant>
      <vt:variant>
        <vt:lpwstr>http://www.air.org/sites/default/files/downloads/report/Final_version_for_Release_Title_III_Exploratory_Report_020112_630pm_0.pdf</vt:lpwstr>
      </vt:variant>
      <vt:variant>
        <vt:lpwstr/>
      </vt:variant>
      <vt:variant>
        <vt:i4>7340148</vt:i4>
      </vt:variant>
      <vt:variant>
        <vt:i4>3</vt:i4>
      </vt:variant>
      <vt:variant>
        <vt:i4>0</vt:i4>
      </vt:variant>
      <vt:variant>
        <vt:i4>5</vt:i4>
      </vt:variant>
      <vt:variant>
        <vt:lpwstr>http://www.wcer.wisc.edu/publications/workingpapers/working_paper_no_2008_02.pdf</vt:lpwstr>
      </vt:variant>
      <vt:variant>
        <vt:lpwstr/>
      </vt:variant>
      <vt:variant>
        <vt:i4>7274534</vt:i4>
      </vt:variant>
      <vt:variant>
        <vt:i4>0</vt:i4>
      </vt:variant>
      <vt:variant>
        <vt:i4>0</vt:i4>
      </vt:variant>
      <vt:variant>
        <vt:i4>5</vt:i4>
      </vt:variant>
      <vt:variant>
        <vt:lpwstr>http://www.doe.mass.edu/apa/ayp/2013/SchoolLeadersGuide.pdf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Understanding AMAOs 2014 and Beyond</dc:title>
  <dc:subject>AMAOs</dc:subject>
  <dc:creator>DESE</dc:creator>
  <cp:keywords>Student Assessment, AMAOs, Title III</cp:keywords>
  <cp:lastModifiedBy>Zou, Dong (EOE)</cp:lastModifiedBy>
  <cp:revision>3</cp:revision>
  <cp:lastPrinted>2015-09-16T18:50:00Z</cp:lastPrinted>
  <dcterms:created xsi:type="dcterms:W3CDTF">2020-06-25T19:47:00Z</dcterms:created>
  <dcterms:modified xsi:type="dcterms:W3CDTF">2020-07-08T14:42:00Z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8 2020</vt:lpwstr>
  </property>
</Properties>
</file>