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BB5C" w14:textId="2D02DF87" w:rsidR="00723B1C" w:rsidRDefault="00FF1214" w:rsidP="00C004F4">
      <w:pPr>
        <w:spacing w:after="0" w:line="240" w:lineRule="auto"/>
        <w:rPr>
          <w:b/>
          <w:color w:val="1F497D" w:themeColor="text2"/>
          <w:sz w:val="32"/>
          <w:szCs w:val="32"/>
        </w:rPr>
      </w:pPr>
      <w:r w:rsidRPr="00C237D0">
        <w:rPr>
          <w:noProof/>
          <w:color w:val="1F497D" w:themeColor="text2"/>
          <w:sz w:val="32"/>
          <w:szCs w:val="32"/>
        </w:rPr>
        <w:drawing>
          <wp:anchor distT="0" distB="0" distL="114300" distR="114300" simplePos="0" relativeHeight="251663360" behindDoc="0" locked="0" layoutInCell="1" allowOverlap="1" wp14:anchorId="6F745933" wp14:editId="746E40E6">
            <wp:simplePos x="0" y="0"/>
            <wp:positionH relativeFrom="margin">
              <wp:posOffset>5767705</wp:posOffset>
            </wp:positionH>
            <wp:positionV relativeFrom="paragraph">
              <wp:posOffset>-4445</wp:posOffset>
            </wp:positionV>
            <wp:extent cx="1278074" cy="763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074"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2E39" w14:textId="36318939" w:rsidR="00811F57" w:rsidRPr="009B412E" w:rsidRDefault="00D53271" w:rsidP="00C004F4">
      <w:pPr>
        <w:spacing w:after="0" w:line="240" w:lineRule="auto"/>
        <w:rPr>
          <w:b/>
          <w:color w:val="1F497D" w:themeColor="text2"/>
          <w:sz w:val="32"/>
          <w:szCs w:val="32"/>
        </w:rPr>
      </w:pPr>
      <w:r>
        <w:rPr>
          <w:b/>
          <w:color w:val="1F497D" w:themeColor="text2"/>
          <w:sz w:val="32"/>
          <w:szCs w:val="32"/>
        </w:rPr>
        <w:t>Title IV</w:t>
      </w:r>
      <w:r w:rsidR="000309D7">
        <w:rPr>
          <w:b/>
          <w:color w:val="1F497D" w:themeColor="text2"/>
          <w:sz w:val="32"/>
          <w:szCs w:val="32"/>
        </w:rPr>
        <w:t xml:space="preserve">, Part </w:t>
      </w:r>
      <w:r w:rsidR="00972D90" w:rsidRPr="009B412E">
        <w:rPr>
          <w:b/>
          <w:color w:val="1F497D" w:themeColor="text2"/>
          <w:sz w:val="32"/>
          <w:szCs w:val="32"/>
        </w:rPr>
        <w:t>A</w:t>
      </w:r>
      <w:r w:rsidR="00056E07">
        <w:rPr>
          <w:b/>
          <w:color w:val="1F497D" w:themeColor="text2"/>
          <w:sz w:val="32"/>
          <w:szCs w:val="32"/>
        </w:rPr>
        <w:t>:</w:t>
      </w:r>
      <w:r w:rsidR="00972D90" w:rsidRPr="009B412E">
        <w:rPr>
          <w:b/>
          <w:color w:val="1F497D" w:themeColor="text2"/>
          <w:sz w:val="32"/>
          <w:szCs w:val="32"/>
        </w:rPr>
        <w:t xml:space="preserve"> Quick Reference Guide </w:t>
      </w:r>
      <w:r w:rsidR="004B0C48">
        <w:rPr>
          <w:b/>
          <w:color w:val="1F497D" w:themeColor="text2"/>
          <w:sz w:val="32"/>
          <w:szCs w:val="32"/>
        </w:rPr>
        <w:t>– F</w:t>
      </w:r>
      <w:r w:rsidR="0031692E">
        <w:rPr>
          <w:b/>
          <w:color w:val="1F497D" w:themeColor="text2"/>
          <w:sz w:val="32"/>
          <w:szCs w:val="32"/>
        </w:rPr>
        <w:t xml:space="preserve">und </w:t>
      </w:r>
      <w:r w:rsidR="004B0C48">
        <w:rPr>
          <w:b/>
          <w:color w:val="1F497D" w:themeColor="text2"/>
          <w:sz w:val="32"/>
          <w:szCs w:val="32"/>
        </w:rPr>
        <w:t>C</w:t>
      </w:r>
      <w:r w:rsidR="0031692E">
        <w:rPr>
          <w:b/>
          <w:color w:val="1F497D" w:themeColor="text2"/>
          <w:sz w:val="32"/>
          <w:szCs w:val="32"/>
        </w:rPr>
        <w:t>ode</w:t>
      </w:r>
      <w:r w:rsidR="004B0C48">
        <w:rPr>
          <w:b/>
          <w:color w:val="1F497D" w:themeColor="text2"/>
          <w:sz w:val="32"/>
          <w:szCs w:val="32"/>
        </w:rPr>
        <w:t xml:space="preserve"> 30</w:t>
      </w:r>
      <w:r w:rsidR="006460A3">
        <w:rPr>
          <w:b/>
          <w:color w:val="1F497D" w:themeColor="text2"/>
          <w:sz w:val="32"/>
          <w:szCs w:val="32"/>
        </w:rPr>
        <w:t>9</w:t>
      </w:r>
    </w:p>
    <w:p w14:paraId="15CE2C15" w14:textId="40B39E86" w:rsidR="00965002" w:rsidRDefault="001B26DA" w:rsidP="00C004F4">
      <w:pPr>
        <w:spacing w:after="0" w:line="240" w:lineRule="auto"/>
        <w:rPr>
          <w:b/>
          <w:color w:val="E36C0A" w:themeColor="accent6" w:themeShade="BF"/>
          <w:sz w:val="28"/>
          <w:szCs w:val="32"/>
        </w:rPr>
      </w:pPr>
      <w:r>
        <w:rPr>
          <w:b/>
          <w:color w:val="E36C0A" w:themeColor="accent6" w:themeShade="BF"/>
          <w:sz w:val="28"/>
          <w:szCs w:val="32"/>
        </w:rPr>
        <w:t xml:space="preserve">Allowable </w:t>
      </w:r>
      <w:r w:rsidR="001806F2">
        <w:rPr>
          <w:b/>
          <w:color w:val="E36C0A" w:themeColor="accent6" w:themeShade="BF"/>
          <w:sz w:val="28"/>
          <w:szCs w:val="32"/>
        </w:rPr>
        <w:t xml:space="preserve">Uses to Support </w:t>
      </w:r>
      <w:r w:rsidR="00765CD4">
        <w:rPr>
          <w:b/>
          <w:color w:val="E36C0A" w:themeColor="accent6" w:themeShade="BF"/>
          <w:sz w:val="28"/>
          <w:szCs w:val="32"/>
        </w:rPr>
        <w:t>Effective Use of Technology</w:t>
      </w:r>
    </w:p>
    <w:p w14:paraId="217DE045" w14:textId="41DF4264" w:rsidR="00D53271" w:rsidRPr="00F246C3" w:rsidRDefault="00D53271" w:rsidP="00C004F4">
      <w:pPr>
        <w:spacing w:after="0" w:line="240" w:lineRule="auto"/>
        <w:rPr>
          <w:b/>
          <w:color w:val="E36C0A" w:themeColor="accent6" w:themeShade="BF"/>
          <w:sz w:val="24"/>
          <w:szCs w:val="24"/>
        </w:rPr>
      </w:pPr>
    </w:p>
    <w:p w14:paraId="75118B35" w14:textId="4505F77D" w:rsidR="00056E07" w:rsidRDefault="00D53271" w:rsidP="00056E07">
      <w:pPr>
        <w:shd w:val="clear" w:color="auto" w:fill="FFFFFF" w:themeFill="background1"/>
        <w:spacing w:after="0" w:line="240" w:lineRule="auto"/>
        <w:rPr>
          <w:color w:val="1F497D" w:themeColor="text2"/>
          <w:sz w:val="24"/>
          <w:szCs w:val="20"/>
        </w:rPr>
      </w:pPr>
      <w:r>
        <w:rPr>
          <w:b/>
          <w:color w:val="1F497D" w:themeColor="text2"/>
          <w:sz w:val="24"/>
          <w:szCs w:val="20"/>
        </w:rPr>
        <w:t>Priorities of Title IV</w:t>
      </w:r>
      <w:r w:rsidR="004B0C48">
        <w:rPr>
          <w:b/>
          <w:color w:val="1F497D" w:themeColor="text2"/>
          <w:sz w:val="24"/>
          <w:szCs w:val="20"/>
        </w:rPr>
        <w:t xml:space="preserve">, Part </w:t>
      </w:r>
      <w:r w:rsidR="009B412E" w:rsidRPr="00056E07">
        <w:rPr>
          <w:b/>
          <w:color w:val="1F497D" w:themeColor="text2"/>
          <w:sz w:val="24"/>
          <w:szCs w:val="20"/>
        </w:rPr>
        <w:t>A</w:t>
      </w:r>
      <w:r w:rsidR="004B0C48">
        <w:rPr>
          <w:b/>
          <w:color w:val="1F497D" w:themeColor="text2"/>
          <w:sz w:val="24"/>
          <w:szCs w:val="20"/>
        </w:rPr>
        <w:t xml:space="preserve"> – Student Support and Academic Enrichment (SSAE)</w:t>
      </w:r>
      <w:r w:rsidR="009B412E" w:rsidRPr="00056E07">
        <w:rPr>
          <w:b/>
          <w:color w:val="1F497D" w:themeColor="text2"/>
          <w:sz w:val="24"/>
          <w:szCs w:val="20"/>
        </w:rPr>
        <w:t>:</w:t>
      </w:r>
      <w:r w:rsidR="009B412E" w:rsidRPr="00056E07">
        <w:rPr>
          <w:color w:val="1F497D" w:themeColor="text2"/>
          <w:sz w:val="24"/>
          <w:szCs w:val="20"/>
        </w:rPr>
        <w:t xml:space="preserve"> </w:t>
      </w:r>
    </w:p>
    <w:p w14:paraId="3D166FC8" w14:textId="77777777" w:rsidR="00056E07" w:rsidRPr="00056E07" w:rsidRDefault="00D53271" w:rsidP="00056E07">
      <w:pPr>
        <w:pStyle w:val="ListParagraph"/>
        <w:numPr>
          <w:ilvl w:val="0"/>
          <w:numId w:val="31"/>
        </w:numPr>
        <w:shd w:val="clear" w:color="auto" w:fill="FFFFFF" w:themeFill="background1"/>
        <w:spacing w:line="240" w:lineRule="auto"/>
        <w:rPr>
          <w:color w:val="1F497D" w:themeColor="text2"/>
          <w:sz w:val="24"/>
          <w:szCs w:val="20"/>
        </w:rPr>
      </w:pPr>
      <w:r>
        <w:rPr>
          <w:sz w:val="20"/>
          <w:szCs w:val="20"/>
        </w:rPr>
        <w:t>Provide all students with access to a well-rounded education;</w:t>
      </w:r>
    </w:p>
    <w:p w14:paraId="20CB2B7E" w14:textId="47529BB4" w:rsidR="00056E07" w:rsidRPr="00D53271" w:rsidRDefault="009B412E" w:rsidP="00056E07">
      <w:pPr>
        <w:pStyle w:val="ListParagraph"/>
        <w:numPr>
          <w:ilvl w:val="0"/>
          <w:numId w:val="31"/>
        </w:numPr>
        <w:shd w:val="clear" w:color="auto" w:fill="FFFFFF" w:themeFill="background1"/>
        <w:spacing w:line="240" w:lineRule="auto"/>
        <w:rPr>
          <w:color w:val="1F497D" w:themeColor="text2"/>
          <w:sz w:val="24"/>
          <w:szCs w:val="20"/>
        </w:rPr>
      </w:pPr>
      <w:r w:rsidRPr="00056E07">
        <w:rPr>
          <w:sz w:val="20"/>
          <w:szCs w:val="20"/>
        </w:rPr>
        <w:t>Improve</w:t>
      </w:r>
      <w:r w:rsidR="00D53271" w:rsidRPr="00561265">
        <w:rPr>
          <w:i/>
          <w:sz w:val="20"/>
        </w:rPr>
        <w:t xml:space="preserve"> </w:t>
      </w:r>
      <w:r w:rsidR="00D53271" w:rsidRPr="00D53271">
        <w:rPr>
          <w:sz w:val="20"/>
        </w:rPr>
        <w:t>s</w:t>
      </w:r>
      <w:r w:rsidR="00D53271" w:rsidRPr="00D53271">
        <w:rPr>
          <w:bCs/>
          <w:sz w:val="20"/>
        </w:rPr>
        <w:t>chool conditions for learning to</w:t>
      </w:r>
      <w:r w:rsidR="00D53271" w:rsidRPr="00D53271">
        <w:rPr>
          <w:sz w:val="20"/>
        </w:rPr>
        <w:t xml:space="preserve"> ensure safe and healthy students</w:t>
      </w:r>
      <w:r w:rsidR="00D53271">
        <w:rPr>
          <w:sz w:val="20"/>
        </w:rPr>
        <w:t>;</w:t>
      </w:r>
      <w:r w:rsidR="0031692E">
        <w:rPr>
          <w:sz w:val="20"/>
        </w:rPr>
        <w:t xml:space="preserve"> and</w:t>
      </w:r>
    </w:p>
    <w:p w14:paraId="2D504077" w14:textId="4B2C322D" w:rsidR="00AD1C20" w:rsidRPr="00F246C3" w:rsidRDefault="00D53271" w:rsidP="00F246C3">
      <w:pPr>
        <w:pStyle w:val="ListParagraph"/>
        <w:numPr>
          <w:ilvl w:val="0"/>
          <w:numId w:val="31"/>
        </w:numPr>
        <w:shd w:val="clear" w:color="auto" w:fill="FFFFFF" w:themeFill="background1"/>
        <w:spacing w:after="0" w:line="240" w:lineRule="auto"/>
        <w:rPr>
          <w:color w:val="1F497D" w:themeColor="text2"/>
          <w:sz w:val="24"/>
          <w:szCs w:val="20"/>
        </w:rPr>
      </w:pPr>
      <w:r w:rsidRPr="00D53271">
        <w:rPr>
          <w:sz w:val="20"/>
        </w:rPr>
        <w:t>Improve the u</w:t>
      </w:r>
      <w:r w:rsidRPr="00D53271">
        <w:rPr>
          <w:bCs/>
          <w:sz w:val="20"/>
        </w:rPr>
        <w:t xml:space="preserve">se of technology </w:t>
      </w:r>
      <w:r w:rsidRPr="00D53271">
        <w:rPr>
          <w:sz w:val="20"/>
        </w:rPr>
        <w:t>to improve academic achievement</w:t>
      </w:r>
      <w:r w:rsidR="0031692E">
        <w:rPr>
          <w:sz w:val="20"/>
        </w:rPr>
        <w:t>.</w:t>
      </w:r>
      <w:r w:rsidRPr="00D53271">
        <w:rPr>
          <w:sz w:val="20"/>
          <w:szCs w:val="20"/>
        </w:rPr>
        <w:t xml:space="preserve"> </w:t>
      </w:r>
    </w:p>
    <w:p w14:paraId="419C06CD" w14:textId="5A4FC44C" w:rsidR="00F246C3" w:rsidRDefault="00F246C3" w:rsidP="00F246C3">
      <w:pPr>
        <w:numPr>
          <w:ilvl w:val="0"/>
          <w:numId w:val="31"/>
        </w:numPr>
        <w:spacing w:before="100" w:beforeAutospacing="1" w:line="240" w:lineRule="auto"/>
        <w:rPr>
          <w:sz w:val="20"/>
        </w:rPr>
      </w:pPr>
      <w:r>
        <w:rPr>
          <w:sz w:val="20"/>
        </w:rPr>
        <w:t xml:space="preserve">Support key district and school improvement initiatives </w:t>
      </w:r>
      <w:r w:rsidRPr="00C94BDC">
        <w:rPr>
          <w:b/>
          <w:bCs/>
          <w:sz w:val="20"/>
        </w:rPr>
        <w:t>in coordination with</w:t>
      </w:r>
      <w:r>
        <w:rPr>
          <w:sz w:val="20"/>
        </w:rPr>
        <w:t xml:space="preserve"> other federal grant funds and state and local resources so initiatives and their impact </w:t>
      </w:r>
      <w:r w:rsidRPr="00C94BDC">
        <w:rPr>
          <w:b/>
          <w:bCs/>
          <w:sz w:val="20"/>
        </w:rPr>
        <w:t>are sustained</w:t>
      </w:r>
      <w:r>
        <w:rPr>
          <w:sz w:val="20"/>
        </w:rPr>
        <w:t xml:space="preserve"> beyond the life of individual sources of funding.</w:t>
      </w:r>
    </w:p>
    <w:p w14:paraId="2E85B66F" w14:textId="2138498A" w:rsidR="001806F2" w:rsidRDefault="001806F2" w:rsidP="00A8194D">
      <w:pPr>
        <w:spacing w:after="0" w:line="240" w:lineRule="auto"/>
        <w:rPr>
          <w:b/>
          <w:color w:val="1F497D" w:themeColor="text2"/>
          <w:sz w:val="24"/>
          <w:szCs w:val="20"/>
        </w:rPr>
      </w:pPr>
      <w:r>
        <w:rPr>
          <w:b/>
          <w:color w:val="1F497D" w:themeColor="text2"/>
          <w:sz w:val="24"/>
          <w:szCs w:val="20"/>
        </w:rPr>
        <w:t xml:space="preserve">Allowable SSAE </w:t>
      </w:r>
      <w:r w:rsidRPr="001806F2">
        <w:rPr>
          <w:b/>
          <w:color w:val="1F497D" w:themeColor="text2"/>
          <w:sz w:val="24"/>
          <w:szCs w:val="20"/>
        </w:rPr>
        <w:t xml:space="preserve">Activities to Support </w:t>
      </w:r>
      <w:r w:rsidR="006F56FA">
        <w:rPr>
          <w:b/>
          <w:color w:val="1F497D" w:themeColor="text2"/>
          <w:sz w:val="24"/>
          <w:szCs w:val="20"/>
        </w:rPr>
        <w:t>Effective Use of Technology</w:t>
      </w:r>
    </w:p>
    <w:p w14:paraId="600461DE" w14:textId="63CF69B0" w:rsidR="00BF797F" w:rsidRPr="00A82842" w:rsidRDefault="00BF797F" w:rsidP="00BF797F">
      <w:pPr>
        <w:spacing w:line="240" w:lineRule="auto"/>
        <w:rPr>
          <w:b/>
          <w:bCs/>
          <w:sz w:val="20"/>
        </w:rPr>
      </w:pPr>
      <w:r w:rsidRPr="00BF797F">
        <w:rPr>
          <w:sz w:val="20"/>
        </w:rPr>
        <w:t xml:space="preserve">In addition to supporting a well-rounded education and safe and healthy schools, </w:t>
      </w:r>
      <w:r w:rsidRPr="00A82842">
        <w:rPr>
          <w:b/>
          <w:bCs/>
          <w:sz w:val="20"/>
        </w:rPr>
        <w:t xml:space="preserve">a portion of the SSAE program funds, if </w:t>
      </w:r>
      <w:r w:rsidR="00A82842">
        <w:rPr>
          <w:b/>
          <w:bCs/>
          <w:sz w:val="20"/>
        </w:rPr>
        <w:t xml:space="preserve">a district’s allocation is </w:t>
      </w:r>
      <w:r w:rsidRPr="00A82842">
        <w:rPr>
          <w:b/>
          <w:bCs/>
          <w:sz w:val="20"/>
        </w:rPr>
        <w:t>$30,000 or greater, must be used for increasing effective use of technology to improve the academic achievement, academic growth, and digital literacy of all students.</w:t>
      </w:r>
    </w:p>
    <w:p w14:paraId="790CFBFE" w14:textId="15739CC8" w:rsidR="00BF797F" w:rsidRPr="00BF797F" w:rsidRDefault="00BF797F" w:rsidP="00BF797F">
      <w:pPr>
        <w:spacing w:line="240" w:lineRule="auto"/>
        <w:rPr>
          <w:sz w:val="20"/>
        </w:rPr>
      </w:pPr>
      <w:r w:rsidRPr="00BF797F">
        <w:rPr>
          <w:sz w:val="20"/>
        </w:rPr>
        <w:t xml:space="preserve">When carefully designed and thoughtfully applied, technology can accelerate, amplify, and expand the impact of effective practices that support student learning, increase community engagement, foster safe and healthy environments, and enable well-rounded educational opportunities. Technology can expand growth opportunities for all students while affording historically disadvantaged </w:t>
      </w:r>
      <w:r w:rsidR="008B70FD" w:rsidRPr="00BF797F">
        <w:rPr>
          <w:sz w:val="20"/>
        </w:rPr>
        <w:t>students’</w:t>
      </w:r>
      <w:r w:rsidRPr="00BF797F">
        <w:rPr>
          <w:sz w:val="20"/>
        </w:rPr>
        <w:t xml:space="preserve"> greater equity of access to high-quality learning materials, field experts, personalized learning, and tools for planning for future education. Such opportunities can also support increased capacity for educators to create blended learning opportunities for their students, rethinking when, where, and how students complete different components of a learning experience. However, for technology to be truly transformative,</w:t>
      </w:r>
      <w:r>
        <w:rPr>
          <w:sz w:val="20"/>
        </w:rPr>
        <w:t xml:space="preserve"> </w:t>
      </w:r>
      <w:r w:rsidRPr="00BF797F">
        <w:rPr>
          <w:sz w:val="20"/>
        </w:rPr>
        <w:t>educators need to have the knowledge and skills to take full advantage of technology-rich learning environments.</w:t>
      </w:r>
    </w:p>
    <w:p w14:paraId="7EEE92E5" w14:textId="4D4B7701" w:rsidR="00BE66B5" w:rsidRDefault="00BF797F" w:rsidP="00BF797F">
      <w:pPr>
        <w:spacing w:line="240" w:lineRule="auto"/>
        <w:rPr>
          <w:sz w:val="20"/>
        </w:rPr>
      </w:pPr>
      <w:r w:rsidRPr="00BF797F">
        <w:rPr>
          <w:sz w:val="20"/>
        </w:rPr>
        <w:t xml:space="preserve">A Special Rule in the SSAE program states that no more than 15 percent of funds for activities to support the effective use of technology may be used "for purchasing technology infrastructure as described in subsection (a)(2)(B), which includes technology infrastructure purchased for the activities under subsection (a)(4)(A)." To clarify, </w:t>
      </w:r>
      <w:r w:rsidRPr="00F35002">
        <w:rPr>
          <w:b/>
          <w:bCs/>
          <w:sz w:val="20"/>
        </w:rPr>
        <w:t>LEAs or consortiums of LEAs may not spend more than 15 percent of funding in this content area on devices, equipment, software applications, platforms, digital instructional resources and/or other one-time IT purchases.</w:t>
      </w:r>
      <w:r w:rsidRPr="00BF797F">
        <w:rPr>
          <w:sz w:val="20"/>
        </w:rPr>
        <w:t xml:space="preserve"> (ESEA section 4109(b)).</w:t>
      </w:r>
      <w:r w:rsidR="008B70FD">
        <w:rPr>
          <w:sz w:val="20"/>
        </w:rPr>
        <w:t xml:space="preserve"> </w:t>
      </w:r>
      <w:r w:rsidR="008B70FD" w:rsidRPr="008B70FD">
        <w:rPr>
          <w:sz w:val="20"/>
        </w:rPr>
        <w:t>In addition to purchases for technology infrastructure, at least 85 percent of funds used under section 4109 may be used to support a variety of professional development, defined in 8101(42) as activities that are an integral part of school and local educational agency strategies, activities and for capacity building and other activities directly related to improving the use of educational technology.</w:t>
      </w:r>
    </w:p>
    <w:p w14:paraId="4A88E0B3" w14:textId="328604F8" w:rsidR="00735F66" w:rsidRPr="00BE66B5" w:rsidRDefault="00735F66" w:rsidP="00BF797F">
      <w:pPr>
        <w:spacing w:line="240" w:lineRule="auto"/>
        <w:rPr>
          <w:sz w:val="20"/>
        </w:rPr>
      </w:pPr>
      <w:r w:rsidRPr="00735F66">
        <w:rPr>
          <w:sz w:val="20"/>
        </w:rPr>
        <w:t>Specifically, the SSAE program funds may be used to provide educators, school leaders, and administrators with the professional learning tools, devices, content and resources to do the following activities, among other allowable uses</w:t>
      </w:r>
      <w:r>
        <w:rPr>
          <w:sz w:val="20"/>
        </w:rPr>
        <w:t>:</w:t>
      </w:r>
    </w:p>
    <w:tbl>
      <w:tblPr>
        <w:tblStyle w:val="MediumShading1-Accent1"/>
        <w:tblW w:w="10610" w:type="dxa"/>
        <w:tblLayout w:type="fixed"/>
        <w:tblLook w:val="04A0" w:firstRow="1" w:lastRow="0" w:firstColumn="1" w:lastColumn="0" w:noHBand="0" w:noVBand="1"/>
        <w:tblCaption w:val="Table of Allowable and Unallowable Costs"/>
      </w:tblPr>
      <w:tblGrid>
        <w:gridCol w:w="2510"/>
        <w:gridCol w:w="8100"/>
      </w:tblGrid>
      <w:tr w:rsidR="00BE66B5" w:rsidRPr="008A468A" w14:paraId="443DD818" w14:textId="77777777" w:rsidTr="006873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0" w:type="dxa"/>
            <w:shd w:val="clear" w:color="auto" w:fill="1F497D" w:themeFill="text2"/>
          </w:tcPr>
          <w:p w14:paraId="7AC5D7D7" w14:textId="615BB45A" w:rsidR="00BE66B5" w:rsidRPr="0092051A" w:rsidRDefault="00AF6B90" w:rsidP="00B63218">
            <w:pPr>
              <w:spacing w:before="40" w:after="40"/>
              <w:jc w:val="center"/>
              <w:rPr>
                <w:sz w:val="24"/>
                <w:szCs w:val="24"/>
              </w:rPr>
            </w:pPr>
            <w:r>
              <w:rPr>
                <w:sz w:val="24"/>
                <w:szCs w:val="24"/>
              </w:rPr>
              <w:t>Allowable Activity</w:t>
            </w:r>
          </w:p>
        </w:tc>
        <w:tc>
          <w:tcPr>
            <w:tcW w:w="8100" w:type="dxa"/>
            <w:shd w:val="clear" w:color="auto" w:fill="1F497D" w:themeFill="text2"/>
          </w:tcPr>
          <w:p w14:paraId="12F63F4E" w14:textId="38594451" w:rsidR="00BE66B5" w:rsidRPr="0092051A" w:rsidRDefault="00AF6B90"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Overview</w:t>
            </w:r>
          </w:p>
        </w:tc>
      </w:tr>
      <w:tr w:rsidR="00BE66B5" w:rsidRPr="008A468A" w14:paraId="71010991" w14:textId="77777777" w:rsidTr="00687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647298E7" w14:textId="77777777" w:rsidR="00A41387" w:rsidRDefault="00D91D1C" w:rsidP="00BE66B5">
            <w:pPr>
              <w:pStyle w:val="ListParagraph"/>
              <w:tabs>
                <w:tab w:val="left" w:pos="540"/>
                <w:tab w:val="left" w:pos="630"/>
              </w:tabs>
              <w:ind w:left="360"/>
              <w:rPr>
                <w:b w:val="0"/>
                <w:bCs w:val="0"/>
                <w:sz w:val="24"/>
                <w:szCs w:val="20"/>
              </w:rPr>
            </w:pPr>
            <w:r w:rsidRPr="00D91D1C">
              <w:rPr>
                <w:sz w:val="24"/>
                <w:szCs w:val="20"/>
              </w:rPr>
              <w:t xml:space="preserve">Provide personalized learning </w:t>
            </w:r>
          </w:p>
          <w:p w14:paraId="1397EE02" w14:textId="3953F1DE" w:rsidR="00BE66B5" w:rsidRPr="00596C87" w:rsidRDefault="00D91D1C" w:rsidP="00BE66B5">
            <w:pPr>
              <w:pStyle w:val="ListParagraph"/>
              <w:tabs>
                <w:tab w:val="left" w:pos="540"/>
                <w:tab w:val="left" w:pos="630"/>
              </w:tabs>
              <w:ind w:left="360"/>
              <w:rPr>
                <w:sz w:val="24"/>
                <w:szCs w:val="20"/>
              </w:rPr>
            </w:pPr>
            <w:r w:rsidRPr="00A41387">
              <w:rPr>
                <w:b w:val="0"/>
                <w:bCs w:val="0"/>
                <w:i/>
                <w:iCs/>
                <w:sz w:val="18"/>
                <w:szCs w:val="18"/>
              </w:rPr>
              <w:t>(ESEA section 4109(a)(1)(A))</w:t>
            </w:r>
          </w:p>
        </w:tc>
        <w:tc>
          <w:tcPr>
            <w:tcW w:w="8100" w:type="dxa"/>
          </w:tcPr>
          <w:p w14:paraId="378875C7" w14:textId="77777777" w:rsidR="00AF6B90" w:rsidRDefault="002840A6" w:rsidP="002840A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2840A6">
              <w:rPr>
                <w:sz w:val="20"/>
                <w:szCs w:val="20"/>
              </w:rPr>
              <w:t xml:space="preserve">Personalized learning allows educators to adjust the pace of learning and to optimize instructional approaches for the needs of each learner as they strive to meet rigorous expectations for college and career success. </w:t>
            </w:r>
          </w:p>
          <w:p w14:paraId="7C9F511E" w14:textId="25F15CF9" w:rsidR="00BE66B5" w:rsidRPr="002840A6" w:rsidRDefault="002840A6" w:rsidP="002840A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2840A6">
              <w:rPr>
                <w:sz w:val="20"/>
                <w:szCs w:val="20"/>
              </w:rPr>
              <w:t>Learning</w:t>
            </w:r>
            <w:r>
              <w:rPr>
                <w:sz w:val="20"/>
                <w:szCs w:val="20"/>
              </w:rPr>
              <w:t xml:space="preserve"> </w:t>
            </w:r>
            <w:r w:rsidRPr="002840A6">
              <w:rPr>
                <w:sz w:val="20"/>
                <w:szCs w:val="20"/>
              </w:rPr>
              <w:t>objectives, instructional approaches, and instructional content (and its sequencing) all may vary based on learner needs; and learning activities are meant to be meaningful and relevant to learners, driven by their interests, and often self-initiated</w:t>
            </w:r>
            <w:r w:rsidR="00AF6B90">
              <w:rPr>
                <w:sz w:val="20"/>
                <w:szCs w:val="20"/>
              </w:rPr>
              <w:t>.</w:t>
            </w:r>
          </w:p>
        </w:tc>
      </w:tr>
      <w:tr w:rsidR="00BE66B5" w:rsidRPr="008A468A" w14:paraId="04596347" w14:textId="77777777" w:rsidTr="006873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4FD8E4D4" w14:textId="252937F1" w:rsidR="00BE66B5" w:rsidRPr="00596C87" w:rsidRDefault="00A41387" w:rsidP="00BE66B5">
            <w:pPr>
              <w:pStyle w:val="ListParagraph"/>
              <w:tabs>
                <w:tab w:val="left" w:pos="540"/>
                <w:tab w:val="left" w:pos="630"/>
              </w:tabs>
              <w:ind w:left="360"/>
              <w:rPr>
                <w:sz w:val="24"/>
                <w:szCs w:val="20"/>
              </w:rPr>
            </w:pPr>
            <w:r w:rsidRPr="00A41387">
              <w:rPr>
                <w:sz w:val="24"/>
                <w:szCs w:val="20"/>
              </w:rPr>
              <w:t xml:space="preserve">Discover, adapt and share high-quality resources </w:t>
            </w:r>
            <w:r w:rsidRPr="00A41387">
              <w:rPr>
                <w:b w:val="0"/>
                <w:bCs w:val="0"/>
                <w:i/>
                <w:iCs/>
                <w:sz w:val="18"/>
                <w:szCs w:val="18"/>
              </w:rPr>
              <w:t>(ESEA section 4901(a)(1)(B))</w:t>
            </w:r>
          </w:p>
        </w:tc>
        <w:tc>
          <w:tcPr>
            <w:tcW w:w="8100" w:type="dxa"/>
          </w:tcPr>
          <w:p w14:paraId="51D9A896" w14:textId="04862EEE" w:rsidR="00BE66B5" w:rsidRPr="00161B0B" w:rsidRDefault="00DD1272" w:rsidP="00161B0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sidRPr="00DD1272">
              <w:rPr>
                <w:sz w:val="20"/>
                <w:szCs w:val="20"/>
              </w:rPr>
              <w:t xml:space="preserve">These high-quality resources include openly licensed educational resources. Openly licensed educational resources, also referred to in ESEA as “open education resources” and “openly licensed content” (see ESEA section 4102, for the definition of “digital learning” that includes these terms), are teaching, learning, and research resources that reside in the public domain or have been released under a license that permits their free use, reuse, modification, and sharing with others. </w:t>
            </w:r>
          </w:p>
        </w:tc>
      </w:tr>
      <w:tr w:rsidR="00BE66B5" w:rsidRPr="008A468A" w14:paraId="5C6DE6DB" w14:textId="77777777" w:rsidTr="00687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5220D938" w14:textId="77777777" w:rsidR="009569DD" w:rsidRDefault="009569DD" w:rsidP="00BE66B5">
            <w:pPr>
              <w:pStyle w:val="ListParagraph"/>
              <w:tabs>
                <w:tab w:val="left" w:pos="540"/>
                <w:tab w:val="left" w:pos="630"/>
              </w:tabs>
              <w:ind w:left="360"/>
              <w:rPr>
                <w:b w:val="0"/>
                <w:bCs w:val="0"/>
                <w:sz w:val="24"/>
                <w:szCs w:val="20"/>
              </w:rPr>
            </w:pPr>
            <w:r w:rsidRPr="009569DD">
              <w:rPr>
                <w:sz w:val="24"/>
                <w:szCs w:val="20"/>
              </w:rPr>
              <w:t xml:space="preserve">Implement blended learning strategies </w:t>
            </w:r>
          </w:p>
          <w:p w14:paraId="744240EE" w14:textId="76E88AC7" w:rsidR="00BE66B5" w:rsidRPr="00596C87" w:rsidRDefault="009569DD" w:rsidP="00BE66B5">
            <w:pPr>
              <w:pStyle w:val="ListParagraph"/>
              <w:tabs>
                <w:tab w:val="left" w:pos="540"/>
                <w:tab w:val="left" w:pos="630"/>
              </w:tabs>
              <w:ind w:left="360"/>
              <w:rPr>
                <w:sz w:val="24"/>
                <w:szCs w:val="20"/>
              </w:rPr>
            </w:pPr>
            <w:r w:rsidRPr="009569DD">
              <w:rPr>
                <w:b w:val="0"/>
                <w:bCs w:val="0"/>
                <w:i/>
                <w:iCs/>
                <w:sz w:val="18"/>
                <w:szCs w:val="18"/>
              </w:rPr>
              <w:t>(ESEA section 4109(a)(4))</w:t>
            </w:r>
          </w:p>
        </w:tc>
        <w:tc>
          <w:tcPr>
            <w:tcW w:w="8100" w:type="dxa"/>
          </w:tcPr>
          <w:p w14:paraId="72277840" w14:textId="6AB3F9CF" w:rsidR="0025225D" w:rsidRDefault="0025225D" w:rsidP="0025225D">
            <w:pPr>
              <w:pStyle w:val="ListParagraph"/>
              <w:numPr>
                <w:ilvl w:val="0"/>
                <w:numId w:val="17"/>
              </w:numPr>
              <w:ind w:right="-105"/>
              <w:cnfStyle w:val="000000100000" w:firstRow="0" w:lastRow="0" w:firstColumn="0" w:lastColumn="0" w:oddVBand="0" w:evenVBand="0" w:oddHBand="1" w:evenHBand="0" w:firstRowFirstColumn="0" w:firstRowLastColumn="0" w:lastRowFirstColumn="0" w:lastRowLastColumn="0"/>
              <w:rPr>
                <w:sz w:val="20"/>
                <w:szCs w:val="20"/>
              </w:rPr>
            </w:pPr>
            <w:r w:rsidRPr="0025225D">
              <w:rPr>
                <w:sz w:val="20"/>
                <w:szCs w:val="20"/>
              </w:rPr>
              <w:t xml:space="preserve">Funds may be used for ongoing professional development on how to implement blended learning projects and to support planning activities. </w:t>
            </w:r>
          </w:p>
          <w:p w14:paraId="130E3440" w14:textId="77777777" w:rsidR="00BE66B5" w:rsidRDefault="0025225D" w:rsidP="0025225D">
            <w:pPr>
              <w:pStyle w:val="ListParagraph"/>
              <w:numPr>
                <w:ilvl w:val="0"/>
                <w:numId w:val="17"/>
              </w:numPr>
              <w:ind w:right="-105"/>
              <w:cnfStyle w:val="000000100000" w:firstRow="0" w:lastRow="0" w:firstColumn="0" w:lastColumn="0" w:oddVBand="0" w:evenVBand="0" w:oddHBand="1" w:evenHBand="0" w:firstRowFirstColumn="0" w:firstRowLastColumn="0" w:lastRowFirstColumn="0" w:lastRowLastColumn="0"/>
              <w:rPr>
                <w:sz w:val="20"/>
                <w:szCs w:val="20"/>
              </w:rPr>
            </w:pPr>
            <w:r w:rsidRPr="0025225D">
              <w:rPr>
                <w:sz w:val="20"/>
                <w:szCs w:val="20"/>
              </w:rPr>
              <w:t>An LEA, for example, may use funds to provide initial professional learning for educators on effective blended learning model instruction, ongoing collaborative planning time, and ongoing, job-embedded professional learning opportunities to improve educator practice. These ongoing opportunities could include access to digital professional learning resources, a collaborative community of practice, and/or coaching.</w:t>
            </w:r>
            <w:r w:rsidR="007E36A4" w:rsidRPr="007E36A4">
              <w:rPr>
                <w:sz w:val="20"/>
                <w:szCs w:val="20"/>
              </w:rPr>
              <w:t xml:space="preserve"> </w:t>
            </w:r>
          </w:p>
          <w:p w14:paraId="2CC1D5C2" w14:textId="33D449FF" w:rsidR="00A57B71" w:rsidRPr="00663D92" w:rsidRDefault="00A57B71" w:rsidP="00A57B71">
            <w:pPr>
              <w:pStyle w:val="ListParagraph"/>
              <w:ind w:left="450" w:right="-105"/>
              <w:cnfStyle w:val="000000100000" w:firstRow="0" w:lastRow="0" w:firstColumn="0" w:lastColumn="0" w:oddVBand="0" w:evenVBand="0" w:oddHBand="1" w:evenHBand="0" w:firstRowFirstColumn="0" w:firstRowLastColumn="0" w:lastRowFirstColumn="0" w:lastRowLastColumn="0"/>
              <w:rPr>
                <w:sz w:val="10"/>
                <w:szCs w:val="10"/>
              </w:rPr>
            </w:pPr>
          </w:p>
        </w:tc>
      </w:tr>
      <w:tr w:rsidR="00BE66B5" w:rsidRPr="008A468A" w14:paraId="163E42B7" w14:textId="77777777" w:rsidTr="00687361">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510" w:type="dxa"/>
          </w:tcPr>
          <w:p w14:paraId="4EBC979A" w14:textId="3410C530" w:rsidR="00C35712" w:rsidRDefault="00C35712" w:rsidP="00BE66B5">
            <w:pPr>
              <w:pStyle w:val="ListParagraph"/>
              <w:tabs>
                <w:tab w:val="left" w:pos="540"/>
                <w:tab w:val="left" w:pos="630"/>
              </w:tabs>
              <w:ind w:left="360"/>
              <w:rPr>
                <w:b w:val="0"/>
                <w:bCs w:val="0"/>
                <w:sz w:val="24"/>
                <w:szCs w:val="20"/>
              </w:rPr>
            </w:pPr>
            <w:r w:rsidRPr="00C35712">
              <w:rPr>
                <w:sz w:val="24"/>
                <w:szCs w:val="20"/>
              </w:rPr>
              <w:lastRenderedPageBreak/>
              <w:t xml:space="preserve">Implement approaches to inform instruction, support teacher collaboration, and personalize learning </w:t>
            </w:r>
          </w:p>
          <w:p w14:paraId="7F3E3858" w14:textId="6D396AA1" w:rsidR="00BE66B5" w:rsidRPr="00596C87" w:rsidRDefault="00C35712" w:rsidP="00BE66B5">
            <w:pPr>
              <w:pStyle w:val="ListParagraph"/>
              <w:tabs>
                <w:tab w:val="left" w:pos="540"/>
                <w:tab w:val="left" w:pos="630"/>
              </w:tabs>
              <w:ind w:left="360"/>
              <w:rPr>
                <w:sz w:val="24"/>
                <w:szCs w:val="20"/>
              </w:rPr>
            </w:pPr>
            <w:r w:rsidRPr="00C35712">
              <w:rPr>
                <w:b w:val="0"/>
                <w:bCs w:val="0"/>
                <w:i/>
                <w:iCs/>
                <w:sz w:val="18"/>
                <w:szCs w:val="18"/>
              </w:rPr>
              <w:t>(ESEA section 4109(a)(1)(D))</w:t>
            </w:r>
          </w:p>
        </w:tc>
        <w:tc>
          <w:tcPr>
            <w:tcW w:w="8100" w:type="dxa"/>
          </w:tcPr>
          <w:p w14:paraId="311AEE1F" w14:textId="77777777" w:rsidR="002653BB" w:rsidRDefault="002653BB" w:rsidP="002653BB">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szCs w:val="20"/>
              </w:rPr>
            </w:pPr>
            <w:r w:rsidRPr="002653BB">
              <w:rPr>
                <w:sz w:val="20"/>
                <w:szCs w:val="20"/>
              </w:rPr>
              <w:t xml:space="preserve">Technology offers avenues for teachers to become more collaborative with other educators and community partners to improve their instruction and to extend learning beyond the classroom. Educators can create learning communities composed of students; fellow educators in schools, museums, libraries, and after-school programs; experts in various disciplines around the world; members of community organizations; and families. </w:t>
            </w:r>
          </w:p>
          <w:p w14:paraId="30A4B34E" w14:textId="6497DD8A" w:rsidR="002653BB" w:rsidRPr="002653BB" w:rsidRDefault="002653BB" w:rsidP="002653BB">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szCs w:val="20"/>
              </w:rPr>
            </w:pPr>
            <w:r w:rsidRPr="002653BB">
              <w:rPr>
                <w:sz w:val="20"/>
                <w:szCs w:val="20"/>
              </w:rPr>
              <w:t>This enhanced collaboration, enabled by technology, may offer access to instructional materials as well as the resources and tools to create, manage, and assess their quality and usefulness.</w:t>
            </w:r>
          </w:p>
          <w:p w14:paraId="03ADDA5F" w14:textId="77777777" w:rsidR="00BE66B5" w:rsidRDefault="002653BB" w:rsidP="002653BB">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szCs w:val="20"/>
              </w:rPr>
            </w:pPr>
            <w:r w:rsidRPr="002653BB">
              <w:rPr>
                <w:sz w:val="20"/>
                <w:szCs w:val="20"/>
              </w:rPr>
              <w:t>The SSAE funds may be used to provide personalized professional development so that educators receive tailored, job-embedded support.</w:t>
            </w:r>
          </w:p>
          <w:p w14:paraId="4FE0177C" w14:textId="397F9539" w:rsidR="00A57B71" w:rsidRPr="00663D92" w:rsidRDefault="00A57B71" w:rsidP="00A57B71">
            <w:pPr>
              <w:pStyle w:val="ListParagraph"/>
              <w:ind w:left="450"/>
              <w:cnfStyle w:val="000000010000" w:firstRow="0" w:lastRow="0" w:firstColumn="0" w:lastColumn="0" w:oddVBand="0" w:evenVBand="0" w:oddHBand="0" w:evenHBand="1" w:firstRowFirstColumn="0" w:firstRowLastColumn="0" w:lastRowFirstColumn="0" w:lastRowLastColumn="0"/>
              <w:rPr>
                <w:sz w:val="10"/>
                <w:szCs w:val="10"/>
              </w:rPr>
            </w:pPr>
          </w:p>
        </w:tc>
      </w:tr>
      <w:tr w:rsidR="00BE66B5" w:rsidRPr="008A468A" w14:paraId="67EC40B9" w14:textId="77777777" w:rsidTr="00687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399B4F4A" w14:textId="77777777" w:rsidR="00367689" w:rsidRDefault="00477072" w:rsidP="003376AA">
            <w:pPr>
              <w:pStyle w:val="ListParagraph"/>
              <w:tabs>
                <w:tab w:val="left" w:pos="540"/>
                <w:tab w:val="left" w:pos="630"/>
              </w:tabs>
              <w:ind w:left="360"/>
              <w:rPr>
                <w:b w:val="0"/>
                <w:bCs w:val="0"/>
                <w:sz w:val="24"/>
                <w:szCs w:val="20"/>
              </w:rPr>
            </w:pPr>
            <w:r>
              <w:rPr>
                <w:sz w:val="24"/>
                <w:szCs w:val="20"/>
              </w:rPr>
              <w:t>I</w:t>
            </w:r>
            <w:r w:rsidRPr="00477072">
              <w:rPr>
                <w:sz w:val="24"/>
                <w:szCs w:val="20"/>
              </w:rPr>
              <w:t>mplement specialized or rigorous academic courses using technology</w:t>
            </w:r>
            <w:r w:rsidR="00367689">
              <w:rPr>
                <w:sz w:val="24"/>
                <w:szCs w:val="20"/>
              </w:rPr>
              <w:t xml:space="preserve"> </w:t>
            </w:r>
          </w:p>
          <w:p w14:paraId="6D9229D7" w14:textId="781ADCF3" w:rsidR="00BE66B5" w:rsidRPr="00596C87" w:rsidRDefault="00367689" w:rsidP="003376AA">
            <w:pPr>
              <w:pStyle w:val="ListParagraph"/>
              <w:tabs>
                <w:tab w:val="left" w:pos="540"/>
                <w:tab w:val="left" w:pos="630"/>
              </w:tabs>
              <w:ind w:left="360"/>
              <w:rPr>
                <w:sz w:val="24"/>
                <w:szCs w:val="20"/>
              </w:rPr>
            </w:pPr>
            <w:r w:rsidRPr="00367689">
              <w:rPr>
                <w:b w:val="0"/>
                <w:bCs w:val="0"/>
                <w:i/>
                <w:iCs/>
                <w:sz w:val="18"/>
                <w:szCs w:val="18"/>
              </w:rPr>
              <w:t>(ESEA section 4109(a)(3))</w:t>
            </w:r>
          </w:p>
        </w:tc>
        <w:tc>
          <w:tcPr>
            <w:tcW w:w="8100" w:type="dxa"/>
          </w:tcPr>
          <w:p w14:paraId="1A596E5F" w14:textId="77777777" w:rsidR="002F2850" w:rsidRDefault="002F2850" w:rsidP="0031692E">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2F2850">
              <w:rPr>
                <w:sz w:val="20"/>
                <w:szCs w:val="20"/>
              </w:rPr>
              <w:t xml:space="preserve">The SSAE program funds may also be used to develop or implement specialized or rigorous academic courses using technology, including assistive technology.55 (ESEA section 4109(a)(3)). For example, the SSAE program funds may be used to provide rural, remote, and underserved areas with resources to take advantage of high-quality digital learning experiences, digital resources, and access to online courses taught by effective educators. (ESEA section 4109(a)(6)). </w:t>
            </w:r>
          </w:p>
          <w:p w14:paraId="3C810578" w14:textId="77777777" w:rsidR="002F2850" w:rsidRDefault="002F2850" w:rsidP="0031692E">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2F2850">
              <w:rPr>
                <w:sz w:val="20"/>
                <w:szCs w:val="20"/>
              </w:rPr>
              <w:t>Separate from the up to 15 percent of funds that may be used to purchase online courses (technology infrastructure), other technology funds under section 4109 may be used to train educators on how to implement these online courses.</w:t>
            </w:r>
          </w:p>
          <w:p w14:paraId="64E1CCFB" w14:textId="77777777" w:rsidR="00BE66B5" w:rsidRDefault="002F2850" w:rsidP="0031692E">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2F2850">
              <w:rPr>
                <w:sz w:val="20"/>
                <w:szCs w:val="20"/>
              </w:rPr>
              <w:t>Funds could also be used to expand professional learning for educators in rural, remote or underserved areas through the use of virtual coaching models.</w:t>
            </w:r>
          </w:p>
          <w:p w14:paraId="33CF8035" w14:textId="3CBBA995" w:rsidR="00A57B71" w:rsidRPr="005F47A6" w:rsidRDefault="00A57B71" w:rsidP="00A57B71">
            <w:pPr>
              <w:pStyle w:val="ListParagraph"/>
              <w:ind w:left="315"/>
              <w:cnfStyle w:val="000000100000" w:firstRow="0" w:lastRow="0" w:firstColumn="0" w:lastColumn="0" w:oddVBand="0" w:evenVBand="0" w:oddHBand="1" w:evenHBand="0" w:firstRowFirstColumn="0" w:firstRowLastColumn="0" w:lastRowFirstColumn="0" w:lastRowLastColumn="0"/>
              <w:rPr>
                <w:sz w:val="8"/>
                <w:szCs w:val="8"/>
              </w:rPr>
            </w:pPr>
          </w:p>
        </w:tc>
      </w:tr>
      <w:tr w:rsidR="00BE66B5" w:rsidRPr="008A468A" w14:paraId="042980B7" w14:textId="77777777" w:rsidTr="0075778D">
        <w:trPr>
          <w:cnfStyle w:val="000000010000" w:firstRow="0" w:lastRow="0" w:firstColumn="0" w:lastColumn="0" w:oddVBand="0" w:evenVBand="0" w:oddHBand="0" w:evenHBand="1"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2510" w:type="dxa"/>
          </w:tcPr>
          <w:p w14:paraId="70801EF9" w14:textId="77777777" w:rsidR="00BE66B5" w:rsidRDefault="00361670" w:rsidP="003376AA">
            <w:pPr>
              <w:pStyle w:val="ListParagraph"/>
              <w:tabs>
                <w:tab w:val="left" w:pos="540"/>
                <w:tab w:val="left" w:pos="630"/>
              </w:tabs>
              <w:ind w:left="360"/>
              <w:rPr>
                <w:b w:val="0"/>
                <w:bCs w:val="0"/>
                <w:sz w:val="24"/>
                <w:szCs w:val="20"/>
              </w:rPr>
            </w:pPr>
            <w:r>
              <w:rPr>
                <w:sz w:val="24"/>
                <w:szCs w:val="20"/>
              </w:rPr>
              <w:t>Build technology capacity and infrastructure</w:t>
            </w:r>
            <w:r w:rsidR="003376AA" w:rsidRPr="003376AA">
              <w:rPr>
                <w:sz w:val="24"/>
                <w:szCs w:val="20"/>
              </w:rPr>
              <w:t xml:space="preserve"> </w:t>
            </w:r>
          </w:p>
          <w:p w14:paraId="4EE88E59" w14:textId="64CF24AB" w:rsidR="009568F9" w:rsidRPr="00A70F30" w:rsidRDefault="009568F9" w:rsidP="003376AA">
            <w:pPr>
              <w:pStyle w:val="ListParagraph"/>
              <w:tabs>
                <w:tab w:val="left" w:pos="540"/>
                <w:tab w:val="left" w:pos="630"/>
              </w:tabs>
              <w:ind w:left="360"/>
            </w:pPr>
            <w:r w:rsidRPr="009568F9">
              <w:rPr>
                <w:b w:val="0"/>
                <w:bCs w:val="0"/>
                <w:i/>
                <w:iCs/>
                <w:sz w:val="18"/>
                <w:szCs w:val="18"/>
              </w:rPr>
              <w:t>(ESEA section 4109(b))</w:t>
            </w:r>
          </w:p>
        </w:tc>
        <w:tc>
          <w:tcPr>
            <w:tcW w:w="8100" w:type="dxa"/>
          </w:tcPr>
          <w:p w14:paraId="2AF33EB2" w14:textId="77777777" w:rsidR="00363D9D" w:rsidRPr="00363D9D" w:rsidRDefault="008F0504" w:rsidP="003376AA">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8F0504">
              <w:rPr>
                <w:sz w:val="20"/>
                <w:szCs w:val="20"/>
              </w:rPr>
              <w:t xml:space="preserve">Funds, subject to the 15 percent Special Rule, may be used to build technology capacity and infrastructure, which includes procuring and ensuring quality of content, and purchasing devices, equipment and software to increase readiness. </w:t>
            </w:r>
          </w:p>
          <w:p w14:paraId="08E746B5" w14:textId="77777777" w:rsidR="00BE66B5" w:rsidRPr="00A57B71" w:rsidRDefault="008F0504" w:rsidP="003376AA">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8F0504">
              <w:rPr>
                <w:sz w:val="20"/>
                <w:szCs w:val="20"/>
              </w:rPr>
              <w:t>Funds could also be used to purchase or create a system that improves the procurement and evaluation process for identifying solutions and implementations that match the context of the SEA or LEA.</w:t>
            </w:r>
          </w:p>
          <w:p w14:paraId="73B2700B" w14:textId="1AE6FFE2" w:rsidR="00A57B71" w:rsidRPr="00BA2867" w:rsidRDefault="00A57B71" w:rsidP="00A57B71">
            <w:pPr>
              <w:pStyle w:val="ListParagraph"/>
              <w:ind w:left="36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12"/>
                <w:szCs w:val="12"/>
              </w:rPr>
            </w:pPr>
          </w:p>
        </w:tc>
      </w:tr>
    </w:tbl>
    <w:p w14:paraId="3A50A950" w14:textId="0BC435F6" w:rsidR="00411DA1" w:rsidRDefault="000A6682" w:rsidP="00FC6D6E">
      <w:pPr>
        <w:rPr>
          <w:b/>
          <w:color w:val="E36C0A" w:themeColor="accent6" w:themeShade="BF"/>
          <w:sz w:val="12"/>
          <w:szCs w:val="12"/>
        </w:rPr>
      </w:pPr>
      <w:r>
        <w:rPr>
          <w:b/>
          <w:i/>
          <w:sz w:val="4"/>
          <w:szCs w:val="4"/>
        </w:rPr>
        <w:br/>
      </w:r>
      <w:r w:rsidR="0056190B">
        <w:rPr>
          <w:b/>
          <w:i/>
          <w:sz w:val="20"/>
          <w:szCs w:val="20"/>
        </w:rPr>
        <w:br/>
      </w:r>
      <w:r w:rsidR="00E314CC" w:rsidRPr="00433B43">
        <w:rPr>
          <w:b/>
          <w:i/>
          <w:sz w:val="20"/>
          <w:szCs w:val="20"/>
        </w:rPr>
        <w:t xml:space="preserve">Please note: This is not an exhaustive list. </w:t>
      </w:r>
      <w:hyperlink r:id="rId13" w:history="1">
        <w:r w:rsidR="00E314CC" w:rsidRPr="00433B43">
          <w:rPr>
            <w:rStyle w:val="Hyperlink"/>
            <w:rFonts w:cstheme="minorBidi"/>
            <w:b/>
            <w:i/>
            <w:sz w:val="20"/>
            <w:szCs w:val="20"/>
          </w:rPr>
          <w:t>Contact</w:t>
        </w:r>
      </w:hyperlink>
      <w:r w:rsidR="00E314CC" w:rsidRPr="00433B43">
        <w:rPr>
          <w:b/>
          <w:i/>
          <w:sz w:val="20"/>
          <w:szCs w:val="20"/>
        </w:rPr>
        <w:t xml:space="preserve"> our office for more specific, situational and fiscal guidance as needed.</w:t>
      </w:r>
      <w:r w:rsidR="00F54D0E">
        <w:rPr>
          <w:b/>
          <w:i/>
          <w:sz w:val="20"/>
          <w:szCs w:val="20"/>
        </w:rPr>
        <w:t xml:space="preserve"> This document is sourced directly from </w:t>
      </w:r>
      <w:r w:rsidR="003C1F1C">
        <w:rPr>
          <w:b/>
          <w:i/>
          <w:sz w:val="20"/>
          <w:szCs w:val="20"/>
        </w:rPr>
        <w:t xml:space="preserve">the </w:t>
      </w:r>
      <w:hyperlink r:id="rId14" w:history="1">
        <w:r w:rsidR="003C1F1C" w:rsidRPr="003C1F1C">
          <w:rPr>
            <w:rStyle w:val="Hyperlink"/>
            <w:rFonts w:cstheme="minorBidi"/>
            <w:b/>
            <w:i/>
            <w:sz w:val="20"/>
            <w:szCs w:val="20"/>
          </w:rPr>
          <w:t>US Department of Education’s Non-Regulatory Guidance for SSAE Grants</w:t>
        </w:r>
      </w:hyperlink>
      <w:r w:rsidR="003C1F1C">
        <w:rPr>
          <w:b/>
          <w:i/>
          <w:sz w:val="20"/>
          <w:szCs w:val="20"/>
        </w:rPr>
        <w:t>.</w:t>
      </w:r>
      <w:r w:rsidR="00FC6D6E" w:rsidRPr="00144928">
        <w:rPr>
          <w:b/>
          <w:color w:val="E36C0A" w:themeColor="accent6" w:themeShade="BF"/>
          <w:sz w:val="12"/>
          <w:szCs w:val="12"/>
        </w:rPr>
        <w:t xml:space="preserve"> </w:t>
      </w:r>
    </w:p>
    <w:p w14:paraId="157A8512" w14:textId="2DF705B9" w:rsidR="00A57B71" w:rsidRDefault="0075778D" w:rsidP="00FC6D6E">
      <w:pPr>
        <w:rPr>
          <w:b/>
          <w:color w:val="E36C0A" w:themeColor="accent6" w:themeShade="BF"/>
          <w:sz w:val="12"/>
          <w:szCs w:val="12"/>
        </w:rPr>
      </w:pPr>
      <w:r>
        <w:rPr>
          <w:noProof/>
          <w:sz w:val="36"/>
          <w:szCs w:val="36"/>
        </w:rPr>
        <mc:AlternateContent>
          <mc:Choice Requires="wps">
            <w:drawing>
              <wp:anchor distT="0" distB="0" distL="114300" distR="114300" simplePos="0" relativeHeight="251660288" behindDoc="0" locked="0" layoutInCell="1" allowOverlap="1" wp14:anchorId="5EB75FE8" wp14:editId="01D08557">
                <wp:simplePos x="0" y="0"/>
                <wp:positionH relativeFrom="margin">
                  <wp:posOffset>3990975</wp:posOffset>
                </wp:positionH>
                <wp:positionV relativeFrom="paragraph">
                  <wp:posOffset>59690</wp:posOffset>
                </wp:positionV>
                <wp:extent cx="2705100" cy="2295525"/>
                <wp:effectExtent l="38100" t="38100" r="114300" b="123825"/>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2955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6A76994" w14:textId="5529F9A1" w:rsidR="00642434" w:rsidRPr="00596C87" w:rsidRDefault="00493B24" w:rsidP="00642434">
                            <w:pPr>
                              <w:spacing w:after="0"/>
                              <w:rPr>
                                <w:b/>
                                <w:color w:val="1F497D" w:themeColor="text2"/>
                                <w:sz w:val="24"/>
                                <w:szCs w:val="28"/>
                              </w:rPr>
                            </w:pPr>
                            <w:r>
                              <w:rPr>
                                <w:b/>
                                <w:color w:val="1F497D" w:themeColor="text2"/>
                                <w:sz w:val="24"/>
                                <w:szCs w:val="28"/>
                              </w:rPr>
                              <w:t>Supplement not Supplant</w:t>
                            </w:r>
                            <w:r w:rsidR="00FA36EE">
                              <w:rPr>
                                <w:b/>
                                <w:color w:val="1F497D" w:themeColor="text2"/>
                                <w:sz w:val="24"/>
                                <w:szCs w:val="28"/>
                              </w:rPr>
                              <w:t xml:space="preserve"> in Title IVA</w:t>
                            </w:r>
                          </w:p>
                          <w:p w14:paraId="10E49B7F" w14:textId="77777777" w:rsidR="009D0B5E" w:rsidRDefault="004C0C50" w:rsidP="00433B43">
                            <w:pPr>
                              <w:pStyle w:val="ListParagraph"/>
                              <w:numPr>
                                <w:ilvl w:val="0"/>
                                <w:numId w:val="34"/>
                              </w:numPr>
                              <w:spacing w:after="120" w:line="240" w:lineRule="auto"/>
                              <w:ind w:left="270" w:hanging="270"/>
                              <w:rPr>
                                <w:sz w:val="20"/>
                              </w:rPr>
                            </w:pPr>
                            <w:r w:rsidRPr="004C0C50">
                              <w:rPr>
                                <w:sz w:val="20"/>
                              </w:rPr>
                              <w:t xml:space="preserve">LEAs that receive </w:t>
                            </w:r>
                            <w:r w:rsidR="0056259C">
                              <w:rPr>
                                <w:sz w:val="20"/>
                              </w:rPr>
                              <w:t xml:space="preserve">Title </w:t>
                            </w:r>
                            <w:r w:rsidRPr="004C0C50">
                              <w:rPr>
                                <w:sz w:val="20"/>
                              </w:rPr>
                              <w:t xml:space="preserve">IVA funds must comply with a supplement not supplant requirement.  This means that </w:t>
                            </w:r>
                            <w:r w:rsidR="0056259C">
                              <w:rPr>
                                <w:sz w:val="20"/>
                              </w:rPr>
                              <w:t xml:space="preserve">Title </w:t>
                            </w:r>
                            <w:r w:rsidRPr="004C0C50">
                              <w:rPr>
                                <w:sz w:val="20"/>
                              </w:rPr>
                              <w:t>IVA funds should add to (supplement) and not replace (s</w:t>
                            </w:r>
                            <w:r>
                              <w:rPr>
                                <w:sz w:val="20"/>
                              </w:rPr>
                              <w:t xml:space="preserve">upplant) state and local funds. </w:t>
                            </w:r>
                          </w:p>
                          <w:p w14:paraId="36D52CB0" w14:textId="18F1D77D" w:rsidR="004C0C50" w:rsidRDefault="004C0C50" w:rsidP="00433B43">
                            <w:pPr>
                              <w:pStyle w:val="ListParagraph"/>
                              <w:numPr>
                                <w:ilvl w:val="0"/>
                                <w:numId w:val="34"/>
                              </w:numPr>
                              <w:spacing w:after="120" w:line="240" w:lineRule="auto"/>
                              <w:ind w:left="270" w:hanging="270"/>
                              <w:rPr>
                                <w:sz w:val="20"/>
                              </w:rPr>
                            </w:pPr>
                            <w:r w:rsidRPr="004C0C50">
                              <w:rPr>
                                <w:sz w:val="20"/>
                              </w:rPr>
                              <w:t xml:space="preserve">Supplanting is presumed when: </w:t>
                            </w:r>
                          </w:p>
                          <w:p w14:paraId="33318769" w14:textId="77777777" w:rsidR="004C0C50" w:rsidRDefault="004C0C50" w:rsidP="00433B43">
                            <w:pPr>
                              <w:pStyle w:val="ListParagraph"/>
                              <w:numPr>
                                <w:ilvl w:val="1"/>
                                <w:numId w:val="34"/>
                              </w:numPr>
                              <w:spacing w:after="120" w:line="240" w:lineRule="auto"/>
                              <w:ind w:left="630" w:hanging="270"/>
                              <w:rPr>
                                <w:sz w:val="20"/>
                              </w:rPr>
                            </w:pPr>
                            <w:r w:rsidRPr="004C0C50">
                              <w:rPr>
                                <w:sz w:val="20"/>
                              </w:rPr>
                              <w:t>A district uses IVA funds to pay for an activity that is required by federal, state or local la</w:t>
                            </w:r>
                            <w:r>
                              <w:rPr>
                                <w:sz w:val="20"/>
                              </w:rPr>
                              <w:t xml:space="preserve">w </w:t>
                            </w:r>
                          </w:p>
                          <w:p w14:paraId="19427D15" w14:textId="3B386124" w:rsidR="00D206F4" w:rsidRPr="00D206F4" w:rsidRDefault="004C0C50" w:rsidP="00D206F4">
                            <w:pPr>
                              <w:pStyle w:val="ListParagraph"/>
                              <w:numPr>
                                <w:ilvl w:val="1"/>
                                <w:numId w:val="34"/>
                              </w:numPr>
                              <w:spacing w:after="120" w:line="240" w:lineRule="auto"/>
                              <w:ind w:left="630" w:hanging="270"/>
                              <w:rPr>
                                <w:sz w:val="20"/>
                              </w:rPr>
                            </w:pPr>
                            <w:r w:rsidRPr="004C0C50">
                              <w:rPr>
                                <w:sz w:val="20"/>
                              </w:rPr>
                              <w:t xml:space="preserve"> A district uses SSAE funds to pay for an activity it supported with state or local funds the prior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75FE8" id="_x0000_t202" coordsize="21600,21600" o:spt="202" path="m,l,21600r21600,l21600,xe">
                <v:stroke joinstyle="miter"/>
                <v:path gradientshapeok="t" o:connecttype="rect"/>
              </v:shapetype>
              <v:shape id="Text Box 16" o:spid="_x0000_s1026" type="#_x0000_t202" alt="&quot;&quot;" style="position:absolute;margin-left:314.25pt;margin-top:4.7pt;width:213pt;height:1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" strokecolor="#365f91 [2404]" strokeweight=".25pt">
                <v:shadow on="t" color="black" opacity="26214f" origin="-.5,-.5" offset=".74836mm,.74836mm"/>
                <v:textbox>
                  <w:txbxContent>
                    <w:p w14:paraId="36A76994" w14:textId="5529F9A1" w:rsidR="00642434" w:rsidRPr="00596C87" w:rsidRDefault="00493B24" w:rsidP="00642434">
                      <w:pPr>
                        <w:spacing w:after="0"/>
                        <w:rPr>
                          <w:b/>
                          <w:color w:val="1F497D" w:themeColor="text2"/>
                          <w:sz w:val="24"/>
                          <w:szCs w:val="28"/>
                        </w:rPr>
                      </w:pPr>
                      <w:r>
                        <w:rPr>
                          <w:b/>
                          <w:color w:val="1F497D" w:themeColor="text2"/>
                          <w:sz w:val="24"/>
                          <w:szCs w:val="28"/>
                        </w:rPr>
                        <w:t>Supplement not Supplant</w:t>
                      </w:r>
                      <w:r w:rsidR="00FA36EE">
                        <w:rPr>
                          <w:b/>
                          <w:color w:val="1F497D" w:themeColor="text2"/>
                          <w:sz w:val="24"/>
                          <w:szCs w:val="28"/>
                        </w:rPr>
                        <w:t xml:space="preserve"> in Title IVA</w:t>
                      </w:r>
                    </w:p>
                    <w:p w14:paraId="10E49B7F" w14:textId="77777777" w:rsidR="009D0B5E" w:rsidRDefault="004C0C50" w:rsidP="00433B43">
                      <w:pPr>
                        <w:pStyle w:val="ListParagraph"/>
                        <w:numPr>
                          <w:ilvl w:val="0"/>
                          <w:numId w:val="34"/>
                        </w:numPr>
                        <w:spacing w:after="120" w:line="240" w:lineRule="auto"/>
                        <w:ind w:left="270" w:hanging="270"/>
                        <w:rPr>
                          <w:sz w:val="20"/>
                        </w:rPr>
                      </w:pPr>
                      <w:r w:rsidRPr="004C0C50">
                        <w:rPr>
                          <w:sz w:val="20"/>
                        </w:rPr>
                        <w:t xml:space="preserve">LEAs that receive </w:t>
                      </w:r>
                      <w:r w:rsidR="0056259C">
                        <w:rPr>
                          <w:sz w:val="20"/>
                        </w:rPr>
                        <w:t xml:space="preserve">Title </w:t>
                      </w:r>
                      <w:r w:rsidRPr="004C0C50">
                        <w:rPr>
                          <w:sz w:val="20"/>
                        </w:rPr>
                        <w:t xml:space="preserve">IVA funds must comply with a supplement not supplant requirement.  This means that </w:t>
                      </w:r>
                      <w:r w:rsidR="0056259C">
                        <w:rPr>
                          <w:sz w:val="20"/>
                        </w:rPr>
                        <w:t xml:space="preserve">Title </w:t>
                      </w:r>
                      <w:r w:rsidRPr="004C0C50">
                        <w:rPr>
                          <w:sz w:val="20"/>
                        </w:rPr>
                        <w:t>IVA funds should add to (supplement) and not replace (s</w:t>
                      </w:r>
                      <w:r>
                        <w:rPr>
                          <w:sz w:val="20"/>
                        </w:rPr>
                        <w:t xml:space="preserve">upplant) state and local funds. </w:t>
                      </w:r>
                    </w:p>
                    <w:p w14:paraId="36D52CB0" w14:textId="18F1D77D" w:rsidR="004C0C50" w:rsidRDefault="004C0C50" w:rsidP="00433B43">
                      <w:pPr>
                        <w:pStyle w:val="ListParagraph"/>
                        <w:numPr>
                          <w:ilvl w:val="0"/>
                          <w:numId w:val="34"/>
                        </w:numPr>
                        <w:spacing w:after="120" w:line="240" w:lineRule="auto"/>
                        <w:ind w:left="270" w:hanging="270"/>
                        <w:rPr>
                          <w:sz w:val="20"/>
                        </w:rPr>
                      </w:pPr>
                      <w:r w:rsidRPr="004C0C50">
                        <w:rPr>
                          <w:sz w:val="20"/>
                        </w:rPr>
                        <w:t xml:space="preserve">Supplanting is presumed when: </w:t>
                      </w:r>
                    </w:p>
                    <w:p w14:paraId="33318769" w14:textId="77777777" w:rsidR="004C0C50" w:rsidRDefault="004C0C50" w:rsidP="00433B43">
                      <w:pPr>
                        <w:pStyle w:val="ListParagraph"/>
                        <w:numPr>
                          <w:ilvl w:val="1"/>
                          <w:numId w:val="34"/>
                        </w:numPr>
                        <w:spacing w:after="120" w:line="240" w:lineRule="auto"/>
                        <w:ind w:left="630" w:hanging="270"/>
                        <w:rPr>
                          <w:sz w:val="20"/>
                        </w:rPr>
                      </w:pPr>
                      <w:r w:rsidRPr="004C0C50">
                        <w:rPr>
                          <w:sz w:val="20"/>
                        </w:rPr>
                        <w:t>A district uses IVA funds to pay for an activity that is required by federal, state or local la</w:t>
                      </w:r>
                      <w:r>
                        <w:rPr>
                          <w:sz w:val="20"/>
                        </w:rPr>
                        <w:t xml:space="preserve">w </w:t>
                      </w:r>
                    </w:p>
                    <w:p w14:paraId="19427D15" w14:textId="3B386124" w:rsidR="00D206F4" w:rsidRPr="00D206F4" w:rsidRDefault="004C0C50" w:rsidP="00D206F4">
                      <w:pPr>
                        <w:pStyle w:val="ListParagraph"/>
                        <w:numPr>
                          <w:ilvl w:val="1"/>
                          <w:numId w:val="34"/>
                        </w:numPr>
                        <w:spacing w:after="120" w:line="240" w:lineRule="auto"/>
                        <w:ind w:left="630" w:hanging="270"/>
                        <w:rPr>
                          <w:sz w:val="20"/>
                        </w:rPr>
                      </w:pPr>
                      <w:r w:rsidRPr="004C0C50">
                        <w:rPr>
                          <w:sz w:val="20"/>
                        </w:rPr>
                        <w:t xml:space="preserve"> A district uses SSAE funds to pay for an activity it supported with state or local funds the prior year</w:t>
                      </w:r>
                    </w:p>
                  </w:txbxContent>
                </v:textbox>
                <w10:wrap anchorx="margin"/>
              </v:shape>
            </w:pict>
          </mc:Fallback>
        </mc:AlternateContent>
      </w:r>
      <w:r>
        <w:rPr>
          <w:noProof/>
          <w:sz w:val="36"/>
          <w:szCs w:val="36"/>
        </w:rPr>
        <mc:AlternateContent>
          <mc:Choice Requires="wps">
            <w:drawing>
              <wp:anchor distT="0" distB="0" distL="114300" distR="114300" simplePos="0" relativeHeight="251661312" behindDoc="0" locked="0" layoutInCell="1" allowOverlap="1" wp14:anchorId="7852F782" wp14:editId="65A0D11F">
                <wp:simplePos x="0" y="0"/>
                <wp:positionH relativeFrom="margin">
                  <wp:posOffset>38100</wp:posOffset>
                </wp:positionH>
                <wp:positionV relativeFrom="paragraph">
                  <wp:posOffset>59055</wp:posOffset>
                </wp:positionV>
                <wp:extent cx="3790950" cy="2790825"/>
                <wp:effectExtent l="38100" t="38100" r="114300" b="123825"/>
                <wp:wrapNone/>
                <wp:docPr id="4"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7908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01D08824" w14:textId="4BA666C5" w:rsidR="00D14842" w:rsidRDefault="00D14842" w:rsidP="00D14842">
                            <w:pPr>
                              <w:spacing w:after="0"/>
                              <w:rPr>
                                <w:b/>
                                <w:color w:val="1F497D" w:themeColor="text2"/>
                                <w:sz w:val="24"/>
                                <w:szCs w:val="28"/>
                              </w:rPr>
                            </w:pPr>
                            <w:r>
                              <w:rPr>
                                <w:b/>
                                <w:color w:val="1F497D" w:themeColor="text2"/>
                                <w:sz w:val="24"/>
                                <w:szCs w:val="28"/>
                              </w:rPr>
                              <w:t>Allocations</w:t>
                            </w:r>
                            <w:r w:rsidR="005906E1">
                              <w:rPr>
                                <w:b/>
                                <w:color w:val="1F497D" w:themeColor="text2"/>
                                <w:sz w:val="24"/>
                                <w:szCs w:val="28"/>
                              </w:rPr>
                              <w:t xml:space="preserve"> Reminder</w:t>
                            </w:r>
                          </w:p>
                          <w:p w14:paraId="5E661047" w14:textId="5F688DDE" w:rsidR="00D14842" w:rsidRPr="005C4DB3" w:rsidRDefault="00D14842" w:rsidP="00433B43">
                            <w:pPr>
                              <w:spacing w:after="0" w:line="240" w:lineRule="auto"/>
                              <w:rPr>
                                <w:b/>
                                <w:sz w:val="20"/>
                                <w:szCs w:val="20"/>
                              </w:rPr>
                            </w:pPr>
                            <w:r w:rsidRPr="005C4DB3">
                              <w:rPr>
                                <w:b/>
                                <w:sz w:val="20"/>
                                <w:szCs w:val="20"/>
                              </w:rPr>
                              <w:t xml:space="preserve">Districts </w:t>
                            </w:r>
                            <w:r w:rsidR="0056259C">
                              <w:rPr>
                                <w:b/>
                                <w:sz w:val="20"/>
                                <w:szCs w:val="20"/>
                              </w:rPr>
                              <w:t>that receive</w:t>
                            </w:r>
                            <w:r w:rsidRPr="005C4DB3">
                              <w:rPr>
                                <w:b/>
                                <w:sz w:val="20"/>
                                <w:szCs w:val="20"/>
                              </w:rPr>
                              <w:t xml:space="preserve"> less than $30,000</w:t>
                            </w:r>
                            <w:r w:rsidR="00474860" w:rsidRPr="005C4DB3">
                              <w:rPr>
                                <w:b/>
                                <w:sz w:val="20"/>
                                <w:szCs w:val="20"/>
                              </w:rPr>
                              <w:t xml:space="preserve"> must:</w:t>
                            </w:r>
                          </w:p>
                          <w:p w14:paraId="1F98FFB4" w14:textId="006E413B" w:rsidR="00474860" w:rsidRPr="005C4DB3" w:rsidRDefault="00360220" w:rsidP="00433B43">
                            <w:pPr>
                              <w:pStyle w:val="ListParagraph"/>
                              <w:numPr>
                                <w:ilvl w:val="0"/>
                                <w:numId w:val="27"/>
                              </w:numPr>
                              <w:spacing w:line="240" w:lineRule="auto"/>
                              <w:ind w:left="360" w:hanging="270"/>
                              <w:rPr>
                                <w:sz w:val="20"/>
                                <w:szCs w:val="20"/>
                              </w:rPr>
                            </w:pPr>
                            <w:r>
                              <w:rPr>
                                <w:sz w:val="20"/>
                                <w:szCs w:val="20"/>
                              </w:rPr>
                              <w:t>S</w:t>
                            </w:r>
                            <w:r w:rsidR="00D14842" w:rsidRPr="005C4DB3">
                              <w:rPr>
                                <w:sz w:val="20"/>
                                <w:szCs w:val="20"/>
                              </w:rPr>
                              <w:t>pend funds on one or more of</w:t>
                            </w:r>
                            <w:r>
                              <w:rPr>
                                <w:sz w:val="20"/>
                                <w:szCs w:val="20"/>
                              </w:rPr>
                              <w:t xml:space="preserve"> the</w:t>
                            </w:r>
                            <w:r w:rsidR="00D14842" w:rsidRPr="005C4DB3">
                              <w:rPr>
                                <w:sz w:val="20"/>
                                <w:szCs w:val="20"/>
                              </w:rPr>
                              <w:t xml:space="preserve"> </w:t>
                            </w:r>
                            <w:r w:rsidRPr="00474860">
                              <w:rPr>
                                <w:rFonts w:eastAsia="Times New Roman" w:cstheme="minorHAnsi"/>
                                <w:color w:val="000000"/>
                                <w:sz w:val="20"/>
                                <w:szCs w:val="20"/>
                              </w:rPr>
                              <w:t xml:space="preserve">Title IV, Part A priorities </w:t>
                            </w:r>
                            <w:r w:rsidR="00D14842" w:rsidRPr="005C4DB3">
                              <w:rPr>
                                <w:sz w:val="20"/>
                                <w:szCs w:val="20"/>
                              </w:rPr>
                              <w:t xml:space="preserve">listed </w:t>
                            </w:r>
                            <w:r w:rsidR="00FA36EE">
                              <w:rPr>
                                <w:sz w:val="20"/>
                                <w:szCs w:val="20"/>
                              </w:rPr>
                              <w:t>at the very top of this guide</w:t>
                            </w:r>
                            <w:r w:rsidR="00D14842" w:rsidRPr="005C4DB3">
                              <w:rPr>
                                <w:sz w:val="20"/>
                                <w:szCs w:val="20"/>
                              </w:rPr>
                              <w:t>.</w:t>
                            </w:r>
                          </w:p>
                          <w:p w14:paraId="648ABAE4" w14:textId="600D3D06" w:rsidR="00474860" w:rsidRPr="005C4DB3" w:rsidRDefault="00474860" w:rsidP="00433B43">
                            <w:pPr>
                              <w:pStyle w:val="ListParagraph"/>
                              <w:spacing w:after="0" w:line="240" w:lineRule="auto"/>
                              <w:ind w:left="0"/>
                              <w:rPr>
                                <w:b/>
                                <w:sz w:val="20"/>
                                <w:szCs w:val="20"/>
                              </w:rPr>
                            </w:pPr>
                            <w:r w:rsidRPr="005C4DB3">
                              <w:rPr>
                                <w:b/>
                                <w:sz w:val="20"/>
                                <w:szCs w:val="20"/>
                              </w:rPr>
                              <w:t xml:space="preserve">Districts </w:t>
                            </w:r>
                            <w:r w:rsidR="001A3E4F">
                              <w:rPr>
                                <w:b/>
                                <w:sz w:val="20"/>
                                <w:szCs w:val="20"/>
                              </w:rPr>
                              <w:t>that receive</w:t>
                            </w:r>
                            <w:r w:rsidR="00FA36EE">
                              <w:rPr>
                                <w:b/>
                                <w:sz w:val="20"/>
                                <w:szCs w:val="20"/>
                              </w:rPr>
                              <w:t xml:space="preserve"> </w:t>
                            </w:r>
                            <w:r w:rsidRPr="005C4DB3">
                              <w:rPr>
                                <w:b/>
                                <w:sz w:val="20"/>
                                <w:szCs w:val="20"/>
                              </w:rPr>
                              <w:t>$30,000</w:t>
                            </w:r>
                            <w:r w:rsidR="0056259C">
                              <w:rPr>
                                <w:b/>
                                <w:sz w:val="20"/>
                                <w:szCs w:val="20"/>
                              </w:rPr>
                              <w:t>*</w:t>
                            </w:r>
                            <w:r w:rsidRPr="005C4DB3">
                              <w:rPr>
                                <w:b/>
                                <w:sz w:val="20"/>
                                <w:szCs w:val="20"/>
                              </w:rPr>
                              <w:t xml:space="preserve"> </w:t>
                            </w:r>
                            <w:r w:rsidR="00FA36EE">
                              <w:rPr>
                                <w:b/>
                                <w:sz w:val="20"/>
                                <w:szCs w:val="20"/>
                              </w:rPr>
                              <w:t xml:space="preserve">or </w:t>
                            </w:r>
                            <w:r w:rsidR="00433B43">
                              <w:rPr>
                                <w:b/>
                                <w:sz w:val="20"/>
                                <w:szCs w:val="20"/>
                              </w:rPr>
                              <w:t>more</w:t>
                            </w:r>
                            <w:r w:rsidR="00FA36EE">
                              <w:rPr>
                                <w:b/>
                                <w:sz w:val="20"/>
                                <w:szCs w:val="20"/>
                              </w:rPr>
                              <w:t xml:space="preserve"> </w:t>
                            </w:r>
                            <w:r w:rsidRPr="005C4DB3">
                              <w:rPr>
                                <w:b/>
                                <w:sz w:val="20"/>
                                <w:szCs w:val="20"/>
                              </w:rPr>
                              <w:t>must:</w:t>
                            </w:r>
                          </w:p>
                          <w:p w14:paraId="6688DC7A" w14:textId="3107E7CE"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Conduct a comprehensive needs assessment that includ</w:t>
                            </w:r>
                            <w:r w:rsidR="0056259C">
                              <w:rPr>
                                <w:rFonts w:eastAsia="Times New Roman" w:cstheme="minorHAnsi"/>
                                <w:color w:val="000000"/>
                                <w:sz w:val="20"/>
                                <w:szCs w:val="20"/>
                              </w:rPr>
                              <w:t>es a focus on the Title IV</w:t>
                            </w:r>
                            <w:r w:rsidRPr="00474860">
                              <w:rPr>
                                <w:rFonts w:eastAsia="Times New Roman" w:cstheme="minorHAnsi"/>
                                <w:color w:val="000000"/>
                                <w:sz w:val="20"/>
                                <w:szCs w:val="20"/>
                              </w:rPr>
                              <w:t>A priorities</w:t>
                            </w:r>
                            <w:r w:rsidR="0056259C">
                              <w:rPr>
                                <w:rFonts w:eastAsia="Times New Roman" w:cstheme="minorHAnsi"/>
                                <w:color w:val="000000"/>
                                <w:sz w:val="20"/>
                                <w:szCs w:val="20"/>
                              </w:rPr>
                              <w:t xml:space="preserve"> (see </w:t>
                            </w:r>
                            <w:r w:rsidR="00360220">
                              <w:rPr>
                                <w:rFonts w:eastAsia="Times New Roman" w:cstheme="minorHAnsi"/>
                                <w:color w:val="000000"/>
                                <w:sz w:val="20"/>
                                <w:szCs w:val="20"/>
                              </w:rPr>
                              <w:t>above</w:t>
                            </w:r>
                            <w:r w:rsidR="0056259C">
                              <w:rPr>
                                <w:rFonts w:eastAsia="Times New Roman" w:cstheme="minorHAnsi"/>
                                <w:color w:val="000000"/>
                                <w:sz w:val="20"/>
                                <w:szCs w:val="20"/>
                              </w:rPr>
                              <w:t>)</w:t>
                            </w:r>
                            <w:r w:rsidR="00433B43">
                              <w:rPr>
                                <w:rFonts w:eastAsia="Times New Roman" w:cstheme="minorHAnsi"/>
                                <w:color w:val="000000"/>
                                <w:sz w:val="20"/>
                                <w:szCs w:val="20"/>
                              </w:rPr>
                              <w:t>.</w:t>
                            </w:r>
                            <w:r w:rsidRPr="00474860">
                              <w:rPr>
                                <w:rFonts w:eastAsia="Times New Roman" w:cstheme="minorHAnsi"/>
                                <w:color w:val="000000"/>
                                <w:sz w:val="20"/>
                                <w:szCs w:val="20"/>
                              </w:rPr>
                              <w:t xml:space="preserve"> </w:t>
                            </w:r>
                            <w:r w:rsidR="00360220">
                              <w:rPr>
                                <w:rFonts w:eastAsia="Times New Roman" w:cstheme="minorHAnsi"/>
                                <w:color w:val="000000"/>
                                <w:sz w:val="20"/>
                                <w:szCs w:val="20"/>
                              </w:rPr>
                              <w:br/>
                            </w:r>
                            <w:r w:rsidRPr="00474860">
                              <w:rPr>
                                <w:rFonts w:eastAsia="Times New Roman" w:cstheme="minorHAnsi"/>
                                <w:b/>
                                <w:bCs/>
                                <w:i/>
                                <w:iCs/>
                                <w:color w:val="000000"/>
                                <w:sz w:val="20"/>
                                <w:szCs w:val="20"/>
                              </w:rPr>
                              <w:t>Note:</w:t>
                            </w:r>
                            <w:r w:rsidRPr="00474860">
                              <w:rPr>
                                <w:rFonts w:eastAsia="Times New Roman" w:cstheme="minorHAnsi"/>
                                <w:i/>
                                <w:iCs/>
                                <w:color w:val="000000"/>
                                <w:sz w:val="20"/>
                                <w:szCs w:val="20"/>
                              </w:rPr>
                              <w:t xml:space="preserve"> Districts may fulfill (or </w:t>
                            </w:r>
                            <w:r w:rsidR="0056259C">
                              <w:rPr>
                                <w:rFonts w:eastAsia="Times New Roman" w:cstheme="minorHAnsi"/>
                                <w:i/>
                                <w:iCs/>
                                <w:color w:val="000000"/>
                                <w:sz w:val="20"/>
                                <w:szCs w:val="20"/>
                              </w:rPr>
                              <w:t xml:space="preserve">may </w:t>
                            </w:r>
                            <w:r w:rsidRPr="00474860">
                              <w:rPr>
                                <w:rFonts w:eastAsia="Times New Roman" w:cstheme="minorHAnsi"/>
                                <w:i/>
                                <w:iCs/>
                                <w:color w:val="000000"/>
                                <w:sz w:val="20"/>
                                <w:szCs w:val="20"/>
                              </w:rPr>
                              <w:t>have fulfilled) this requirement as part of the development of the districts' strategic plan, improvement plan, etc.</w:t>
                            </w:r>
                          </w:p>
                          <w:p w14:paraId="2B7F0F82" w14:textId="10C90071"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at least 20% of the allocation on access to well-rounded educational opportunities</w:t>
                            </w:r>
                            <w:r w:rsidR="00360220">
                              <w:rPr>
                                <w:rFonts w:eastAsia="Times New Roman" w:cstheme="minorHAnsi"/>
                                <w:color w:val="000000"/>
                                <w:sz w:val="20"/>
                                <w:szCs w:val="20"/>
                              </w:rPr>
                              <w:t>.</w:t>
                            </w:r>
                          </w:p>
                          <w:p w14:paraId="4482CA3D" w14:textId="0A22BB08"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at least 20% of the allocation on safe and healthy schools</w:t>
                            </w:r>
                            <w:r w:rsidR="00360220">
                              <w:rPr>
                                <w:rFonts w:eastAsia="Times New Roman" w:cstheme="minorHAnsi"/>
                                <w:color w:val="000000"/>
                                <w:sz w:val="20"/>
                                <w:szCs w:val="20"/>
                              </w:rPr>
                              <w:t>.</w:t>
                            </w:r>
                          </w:p>
                          <w:p w14:paraId="4ACD992A" w14:textId="77777777" w:rsid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some amount on improving the use of technology</w:t>
                            </w:r>
                            <w:r w:rsidR="00360220">
                              <w:rPr>
                                <w:rFonts w:eastAsia="Times New Roman" w:cstheme="minorHAnsi"/>
                                <w:color w:val="000000"/>
                                <w:sz w:val="20"/>
                                <w:szCs w:val="20"/>
                              </w:rPr>
                              <w:t>.</w:t>
                            </w:r>
                          </w:p>
                          <w:p w14:paraId="318D7363" w14:textId="77777777" w:rsidR="00782454" w:rsidRP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782454">
                              <w:rPr>
                                <w:rFonts w:eastAsia="Times New Roman" w:cstheme="minorHAnsi"/>
                                <w:color w:val="000000"/>
                                <w:sz w:val="20"/>
                                <w:szCs w:val="20"/>
                              </w:rPr>
                              <w:t>Spend the remainder on activities that support any/all of the three priorities</w:t>
                            </w:r>
                            <w:r w:rsidR="00360220" w:rsidRPr="00782454">
                              <w:rPr>
                                <w:rFonts w:eastAsia="Times New Roman" w:cstheme="minorHAnsi"/>
                                <w:color w:val="000000"/>
                                <w:sz w:val="20"/>
                                <w:szCs w:val="20"/>
                              </w:rPr>
                              <w:t>.</w:t>
                            </w:r>
                            <w:r w:rsidR="00782454" w:rsidRPr="00782454">
                              <w:rPr>
                                <w:rFonts w:eastAsia="Times New Roman" w:cstheme="minorHAnsi"/>
                                <w:color w:val="000000"/>
                                <w:sz w:val="20"/>
                                <w:szCs w:val="20"/>
                              </w:rPr>
                              <w:br/>
                            </w:r>
                          </w:p>
                          <w:p w14:paraId="2E05D064" w14:textId="154FCD8E" w:rsidR="00D14842" w:rsidRPr="00782454" w:rsidRDefault="0056259C" w:rsidP="00782454">
                            <w:pPr>
                              <w:spacing w:after="0" w:line="240" w:lineRule="auto"/>
                              <w:ind w:left="90"/>
                              <w:rPr>
                                <w:rFonts w:eastAsia="Times New Roman" w:cstheme="minorHAnsi"/>
                                <w:color w:val="000000"/>
                                <w:sz w:val="20"/>
                                <w:szCs w:val="20"/>
                              </w:rPr>
                            </w:pPr>
                            <w:r w:rsidRPr="00782454">
                              <w:rPr>
                                <w:b/>
                                <w:sz w:val="20"/>
                                <w:szCs w:val="28"/>
                              </w:rPr>
                              <w:t>*</w:t>
                            </w:r>
                            <w:r w:rsidR="00782454" w:rsidRPr="00782454">
                              <w:rPr>
                                <w:b/>
                                <w:i/>
                                <w:sz w:val="20"/>
                                <w:szCs w:val="28"/>
                              </w:rPr>
                              <w:t>I</w:t>
                            </w:r>
                            <w:r w:rsidRPr="00782454">
                              <w:rPr>
                                <w:b/>
                                <w:i/>
                                <w:sz w:val="20"/>
                                <w:szCs w:val="28"/>
                              </w:rPr>
                              <w:t>ncluding funds that are “flexed” from Title IIA into Title IVA</w:t>
                            </w:r>
                          </w:p>
                          <w:p w14:paraId="7F8AC55A" w14:textId="4B4D5E3B" w:rsidR="00D14842" w:rsidRPr="00D14842" w:rsidRDefault="00D14842" w:rsidP="00D1484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F782" id="_x0000_s1027" type="#_x0000_t202" alt="&quot;&quot;" style="position:absolute;margin-left:3pt;margin-top:4.65pt;width:298.5pt;height:21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" strokecolor="#365f91 [2404]" strokeweight=".25pt">
                <v:shadow on="t" color="black" opacity="26214f" origin="-.5,-.5" offset=".74836mm,.74836mm"/>
                <v:textbox>
                  <w:txbxContent>
                    <w:p w14:paraId="01D08824" w14:textId="4BA666C5" w:rsidR="00D14842" w:rsidRDefault="00D14842" w:rsidP="00D14842">
                      <w:pPr>
                        <w:spacing w:after="0"/>
                        <w:rPr>
                          <w:b/>
                          <w:color w:val="1F497D" w:themeColor="text2"/>
                          <w:sz w:val="24"/>
                          <w:szCs w:val="28"/>
                        </w:rPr>
                      </w:pPr>
                      <w:r>
                        <w:rPr>
                          <w:b/>
                          <w:color w:val="1F497D" w:themeColor="text2"/>
                          <w:sz w:val="24"/>
                          <w:szCs w:val="28"/>
                        </w:rPr>
                        <w:t>Allocations</w:t>
                      </w:r>
                      <w:r w:rsidR="005906E1">
                        <w:rPr>
                          <w:b/>
                          <w:color w:val="1F497D" w:themeColor="text2"/>
                          <w:sz w:val="24"/>
                          <w:szCs w:val="28"/>
                        </w:rPr>
                        <w:t xml:space="preserve"> Reminder</w:t>
                      </w:r>
                    </w:p>
                    <w:p w14:paraId="5E661047" w14:textId="5F688DDE" w:rsidR="00D14842" w:rsidRPr="005C4DB3" w:rsidRDefault="00D14842" w:rsidP="00433B43">
                      <w:pPr>
                        <w:spacing w:after="0" w:line="240" w:lineRule="auto"/>
                        <w:rPr>
                          <w:b/>
                          <w:sz w:val="20"/>
                          <w:szCs w:val="20"/>
                        </w:rPr>
                      </w:pPr>
                      <w:r w:rsidRPr="005C4DB3">
                        <w:rPr>
                          <w:b/>
                          <w:sz w:val="20"/>
                          <w:szCs w:val="20"/>
                        </w:rPr>
                        <w:t xml:space="preserve">Districts </w:t>
                      </w:r>
                      <w:r w:rsidR="0056259C">
                        <w:rPr>
                          <w:b/>
                          <w:sz w:val="20"/>
                          <w:szCs w:val="20"/>
                        </w:rPr>
                        <w:t>that receive</w:t>
                      </w:r>
                      <w:r w:rsidRPr="005C4DB3">
                        <w:rPr>
                          <w:b/>
                          <w:sz w:val="20"/>
                          <w:szCs w:val="20"/>
                        </w:rPr>
                        <w:t xml:space="preserve"> less than $30,000</w:t>
                      </w:r>
                      <w:r w:rsidR="00474860" w:rsidRPr="005C4DB3">
                        <w:rPr>
                          <w:b/>
                          <w:sz w:val="20"/>
                          <w:szCs w:val="20"/>
                        </w:rPr>
                        <w:t xml:space="preserve"> must:</w:t>
                      </w:r>
                    </w:p>
                    <w:p w14:paraId="1F98FFB4" w14:textId="006E413B" w:rsidR="00474860" w:rsidRPr="005C4DB3" w:rsidRDefault="00360220" w:rsidP="00433B43">
                      <w:pPr>
                        <w:pStyle w:val="ListParagraph"/>
                        <w:numPr>
                          <w:ilvl w:val="0"/>
                          <w:numId w:val="27"/>
                        </w:numPr>
                        <w:spacing w:line="240" w:lineRule="auto"/>
                        <w:ind w:left="360" w:hanging="270"/>
                        <w:rPr>
                          <w:sz w:val="20"/>
                          <w:szCs w:val="20"/>
                        </w:rPr>
                      </w:pPr>
                      <w:r>
                        <w:rPr>
                          <w:sz w:val="20"/>
                          <w:szCs w:val="20"/>
                        </w:rPr>
                        <w:t>S</w:t>
                      </w:r>
                      <w:r w:rsidR="00D14842" w:rsidRPr="005C4DB3">
                        <w:rPr>
                          <w:sz w:val="20"/>
                          <w:szCs w:val="20"/>
                        </w:rPr>
                        <w:t>pend funds on one or more of</w:t>
                      </w:r>
                      <w:r>
                        <w:rPr>
                          <w:sz w:val="20"/>
                          <w:szCs w:val="20"/>
                        </w:rPr>
                        <w:t xml:space="preserve"> the</w:t>
                      </w:r>
                      <w:r w:rsidR="00D14842" w:rsidRPr="005C4DB3">
                        <w:rPr>
                          <w:sz w:val="20"/>
                          <w:szCs w:val="20"/>
                        </w:rPr>
                        <w:t xml:space="preserve"> </w:t>
                      </w:r>
                      <w:r w:rsidRPr="00474860">
                        <w:rPr>
                          <w:rFonts w:eastAsia="Times New Roman" w:cstheme="minorHAnsi"/>
                          <w:color w:val="000000"/>
                          <w:sz w:val="20"/>
                          <w:szCs w:val="20"/>
                        </w:rPr>
                        <w:t xml:space="preserve">Title IV, Part A priorities </w:t>
                      </w:r>
                      <w:r w:rsidR="00D14842" w:rsidRPr="005C4DB3">
                        <w:rPr>
                          <w:sz w:val="20"/>
                          <w:szCs w:val="20"/>
                        </w:rPr>
                        <w:t xml:space="preserve">listed </w:t>
                      </w:r>
                      <w:r w:rsidR="00FA36EE">
                        <w:rPr>
                          <w:sz w:val="20"/>
                          <w:szCs w:val="20"/>
                        </w:rPr>
                        <w:t>at the very top of this guide</w:t>
                      </w:r>
                      <w:r w:rsidR="00D14842" w:rsidRPr="005C4DB3">
                        <w:rPr>
                          <w:sz w:val="20"/>
                          <w:szCs w:val="20"/>
                        </w:rPr>
                        <w:t>.</w:t>
                      </w:r>
                    </w:p>
                    <w:p w14:paraId="648ABAE4" w14:textId="600D3D06" w:rsidR="00474860" w:rsidRPr="005C4DB3" w:rsidRDefault="00474860" w:rsidP="00433B43">
                      <w:pPr>
                        <w:pStyle w:val="ListParagraph"/>
                        <w:spacing w:after="0" w:line="240" w:lineRule="auto"/>
                        <w:ind w:left="0"/>
                        <w:rPr>
                          <w:b/>
                          <w:sz w:val="20"/>
                          <w:szCs w:val="20"/>
                        </w:rPr>
                      </w:pPr>
                      <w:r w:rsidRPr="005C4DB3">
                        <w:rPr>
                          <w:b/>
                          <w:sz w:val="20"/>
                          <w:szCs w:val="20"/>
                        </w:rPr>
                        <w:t xml:space="preserve">Districts </w:t>
                      </w:r>
                      <w:r w:rsidR="001A3E4F">
                        <w:rPr>
                          <w:b/>
                          <w:sz w:val="20"/>
                          <w:szCs w:val="20"/>
                        </w:rPr>
                        <w:t>that receive</w:t>
                      </w:r>
                      <w:r w:rsidR="00FA36EE">
                        <w:rPr>
                          <w:b/>
                          <w:sz w:val="20"/>
                          <w:szCs w:val="20"/>
                        </w:rPr>
                        <w:t xml:space="preserve"> </w:t>
                      </w:r>
                      <w:r w:rsidRPr="005C4DB3">
                        <w:rPr>
                          <w:b/>
                          <w:sz w:val="20"/>
                          <w:szCs w:val="20"/>
                        </w:rPr>
                        <w:t>$30,000</w:t>
                      </w:r>
                      <w:r w:rsidR="0056259C">
                        <w:rPr>
                          <w:b/>
                          <w:sz w:val="20"/>
                          <w:szCs w:val="20"/>
                        </w:rPr>
                        <w:t>*</w:t>
                      </w:r>
                      <w:r w:rsidRPr="005C4DB3">
                        <w:rPr>
                          <w:b/>
                          <w:sz w:val="20"/>
                          <w:szCs w:val="20"/>
                        </w:rPr>
                        <w:t xml:space="preserve"> </w:t>
                      </w:r>
                      <w:r w:rsidR="00FA36EE">
                        <w:rPr>
                          <w:b/>
                          <w:sz w:val="20"/>
                          <w:szCs w:val="20"/>
                        </w:rPr>
                        <w:t xml:space="preserve">or </w:t>
                      </w:r>
                      <w:r w:rsidR="00433B43">
                        <w:rPr>
                          <w:b/>
                          <w:sz w:val="20"/>
                          <w:szCs w:val="20"/>
                        </w:rPr>
                        <w:t>more</w:t>
                      </w:r>
                      <w:r w:rsidR="00FA36EE">
                        <w:rPr>
                          <w:b/>
                          <w:sz w:val="20"/>
                          <w:szCs w:val="20"/>
                        </w:rPr>
                        <w:t xml:space="preserve"> </w:t>
                      </w:r>
                      <w:r w:rsidRPr="005C4DB3">
                        <w:rPr>
                          <w:b/>
                          <w:sz w:val="20"/>
                          <w:szCs w:val="20"/>
                        </w:rPr>
                        <w:t>must:</w:t>
                      </w:r>
                    </w:p>
                    <w:p w14:paraId="6688DC7A" w14:textId="3107E7CE"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Conduct a comprehensive needs assessment that includ</w:t>
                      </w:r>
                      <w:r w:rsidR="0056259C">
                        <w:rPr>
                          <w:rFonts w:eastAsia="Times New Roman" w:cstheme="minorHAnsi"/>
                          <w:color w:val="000000"/>
                          <w:sz w:val="20"/>
                          <w:szCs w:val="20"/>
                        </w:rPr>
                        <w:t>es a focus on the Title IV</w:t>
                      </w:r>
                      <w:r w:rsidRPr="00474860">
                        <w:rPr>
                          <w:rFonts w:eastAsia="Times New Roman" w:cstheme="minorHAnsi"/>
                          <w:color w:val="000000"/>
                          <w:sz w:val="20"/>
                          <w:szCs w:val="20"/>
                        </w:rPr>
                        <w:t>A priorities</w:t>
                      </w:r>
                      <w:r w:rsidR="0056259C">
                        <w:rPr>
                          <w:rFonts w:eastAsia="Times New Roman" w:cstheme="minorHAnsi"/>
                          <w:color w:val="000000"/>
                          <w:sz w:val="20"/>
                          <w:szCs w:val="20"/>
                        </w:rPr>
                        <w:t xml:space="preserve"> (see </w:t>
                      </w:r>
                      <w:r w:rsidR="00360220">
                        <w:rPr>
                          <w:rFonts w:eastAsia="Times New Roman" w:cstheme="minorHAnsi"/>
                          <w:color w:val="000000"/>
                          <w:sz w:val="20"/>
                          <w:szCs w:val="20"/>
                        </w:rPr>
                        <w:t>above</w:t>
                      </w:r>
                      <w:r w:rsidR="0056259C">
                        <w:rPr>
                          <w:rFonts w:eastAsia="Times New Roman" w:cstheme="minorHAnsi"/>
                          <w:color w:val="000000"/>
                          <w:sz w:val="20"/>
                          <w:szCs w:val="20"/>
                        </w:rPr>
                        <w:t>)</w:t>
                      </w:r>
                      <w:r w:rsidR="00433B43">
                        <w:rPr>
                          <w:rFonts w:eastAsia="Times New Roman" w:cstheme="minorHAnsi"/>
                          <w:color w:val="000000"/>
                          <w:sz w:val="20"/>
                          <w:szCs w:val="20"/>
                        </w:rPr>
                        <w:t>.</w:t>
                      </w:r>
                      <w:r w:rsidRPr="00474860">
                        <w:rPr>
                          <w:rFonts w:eastAsia="Times New Roman" w:cstheme="minorHAnsi"/>
                          <w:color w:val="000000"/>
                          <w:sz w:val="20"/>
                          <w:szCs w:val="20"/>
                        </w:rPr>
                        <w:t xml:space="preserve"> </w:t>
                      </w:r>
                      <w:r w:rsidR="00360220">
                        <w:rPr>
                          <w:rFonts w:eastAsia="Times New Roman" w:cstheme="minorHAnsi"/>
                          <w:color w:val="000000"/>
                          <w:sz w:val="20"/>
                          <w:szCs w:val="20"/>
                        </w:rPr>
                        <w:br/>
                      </w:r>
                      <w:r w:rsidRPr="00474860">
                        <w:rPr>
                          <w:rFonts w:eastAsia="Times New Roman" w:cstheme="minorHAnsi"/>
                          <w:b/>
                          <w:bCs/>
                          <w:i/>
                          <w:iCs/>
                          <w:color w:val="000000"/>
                          <w:sz w:val="20"/>
                          <w:szCs w:val="20"/>
                        </w:rPr>
                        <w:t>Note:</w:t>
                      </w:r>
                      <w:r w:rsidRPr="00474860">
                        <w:rPr>
                          <w:rFonts w:eastAsia="Times New Roman" w:cstheme="minorHAnsi"/>
                          <w:i/>
                          <w:iCs/>
                          <w:color w:val="000000"/>
                          <w:sz w:val="20"/>
                          <w:szCs w:val="20"/>
                        </w:rPr>
                        <w:t xml:space="preserve"> Districts may fulfill (or </w:t>
                      </w:r>
                      <w:r w:rsidR="0056259C">
                        <w:rPr>
                          <w:rFonts w:eastAsia="Times New Roman" w:cstheme="minorHAnsi"/>
                          <w:i/>
                          <w:iCs/>
                          <w:color w:val="000000"/>
                          <w:sz w:val="20"/>
                          <w:szCs w:val="20"/>
                        </w:rPr>
                        <w:t xml:space="preserve">may </w:t>
                      </w:r>
                      <w:r w:rsidRPr="00474860">
                        <w:rPr>
                          <w:rFonts w:eastAsia="Times New Roman" w:cstheme="minorHAnsi"/>
                          <w:i/>
                          <w:iCs/>
                          <w:color w:val="000000"/>
                          <w:sz w:val="20"/>
                          <w:szCs w:val="20"/>
                        </w:rPr>
                        <w:t>have fulfilled) this requirement as part of the development of the districts' strategic plan, improvement plan, etc.</w:t>
                      </w:r>
                    </w:p>
                    <w:p w14:paraId="2B7F0F82" w14:textId="10C90071"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at least 20% of the allocation on access to well-rounded educational opportunities</w:t>
                      </w:r>
                      <w:r w:rsidR="00360220">
                        <w:rPr>
                          <w:rFonts w:eastAsia="Times New Roman" w:cstheme="minorHAnsi"/>
                          <w:color w:val="000000"/>
                          <w:sz w:val="20"/>
                          <w:szCs w:val="20"/>
                        </w:rPr>
                        <w:t>.</w:t>
                      </w:r>
                    </w:p>
                    <w:p w14:paraId="4482CA3D" w14:textId="0A22BB08"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at least 20% of the allocation on safe and healthy schools</w:t>
                      </w:r>
                      <w:r w:rsidR="00360220">
                        <w:rPr>
                          <w:rFonts w:eastAsia="Times New Roman" w:cstheme="minorHAnsi"/>
                          <w:color w:val="000000"/>
                          <w:sz w:val="20"/>
                          <w:szCs w:val="20"/>
                        </w:rPr>
                        <w:t>.</w:t>
                      </w:r>
                    </w:p>
                    <w:p w14:paraId="4ACD992A" w14:textId="77777777" w:rsid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some amount on improving the use of technology</w:t>
                      </w:r>
                      <w:r w:rsidR="00360220">
                        <w:rPr>
                          <w:rFonts w:eastAsia="Times New Roman" w:cstheme="minorHAnsi"/>
                          <w:color w:val="000000"/>
                          <w:sz w:val="20"/>
                          <w:szCs w:val="20"/>
                        </w:rPr>
                        <w:t>.</w:t>
                      </w:r>
                    </w:p>
                    <w:p w14:paraId="318D7363" w14:textId="77777777" w:rsidR="00782454" w:rsidRP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782454">
                        <w:rPr>
                          <w:rFonts w:eastAsia="Times New Roman" w:cstheme="minorHAnsi"/>
                          <w:color w:val="000000"/>
                          <w:sz w:val="20"/>
                          <w:szCs w:val="20"/>
                        </w:rPr>
                        <w:t>Spend the remainder on activities that support any/all of the three priorities</w:t>
                      </w:r>
                      <w:r w:rsidR="00360220" w:rsidRPr="00782454">
                        <w:rPr>
                          <w:rFonts w:eastAsia="Times New Roman" w:cstheme="minorHAnsi"/>
                          <w:color w:val="000000"/>
                          <w:sz w:val="20"/>
                          <w:szCs w:val="20"/>
                        </w:rPr>
                        <w:t>.</w:t>
                      </w:r>
                      <w:r w:rsidR="00782454" w:rsidRPr="00782454">
                        <w:rPr>
                          <w:rFonts w:eastAsia="Times New Roman" w:cstheme="minorHAnsi"/>
                          <w:color w:val="000000"/>
                          <w:sz w:val="20"/>
                          <w:szCs w:val="20"/>
                        </w:rPr>
                        <w:br/>
                      </w:r>
                    </w:p>
                    <w:p w14:paraId="2E05D064" w14:textId="154FCD8E" w:rsidR="00D14842" w:rsidRPr="00782454" w:rsidRDefault="0056259C" w:rsidP="00782454">
                      <w:pPr>
                        <w:spacing w:after="0" w:line="240" w:lineRule="auto"/>
                        <w:ind w:left="90"/>
                        <w:rPr>
                          <w:rFonts w:eastAsia="Times New Roman" w:cstheme="minorHAnsi"/>
                          <w:color w:val="000000"/>
                          <w:sz w:val="20"/>
                          <w:szCs w:val="20"/>
                        </w:rPr>
                      </w:pPr>
                      <w:r w:rsidRPr="00782454">
                        <w:rPr>
                          <w:b/>
                          <w:sz w:val="20"/>
                          <w:szCs w:val="28"/>
                        </w:rPr>
                        <w:t>*</w:t>
                      </w:r>
                      <w:r w:rsidR="00782454" w:rsidRPr="00782454">
                        <w:rPr>
                          <w:b/>
                          <w:i/>
                          <w:sz w:val="20"/>
                          <w:szCs w:val="28"/>
                        </w:rPr>
                        <w:t>I</w:t>
                      </w:r>
                      <w:r w:rsidRPr="00782454">
                        <w:rPr>
                          <w:b/>
                          <w:i/>
                          <w:sz w:val="20"/>
                          <w:szCs w:val="28"/>
                        </w:rPr>
                        <w:t>ncluding funds that are “flexed” from Title IIA into Title IVA</w:t>
                      </w:r>
                    </w:p>
                    <w:p w14:paraId="7F8AC55A" w14:textId="4B4D5E3B" w:rsidR="00D14842" w:rsidRPr="00D14842" w:rsidRDefault="00D14842" w:rsidP="00D14842">
                      <w:pPr>
                        <w:rPr>
                          <w:sz w:val="20"/>
                        </w:rPr>
                      </w:pPr>
                    </w:p>
                  </w:txbxContent>
                </v:textbox>
                <w10:wrap anchorx="margin"/>
              </v:shape>
            </w:pict>
          </mc:Fallback>
        </mc:AlternateContent>
      </w:r>
    </w:p>
    <w:p w14:paraId="09C21BE3" w14:textId="707AD586" w:rsidR="00A57B71" w:rsidRPr="00144928" w:rsidRDefault="00A57B71" w:rsidP="00FC6D6E">
      <w:pPr>
        <w:rPr>
          <w:b/>
          <w:color w:val="E36C0A" w:themeColor="accent6" w:themeShade="BF"/>
          <w:sz w:val="12"/>
          <w:szCs w:val="12"/>
        </w:rPr>
      </w:pPr>
    </w:p>
    <w:p w14:paraId="17337781" w14:textId="2DC4605E" w:rsidR="00916080" w:rsidRDefault="00916080" w:rsidP="000D4A11">
      <w:pPr>
        <w:spacing w:after="0" w:line="240" w:lineRule="auto"/>
        <w:rPr>
          <w:sz w:val="8"/>
          <w:szCs w:val="8"/>
        </w:rPr>
      </w:pPr>
    </w:p>
    <w:p w14:paraId="386398EE" w14:textId="274657D6" w:rsidR="00916080" w:rsidRDefault="00916080" w:rsidP="000D4A11">
      <w:pPr>
        <w:spacing w:after="0" w:line="240" w:lineRule="auto"/>
        <w:rPr>
          <w:sz w:val="8"/>
          <w:szCs w:val="8"/>
        </w:rPr>
      </w:pPr>
    </w:p>
    <w:p w14:paraId="6458EC0A" w14:textId="7796A0C3" w:rsidR="00916080" w:rsidRDefault="00916080" w:rsidP="000D4A11">
      <w:pPr>
        <w:spacing w:after="0" w:line="240" w:lineRule="auto"/>
        <w:rPr>
          <w:sz w:val="8"/>
          <w:szCs w:val="8"/>
        </w:rPr>
      </w:pPr>
    </w:p>
    <w:p w14:paraId="18476A36" w14:textId="688E363F" w:rsidR="00916080" w:rsidRDefault="00916080" w:rsidP="000D4A11">
      <w:pPr>
        <w:spacing w:after="0" w:line="240" w:lineRule="auto"/>
        <w:rPr>
          <w:sz w:val="8"/>
          <w:szCs w:val="8"/>
        </w:rPr>
      </w:pPr>
    </w:p>
    <w:p w14:paraId="6B69F178" w14:textId="77777777" w:rsidR="00916080" w:rsidRDefault="00916080" w:rsidP="000D4A11">
      <w:pPr>
        <w:spacing w:after="0" w:line="240" w:lineRule="auto"/>
        <w:rPr>
          <w:sz w:val="8"/>
          <w:szCs w:val="8"/>
        </w:rPr>
      </w:pPr>
    </w:p>
    <w:p w14:paraId="680C6B69" w14:textId="528276CA" w:rsidR="00916080" w:rsidRDefault="00916080" w:rsidP="000D4A11">
      <w:pPr>
        <w:spacing w:after="0" w:line="240" w:lineRule="auto"/>
        <w:rPr>
          <w:sz w:val="8"/>
          <w:szCs w:val="8"/>
        </w:rPr>
      </w:pPr>
    </w:p>
    <w:p w14:paraId="66A24000" w14:textId="77777777" w:rsidR="00916080" w:rsidRDefault="00916080" w:rsidP="000D4A11">
      <w:pPr>
        <w:spacing w:after="0" w:line="240" w:lineRule="auto"/>
        <w:rPr>
          <w:sz w:val="8"/>
          <w:szCs w:val="8"/>
        </w:rPr>
      </w:pPr>
    </w:p>
    <w:p w14:paraId="75EE7C0F" w14:textId="77777777" w:rsidR="00916080" w:rsidRDefault="00916080" w:rsidP="000D4A11">
      <w:pPr>
        <w:spacing w:after="0" w:line="240" w:lineRule="auto"/>
        <w:rPr>
          <w:sz w:val="8"/>
          <w:szCs w:val="8"/>
        </w:rPr>
      </w:pPr>
    </w:p>
    <w:p w14:paraId="5F4E2900" w14:textId="0582DC00" w:rsidR="00916080" w:rsidRDefault="00916080" w:rsidP="000D4A11">
      <w:pPr>
        <w:spacing w:after="0" w:line="240" w:lineRule="auto"/>
        <w:rPr>
          <w:sz w:val="8"/>
          <w:szCs w:val="8"/>
        </w:rPr>
      </w:pPr>
    </w:p>
    <w:p w14:paraId="7B2BFC2C" w14:textId="71B22B26" w:rsidR="00916080" w:rsidRDefault="00916080" w:rsidP="000D4A11">
      <w:pPr>
        <w:spacing w:after="0" w:line="240" w:lineRule="auto"/>
        <w:rPr>
          <w:sz w:val="8"/>
          <w:szCs w:val="8"/>
        </w:rPr>
      </w:pPr>
    </w:p>
    <w:p w14:paraId="0D11EEB5" w14:textId="36D41B7B" w:rsidR="00916080" w:rsidRDefault="00916080" w:rsidP="000D4A11">
      <w:pPr>
        <w:spacing w:after="0" w:line="240" w:lineRule="auto"/>
        <w:rPr>
          <w:sz w:val="8"/>
          <w:szCs w:val="8"/>
        </w:rPr>
      </w:pPr>
    </w:p>
    <w:p w14:paraId="73B1CDB7" w14:textId="77777777" w:rsidR="00916080" w:rsidRDefault="00916080" w:rsidP="000D4A11">
      <w:pPr>
        <w:spacing w:after="0" w:line="240" w:lineRule="auto"/>
        <w:rPr>
          <w:sz w:val="8"/>
          <w:szCs w:val="8"/>
        </w:rPr>
      </w:pPr>
    </w:p>
    <w:p w14:paraId="04E5B25D" w14:textId="77777777" w:rsidR="00916080" w:rsidRDefault="00916080" w:rsidP="000D4A11">
      <w:pPr>
        <w:spacing w:after="0" w:line="240" w:lineRule="auto"/>
        <w:rPr>
          <w:sz w:val="8"/>
          <w:szCs w:val="8"/>
        </w:rPr>
      </w:pPr>
    </w:p>
    <w:p w14:paraId="24C6DD59" w14:textId="3C089A82" w:rsidR="00916080" w:rsidRDefault="00916080" w:rsidP="000D4A11">
      <w:pPr>
        <w:spacing w:after="0" w:line="240" w:lineRule="auto"/>
        <w:rPr>
          <w:sz w:val="8"/>
          <w:szCs w:val="8"/>
        </w:rPr>
      </w:pPr>
    </w:p>
    <w:p w14:paraId="672C4AE2" w14:textId="4EB75381" w:rsidR="00916080" w:rsidRDefault="00916080" w:rsidP="000D4A11">
      <w:pPr>
        <w:spacing w:after="0" w:line="240" w:lineRule="auto"/>
        <w:rPr>
          <w:sz w:val="8"/>
          <w:szCs w:val="8"/>
        </w:rPr>
      </w:pPr>
    </w:p>
    <w:p w14:paraId="58E8D41D" w14:textId="77777777" w:rsidR="00916080" w:rsidRDefault="00916080" w:rsidP="000D4A11">
      <w:pPr>
        <w:spacing w:after="0" w:line="240" w:lineRule="auto"/>
        <w:rPr>
          <w:sz w:val="8"/>
          <w:szCs w:val="8"/>
        </w:rPr>
      </w:pPr>
    </w:p>
    <w:p w14:paraId="5D4110BC" w14:textId="5377A8D1" w:rsidR="00916080" w:rsidRDefault="00916080" w:rsidP="000D4A11">
      <w:pPr>
        <w:spacing w:after="0" w:line="240" w:lineRule="auto"/>
        <w:rPr>
          <w:sz w:val="8"/>
          <w:szCs w:val="8"/>
        </w:rPr>
      </w:pPr>
    </w:p>
    <w:p w14:paraId="438BAE50" w14:textId="77777777" w:rsidR="00916080" w:rsidRDefault="00916080" w:rsidP="000D4A11">
      <w:pPr>
        <w:spacing w:after="0" w:line="240" w:lineRule="auto"/>
        <w:rPr>
          <w:sz w:val="8"/>
          <w:szCs w:val="8"/>
        </w:rPr>
      </w:pPr>
    </w:p>
    <w:p w14:paraId="1F1A7492" w14:textId="098442A9" w:rsidR="00916080" w:rsidRDefault="00916080" w:rsidP="000D4A11">
      <w:pPr>
        <w:spacing w:after="0" w:line="240" w:lineRule="auto"/>
        <w:rPr>
          <w:sz w:val="8"/>
          <w:szCs w:val="8"/>
        </w:rPr>
      </w:pPr>
    </w:p>
    <w:p w14:paraId="1D0DB835" w14:textId="77777777" w:rsidR="00916080" w:rsidRDefault="00916080" w:rsidP="000D4A11">
      <w:pPr>
        <w:spacing w:after="0" w:line="240" w:lineRule="auto"/>
        <w:rPr>
          <w:sz w:val="8"/>
          <w:szCs w:val="8"/>
        </w:rPr>
      </w:pPr>
    </w:p>
    <w:p w14:paraId="3C4D1035" w14:textId="77777777" w:rsidR="00916080" w:rsidRDefault="00916080" w:rsidP="000D4A11">
      <w:pPr>
        <w:spacing w:after="0" w:line="240" w:lineRule="auto"/>
        <w:rPr>
          <w:sz w:val="8"/>
          <w:szCs w:val="8"/>
        </w:rPr>
      </w:pPr>
    </w:p>
    <w:p w14:paraId="3459C1AB" w14:textId="77777777" w:rsidR="00916080" w:rsidRDefault="00916080" w:rsidP="000D4A11">
      <w:pPr>
        <w:spacing w:after="0" w:line="240" w:lineRule="auto"/>
        <w:rPr>
          <w:sz w:val="8"/>
          <w:szCs w:val="8"/>
        </w:rPr>
      </w:pPr>
    </w:p>
    <w:p w14:paraId="0A53B5D6" w14:textId="77777777" w:rsidR="00916080" w:rsidRDefault="00916080" w:rsidP="000D4A11">
      <w:pPr>
        <w:spacing w:after="0" w:line="240" w:lineRule="auto"/>
        <w:rPr>
          <w:sz w:val="8"/>
          <w:szCs w:val="8"/>
        </w:rPr>
      </w:pPr>
    </w:p>
    <w:p w14:paraId="14A5D05C" w14:textId="77777777" w:rsidR="00916080" w:rsidRDefault="00916080" w:rsidP="000D4A11">
      <w:pPr>
        <w:spacing w:after="0" w:line="240" w:lineRule="auto"/>
        <w:rPr>
          <w:sz w:val="8"/>
          <w:szCs w:val="8"/>
        </w:rPr>
      </w:pPr>
    </w:p>
    <w:p w14:paraId="36C23984" w14:textId="77777777" w:rsidR="00916080" w:rsidRDefault="00916080" w:rsidP="000D4A11">
      <w:pPr>
        <w:spacing w:after="0" w:line="240" w:lineRule="auto"/>
        <w:rPr>
          <w:sz w:val="8"/>
          <w:szCs w:val="8"/>
        </w:rPr>
      </w:pPr>
    </w:p>
    <w:p w14:paraId="35A810A1" w14:textId="77777777" w:rsidR="00916080" w:rsidRDefault="00916080" w:rsidP="000D4A11">
      <w:pPr>
        <w:spacing w:after="0" w:line="240" w:lineRule="auto"/>
        <w:rPr>
          <w:sz w:val="8"/>
          <w:szCs w:val="8"/>
        </w:rPr>
      </w:pPr>
    </w:p>
    <w:p w14:paraId="17242450" w14:textId="77777777" w:rsidR="00916080" w:rsidRDefault="00916080" w:rsidP="000D4A11">
      <w:pPr>
        <w:spacing w:after="0" w:line="240" w:lineRule="auto"/>
        <w:rPr>
          <w:sz w:val="8"/>
          <w:szCs w:val="8"/>
        </w:rPr>
      </w:pPr>
    </w:p>
    <w:p w14:paraId="57218648" w14:textId="77777777" w:rsidR="00916080" w:rsidRDefault="00916080" w:rsidP="000D4A11">
      <w:pPr>
        <w:spacing w:after="0" w:line="240" w:lineRule="auto"/>
        <w:rPr>
          <w:sz w:val="8"/>
          <w:szCs w:val="8"/>
        </w:rPr>
      </w:pPr>
    </w:p>
    <w:p w14:paraId="193E29AC" w14:textId="77777777" w:rsidR="00916080" w:rsidRDefault="00916080" w:rsidP="000D4A11">
      <w:pPr>
        <w:spacing w:after="0" w:line="240" w:lineRule="auto"/>
        <w:rPr>
          <w:sz w:val="8"/>
          <w:szCs w:val="8"/>
        </w:rPr>
      </w:pPr>
    </w:p>
    <w:p w14:paraId="7D0C3FD4" w14:textId="77777777" w:rsidR="00916080" w:rsidRDefault="00916080" w:rsidP="000D4A11">
      <w:pPr>
        <w:spacing w:after="0" w:line="240" w:lineRule="auto"/>
        <w:rPr>
          <w:sz w:val="8"/>
          <w:szCs w:val="8"/>
        </w:rPr>
      </w:pPr>
    </w:p>
    <w:p w14:paraId="5619B345" w14:textId="77777777" w:rsidR="00916080" w:rsidRDefault="00916080" w:rsidP="000D4A11">
      <w:pPr>
        <w:spacing w:after="0" w:line="240" w:lineRule="auto"/>
        <w:rPr>
          <w:sz w:val="8"/>
          <w:szCs w:val="8"/>
        </w:rPr>
      </w:pPr>
    </w:p>
    <w:p w14:paraId="08468076" w14:textId="77777777" w:rsidR="00916080" w:rsidRDefault="00916080" w:rsidP="000D4A11">
      <w:pPr>
        <w:spacing w:after="0" w:line="240" w:lineRule="auto"/>
        <w:rPr>
          <w:sz w:val="8"/>
          <w:szCs w:val="8"/>
        </w:rPr>
      </w:pPr>
    </w:p>
    <w:p w14:paraId="01D80F2C" w14:textId="77777777" w:rsidR="00916080" w:rsidRDefault="00916080" w:rsidP="000D4A11">
      <w:pPr>
        <w:spacing w:after="0" w:line="240" w:lineRule="auto"/>
        <w:rPr>
          <w:sz w:val="8"/>
          <w:szCs w:val="8"/>
        </w:rPr>
      </w:pPr>
    </w:p>
    <w:p w14:paraId="762D18B3" w14:textId="77777777" w:rsidR="00916080" w:rsidRDefault="00916080" w:rsidP="000D4A11">
      <w:pPr>
        <w:spacing w:after="0" w:line="240" w:lineRule="auto"/>
        <w:rPr>
          <w:sz w:val="8"/>
          <w:szCs w:val="8"/>
        </w:rPr>
      </w:pPr>
    </w:p>
    <w:p w14:paraId="5E8921F9" w14:textId="77777777" w:rsidR="00916080" w:rsidRDefault="00916080" w:rsidP="000D4A11">
      <w:pPr>
        <w:spacing w:after="0" w:line="240" w:lineRule="auto"/>
        <w:rPr>
          <w:sz w:val="8"/>
          <w:szCs w:val="8"/>
        </w:rPr>
      </w:pPr>
    </w:p>
    <w:p w14:paraId="04A97F61" w14:textId="77777777" w:rsidR="00916080" w:rsidRDefault="00916080" w:rsidP="000D4A11">
      <w:pPr>
        <w:spacing w:after="0" w:line="240" w:lineRule="auto"/>
        <w:rPr>
          <w:sz w:val="8"/>
          <w:szCs w:val="8"/>
        </w:rPr>
      </w:pPr>
    </w:p>
    <w:p w14:paraId="07B7235B" w14:textId="5AA592F1" w:rsidR="00916080" w:rsidRDefault="00916080" w:rsidP="000D4A11">
      <w:pPr>
        <w:spacing w:after="0" w:line="240" w:lineRule="auto"/>
        <w:rPr>
          <w:sz w:val="8"/>
          <w:szCs w:val="8"/>
        </w:rPr>
      </w:pPr>
    </w:p>
    <w:p w14:paraId="3D968CC0" w14:textId="77777777" w:rsidR="00916080" w:rsidRDefault="00916080" w:rsidP="000D4A11">
      <w:pPr>
        <w:spacing w:after="0" w:line="240" w:lineRule="auto"/>
        <w:rPr>
          <w:sz w:val="8"/>
          <w:szCs w:val="8"/>
        </w:rPr>
      </w:pPr>
    </w:p>
    <w:p w14:paraId="1CED5033" w14:textId="77777777" w:rsidR="00916080" w:rsidRDefault="00916080" w:rsidP="000D4A11">
      <w:pPr>
        <w:spacing w:after="0" w:line="240" w:lineRule="auto"/>
        <w:rPr>
          <w:sz w:val="8"/>
          <w:szCs w:val="8"/>
        </w:rPr>
      </w:pPr>
    </w:p>
    <w:p w14:paraId="144E98B9" w14:textId="77777777" w:rsidR="00916080" w:rsidRDefault="00916080" w:rsidP="000D4A11">
      <w:pPr>
        <w:spacing w:after="0" w:line="240" w:lineRule="auto"/>
        <w:rPr>
          <w:sz w:val="8"/>
          <w:szCs w:val="8"/>
        </w:rPr>
      </w:pPr>
    </w:p>
    <w:p w14:paraId="5AB44942" w14:textId="77777777" w:rsidR="00916080" w:rsidRDefault="00916080" w:rsidP="000D4A11">
      <w:pPr>
        <w:spacing w:after="0" w:line="240" w:lineRule="auto"/>
        <w:rPr>
          <w:sz w:val="8"/>
          <w:szCs w:val="8"/>
        </w:rPr>
      </w:pPr>
    </w:p>
    <w:p w14:paraId="1F1C6D7E" w14:textId="77777777" w:rsidR="00916080" w:rsidRDefault="00916080" w:rsidP="000D4A11">
      <w:pPr>
        <w:spacing w:after="0" w:line="240" w:lineRule="auto"/>
        <w:rPr>
          <w:sz w:val="8"/>
          <w:szCs w:val="8"/>
        </w:rPr>
      </w:pPr>
    </w:p>
    <w:p w14:paraId="62A05D1C" w14:textId="77777777" w:rsidR="00916080" w:rsidRDefault="00916080" w:rsidP="000D4A11">
      <w:pPr>
        <w:spacing w:after="0" w:line="240" w:lineRule="auto"/>
        <w:rPr>
          <w:sz w:val="8"/>
          <w:szCs w:val="8"/>
        </w:rPr>
      </w:pPr>
    </w:p>
    <w:p w14:paraId="437C237A" w14:textId="5C10C5E4" w:rsidR="008A468A" w:rsidRPr="000D4A11" w:rsidRDefault="008A468A" w:rsidP="000D4A11">
      <w:pPr>
        <w:spacing w:after="0" w:line="240" w:lineRule="auto"/>
        <w:rPr>
          <w:sz w:val="8"/>
          <w:szCs w:val="8"/>
        </w:rPr>
      </w:pPr>
    </w:p>
    <w:sectPr w:rsidR="008A468A" w:rsidRPr="000D4A11" w:rsidSect="000C7763">
      <w:headerReference w:type="default" r:id="rId15"/>
      <w:footerReference w:type="default" r:id="rId16"/>
      <w:pgSz w:w="12240" w:h="15840"/>
      <w:pgMar w:top="288" w:right="720" w:bottom="288"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908A3" w14:textId="77777777" w:rsidR="00E84BD5" w:rsidRDefault="00E84BD5" w:rsidP="002123C2">
      <w:pPr>
        <w:spacing w:after="0" w:line="240" w:lineRule="auto"/>
      </w:pPr>
      <w:r>
        <w:separator/>
      </w:r>
    </w:p>
  </w:endnote>
  <w:endnote w:type="continuationSeparator" w:id="0">
    <w:p w14:paraId="5FED7E54" w14:textId="77777777" w:rsidR="00E84BD5" w:rsidRDefault="00E84BD5"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B5E1" w14:textId="15CC556C" w:rsidR="00DF4F96" w:rsidRDefault="00456B68" w:rsidP="00B83CC4">
    <w:pPr>
      <w:pStyle w:val="Footer"/>
      <w:rPr>
        <w:sz w:val="20"/>
        <w:szCs w:val="20"/>
      </w:rPr>
    </w:pPr>
    <w:r>
      <w:rPr>
        <w:sz w:val="20"/>
        <w:szCs w:val="20"/>
      </w:rPr>
      <w:tab/>
    </w:r>
    <w:r>
      <w:rPr>
        <w:sz w:val="20"/>
        <w:szCs w:val="20"/>
      </w:rPr>
      <w:tab/>
      <w:t xml:space="preserve">  </w:t>
    </w:r>
    <w:r w:rsidR="00B83CC4" w:rsidRPr="00B83CC4">
      <w:rPr>
        <w:sz w:val="20"/>
        <w:szCs w:val="20"/>
      </w:rPr>
      <w:t>Updated</w:t>
    </w:r>
    <w:r w:rsidR="00F246C3">
      <w:rPr>
        <w:sz w:val="20"/>
        <w:szCs w:val="20"/>
      </w:rPr>
      <w:t xml:space="preserve"> </w:t>
    </w:r>
    <w:r w:rsidR="00F54D0E">
      <w:rPr>
        <w:sz w:val="20"/>
        <w:szCs w:val="20"/>
      </w:rPr>
      <w:t>June 2024</w:t>
    </w:r>
  </w:p>
  <w:p w14:paraId="2670F81E" w14:textId="7C9556C4" w:rsidR="000C7763" w:rsidRDefault="000C7763" w:rsidP="000C7763">
    <w:pPr>
      <w:pStyle w:val="Footer"/>
      <w:rPr>
        <w:sz w:val="20"/>
        <w:szCs w:val="20"/>
      </w:rPr>
    </w:pPr>
    <w:r w:rsidRPr="00706A3C">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459E5DA2" w14:textId="77777777" w:rsidR="000C7763" w:rsidRPr="00B83CC4" w:rsidRDefault="000C7763" w:rsidP="00B83C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0B09" w14:textId="77777777" w:rsidR="00E84BD5" w:rsidRDefault="00E84BD5" w:rsidP="002123C2">
      <w:pPr>
        <w:spacing w:after="0" w:line="240" w:lineRule="auto"/>
      </w:pPr>
      <w:r>
        <w:separator/>
      </w:r>
    </w:p>
  </w:footnote>
  <w:footnote w:type="continuationSeparator" w:id="0">
    <w:p w14:paraId="76364F1E" w14:textId="77777777" w:rsidR="00E84BD5" w:rsidRDefault="00E84BD5"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16A8"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37A"/>
    <w:multiLevelType w:val="hybridMultilevel"/>
    <w:tmpl w:val="6030654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E5ED0"/>
    <w:multiLevelType w:val="hybridMultilevel"/>
    <w:tmpl w:val="4F0E43EC"/>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974415"/>
    <w:multiLevelType w:val="hybridMultilevel"/>
    <w:tmpl w:val="2C2E3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E6E47F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434182D"/>
    <w:multiLevelType w:val="hybridMultilevel"/>
    <w:tmpl w:val="5DE6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A5708"/>
    <w:multiLevelType w:val="hybridMultilevel"/>
    <w:tmpl w:val="8D3C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B386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E5BAF"/>
    <w:multiLevelType w:val="hybridMultilevel"/>
    <w:tmpl w:val="F0FC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04637"/>
    <w:multiLevelType w:val="multilevel"/>
    <w:tmpl w:val="FA2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6614B5"/>
    <w:multiLevelType w:val="hybridMultilevel"/>
    <w:tmpl w:val="39C8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CA0DFA"/>
    <w:multiLevelType w:val="hybridMultilevel"/>
    <w:tmpl w:val="C91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B47F4"/>
    <w:multiLevelType w:val="hybridMultilevel"/>
    <w:tmpl w:val="667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67A28"/>
    <w:multiLevelType w:val="hybridMultilevel"/>
    <w:tmpl w:val="2E52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414DB"/>
    <w:multiLevelType w:val="hybridMultilevel"/>
    <w:tmpl w:val="95AE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882BA6"/>
    <w:multiLevelType w:val="hybridMultilevel"/>
    <w:tmpl w:val="C60EBE3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24663"/>
    <w:multiLevelType w:val="hybridMultilevel"/>
    <w:tmpl w:val="092A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14874"/>
    <w:multiLevelType w:val="hybridMultilevel"/>
    <w:tmpl w:val="1E980218"/>
    <w:lvl w:ilvl="0" w:tplc="C6A2C3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613141">
    <w:abstractNumId w:val="26"/>
  </w:num>
  <w:num w:numId="2" w16cid:durableId="44720757">
    <w:abstractNumId w:val="10"/>
  </w:num>
  <w:num w:numId="3" w16cid:durableId="1358577722">
    <w:abstractNumId w:val="8"/>
  </w:num>
  <w:num w:numId="4" w16cid:durableId="2117944672">
    <w:abstractNumId w:val="25"/>
  </w:num>
  <w:num w:numId="5" w16cid:durableId="1925144977">
    <w:abstractNumId w:val="12"/>
  </w:num>
  <w:num w:numId="6" w16cid:durableId="286468376">
    <w:abstractNumId w:val="19"/>
  </w:num>
  <w:num w:numId="7" w16cid:durableId="2056732027">
    <w:abstractNumId w:val="21"/>
  </w:num>
  <w:num w:numId="8" w16cid:durableId="708578255">
    <w:abstractNumId w:val="20"/>
  </w:num>
  <w:num w:numId="9" w16cid:durableId="1559196627">
    <w:abstractNumId w:val="11"/>
  </w:num>
  <w:num w:numId="10" w16cid:durableId="298656064">
    <w:abstractNumId w:val="28"/>
  </w:num>
  <w:num w:numId="11" w16cid:durableId="1259633926">
    <w:abstractNumId w:val="29"/>
  </w:num>
  <w:num w:numId="12" w16cid:durableId="2033218351">
    <w:abstractNumId w:val="38"/>
  </w:num>
  <w:num w:numId="13" w16cid:durableId="1851337302">
    <w:abstractNumId w:val="2"/>
  </w:num>
  <w:num w:numId="14" w16cid:durableId="1038702048">
    <w:abstractNumId w:val="6"/>
  </w:num>
  <w:num w:numId="15" w16cid:durableId="1007172810">
    <w:abstractNumId w:val="42"/>
  </w:num>
  <w:num w:numId="16" w16cid:durableId="1285229223">
    <w:abstractNumId w:val="39"/>
  </w:num>
  <w:num w:numId="17" w16cid:durableId="2019768343">
    <w:abstractNumId w:val="13"/>
  </w:num>
  <w:num w:numId="18" w16cid:durableId="6911674">
    <w:abstractNumId w:val="36"/>
  </w:num>
  <w:num w:numId="19" w16cid:durableId="1054813858">
    <w:abstractNumId w:val="22"/>
  </w:num>
  <w:num w:numId="20" w16cid:durableId="397753257">
    <w:abstractNumId w:val="18"/>
  </w:num>
  <w:num w:numId="21" w16cid:durableId="1251429145">
    <w:abstractNumId w:val="1"/>
  </w:num>
  <w:num w:numId="22" w16cid:durableId="1796947607">
    <w:abstractNumId w:val="34"/>
  </w:num>
  <w:num w:numId="23" w16cid:durableId="150415677">
    <w:abstractNumId w:val="40"/>
  </w:num>
  <w:num w:numId="24" w16cid:durableId="142624941">
    <w:abstractNumId w:val="17"/>
  </w:num>
  <w:num w:numId="25" w16cid:durableId="259217055">
    <w:abstractNumId w:val="4"/>
  </w:num>
  <w:num w:numId="26" w16cid:durableId="1635519634">
    <w:abstractNumId w:val="31"/>
  </w:num>
  <w:num w:numId="27" w16cid:durableId="1980646615">
    <w:abstractNumId w:val="0"/>
  </w:num>
  <w:num w:numId="28" w16cid:durableId="1611425257">
    <w:abstractNumId w:val="3"/>
  </w:num>
  <w:num w:numId="29" w16cid:durableId="1163668662">
    <w:abstractNumId w:val="15"/>
  </w:num>
  <w:num w:numId="30" w16cid:durableId="1705716223">
    <w:abstractNumId w:val="5"/>
  </w:num>
  <w:num w:numId="31" w16cid:durableId="479343934">
    <w:abstractNumId w:val="24"/>
  </w:num>
  <w:num w:numId="32" w16cid:durableId="1711418271">
    <w:abstractNumId w:val="9"/>
  </w:num>
  <w:num w:numId="33" w16cid:durableId="823470730">
    <w:abstractNumId w:val="35"/>
  </w:num>
  <w:num w:numId="34" w16cid:durableId="1454596504">
    <w:abstractNumId w:val="41"/>
  </w:num>
  <w:num w:numId="35" w16cid:durableId="1654213961">
    <w:abstractNumId w:val="27"/>
  </w:num>
  <w:num w:numId="36" w16cid:durableId="1222136755">
    <w:abstractNumId w:val="30"/>
  </w:num>
  <w:num w:numId="37" w16cid:durableId="41567076">
    <w:abstractNumId w:val="7"/>
  </w:num>
  <w:num w:numId="38" w16cid:durableId="626080922">
    <w:abstractNumId w:val="16"/>
  </w:num>
  <w:num w:numId="39" w16cid:durableId="843591416">
    <w:abstractNumId w:val="32"/>
  </w:num>
  <w:num w:numId="40" w16cid:durableId="306477249">
    <w:abstractNumId w:val="23"/>
  </w:num>
  <w:num w:numId="41" w16cid:durableId="1415281956">
    <w:abstractNumId w:val="14"/>
  </w:num>
  <w:num w:numId="42" w16cid:durableId="1718554423">
    <w:abstractNumId w:val="37"/>
  </w:num>
  <w:num w:numId="43" w16cid:durableId="20281693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919"/>
    <w:rsid w:val="00006B02"/>
    <w:rsid w:val="00007BDE"/>
    <w:rsid w:val="000125F3"/>
    <w:rsid w:val="00014D5A"/>
    <w:rsid w:val="0002190C"/>
    <w:rsid w:val="000231C6"/>
    <w:rsid w:val="000309D7"/>
    <w:rsid w:val="00032390"/>
    <w:rsid w:val="00043D42"/>
    <w:rsid w:val="000538CC"/>
    <w:rsid w:val="00056E07"/>
    <w:rsid w:val="00056FFB"/>
    <w:rsid w:val="00076146"/>
    <w:rsid w:val="0007624F"/>
    <w:rsid w:val="0007729A"/>
    <w:rsid w:val="000808F3"/>
    <w:rsid w:val="0008207E"/>
    <w:rsid w:val="00083870"/>
    <w:rsid w:val="00084041"/>
    <w:rsid w:val="00086F4E"/>
    <w:rsid w:val="000A1148"/>
    <w:rsid w:val="000A5D6C"/>
    <w:rsid w:val="000A6682"/>
    <w:rsid w:val="000A6A4C"/>
    <w:rsid w:val="000A74D7"/>
    <w:rsid w:val="000C7763"/>
    <w:rsid w:val="000D13F0"/>
    <w:rsid w:val="000D1DAA"/>
    <w:rsid w:val="000D3FCB"/>
    <w:rsid w:val="000D4A11"/>
    <w:rsid w:val="000D4A78"/>
    <w:rsid w:val="000D70A9"/>
    <w:rsid w:val="000E648A"/>
    <w:rsid w:val="000E7E50"/>
    <w:rsid w:val="000F210C"/>
    <w:rsid w:val="000F6D88"/>
    <w:rsid w:val="001123C5"/>
    <w:rsid w:val="0012247C"/>
    <w:rsid w:val="001257AF"/>
    <w:rsid w:val="00142559"/>
    <w:rsid w:val="00142DB2"/>
    <w:rsid w:val="00144928"/>
    <w:rsid w:val="001513A6"/>
    <w:rsid w:val="001574D3"/>
    <w:rsid w:val="00161728"/>
    <w:rsid w:val="00161B0B"/>
    <w:rsid w:val="00166240"/>
    <w:rsid w:val="00174313"/>
    <w:rsid w:val="00174E70"/>
    <w:rsid w:val="00175467"/>
    <w:rsid w:val="00175C62"/>
    <w:rsid w:val="001806F2"/>
    <w:rsid w:val="00180CBD"/>
    <w:rsid w:val="001860A8"/>
    <w:rsid w:val="00186E2D"/>
    <w:rsid w:val="001A2855"/>
    <w:rsid w:val="001A3E4F"/>
    <w:rsid w:val="001B111D"/>
    <w:rsid w:val="001B26DA"/>
    <w:rsid w:val="001C5770"/>
    <w:rsid w:val="001E3706"/>
    <w:rsid w:val="001E4A3B"/>
    <w:rsid w:val="001E7BAA"/>
    <w:rsid w:val="001E7E32"/>
    <w:rsid w:val="001F0C9A"/>
    <w:rsid w:val="001F3649"/>
    <w:rsid w:val="001F3EC7"/>
    <w:rsid w:val="00200FAC"/>
    <w:rsid w:val="0020151F"/>
    <w:rsid w:val="00202E4A"/>
    <w:rsid w:val="00205019"/>
    <w:rsid w:val="0020643D"/>
    <w:rsid w:val="002123C2"/>
    <w:rsid w:val="00224236"/>
    <w:rsid w:val="002251D1"/>
    <w:rsid w:val="002259FC"/>
    <w:rsid w:val="00231D56"/>
    <w:rsid w:val="00231DDF"/>
    <w:rsid w:val="00234CC9"/>
    <w:rsid w:val="0024029E"/>
    <w:rsid w:val="002433E6"/>
    <w:rsid w:val="0024610A"/>
    <w:rsid w:val="00247627"/>
    <w:rsid w:val="0025225D"/>
    <w:rsid w:val="002636CA"/>
    <w:rsid w:val="00264A25"/>
    <w:rsid w:val="002653BB"/>
    <w:rsid w:val="00267B36"/>
    <w:rsid w:val="00270A58"/>
    <w:rsid w:val="00271597"/>
    <w:rsid w:val="0028324E"/>
    <w:rsid w:val="002840A6"/>
    <w:rsid w:val="0029122B"/>
    <w:rsid w:val="00294558"/>
    <w:rsid w:val="002A0D06"/>
    <w:rsid w:val="002B51CD"/>
    <w:rsid w:val="002D39D2"/>
    <w:rsid w:val="002E041D"/>
    <w:rsid w:val="002E6CE8"/>
    <w:rsid w:val="002E7223"/>
    <w:rsid w:val="002F2850"/>
    <w:rsid w:val="002F2AC5"/>
    <w:rsid w:val="00301353"/>
    <w:rsid w:val="003049E7"/>
    <w:rsid w:val="003102F2"/>
    <w:rsid w:val="003135AE"/>
    <w:rsid w:val="0031692E"/>
    <w:rsid w:val="003178E1"/>
    <w:rsid w:val="003250D3"/>
    <w:rsid w:val="0033200D"/>
    <w:rsid w:val="00333555"/>
    <w:rsid w:val="003376AA"/>
    <w:rsid w:val="0034241C"/>
    <w:rsid w:val="00342FD0"/>
    <w:rsid w:val="003461A7"/>
    <w:rsid w:val="003511BC"/>
    <w:rsid w:val="00356B3D"/>
    <w:rsid w:val="00360220"/>
    <w:rsid w:val="00361670"/>
    <w:rsid w:val="00363D9D"/>
    <w:rsid w:val="0036578E"/>
    <w:rsid w:val="003660A3"/>
    <w:rsid w:val="00367689"/>
    <w:rsid w:val="00382625"/>
    <w:rsid w:val="00385FE5"/>
    <w:rsid w:val="00397260"/>
    <w:rsid w:val="003A4FB0"/>
    <w:rsid w:val="003A6BCA"/>
    <w:rsid w:val="003A7938"/>
    <w:rsid w:val="003B2F2B"/>
    <w:rsid w:val="003B5760"/>
    <w:rsid w:val="003B6176"/>
    <w:rsid w:val="003C1F1C"/>
    <w:rsid w:val="003D31F2"/>
    <w:rsid w:val="003E05D0"/>
    <w:rsid w:val="003E22B6"/>
    <w:rsid w:val="003F5B64"/>
    <w:rsid w:val="003F66FA"/>
    <w:rsid w:val="004019BB"/>
    <w:rsid w:val="0040256A"/>
    <w:rsid w:val="004075DC"/>
    <w:rsid w:val="00407BE0"/>
    <w:rsid w:val="00411DA1"/>
    <w:rsid w:val="0041775D"/>
    <w:rsid w:val="0042016C"/>
    <w:rsid w:val="0042470F"/>
    <w:rsid w:val="00425B4F"/>
    <w:rsid w:val="004305CE"/>
    <w:rsid w:val="00433B43"/>
    <w:rsid w:val="0043728A"/>
    <w:rsid w:val="00451061"/>
    <w:rsid w:val="00453C71"/>
    <w:rsid w:val="00454167"/>
    <w:rsid w:val="00456B68"/>
    <w:rsid w:val="004727F3"/>
    <w:rsid w:val="00474860"/>
    <w:rsid w:val="00477072"/>
    <w:rsid w:val="00477D32"/>
    <w:rsid w:val="00482610"/>
    <w:rsid w:val="00485676"/>
    <w:rsid w:val="00493B24"/>
    <w:rsid w:val="004A3319"/>
    <w:rsid w:val="004A4AB3"/>
    <w:rsid w:val="004B0C48"/>
    <w:rsid w:val="004B6498"/>
    <w:rsid w:val="004C0C50"/>
    <w:rsid w:val="004C7ED5"/>
    <w:rsid w:val="004D0297"/>
    <w:rsid w:val="004D1423"/>
    <w:rsid w:val="004D69ED"/>
    <w:rsid w:val="004E0E81"/>
    <w:rsid w:val="004E1065"/>
    <w:rsid w:val="004E6EAE"/>
    <w:rsid w:val="004F29A0"/>
    <w:rsid w:val="00501A0A"/>
    <w:rsid w:val="00510B91"/>
    <w:rsid w:val="00510D00"/>
    <w:rsid w:val="0051680F"/>
    <w:rsid w:val="005206E9"/>
    <w:rsid w:val="00532791"/>
    <w:rsid w:val="00533551"/>
    <w:rsid w:val="00537211"/>
    <w:rsid w:val="00541E4B"/>
    <w:rsid w:val="00544235"/>
    <w:rsid w:val="00546B72"/>
    <w:rsid w:val="00547FDF"/>
    <w:rsid w:val="00551669"/>
    <w:rsid w:val="00555745"/>
    <w:rsid w:val="0056190B"/>
    <w:rsid w:val="0056259C"/>
    <w:rsid w:val="00562F87"/>
    <w:rsid w:val="00564973"/>
    <w:rsid w:val="00570588"/>
    <w:rsid w:val="00577430"/>
    <w:rsid w:val="005857BC"/>
    <w:rsid w:val="005863A1"/>
    <w:rsid w:val="005906E1"/>
    <w:rsid w:val="00592B55"/>
    <w:rsid w:val="00596C87"/>
    <w:rsid w:val="005A63EC"/>
    <w:rsid w:val="005C23CD"/>
    <w:rsid w:val="005C4DB3"/>
    <w:rsid w:val="005C6C1D"/>
    <w:rsid w:val="005C7CC9"/>
    <w:rsid w:val="005C7D9C"/>
    <w:rsid w:val="005D29B4"/>
    <w:rsid w:val="005D31FE"/>
    <w:rsid w:val="005D3963"/>
    <w:rsid w:val="005D7D15"/>
    <w:rsid w:val="005F47A6"/>
    <w:rsid w:val="00601487"/>
    <w:rsid w:val="00601532"/>
    <w:rsid w:val="006068D1"/>
    <w:rsid w:val="00621434"/>
    <w:rsid w:val="00622BB1"/>
    <w:rsid w:val="00623E03"/>
    <w:rsid w:val="00624057"/>
    <w:rsid w:val="00631AA7"/>
    <w:rsid w:val="0063603F"/>
    <w:rsid w:val="00642434"/>
    <w:rsid w:val="00643D1F"/>
    <w:rsid w:val="006460A3"/>
    <w:rsid w:val="00652161"/>
    <w:rsid w:val="006527EF"/>
    <w:rsid w:val="00663D92"/>
    <w:rsid w:val="006754A9"/>
    <w:rsid w:val="006819E3"/>
    <w:rsid w:val="0068601C"/>
    <w:rsid w:val="00687361"/>
    <w:rsid w:val="00687763"/>
    <w:rsid w:val="00696BCE"/>
    <w:rsid w:val="00697918"/>
    <w:rsid w:val="006A67EF"/>
    <w:rsid w:val="006B5E18"/>
    <w:rsid w:val="006C066D"/>
    <w:rsid w:val="006C09C0"/>
    <w:rsid w:val="006C0AFF"/>
    <w:rsid w:val="006E13B5"/>
    <w:rsid w:val="006E781A"/>
    <w:rsid w:val="006F2BB5"/>
    <w:rsid w:val="006F56FA"/>
    <w:rsid w:val="007025F1"/>
    <w:rsid w:val="00704FE4"/>
    <w:rsid w:val="0070617E"/>
    <w:rsid w:val="00706A3C"/>
    <w:rsid w:val="007131B9"/>
    <w:rsid w:val="00723B1C"/>
    <w:rsid w:val="00733320"/>
    <w:rsid w:val="007338F6"/>
    <w:rsid w:val="00735A72"/>
    <w:rsid w:val="00735F66"/>
    <w:rsid w:val="00742674"/>
    <w:rsid w:val="00743F65"/>
    <w:rsid w:val="00744CE8"/>
    <w:rsid w:val="00746829"/>
    <w:rsid w:val="007470EB"/>
    <w:rsid w:val="00747AF9"/>
    <w:rsid w:val="0075778D"/>
    <w:rsid w:val="00765CD4"/>
    <w:rsid w:val="00774EB2"/>
    <w:rsid w:val="0078079D"/>
    <w:rsid w:val="00782454"/>
    <w:rsid w:val="00783E7A"/>
    <w:rsid w:val="00785DAE"/>
    <w:rsid w:val="007944D2"/>
    <w:rsid w:val="007B2E02"/>
    <w:rsid w:val="007B48A1"/>
    <w:rsid w:val="007C058D"/>
    <w:rsid w:val="007C1605"/>
    <w:rsid w:val="007C559C"/>
    <w:rsid w:val="007D3ACA"/>
    <w:rsid w:val="007E36A4"/>
    <w:rsid w:val="007E638A"/>
    <w:rsid w:val="007F7E77"/>
    <w:rsid w:val="00806391"/>
    <w:rsid w:val="00811F57"/>
    <w:rsid w:val="008135CE"/>
    <w:rsid w:val="0082270C"/>
    <w:rsid w:val="008236A1"/>
    <w:rsid w:val="00833F0F"/>
    <w:rsid w:val="00837EF2"/>
    <w:rsid w:val="00844745"/>
    <w:rsid w:val="00845120"/>
    <w:rsid w:val="008530BF"/>
    <w:rsid w:val="0085767A"/>
    <w:rsid w:val="008652AD"/>
    <w:rsid w:val="00870464"/>
    <w:rsid w:val="0087528C"/>
    <w:rsid w:val="008A197C"/>
    <w:rsid w:val="008A316B"/>
    <w:rsid w:val="008A468A"/>
    <w:rsid w:val="008A4FB9"/>
    <w:rsid w:val="008B52EE"/>
    <w:rsid w:val="008B70FD"/>
    <w:rsid w:val="008C0CF9"/>
    <w:rsid w:val="008D1003"/>
    <w:rsid w:val="008D5EF6"/>
    <w:rsid w:val="008D6D24"/>
    <w:rsid w:val="008D7359"/>
    <w:rsid w:val="008E0075"/>
    <w:rsid w:val="008E048E"/>
    <w:rsid w:val="008F0504"/>
    <w:rsid w:val="00900869"/>
    <w:rsid w:val="00903340"/>
    <w:rsid w:val="00906CC8"/>
    <w:rsid w:val="00907F9D"/>
    <w:rsid w:val="00910ACA"/>
    <w:rsid w:val="00916080"/>
    <w:rsid w:val="0092051A"/>
    <w:rsid w:val="009219D7"/>
    <w:rsid w:val="0093452A"/>
    <w:rsid w:val="009363EF"/>
    <w:rsid w:val="00940535"/>
    <w:rsid w:val="009421C4"/>
    <w:rsid w:val="009568F9"/>
    <w:rsid w:val="009569DD"/>
    <w:rsid w:val="00965002"/>
    <w:rsid w:val="00966D4C"/>
    <w:rsid w:val="00971A94"/>
    <w:rsid w:val="00972D90"/>
    <w:rsid w:val="0097445C"/>
    <w:rsid w:val="0099059B"/>
    <w:rsid w:val="0099300D"/>
    <w:rsid w:val="0099504F"/>
    <w:rsid w:val="009A0CB7"/>
    <w:rsid w:val="009B412E"/>
    <w:rsid w:val="009B741F"/>
    <w:rsid w:val="009C6608"/>
    <w:rsid w:val="009D072A"/>
    <w:rsid w:val="009D0B5E"/>
    <w:rsid w:val="009D2D48"/>
    <w:rsid w:val="009D5F80"/>
    <w:rsid w:val="009D7A8A"/>
    <w:rsid w:val="009E251A"/>
    <w:rsid w:val="009E493C"/>
    <w:rsid w:val="009F29B9"/>
    <w:rsid w:val="009F4B90"/>
    <w:rsid w:val="009F512A"/>
    <w:rsid w:val="00A16A10"/>
    <w:rsid w:val="00A225A7"/>
    <w:rsid w:val="00A26FCC"/>
    <w:rsid w:val="00A30D9E"/>
    <w:rsid w:val="00A362B4"/>
    <w:rsid w:val="00A366EB"/>
    <w:rsid w:val="00A41387"/>
    <w:rsid w:val="00A4263C"/>
    <w:rsid w:val="00A44FFF"/>
    <w:rsid w:val="00A50401"/>
    <w:rsid w:val="00A50D93"/>
    <w:rsid w:val="00A51EDC"/>
    <w:rsid w:val="00A57B71"/>
    <w:rsid w:val="00A70F30"/>
    <w:rsid w:val="00A759BC"/>
    <w:rsid w:val="00A7758B"/>
    <w:rsid w:val="00A8194D"/>
    <w:rsid w:val="00A82842"/>
    <w:rsid w:val="00A94E43"/>
    <w:rsid w:val="00AB05E3"/>
    <w:rsid w:val="00AC17AA"/>
    <w:rsid w:val="00AD1C20"/>
    <w:rsid w:val="00AD5EB7"/>
    <w:rsid w:val="00AF11A7"/>
    <w:rsid w:val="00AF6B90"/>
    <w:rsid w:val="00B00277"/>
    <w:rsid w:val="00B12A87"/>
    <w:rsid w:val="00B13EB9"/>
    <w:rsid w:val="00B16149"/>
    <w:rsid w:val="00B230DE"/>
    <w:rsid w:val="00B34B51"/>
    <w:rsid w:val="00B40191"/>
    <w:rsid w:val="00B4519C"/>
    <w:rsid w:val="00B5042F"/>
    <w:rsid w:val="00B5196C"/>
    <w:rsid w:val="00B554F9"/>
    <w:rsid w:val="00B565A5"/>
    <w:rsid w:val="00B570C5"/>
    <w:rsid w:val="00B63218"/>
    <w:rsid w:val="00B7057E"/>
    <w:rsid w:val="00B73CEB"/>
    <w:rsid w:val="00B7702D"/>
    <w:rsid w:val="00B77C97"/>
    <w:rsid w:val="00B8160B"/>
    <w:rsid w:val="00B83CC4"/>
    <w:rsid w:val="00B83F27"/>
    <w:rsid w:val="00B96B60"/>
    <w:rsid w:val="00BA2867"/>
    <w:rsid w:val="00BA5EA3"/>
    <w:rsid w:val="00BB2195"/>
    <w:rsid w:val="00BB21A0"/>
    <w:rsid w:val="00BB2F67"/>
    <w:rsid w:val="00BC54D4"/>
    <w:rsid w:val="00BC58CE"/>
    <w:rsid w:val="00BD0357"/>
    <w:rsid w:val="00BD0978"/>
    <w:rsid w:val="00BD4EAA"/>
    <w:rsid w:val="00BD6FD3"/>
    <w:rsid w:val="00BE26C7"/>
    <w:rsid w:val="00BE66B5"/>
    <w:rsid w:val="00BF2AFB"/>
    <w:rsid w:val="00BF4166"/>
    <w:rsid w:val="00BF797F"/>
    <w:rsid w:val="00C004F4"/>
    <w:rsid w:val="00C02FD1"/>
    <w:rsid w:val="00C11075"/>
    <w:rsid w:val="00C117FB"/>
    <w:rsid w:val="00C2154C"/>
    <w:rsid w:val="00C26AE4"/>
    <w:rsid w:val="00C31011"/>
    <w:rsid w:val="00C35190"/>
    <w:rsid w:val="00C35712"/>
    <w:rsid w:val="00C42B9B"/>
    <w:rsid w:val="00C47140"/>
    <w:rsid w:val="00C56E6F"/>
    <w:rsid w:val="00C64A67"/>
    <w:rsid w:val="00C672AE"/>
    <w:rsid w:val="00C80D4D"/>
    <w:rsid w:val="00C83AE6"/>
    <w:rsid w:val="00C85076"/>
    <w:rsid w:val="00C85DEB"/>
    <w:rsid w:val="00C91EAE"/>
    <w:rsid w:val="00C944A9"/>
    <w:rsid w:val="00C94931"/>
    <w:rsid w:val="00CA1899"/>
    <w:rsid w:val="00CA3513"/>
    <w:rsid w:val="00CA4D14"/>
    <w:rsid w:val="00CB2B87"/>
    <w:rsid w:val="00CB7E1E"/>
    <w:rsid w:val="00CC71BF"/>
    <w:rsid w:val="00CD049D"/>
    <w:rsid w:val="00CD216B"/>
    <w:rsid w:val="00CE405C"/>
    <w:rsid w:val="00CE6144"/>
    <w:rsid w:val="00CF48CE"/>
    <w:rsid w:val="00CF4C60"/>
    <w:rsid w:val="00CF5678"/>
    <w:rsid w:val="00D0630D"/>
    <w:rsid w:val="00D130A8"/>
    <w:rsid w:val="00D14842"/>
    <w:rsid w:val="00D20433"/>
    <w:rsid w:val="00D206F4"/>
    <w:rsid w:val="00D22302"/>
    <w:rsid w:val="00D279FB"/>
    <w:rsid w:val="00D30875"/>
    <w:rsid w:val="00D44A9D"/>
    <w:rsid w:val="00D462B0"/>
    <w:rsid w:val="00D53271"/>
    <w:rsid w:val="00D54287"/>
    <w:rsid w:val="00D659A6"/>
    <w:rsid w:val="00D81055"/>
    <w:rsid w:val="00D86719"/>
    <w:rsid w:val="00D905A0"/>
    <w:rsid w:val="00D91D1C"/>
    <w:rsid w:val="00DA4E55"/>
    <w:rsid w:val="00DA670D"/>
    <w:rsid w:val="00DB2DE4"/>
    <w:rsid w:val="00DB4504"/>
    <w:rsid w:val="00DB4B83"/>
    <w:rsid w:val="00DB72D3"/>
    <w:rsid w:val="00DC63FB"/>
    <w:rsid w:val="00DD1032"/>
    <w:rsid w:val="00DD1272"/>
    <w:rsid w:val="00DD1CB5"/>
    <w:rsid w:val="00DD44A2"/>
    <w:rsid w:val="00DD5E81"/>
    <w:rsid w:val="00DD7467"/>
    <w:rsid w:val="00DE2279"/>
    <w:rsid w:val="00DE35E2"/>
    <w:rsid w:val="00DF4F96"/>
    <w:rsid w:val="00DF551B"/>
    <w:rsid w:val="00E02476"/>
    <w:rsid w:val="00E250E1"/>
    <w:rsid w:val="00E26698"/>
    <w:rsid w:val="00E314CC"/>
    <w:rsid w:val="00E4044E"/>
    <w:rsid w:val="00E4096A"/>
    <w:rsid w:val="00E47503"/>
    <w:rsid w:val="00E6496A"/>
    <w:rsid w:val="00E6581A"/>
    <w:rsid w:val="00E703ED"/>
    <w:rsid w:val="00E70C1D"/>
    <w:rsid w:val="00E7306A"/>
    <w:rsid w:val="00E768BF"/>
    <w:rsid w:val="00E84BD5"/>
    <w:rsid w:val="00E9020C"/>
    <w:rsid w:val="00EB3A99"/>
    <w:rsid w:val="00EB7833"/>
    <w:rsid w:val="00EC1B8B"/>
    <w:rsid w:val="00EC25E8"/>
    <w:rsid w:val="00EC2EAA"/>
    <w:rsid w:val="00EC342F"/>
    <w:rsid w:val="00EC3CCE"/>
    <w:rsid w:val="00EC5D47"/>
    <w:rsid w:val="00EC7F66"/>
    <w:rsid w:val="00ED00FB"/>
    <w:rsid w:val="00ED57EC"/>
    <w:rsid w:val="00EE3C17"/>
    <w:rsid w:val="00EF11BB"/>
    <w:rsid w:val="00EF550F"/>
    <w:rsid w:val="00EF56DE"/>
    <w:rsid w:val="00EF5AA2"/>
    <w:rsid w:val="00F02FD1"/>
    <w:rsid w:val="00F05108"/>
    <w:rsid w:val="00F114D6"/>
    <w:rsid w:val="00F1496E"/>
    <w:rsid w:val="00F2205F"/>
    <w:rsid w:val="00F246C3"/>
    <w:rsid w:val="00F2601C"/>
    <w:rsid w:val="00F2754F"/>
    <w:rsid w:val="00F31FB8"/>
    <w:rsid w:val="00F35002"/>
    <w:rsid w:val="00F416E7"/>
    <w:rsid w:val="00F46E12"/>
    <w:rsid w:val="00F53E9D"/>
    <w:rsid w:val="00F54D0E"/>
    <w:rsid w:val="00F55B02"/>
    <w:rsid w:val="00F673C1"/>
    <w:rsid w:val="00F71E79"/>
    <w:rsid w:val="00F7421B"/>
    <w:rsid w:val="00F82D1B"/>
    <w:rsid w:val="00F95AB8"/>
    <w:rsid w:val="00FA2E43"/>
    <w:rsid w:val="00FA34A8"/>
    <w:rsid w:val="00FA36EE"/>
    <w:rsid w:val="00FA3939"/>
    <w:rsid w:val="00FB0D62"/>
    <w:rsid w:val="00FC6D6E"/>
    <w:rsid w:val="00FD2069"/>
    <w:rsid w:val="00FE7B57"/>
    <w:rsid w:val="00FF1214"/>
    <w:rsid w:val="00FF546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9BB8"/>
  <w15:docId w15:val="{2562C06F-CB82-4242-B87D-B4AB3A2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styleId="UnresolvedMention">
    <w:name w:val="Unresolved Mention"/>
    <w:basedOn w:val="DefaultParagraphFont"/>
    <w:uiPriority w:val="99"/>
    <w:semiHidden/>
    <w:unhideWhenUsed/>
    <w:rsid w:val="00BE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8645">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deralgrantprograms@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gov/policy/elsec/leg/essa/essassaegrantguid102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DESE-231-72031</_dlc_DocId>
    <_dlc_DocIdUrl xmlns="733efe1c-5bbe-4968-87dc-d400e65c879f">
      <Url>https://sharepoint.doemass.org/ese/webteam/cps/_layouts/DocIdRedir.aspx?ID=DESE-231-72031</Url>
      <Description>DESE-231-72031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C542F95-2A3A-4E86-AC12-B9093127A840}">
  <ds:schemaRefs>
    <ds:schemaRef ds:uri="http://schemas.openxmlformats.org/officeDocument/2006/bibliography"/>
  </ds:schemaRefs>
</ds:datastoreItem>
</file>

<file path=customXml/itemProps2.xml><?xml version="1.0" encoding="utf-8"?>
<ds:datastoreItem xmlns:ds="http://schemas.openxmlformats.org/officeDocument/2006/customXml" ds:itemID="{F5502670-7DC7-4049-955F-5424BF7C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5.xml><?xml version="1.0" encoding="utf-8"?>
<ds:datastoreItem xmlns:ds="http://schemas.openxmlformats.org/officeDocument/2006/customXml" ds:itemID="{7B92EF44-4F1A-4103-865D-02093DD69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1082</Words>
  <Characters>6613</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Title IVA Quick Reference Guide on Allowable and Unallowable Costs</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IVA Quick Reference Guide on Effective Use of Technology</dc:title>
  <dc:subject/>
  <dc:creator>DESE</dc:creator>
  <cp:keywords/>
  <cp:lastModifiedBy>Zou, Dong (EOE)</cp:lastModifiedBy>
  <cp:revision>42</cp:revision>
  <cp:lastPrinted>2018-04-24T21:35:00Z</cp:lastPrinted>
  <dcterms:created xsi:type="dcterms:W3CDTF">2024-06-04T19:58:00Z</dcterms:created>
  <dcterms:modified xsi:type="dcterms:W3CDTF">2024-06-24T19:35:00Z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2024 12:00AM</vt:lpwstr>
  </property>
</Properties>
</file>