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26F35" w14:textId="6D568D7D" w:rsidR="00A6490D" w:rsidRPr="006218B1" w:rsidRDefault="00A6490D" w:rsidP="002F1D0A">
      <w:pPr>
        <w:pStyle w:val="BodyText"/>
        <w:spacing w:before="8"/>
        <w:jc w:val="center"/>
        <w:rPr>
          <w:rFonts w:asciiTheme="minorHAnsi" w:hAnsiTheme="minorHAnsi" w:cstheme="minorHAnsi"/>
          <w:sz w:val="44"/>
        </w:rPr>
      </w:pPr>
    </w:p>
    <w:p w14:paraId="3608EE54" w14:textId="0AE15CB0" w:rsidR="002F1D0A" w:rsidRDefault="006A52A1" w:rsidP="4BE34811">
      <w:pPr>
        <w:pStyle w:val="BodyText"/>
        <w:spacing w:before="8"/>
        <w:jc w:val="center"/>
        <w:rPr>
          <w:rFonts w:asciiTheme="minorHAnsi" w:hAnsiTheme="minorHAnsi" w:cstheme="minorBidi"/>
          <w:sz w:val="44"/>
          <w:szCs w:val="44"/>
        </w:rPr>
      </w:pPr>
      <w:r>
        <w:rPr>
          <w:rFonts w:asciiTheme="minorHAnsi" w:hAnsiTheme="minorHAnsi" w:cstheme="minorBidi"/>
          <w:noProof/>
          <w:sz w:val="44"/>
          <w:szCs w:val="44"/>
        </w:rPr>
        <w:drawing>
          <wp:inline distT="0" distB="0" distL="0" distR="0" wp14:anchorId="0473A686" wp14:editId="30437C14">
            <wp:extent cx="6191250" cy="1304925"/>
            <wp:effectExtent l="0" t="0" r="0" b="9525"/>
            <wp:docPr id="3" name="Picture 3" descr="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0" cy="1304925"/>
                    </a:xfrm>
                    <a:prstGeom prst="rect">
                      <a:avLst/>
                    </a:prstGeom>
                    <a:noFill/>
                    <a:ln>
                      <a:noFill/>
                    </a:ln>
                  </pic:spPr>
                </pic:pic>
              </a:graphicData>
            </a:graphic>
          </wp:inline>
        </w:drawing>
      </w:r>
    </w:p>
    <w:p w14:paraId="380D5FFF" w14:textId="0B0BE48C" w:rsidR="008519E5" w:rsidRDefault="008519E5" w:rsidP="002F1D0A">
      <w:pPr>
        <w:pStyle w:val="BodyText"/>
        <w:spacing w:before="8"/>
        <w:jc w:val="center"/>
        <w:rPr>
          <w:rFonts w:asciiTheme="minorHAnsi" w:hAnsiTheme="minorHAnsi" w:cstheme="minorHAnsi"/>
          <w:sz w:val="44"/>
        </w:rPr>
      </w:pPr>
    </w:p>
    <w:p w14:paraId="624B9763" w14:textId="77777777" w:rsidR="00272A2F" w:rsidRPr="006218B1" w:rsidRDefault="00272A2F" w:rsidP="002F1D0A">
      <w:pPr>
        <w:pStyle w:val="BodyText"/>
        <w:spacing w:before="8"/>
        <w:jc w:val="center"/>
        <w:rPr>
          <w:rFonts w:asciiTheme="minorHAnsi" w:hAnsiTheme="minorHAnsi" w:cstheme="minorHAnsi"/>
          <w:sz w:val="44"/>
        </w:rPr>
      </w:pPr>
    </w:p>
    <w:p w14:paraId="40EAE168" w14:textId="06BD1A26" w:rsidR="0076509C" w:rsidRDefault="00F35A42" w:rsidP="500668C8">
      <w:pPr>
        <w:spacing w:line="276" w:lineRule="auto"/>
        <w:ind w:left="494" w:right="383"/>
        <w:jc w:val="center"/>
        <w:rPr>
          <w:rFonts w:asciiTheme="minorHAnsi" w:hAnsiTheme="minorHAnsi" w:cstheme="minorBidi"/>
          <w:sz w:val="48"/>
          <w:szCs w:val="48"/>
        </w:rPr>
      </w:pPr>
      <w:r w:rsidRPr="500668C8">
        <w:rPr>
          <w:rFonts w:asciiTheme="minorHAnsi" w:hAnsiTheme="minorHAnsi" w:cstheme="minorBidi"/>
          <w:sz w:val="48"/>
          <w:szCs w:val="48"/>
        </w:rPr>
        <w:t>Title I</w:t>
      </w:r>
      <w:r w:rsidR="00F80B65" w:rsidRPr="500668C8">
        <w:rPr>
          <w:rFonts w:asciiTheme="minorHAnsi" w:hAnsiTheme="minorHAnsi" w:cstheme="minorBidi"/>
          <w:sz w:val="48"/>
          <w:szCs w:val="48"/>
        </w:rPr>
        <w:t>V</w:t>
      </w:r>
      <w:r w:rsidR="13CFF595" w:rsidRPr="500668C8">
        <w:rPr>
          <w:rFonts w:asciiTheme="minorHAnsi" w:hAnsiTheme="minorHAnsi" w:cstheme="minorBidi"/>
          <w:sz w:val="48"/>
          <w:szCs w:val="48"/>
        </w:rPr>
        <w:t xml:space="preserve">, Part </w:t>
      </w:r>
      <w:r w:rsidR="00F80B65" w:rsidRPr="500668C8">
        <w:rPr>
          <w:rFonts w:asciiTheme="minorHAnsi" w:hAnsiTheme="minorHAnsi" w:cstheme="minorBidi"/>
          <w:sz w:val="48"/>
          <w:szCs w:val="48"/>
        </w:rPr>
        <w:t>A Resource Guide</w:t>
      </w:r>
    </w:p>
    <w:p w14:paraId="42E09F3F" w14:textId="30FE533A" w:rsidR="00A6490D" w:rsidRPr="006218B1" w:rsidDel="008519E5" w:rsidRDefault="00A6490D" w:rsidP="4BE34811">
      <w:pPr>
        <w:pStyle w:val="BodyText"/>
        <w:spacing w:line="276" w:lineRule="auto"/>
        <w:ind w:left="494" w:right="383"/>
        <w:jc w:val="center"/>
        <w:rPr>
          <w:sz w:val="48"/>
          <w:szCs w:val="48"/>
        </w:rPr>
      </w:pPr>
    </w:p>
    <w:p w14:paraId="3E4A1452" w14:textId="77777777" w:rsidR="00A6490D" w:rsidRPr="006218B1" w:rsidRDefault="00A6490D">
      <w:pPr>
        <w:pStyle w:val="BodyText"/>
        <w:rPr>
          <w:rFonts w:asciiTheme="minorHAnsi" w:hAnsiTheme="minorHAnsi" w:cstheme="minorHAnsi"/>
          <w:i/>
          <w:sz w:val="20"/>
        </w:rPr>
      </w:pPr>
    </w:p>
    <w:p w14:paraId="3AFA5EDD" w14:textId="77777777" w:rsidR="00A6490D" w:rsidRPr="006218B1" w:rsidRDefault="00A6490D">
      <w:pPr>
        <w:pStyle w:val="BodyText"/>
        <w:rPr>
          <w:rFonts w:asciiTheme="minorHAnsi" w:hAnsiTheme="minorHAnsi" w:cstheme="minorHAnsi"/>
          <w:i/>
          <w:sz w:val="20"/>
        </w:rPr>
      </w:pPr>
    </w:p>
    <w:p w14:paraId="32160C4B" w14:textId="77777777" w:rsidR="00A6490D" w:rsidRPr="006218B1" w:rsidRDefault="00A6490D">
      <w:pPr>
        <w:pStyle w:val="BodyText"/>
        <w:rPr>
          <w:rFonts w:asciiTheme="minorHAnsi" w:hAnsiTheme="minorHAnsi" w:cstheme="minorHAnsi"/>
          <w:i/>
          <w:sz w:val="20"/>
        </w:rPr>
      </w:pPr>
    </w:p>
    <w:p w14:paraId="12E26214" w14:textId="6E1ADFAF" w:rsidR="00A6490D" w:rsidRPr="006218B1" w:rsidRDefault="00A6490D">
      <w:pPr>
        <w:pStyle w:val="BodyText"/>
        <w:spacing w:before="2"/>
        <w:rPr>
          <w:rFonts w:asciiTheme="minorHAnsi" w:hAnsiTheme="minorHAnsi" w:cstheme="minorHAnsi"/>
          <w:i/>
          <w:sz w:val="18"/>
        </w:rPr>
      </w:pPr>
    </w:p>
    <w:p w14:paraId="11D96206" w14:textId="08FBAA94" w:rsidR="00A6490D" w:rsidRDefault="00A6490D">
      <w:pPr>
        <w:pStyle w:val="BodyText"/>
        <w:rPr>
          <w:rFonts w:asciiTheme="minorHAnsi" w:hAnsiTheme="minorHAnsi" w:cstheme="minorHAnsi"/>
          <w:i/>
          <w:sz w:val="48"/>
        </w:rPr>
      </w:pPr>
    </w:p>
    <w:p w14:paraId="39CB9BAD" w14:textId="53200042" w:rsidR="00272A2F" w:rsidRDefault="00272A2F">
      <w:pPr>
        <w:pStyle w:val="BodyText"/>
        <w:rPr>
          <w:rFonts w:asciiTheme="minorHAnsi" w:hAnsiTheme="minorHAnsi" w:cstheme="minorHAnsi"/>
          <w:i/>
          <w:sz w:val="48"/>
        </w:rPr>
      </w:pPr>
    </w:p>
    <w:p w14:paraId="6D5E89C6" w14:textId="3F388F01" w:rsidR="00272A2F" w:rsidRPr="006218B1" w:rsidRDefault="00272A2F" w:rsidP="3D39B83B">
      <w:pPr>
        <w:pStyle w:val="BodyText"/>
        <w:rPr>
          <w:rFonts w:asciiTheme="minorHAnsi" w:hAnsiTheme="minorHAnsi" w:cstheme="minorBidi"/>
          <w:i/>
          <w:iCs/>
          <w:sz w:val="48"/>
          <w:szCs w:val="48"/>
        </w:rPr>
      </w:pPr>
    </w:p>
    <w:p w14:paraId="5D1202F4" w14:textId="490CEFF9" w:rsidR="00A6490D" w:rsidRPr="006218B1" w:rsidRDefault="34F98043" w:rsidP="500668C8">
      <w:pPr>
        <w:spacing w:before="396"/>
        <w:ind w:left="382" w:right="383"/>
        <w:jc w:val="center"/>
        <w:rPr>
          <w:rFonts w:asciiTheme="minorHAnsi" w:hAnsiTheme="minorHAnsi" w:cstheme="minorBidi"/>
          <w:sz w:val="40"/>
          <w:szCs w:val="40"/>
        </w:rPr>
      </w:pPr>
      <w:r w:rsidRPr="60AC34D4">
        <w:rPr>
          <w:rFonts w:asciiTheme="minorHAnsi" w:hAnsiTheme="minorHAnsi" w:cstheme="minorBidi"/>
          <w:sz w:val="40"/>
          <w:szCs w:val="40"/>
        </w:rPr>
        <w:t>June</w:t>
      </w:r>
      <w:r w:rsidR="006A52A1" w:rsidRPr="60AC34D4">
        <w:rPr>
          <w:rFonts w:asciiTheme="minorHAnsi" w:hAnsiTheme="minorHAnsi" w:cstheme="minorBidi"/>
          <w:sz w:val="40"/>
          <w:szCs w:val="40"/>
        </w:rPr>
        <w:t xml:space="preserve"> 202</w:t>
      </w:r>
      <w:r w:rsidR="00F80B65" w:rsidRPr="60AC34D4">
        <w:rPr>
          <w:rFonts w:asciiTheme="minorHAnsi" w:hAnsiTheme="minorHAnsi" w:cstheme="minorBidi"/>
          <w:sz w:val="40"/>
          <w:szCs w:val="40"/>
        </w:rPr>
        <w:t>4</w:t>
      </w:r>
    </w:p>
    <w:p w14:paraId="1B2087A6" w14:textId="6BF08168" w:rsidR="002F1D0A" w:rsidRDefault="002F1D0A" w:rsidP="00BE6A53">
      <w:pPr>
        <w:spacing w:before="396"/>
        <w:ind w:left="382" w:right="383"/>
        <w:jc w:val="center"/>
        <w:rPr>
          <w:rFonts w:asciiTheme="minorHAnsi" w:hAnsiTheme="minorHAnsi" w:cstheme="minorHAnsi"/>
          <w:sz w:val="40"/>
        </w:rPr>
      </w:pPr>
    </w:p>
    <w:p w14:paraId="04A153BE" w14:textId="77777777" w:rsidR="0056072A" w:rsidRPr="006218B1" w:rsidRDefault="0056072A" w:rsidP="00BE6A53">
      <w:pPr>
        <w:spacing w:before="396"/>
        <w:ind w:left="382" w:right="383"/>
        <w:jc w:val="center"/>
        <w:rPr>
          <w:rFonts w:asciiTheme="minorHAnsi" w:hAnsiTheme="minorHAnsi" w:cstheme="minorHAnsi"/>
          <w:sz w:val="40"/>
        </w:rPr>
      </w:pPr>
    </w:p>
    <w:p w14:paraId="4A00B961" w14:textId="77777777" w:rsidR="002F1D0A" w:rsidRPr="006218B1" w:rsidRDefault="002F1D0A" w:rsidP="002F1D0A">
      <w:pPr>
        <w:jc w:val="center"/>
        <w:rPr>
          <w:rFonts w:asciiTheme="minorHAnsi" w:hAnsiTheme="minorHAnsi" w:cstheme="minorHAnsi"/>
          <w:b/>
        </w:rPr>
      </w:pPr>
      <w:r w:rsidRPr="006218B1">
        <w:rPr>
          <w:rFonts w:asciiTheme="minorHAnsi" w:hAnsiTheme="minorHAnsi" w:cstheme="minorHAnsi"/>
          <w:b/>
        </w:rPr>
        <w:t>Massachusetts Department of Elementary and Secondary Education</w:t>
      </w:r>
    </w:p>
    <w:p w14:paraId="18D4A26C" w14:textId="699349E1" w:rsidR="002F1D0A" w:rsidRPr="006218B1" w:rsidRDefault="00E777E6" w:rsidP="002F1D0A">
      <w:pPr>
        <w:jc w:val="center"/>
        <w:rPr>
          <w:rFonts w:asciiTheme="minorHAnsi" w:hAnsiTheme="minorHAnsi" w:cstheme="minorHAnsi"/>
        </w:rPr>
      </w:pPr>
      <w:r>
        <w:rPr>
          <w:rFonts w:asciiTheme="minorHAnsi" w:hAnsiTheme="minorHAnsi" w:cstheme="minorHAnsi"/>
        </w:rPr>
        <w:t xml:space="preserve">135 Santilli </w:t>
      </w:r>
      <w:r w:rsidR="00973B0F">
        <w:rPr>
          <w:rFonts w:asciiTheme="minorHAnsi" w:hAnsiTheme="minorHAnsi" w:cstheme="minorHAnsi"/>
        </w:rPr>
        <w:t>Highway</w:t>
      </w:r>
    </w:p>
    <w:p w14:paraId="3067B717" w14:textId="533EDEBD" w:rsidR="002F1D0A" w:rsidRPr="006218B1" w:rsidRDefault="00E777E6" w:rsidP="002F1D0A">
      <w:pPr>
        <w:jc w:val="center"/>
        <w:rPr>
          <w:rFonts w:asciiTheme="minorHAnsi" w:hAnsiTheme="minorHAnsi" w:cstheme="minorHAnsi"/>
        </w:rPr>
      </w:pPr>
      <w:r>
        <w:rPr>
          <w:rFonts w:asciiTheme="minorHAnsi" w:hAnsiTheme="minorHAnsi" w:cstheme="minorHAnsi"/>
        </w:rPr>
        <w:t>Everett</w:t>
      </w:r>
      <w:r w:rsidR="002F1D0A" w:rsidRPr="006218B1">
        <w:rPr>
          <w:rFonts w:asciiTheme="minorHAnsi" w:hAnsiTheme="minorHAnsi" w:cstheme="minorHAnsi"/>
        </w:rPr>
        <w:t>, MA  0214</w:t>
      </w:r>
      <w:r w:rsidR="00611C35">
        <w:rPr>
          <w:rFonts w:asciiTheme="minorHAnsi" w:hAnsiTheme="minorHAnsi" w:cstheme="minorHAnsi"/>
        </w:rPr>
        <w:t>9</w:t>
      </w:r>
    </w:p>
    <w:p w14:paraId="15E7CD7E" w14:textId="77777777" w:rsidR="002F1D0A" w:rsidRDefault="002F1D0A" w:rsidP="002F1D0A">
      <w:pPr>
        <w:jc w:val="center"/>
        <w:rPr>
          <w:rFonts w:asciiTheme="minorHAnsi" w:hAnsiTheme="minorHAnsi" w:cstheme="minorHAnsi"/>
        </w:rPr>
      </w:pPr>
      <w:r w:rsidRPr="006218B1">
        <w:rPr>
          <w:rFonts w:asciiTheme="minorHAnsi" w:hAnsiTheme="minorHAnsi" w:cstheme="minorHAnsi"/>
        </w:rPr>
        <w:t>Phone: (781) 338-6230</w:t>
      </w:r>
    </w:p>
    <w:p w14:paraId="2B151356" w14:textId="77777777" w:rsidR="00A96A70" w:rsidRDefault="00A96A70" w:rsidP="002F1D0A">
      <w:pPr>
        <w:jc w:val="center"/>
        <w:rPr>
          <w:rFonts w:asciiTheme="minorHAnsi" w:hAnsiTheme="minorHAnsi" w:cstheme="minorHAnsi"/>
        </w:rPr>
      </w:pPr>
    </w:p>
    <w:p w14:paraId="505CF531" w14:textId="77777777" w:rsidR="00A96A70" w:rsidRPr="006218B1" w:rsidRDefault="00A96A70" w:rsidP="002F1D0A">
      <w:pPr>
        <w:jc w:val="center"/>
        <w:rPr>
          <w:rFonts w:asciiTheme="minorHAnsi" w:hAnsiTheme="minorHAnsi" w:cstheme="minorHAnsi"/>
        </w:rPr>
      </w:pPr>
    </w:p>
    <w:sdt>
      <w:sdtPr>
        <w:rPr>
          <w:rFonts w:eastAsia="Calibri" w:cs="Calibri"/>
          <w:b/>
          <w:bCs/>
          <w:caps/>
          <w:color w:val="auto"/>
          <w:sz w:val="24"/>
          <w:szCs w:val="24"/>
        </w:rPr>
        <w:id w:val="1921589174"/>
        <w:docPartObj>
          <w:docPartGallery w:val="Table of Contents"/>
          <w:docPartUnique/>
        </w:docPartObj>
      </w:sdtPr>
      <w:sdtContent>
        <w:p w14:paraId="11E07E22" w14:textId="1D475844" w:rsidR="00340B88" w:rsidRPr="001E62B2" w:rsidRDefault="00340B88" w:rsidP="660722E0">
          <w:pPr>
            <w:pStyle w:val="TOCHeading"/>
            <w:rPr>
              <w:rFonts w:asciiTheme="minorHAnsi" w:hAnsiTheme="minorHAnsi" w:cstheme="minorBidi"/>
            </w:rPr>
          </w:pPr>
          <w:r w:rsidRPr="660722E0">
            <w:rPr>
              <w:rFonts w:asciiTheme="minorHAnsi" w:hAnsiTheme="minorHAnsi" w:cstheme="minorBidi"/>
            </w:rPr>
            <w:t>Table of Contents</w:t>
          </w:r>
        </w:p>
        <w:p w14:paraId="35762FE8" w14:textId="48DE78C8" w:rsidR="009E6C74" w:rsidRDefault="00000000" w:rsidP="660722E0">
          <w:pPr>
            <w:pStyle w:val="TOC1"/>
            <w:tabs>
              <w:tab w:val="right" w:leader="dot" w:pos="9750"/>
            </w:tabs>
            <w:rPr>
              <w:rStyle w:val="Hyperlink"/>
              <w:noProof/>
              <w:kern w:val="2"/>
              <w14:ligatures w14:val="standardContextual"/>
            </w:rPr>
          </w:pPr>
          <w:r>
            <w:fldChar w:fldCharType="begin"/>
          </w:r>
          <w:r w:rsidR="00C45247">
            <w:instrText>TOC \o "1-3" \h \z \u</w:instrText>
          </w:r>
          <w:r>
            <w:fldChar w:fldCharType="separate"/>
          </w:r>
          <w:hyperlink w:anchor="_Toc450035215">
            <w:r w:rsidR="660722E0" w:rsidRPr="660722E0">
              <w:rPr>
                <w:rStyle w:val="Hyperlink"/>
                <w:noProof/>
              </w:rPr>
              <w:t>Introduction</w:t>
            </w:r>
            <w:r w:rsidR="00C45247">
              <w:rPr>
                <w:noProof/>
              </w:rPr>
              <w:tab/>
            </w:r>
            <w:r w:rsidR="00C45247">
              <w:rPr>
                <w:noProof/>
              </w:rPr>
              <w:fldChar w:fldCharType="begin"/>
            </w:r>
            <w:r w:rsidR="00C45247">
              <w:rPr>
                <w:noProof/>
              </w:rPr>
              <w:instrText>PAGEREF _Toc450035215 \h</w:instrText>
            </w:r>
            <w:r w:rsidR="00C45247">
              <w:rPr>
                <w:noProof/>
              </w:rPr>
            </w:r>
            <w:r w:rsidR="00C45247">
              <w:rPr>
                <w:noProof/>
              </w:rPr>
              <w:fldChar w:fldCharType="separate"/>
            </w:r>
            <w:r w:rsidR="00276034">
              <w:rPr>
                <w:noProof/>
              </w:rPr>
              <w:t>3</w:t>
            </w:r>
            <w:r w:rsidR="00C45247">
              <w:rPr>
                <w:noProof/>
              </w:rPr>
              <w:fldChar w:fldCharType="end"/>
            </w:r>
          </w:hyperlink>
        </w:p>
        <w:p w14:paraId="1218976C" w14:textId="65667233" w:rsidR="009E6C74" w:rsidRDefault="00000000" w:rsidP="660722E0">
          <w:pPr>
            <w:pStyle w:val="TOC1"/>
            <w:tabs>
              <w:tab w:val="right" w:leader="dot" w:pos="9750"/>
            </w:tabs>
            <w:rPr>
              <w:rStyle w:val="Hyperlink"/>
              <w:noProof/>
              <w:kern w:val="2"/>
              <w14:ligatures w14:val="standardContextual"/>
            </w:rPr>
          </w:pPr>
          <w:hyperlink w:anchor="_Toc280172734">
            <w:r w:rsidR="660722E0" w:rsidRPr="660722E0">
              <w:rPr>
                <w:rStyle w:val="Hyperlink"/>
                <w:noProof/>
              </w:rPr>
              <w:t>What is Title IVA?</w:t>
            </w:r>
            <w:r>
              <w:rPr>
                <w:noProof/>
              </w:rPr>
              <w:tab/>
            </w:r>
            <w:r>
              <w:rPr>
                <w:noProof/>
              </w:rPr>
              <w:fldChar w:fldCharType="begin"/>
            </w:r>
            <w:r>
              <w:rPr>
                <w:noProof/>
              </w:rPr>
              <w:instrText>PAGEREF _Toc280172734 \h</w:instrText>
            </w:r>
            <w:r>
              <w:rPr>
                <w:noProof/>
              </w:rPr>
            </w:r>
            <w:r>
              <w:rPr>
                <w:noProof/>
              </w:rPr>
              <w:fldChar w:fldCharType="separate"/>
            </w:r>
            <w:r w:rsidR="00276034">
              <w:rPr>
                <w:noProof/>
              </w:rPr>
              <w:t>3</w:t>
            </w:r>
            <w:r>
              <w:rPr>
                <w:noProof/>
              </w:rPr>
              <w:fldChar w:fldCharType="end"/>
            </w:r>
          </w:hyperlink>
        </w:p>
        <w:p w14:paraId="5475D04B" w14:textId="2597D442" w:rsidR="009E6C74" w:rsidRDefault="00000000" w:rsidP="660722E0">
          <w:pPr>
            <w:pStyle w:val="TOC1"/>
            <w:tabs>
              <w:tab w:val="right" w:leader="dot" w:pos="9750"/>
            </w:tabs>
            <w:rPr>
              <w:rStyle w:val="Hyperlink"/>
              <w:noProof/>
              <w:kern w:val="2"/>
              <w14:ligatures w14:val="standardContextual"/>
            </w:rPr>
          </w:pPr>
          <w:hyperlink w:anchor="_Toc285053493">
            <w:r w:rsidR="660722E0" w:rsidRPr="660722E0">
              <w:rPr>
                <w:rStyle w:val="Hyperlink"/>
                <w:noProof/>
              </w:rPr>
              <w:t>How is Title IVA Eligibility Determined?</w:t>
            </w:r>
            <w:r>
              <w:rPr>
                <w:noProof/>
              </w:rPr>
              <w:tab/>
            </w:r>
            <w:r>
              <w:rPr>
                <w:noProof/>
              </w:rPr>
              <w:fldChar w:fldCharType="begin"/>
            </w:r>
            <w:r>
              <w:rPr>
                <w:noProof/>
              </w:rPr>
              <w:instrText>PAGEREF _Toc285053493 \h</w:instrText>
            </w:r>
            <w:r>
              <w:rPr>
                <w:noProof/>
              </w:rPr>
            </w:r>
            <w:r>
              <w:rPr>
                <w:noProof/>
              </w:rPr>
              <w:fldChar w:fldCharType="separate"/>
            </w:r>
            <w:r w:rsidR="00276034">
              <w:rPr>
                <w:noProof/>
              </w:rPr>
              <w:t>3</w:t>
            </w:r>
            <w:r>
              <w:rPr>
                <w:noProof/>
              </w:rPr>
              <w:fldChar w:fldCharType="end"/>
            </w:r>
          </w:hyperlink>
        </w:p>
        <w:p w14:paraId="46C4A0B7" w14:textId="0B89EB6F" w:rsidR="009E6C74" w:rsidRDefault="00000000" w:rsidP="660722E0">
          <w:pPr>
            <w:pStyle w:val="TOC1"/>
            <w:tabs>
              <w:tab w:val="right" w:leader="dot" w:pos="9750"/>
            </w:tabs>
            <w:rPr>
              <w:rStyle w:val="Hyperlink"/>
              <w:noProof/>
              <w:kern w:val="2"/>
              <w14:ligatures w14:val="standardContextual"/>
            </w:rPr>
          </w:pPr>
          <w:hyperlink w:anchor="_Toc1953886859">
            <w:r w:rsidR="660722E0" w:rsidRPr="660722E0">
              <w:rPr>
                <w:rStyle w:val="Hyperlink"/>
                <w:noProof/>
              </w:rPr>
              <w:t>Allocation and Distribution of Funds</w:t>
            </w:r>
            <w:r>
              <w:rPr>
                <w:noProof/>
              </w:rPr>
              <w:tab/>
            </w:r>
            <w:r>
              <w:rPr>
                <w:noProof/>
              </w:rPr>
              <w:fldChar w:fldCharType="begin"/>
            </w:r>
            <w:r>
              <w:rPr>
                <w:noProof/>
              </w:rPr>
              <w:instrText>PAGEREF _Toc1953886859 \h</w:instrText>
            </w:r>
            <w:r>
              <w:rPr>
                <w:noProof/>
              </w:rPr>
            </w:r>
            <w:r>
              <w:rPr>
                <w:noProof/>
              </w:rPr>
              <w:fldChar w:fldCharType="separate"/>
            </w:r>
            <w:r w:rsidR="00276034">
              <w:rPr>
                <w:noProof/>
              </w:rPr>
              <w:t>3</w:t>
            </w:r>
            <w:r>
              <w:rPr>
                <w:noProof/>
              </w:rPr>
              <w:fldChar w:fldCharType="end"/>
            </w:r>
          </w:hyperlink>
        </w:p>
        <w:p w14:paraId="005673A9" w14:textId="5632CB29" w:rsidR="009E6C74" w:rsidRDefault="00000000" w:rsidP="660722E0">
          <w:pPr>
            <w:pStyle w:val="TOC1"/>
            <w:tabs>
              <w:tab w:val="right" w:leader="dot" w:pos="9750"/>
            </w:tabs>
            <w:rPr>
              <w:rStyle w:val="Hyperlink"/>
              <w:noProof/>
              <w:kern w:val="2"/>
              <w14:ligatures w14:val="standardContextual"/>
            </w:rPr>
          </w:pPr>
          <w:hyperlink w:anchor="_Toc1149940574">
            <w:r w:rsidR="660722E0" w:rsidRPr="660722E0">
              <w:rPr>
                <w:rStyle w:val="Hyperlink"/>
                <w:noProof/>
              </w:rPr>
              <w:t>Needs Assessment</w:t>
            </w:r>
            <w:r>
              <w:rPr>
                <w:noProof/>
              </w:rPr>
              <w:tab/>
            </w:r>
            <w:r>
              <w:rPr>
                <w:noProof/>
              </w:rPr>
              <w:fldChar w:fldCharType="begin"/>
            </w:r>
            <w:r>
              <w:rPr>
                <w:noProof/>
              </w:rPr>
              <w:instrText>PAGEREF _Toc1149940574 \h</w:instrText>
            </w:r>
            <w:r>
              <w:rPr>
                <w:noProof/>
              </w:rPr>
            </w:r>
            <w:r>
              <w:rPr>
                <w:noProof/>
              </w:rPr>
              <w:fldChar w:fldCharType="separate"/>
            </w:r>
            <w:r w:rsidR="00276034">
              <w:rPr>
                <w:noProof/>
              </w:rPr>
              <w:t>4</w:t>
            </w:r>
            <w:r>
              <w:rPr>
                <w:noProof/>
              </w:rPr>
              <w:fldChar w:fldCharType="end"/>
            </w:r>
          </w:hyperlink>
        </w:p>
        <w:p w14:paraId="0F9FD272" w14:textId="4590F144" w:rsidR="009E6C74" w:rsidRDefault="00000000" w:rsidP="660722E0">
          <w:pPr>
            <w:pStyle w:val="TOC1"/>
            <w:tabs>
              <w:tab w:val="right" w:leader="dot" w:pos="9750"/>
            </w:tabs>
            <w:rPr>
              <w:rStyle w:val="Hyperlink"/>
              <w:noProof/>
              <w:kern w:val="2"/>
              <w14:ligatures w14:val="standardContextual"/>
            </w:rPr>
          </w:pPr>
          <w:hyperlink w:anchor="_Toc1609250657">
            <w:r w:rsidR="660722E0" w:rsidRPr="660722E0">
              <w:rPr>
                <w:rStyle w:val="Hyperlink"/>
                <w:noProof/>
              </w:rPr>
              <w:t>Supplement, Not Supplant</w:t>
            </w:r>
            <w:r>
              <w:rPr>
                <w:noProof/>
              </w:rPr>
              <w:tab/>
            </w:r>
            <w:r>
              <w:rPr>
                <w:noProof/>
              </w:rPr>
              <w:fldChar w:fldCharType="begin"/>
            </w:r>
            <w:r>
              <w:rPr>
                <w:noProof/>
              </w:rPr>
              <w:instrText>PAGEREF _Toc1609250657 \h</w:instrText>
            </w:r>
            <w:r>
              <w:rPr>
                <w:noProof/>
              </w:rPr>
            </w:r>
            <w:r>
              <w:rPr>
                <w:noProof/>
              </w:rPr>
              <w:fldChar w:fldCharType="separate"/>
            </w:r>
            <w:r w:rsidR="00276034">
              <w:rPr>
                <w:noProof/>
              </w:rPr>
              <w:t>5</w:t>
            </w:r>
            <w:r>
              <w:rPr>
                <w:noProof/>
              </w:rPr>
              <w:fldChar w:fldCharType="end"/>
            </w:r>
          </w:hyperlink>
        </w:p>
        <w:p w14:paraId="01590DCD" w14:textId="342C0F08" w:rsidR="009E6C74" w:rsidRDefault="00000000" w:rsidP="660722E0">
          <w:pPr>
            <w:pStyle w:val="TOC1"/>
            <w:tabs>
              <w:tab w:val="right" w:leader="dot" w:pos="9750"/>
            </w:tabs>
            <w:rPr>
              <w:rStyle w:val="Hyperlink"/>
              <w:noProof/>
              <w:kern w:val="2"/>
              <w14:ligatures w14:val="standardContextual"/>
            </w:rPr>
          </w:pPr>
          <w:hyperlink w:anchor="_Toc1356600260">
            <w:r w:rsidR="660722E0" w:rsidRPr="660722E0">
              <w:rPr>
                <w:rStyle w:val="Hyperlink"/>
                <w:noProof/>
              </w:rPr>
              <w:t>Equitable Services</w:t>
            </w:r>
            <w:r>
              <w:rPr>
                <w:noProof/>
              </w:rPr>
              <w:tab/>
            </w:r>
            <w:r>
              <w:rPr>
                <w:noProof/>
              </w:rPr>
              <w:fldChar w:fldCharType="begin"/>
            </w:r>
            <w:r>
              <w:rPr>
                <w:noProof/>
              </w:rPr>
              <w:instrText>PAGEREF _Toc1356600260 \h</w:instrText>
            </w:r>
            <w:r>
              <w:rPr>
                <w:noProof/>
              </w:rPr>
            </w:r>
            <w:r>
              <w:rPr>
                <w:noProof/>
              </w:rPr>
              <w:fldChar w:fldCharType="separate"/>
            </w:r>
            <w:r w:rsidR="00276034">
              <w:rPr>
                <w:noProof/>
              </w:rPr>
              <w:t>5</w:t>
            </w:r>
            <w:r>
              <w:rPr>
                <w:noProof/>
              </w:rPr>
              <w:fldChar w:fldCharType="end"/>
            </w:r>
          </w:hyperlink>
        </w:p>
        <w:p w14:paraId="50731DA9" w14:textId="15782482" w:rsidR="009E6C74" w:rsidRDefault="00000000" w:rsidP="660722E0">
          <w:pPr>
            <w:pStyle w:val="TOC1"/>
            <w:tabs>
              <w:tab w:val="right" w:leader="dot" w:pos="9750"/>
            </w:tabs>
            <w:rPr>
              <w:rStyle w:val="Hyperlink"/>
              <w:noProof/>
              <w:kern w:val="2"/>
              <w14:ligatures w14:val="standardContextual"/>
            </w:rPr>
          </w:pPr>
          <w:hyperlink w:anchor="_Toc7727980">
            <w:r w:rsidR="660722E0" w:rsidRPr="660722E0">
              <w:rPr>
                <w:rStyle w:val="Hyperlink"/>
                <w:noProof/>
              </w:rPr>
              <w:t>Application Information</w:t>
            </w:r>
            <w:r>
              <w:rPr>
                <w:noProof/>
              </w:rPr>
              <w:tab/>
            </w:r>
            <w:r>
              <w:rPr>
                <w:noProof/>
              </w:rPr>
              <w:fldChar w:fldCharType="begin"/>
            </w:r>
            <w:r>
              <w:rPr>
                <w:noProof/>
              </w:rPr>
              <w:instrText>PAGEREF _Toc7727980 \h</w:instrText>
            </w:r>
            <w:r>
              <w:rPr>
                <w:noProof/>
              </w:rPr>
            </w:r>
            <w:r>
              <w:rPr>
                <w:noProof/>
              </w:rPr>
              <w:fldChar w:fldCharType="separate"/>
            </w:r>
            <w:r w:rsidR="00276034">
              <w:rPr>
                <w:noProof/>
              </w:rPr>
              <w:t>5</w:t>
            </w:r>
            <w:r>
              <w:rPr>
                <w:noProof/>
              </w:rPr>
              <w:fldChar w:fldCharType="end"/>
            </w:r>
          </w:hyperlink>
        </w:p>
        <w:p w14:paraId="6B45C486" w14:textId="4E0CF074" w:rsidR="009E6C74" w:rsidRDefault="00000000" w:rsidP="660722E0">
          <w:pPr>
            <w:pStyle w:val="TOC1"/>
            <w:tabs>
              <w:tab w:val="right" w:leader="dot" w:pos="9750"/>
            </w:tabs>
            <w:rPr>
              <w:rStyle w:val="Hyperlink"/>
              <w:noProof/>
              <w:kern w:val="2"/>
              <w14:ligatures w14:val="standardContextual"/>
            </w:rPr>
          </w:pPr>
          <w:hyperlink w:anchor="_Toc2120115570">
            <w:r w:rsidR="660722E0" w:rsidRPr="660722E0">
              <w:rPr>
                <w:rStyle w:val="Hyperlink"/>
                <w:noProof/>
              </w:rPr>
              <w:t>Allowable Activities</w:t>
            </w:r>
            <w:r>
              <w:rPr>
                <w:noProof/>
              </w:rPr>
              <w:tab/>
            </w:r>
            <w:r>
              <w:rPr>
                <w:noProof/>
              </w:rPr>
              <w:fldChar w:fldCharType="begin"/>
            </w:r>
            <w:r>
              <w:rPr>
                <w:noProof/>
              </w:rPr>
              <w:instrText>PAGEREF _Toc2120115570 \h</w:instrText>
            </w:r>
            <w:r>
              <w:rPr>
                <w:noProof/>
              </w:rPr>
            </w:r>
            <w:r>
              <w:rPr>
                <w:noProof/>
              </w:rPr>
              <w:fldChar w:fldCharType="separate"/>
            </w:r>
            <w:r w:rsidR="00276034">
              <w:rPr>
                <w:noProof/>
              </w:rPr>
              <w:t>6</w:t>
            </w:r>
            <w:r>
              <w:rPr>
                <w:noProof/>
              </w:rPr>
              <w:fldChar w:fldCharType="end"/>
            </w:r>
          </w:hyperlink>
        </w:p>
        <w:p w14:paraId="6E914848" w14:textId="74CD3D40" w:rsidR="009E6C74" w:rsidRDefault="00000000" w:rsidP="660722E0">
          <w:pPr>
            <w:pStyle w:val="TOC1"/>
            <w:tabs>
              <w:tab w:val="right" w:leader="dot" w:pos="9750"/>
            </w:tabs>
            <w:rPr>
              <w:rStyle w:val="Hyperlink"/>
              <w:noProof/>
              <w:kern w:val="2"/>
              <w14:ligatures w14:val="standardContextual"/>
            </w:rPr>
          </w:pPr>
          <w:hyperlink w:anchor="_Toc717310258">
            <w:r w:rsidR="660722E0" w:rsidRPr="660722E0">
              <w:rPr>
                <w:rStyle w:val="Hyperlink"/>
                <w:noProof/>
              </w:rPr>
              <w:t>Program Evaluation and Data Collection</w:t>
            </w:r>
            <w:r>
              <w:rPr>
                <w:noProof/>
              </w:rPr>
              <w:tab/>
            </w:r>
            <w:r>
              <w:rPr>
                <w:noProof/>
              </w:rPr>
              <w:fldChar w:fldCharType="begin"/>
            </w:r>
            <w:r>
              <w:rPr>
                <w:noProof/>
              </w:rPr>
              <w:instrText>PAGEREF _Toc717310258 \h</w:instrText>
            </w:r>
            <w:r>
              <w:rPr>
                <w:noProof/>
              </w:rPr>
            </w:r>
            <w:r>
              <w:rPr>
                <w:noProof/>
              </w:rPr>
              <w:fldChar w:fldCharType="separate"/>
            </w:r>
            <w:r w:rsidR="00276034">
              <w:rPr>
                <w:noProof/>
              </w:rPr>
              <w:t>8</w:t>
            </w:r>
            <w:r>
              <w:rPr>
                <w:noProof/>
              </w:rPr>
              <w:fldChar w:fldCharType="end"/>
            </w:r>
          </w:hyperlink>
        </w:p>
        <w:p w14:paraId="568ED8E2" w14:textId="13D42850" w:rsidR="009E6C74" w:rsidRDefault="00000000" w:rsidP="660722E0">
          <w:pPr>
            <w:pStyle w:val="TOC1"/>
            <w:tabs>
              <w:tab w:val="right" w:leader="dot" w:pos="9750"/>
            </w:tabs>
            <w:rPr>
              <w:rStyle w:val="Hyperlink"/>
              <w:noProof/>
              <w:kern w:val="2"/>
              <w14:ligatures w14:val="standardContextual"/>
            </w:rPr>
          </w:pPr>
          <w:hyperlink w:anchor="_Toc1715862716">
            <w:r w:rsidR="660722E0" w:rsidRPr="660722E0">
              <w:rPr>
                <w:rStyle w:val="Hyperlink"/>
                <w:noProof/>
              </w:rPr>
              <w:t>Frequently Asked Questions about Title IVA</w:t>
            </w:r>
            <w:r>
              <w:rPr>
                <w:noProof/>
              </w:rPr>
              <w:tab/>
            </w:r>
            <w:r>
              <w:rPr>
                <w:noProof/>
              </w:rPr>
              <w:fldChar w:fldCharType="begin"/>
            </w:r>
            <w:r>
              <w:rPr>
                <w:noProof/>
              </w:rPr>
              <w:instrText>PAGEREF _Toc1715862716 \h</w:instrText>
            </w:r>
            <w:r>
              <w:rPr>
                <w:noProof/>
              </w:rPr>
            </w:r>
            <w:r>
              <w:rPr>
                <w:noProof/>
              </w:rPr>
              <w:fldChar w:fldCharType="separate"/>
            </w:r>
            <w:r w:rsidR="00276034">
              <w:rPr>
                <w:noProof/>
              </w:rPr>
              <w:t>8</w:t>
            </w:r>
            <w:r>
              <w:rPr>
                <w:noProof/>
              </w:rPr>
              <w:fldChar w:fldCharType="end"/>
            </w:r>
          </w:hyperlink>
          <w:r>
            <w:fldChar w:fldCharType="end"/>
          </w:r>
        </w:p>
      </w:sdtContent>
    </w:sdt>
    <w:p w14:paraId="0A56EF49" w14:textId="41233124" w:rsidR="006C071A" w:rsidRPr="001E62B2" w:rsidRDefault="006C071A" w:rsidP="500668C8">
      <w:pPr>
        <w:pStyle w:val="TOC1"/>
        <w:tabs>
          <w:tab w:val="right" w:leader="dot" w:pos="9750"/>
        </w:tabs>
        <w:rPr>
          <w:rStyle w:val="Hyperlink"/>
          <w:noProof/>
        </w:rPr>
      </w:pPr>
    </w:p>
    <w:p w14:paraId="6C538683" w14:textId="44268D06" w:rsidR="00340B88" w:rsidRDefault="00340B88"/>
    <w:p w14:paraId="61FEB171" w14:textId="5E77ED38" w:rsidR="000C6A4A" w:rsidRDefault="000C6A4A" w:rsidP="00D56798">
      <w:pPr>
        <w:spacing w:before="396"/>
        <w:ind w:left="382" w:right="383"/>
        <w:rPr>
          <w:rFonts w:asciiTheme="minorHAnsi" w:hAnsiTheme="minorHAnsi" w:cstheme="minorHAnsi"/>
          <w:sz w:val="40"/>
        </w:rPr>
      </w:pPr>
    </w:p>
    <w:p w14:paraId="39D45370" w14:textId="2191BE37" w:rsidR="000C6A4A" w:rsidRDefault="000C6A4A" w:rsidP="00D56798">
      <w:pPr>
        <w:spacing w:before="396"/>
        <w:ind w:left="382" w:right="383"/>
        <w:rPr>
          <w:rFonts w:asciiTheme="minorHAnsi" w:hAnsiTheme="minorHAnsi" w:cstheme="minorHAnsi"/>
          <w:sz w:val="40"/>
        </w:rPr>
      </w:pPr>
    </w:p>
    <w:p w14:paraId="0A1E281C" w14:textId="4FB90DC9" w:rsidR="000C6A4A" w:rsidRDefault="000C6A4A" w:rsidP="60B71DAC">
      <w:pPr>
        <w:spacing w:before="396"/>
        <w:ind w:left="382" w:right="383"/>
        <w:rPr>
          <w:rFonts w:asciiTheme="minorHAnsi" w:hAnsiTheme="minorHAnsi" w:cstheme="minorBidi"/>
          <w:sz w:val="40"/>
          <w:szCs w:val="40"/>
        </w:rPr>
      </w:pPr>
    </w:p>
    <w:p w14:paraId="0EF97B57" w14:textId="247D07CE" w:rsidR="60B71DAC" w:rsidRDefault="60B71DAC" w:rsidP="60B71DAC">
      <w:pPr>
        <w:spacing w:before="396"/>
        <w:ind w:left="382" w:right="383"/>
        <w:rPr>
          <w:rFonts w:asciiTheme="minorHAnsi" w:hAnsiTheme="minorHAnsi" w:cstheme="minorBidi"/>
          <w:sz w:val="40"/>
          <w:szCs w:val="40"/>
        </w:rPr>
      </w:pPr>
    </w:p>
    <w:p w14:paraId="77821580" w14:textId="77777777" w:rsidR="000A4C62" w:rsidRDefault="000A4C62" w:rsidP="60B71DAC">
      <w:pPr>
        <w:spacing w:before="396"/>
        <w:ind w:left="382" w:right="383"/>
        <w:rPr>
          <w:rFonts w:asciiTheme="minorHAnsi" w:hAnsiTheme="minorHAnsi" w:cstheme="minorBidi"/>
          <w:sz w:val="40"/>
          <w:szCs w:val="40"/>
        </w:rPr>
      </w:pPr>
    </w:p>
    <w:p w14:paraId="4076A76F" w14:textId="5C270683" w:rsidR="00D56798" w:rsidRPr="00AA1F51" w:rsidRDefault="00D56798" w:rsidP="660722E0">
      <w:pPr>
        <w:pStyle w:val="Heading1"/>
        <w:shd w:val="clear" w:color="auto" w:fill="DBE5F1" w:themeFill="accent1" w:themeFillTint="33"/>
        <w:tabs>
          <w:tab w:val="left" w:pos="9651"/>
        </w:tabs>
        <w:spacing w:before="185"/>
        <w:ind w:left="0"/>
        <w:rPr>
          <w:rFonts w:asciiTheme="minorHAnsi" w:hAnsiTheme="minorHAnsi" w:cstheme="minorBidi"/>
          <w:b/>
          <w:bCs/>
        </w:rPr>
      </w:pPr>
      <w:bookmarkStart w:id="0" w:name="_Toc450035215"/>
      <w:r w:rsidRPr="660722E0">
        <w:rPr>
          <w:rFonts w:asciiTheme="minorHAnsi" w:hAnsiTheme="minorHAnsi" w:cstheme="minorBidi"/>
          <w:b/>
          <w:bCs/>
          <w:spacing w:val="10"/>
          <w:sz w:val="22"/>
          <w:szCs w:val="22"/>
          <w:shd w:val="clear" w:color="auto" w:fill="D9E1F3"/>
        </w:rPr>
        <w:lastRenderedPageBreak/>
        <w:t>Introduction</w:t>
      </w:r>
      <w:r w:rsidRPr="00AA1F51">
        <w:rPr>
          <w:rFonts w:asciiTheme="minorHAnsi" w:hAnsiTheme="minorHAnsi" w:cstheme="minorHAnsi"/>
          <w:b/>
          <w:bCs/>
          <w:spacing w:val="12"/>
          <w:shd w:val="clear" w:color="auto" w:fill="D9E1F3"/>
        </w:rPr>
        <w:tab/>
      </w:r>
      <w:bookmarkEnd w:id="0"/>
    </w:p>
    <w:p w14:paraId="4A2112AA" w14:textId="7F3689DF" w:rsidR="00A6490D" w:rsidRPr="00C871CF" w:rsidRDefault="00F35A42" w:rsidP="00EA45DC">
      <w:pPr>
        <w:spacing w:before="240" w:after="240"/>
        <w:ind w:right="400"/>
      </w:pPr>
      <w:r w:rsidRPr="00C871CF">
        <w:rPr>
          <w:rFonts w:asciiTheme="minorHAnsi" w:hAnsiTheme="minorHAnsi" w:cstheme="minorHAnsi"/>
        </w:rPr>
        <w:t xml:space="preserve">The </w:t>
      </w:r>
      <w:r w:rsidRPr="00C871CF">
        <w:rPr>
          <w:rFonts w:asciiTheme="minorHAnsi" w:hAnsiTheme="minorHAnsi" w:cstheme="minorHAnsi"/>
          <w:i/>
          <w:iCs/>
        </w:rPr>
        <w:t xml:space="preserve">Every Student Succeeds Act </w:t>
      </w:r>
      <w:r w:rsidRPr="00C871CF">
        <w:rPr>
          <w:rFonts w:asciiTheme="minorHAnsi" w:hAnsiTheme="minorHAnsi" w:cstheme="minorHAnsi"/>
        </w:rPr>
        <w:t xml:space="preserve">(ESSA) </w:t>
      </w:r>
      <w:r w:rsidR="39455EAF" w:rsidRPr="00C871CF">
        <w:rPr>
          <w:rFonts w:asciiTheme="minorHAnsi" w:hAnsiTheme="minorHAnsi" w:cstheme="minorHAnsi"/>
        </w:rPr>
        <w:t>became</w:t>
      </w:r>
      <w:r w:rsidR="65A97B80" w:rsidRPr="00C871CF">
        <w:rPr>
          <w:rFonts w:asciiTheme="minorHAnsi" w:hAnsiTheme="minorHAnsi" w:cstheme="minorHAnsi"/>
        </w:rPr>
        <w:t xml:space="preserve"> federal</w:t>
      </w:r>
      <w:r w:rsidR="39455EAF" w:rsidRPr="00C871CF">
        <w:rPr>
          <w:rFonts w:asciiTheme="minorHAnsi" w:hAnsiTheme="minorHAnsi" w:cstheme="minorHAnsi"/>
        </w:rPr>
        <w:t xml:space="preserve"> law </w:t>
      </w:r>
      <w:r w:rsidRPr="00C871CF">
        <w:rPr>
          <w:rFonts w:asciiTheme="minorHAnsi" w:hAnsiTheme="minorHAnsi" w:cstheme="minorHAnsi"/>
        </w:rPr>
        <w:t>in December 2015</w:t>
      </w:r>
      <w:r w:rsidR="5C5E9219" w:rsidRPr="00C871CF">
        <w:rPr>
          <w:rFonts w:asciiTheme="minorHAnsi" w:hAnsiTheme="minorHAnsi" w:cstheme="minorHAnsi"/>
        </w:rPr>
        <w:t>,</w:t>
      </w:r>
      <w:r w:rsidRPr="00C871CF">
        <w:rPr>
          <w:rFonts w:asciiTheme="minorHAnsi" w:hAnsiTheme="minorHAnsi" w:cstheme="minorHAnsi"/>
        </w:rPr>
        <w:t xml:space="preserve"> </w:t>
      </w:r>
      <w:r w:rsidR="00BB3CD8" w:rsidRPr="00C871CF">
        <w:rPr>
          <w:rFonts w:asciiTheme="minorHAnsi" w:hAnsiTheme="minorHAnsi" w:cstheme="minorHAnsi"/>
        </w:rPr>
        <w:t xml:space="preserve">reauthorizing the </w:t>
      </w:r>
      <w:r w:rsidR="00BB3CD8" w:rsidRPr="00C871CF">
        <w:rPr>
          <w:rFonts w:asciiTheme="minorHAnsi" w:hAnsiTheme="minorHAnsi" w:cstheme="minorHAnsi"/>
          <w:i/>
          <w:iCs/>
        </w:rPr>
        <w:t xml:space="preserve">Elementary and Secondary Education Act </w:t>
      </w:r>
      <w:r w:rsidR="00BB3CD8" w:rsidRPr="00C871CF">
        <w:rPr>
          <w:rFonts w:asciiTheme="minorHAnsi" w:hAnsiTheme="minorHAnsi" w:cstheme="minorHAnsi"/>
        </w:rPr>
        <w:t xml:space="preserve">(ESEA) of 1965 and </w:t>
      </w:r>
      <w:r w:rsidRPr="00C871CF">
        <w:rPr>
          <w:rFonts w:asciiTheme="minorHAnsi" w:hAnsiTheme="minorHAnsi" w:cstheme="minorHAnsi"/>
        </w:rPr>
        <w:t>replac</w:t>
      </w:r>
      <w:r w:rsidR="292C369D" w:rsidRPr="00C871CF">
        <w:rPr>
          <w:rFonts w:asciiTheme="minorHAnsi" w:hAnsiTheme="minorHAnsi" w:cstheme="minorHAnsi"/>
        </w:rPr>
        <w:t>ing</w:t>
      </w:r>
      <w:r w:rsidRPr="00C871CF">
        <w:rPr>
          <w:rFonts w:asciiTheme="minorHAnsi" w:hAnsiTheme="minorHAnsi" w:cstheme="minorHAnsi"/>
        </w:rPr>
        <w:t xml:space="preserve"> the </w:t>
      </w:r>
      <w:r w:rsidRPr="00C871CF">
        <w:rPr>
          <w:rFonts w:asciiTheme="minorHAnsi" w:hAnsiTheme="minorHAnsi" w:cstheme="minorHAnsi"/>
          <w:i/>
          <w:iCs/>
        </w:rPr>
        <w:t>No Child Left Behind Act</w:t>
      </w:r>
      <w:r w:rsidR="009037F8" w:rsidRPr="00C871CF">
        <w:rPr>
          <w:rFonts w:asciiTheme="minorHAnsi" w:hAnsiTheme="minorHAnsi" w:cstheme="minorHAnsi"/>
          <w:i/>
          <w:iCs/>
          <w:spacing w:val="-47"/>
        </w:rPr>
        <w:t xml:space="preserve"> </w:t>
      </w:r>
      <w:r w:rsidRPr="00C871CF">
        <w:rPr>
          <w:rFonts w:asciiTheme="minorHAnsi" w:hAnsiTheme="minorHAnsi" w:cstheme="minorHAnsi"/>
        </w:rPr>
        <w:t>(NCLB) of 2002. Despite</w:t>
      </w:r>
      <w:r w:rsidR="003D5E45" w:rsidRPr="00C871CF">
        <w:rPr>
          <w:rFonts w:asciiTheme="minorHAnsi" w:hAnsiTheme="minorHAnsi" w:cstheme="minorHAnsi"/>
        </w:rPr>
        <w:t xml:space="preserve"> </w:t>
      </w:r>
      <w:r w:rsidRPr="00C871CF">
        <w:rPr>
          <w:rFonts w:asciiTheme="minorHAnsi" w:hAnsiTheme="minorHAnsi" w:cstheme="minorHAnsi"/>
        </w:rPr>
        <w:t>some key changes in the law, the purpose remains the same: to ensure all students have equitable</w:t>
      </w:r>
      <w:r w:rsidRPr="00C871CF">
        <w:rPr>
          <w:rFonts w:asciiTheme="minorHAnsi" w:hAnsiTheme="minorHAnsi" w:cstheme="minorHAnsi"/>
          <w:spacing w:val="1"/>
        </w:rPr>
        <w:t xml:space="preserve"> </w:t>
      </w:r>
      <w:r w:rsidRPr="00C871CF">
        <w:rPr>
          <w:rFonts w:asciiTheme="minorHAnsi" w:hAnsiTheme="minorHAnsi" w:cstheme="minorHAnsi"/>
        </w:rPr>
        <w:t>access to high-quality educational resources and opportunities to prepare all students to attain</w:t>
      </w:r>
      <w:r w:rsidRPr="00C871CF">
        <w:rPr>
          <w:rFonts w:asciiTheme="minorHAnsi" w:hAnsiTheme="minorHAnsi" w:cstheme="minorHAnsi"/>
          <w:spacing w:val="1"/>
        </w:rPr>
        <w:t xml:space="preserve"> </w:t>
      </w:r>
      <w:r w:rsidRPr="00C871CF">
        <w:rPr>
          <w:rFonts w:asciiTheme="minorHAnsi" w:hAnsiTheme="minorHAnsi" w:cstheme="minorHAnsi"/>
        </w:rPr>
        <w:t>graduation</w:t>
      </w:r>
      <w:r w:rsidRPr="00C871CF">
        <w:rPr>
          <w:rFonts w:asciiTheme="minorHAnsi" w:hAnsiTheme="minorHAnsi" w:cstheme="minorHAnsi"/>
          <w:spacing w:val="-2"/>
        </w:rPr>
        <w:t xml:space="preserve"> </w:t>
      </w:r>
      <w:r w:rsidRPr="00C871CF">
        <w:rPr>
          <w:rFonts w:asciiTheme="minorHAnsi" w:hAnsiTheme="minorHAnsi" w:cstheme="minorHAnsi"/>
        </w:rPr>
        <w:t>success</w:t>
      </w:r>
      <w:r w:rsidRPr="00C871CF">
        <w:rPr>
          <w:rFonts w:asciiTheme="minorHAnsi" w:hAnsiTheme="minorHAnsi" w:cstheme="minorHAnsi"/>
          <w:spacing w:val="1"/>
        </w:rPr>
        <w:t xml:space="preserve"> </w:t>
      </w:r>
      <w:r w:rsidRPr="00C871CF">
        <w:rPr>
          <w:rFonts w:asciiTheme="minorHAnsi" w:hAnsiTheme="minorHAnsi" w:cstheme="minorHAnsi"/>
        </w:rPr>
        <w:t>and</w:t>
      </w:r>
      <w:r w:rsidRPr="00C871CF">
        <w:rPr>
          <w:rFonts w:asciiTheme="minorHAnsi" w:hAnsiTheme="minorHAnsi" w:cstheme="minorHAnsi"/>
          <w:spacing w:val="-2"/>
        </w:rPr>
        <w:t xml:space="preserve"> </w:t>
      </w:r>
      <w:r w:rsidRPr="00C871CF">
        <w:rPr>
          <w:rFonts w:asciiTheme="minorHAnsi" w:hAnsiTheme="minorHAnsi" w:cstheme="minorHAnsi"/>
        </w:rPr>
        <w:t>be</w:t>
      </w:r>
      <w:r w:rsidRPr="00C871CF">
        <w:rPr>
          <w:rFonts w:asciiTheme="minorHAnsi" w:hAnsiTheme="minorHAnsi" w:cstheme="minorHAnsi"/>
          <w:spacing w:val="-5"/>
        </w:rPr>
        <w:t xml:space="preserve"> </w:t>
      </w:r>
      <w:r w:rsidRPr="00C871CF">
        <w:rPr>
          <w:rFonts w:asciiTheme="minorHAnsi" w:hAnsiTheme="minorHAnsi" w:cstheme="minorHAnsi"/>
        </w:rPr>
        <w:t>fully prepared</w:t>
      </w:r>
      <w:r w:rsidRPr="00C871CF">
        <w:rPr>
          <w:rFonts w:asciiTheme="minorHAnsi" w:hAnsiTheme="minorHAnsi" w:cstheme="minorHAnsi"/>
          <w:spacing w:val="-4"/>
        </w:rPr>
        <w:t xml:space="preserve"> </w:t>
      </w:r>
      <w:r w:rsidRPr="00C871CF">
        <w:rPr>
          <w:rFonts w:asciiTheme="minorHAnsi" w:hAnsiTheme="minorHAnsi" w:cstheme="minorHAnsi"/>
        </w:rPr>
        <w:t>to</w:t>
      </w:r>
      <w:r w:rsidRPr="00C871CF">
        <w:rPr>
          <w:rFonts w:asciiTheme="minorHAnsi" w:hAnsiTheme="minorHAnsi" w:cstheme="minorHAnsi"/>
          <w:spacing w:val="-1"/>
        </w:rPr>
        <w:t xml:space="preserve"> </w:t>
      </w:r>
      <w:r w:rsidRPr="00C871CF">
        <w:rPr>
          <w:rFonts w:asciiTheme="minorHAnsi" w:hAnsiTheme="minorHAnsi" w:cstheme="minorHAnsi"/>
        </w:rPr>
        <w:t>succeed in</w:t>
      </w:r>
      <w:r w:rsidRPr="00C871CF">
        <w:rPr>
          <w:rFonts w:asciiTheme="minorHAnsi" w:hAnsiTheme="minorHAnsi" w:cstheme="minorHAnsi"/>
          <w:spacing w:val="-2"/>
        </w:rPr>
        <w:t xml:space="preserve"> </w:t>
      </w:r>
      <w:r w:rsidRPr="00C871CF">
        <w:rPr>
          <w:rFonts w:asciiTheme="minorHAnsi" w:hAnsiTheme="minorHAnsi" w:cstheme="minorHAnsi"/>
        </w:rPr>
        <w:t>college,</w:t>
      </w:r>
      <w:r w:rsidRPr="00C871CF">
        <w:rPr>
          <w:rFonts w:asciiTheme="minorHAnsi" w:hAnsiTheme="minorHAnsi" w:cstheme="minorHAnsi"/>
          <w:spacing w:val="1"/>
        </w:rPr>
        <w:t xml:space="preserve"> </w:t>
      </w:r>
      <w:r w:rsidRPr="00C871CF">
        <w:rPr>
          <w:rFonts w:asciiTheme="minorHAnsi" w:hAnsiTheme="minorHAnsi" w:cstheme="minorHAnsi"/>
        </w:rPr>
        <w:t>career,</w:t>
      </w:r>
      <w:r w:rsidRPr="00C871CF">
        <w:rPr>
          <w:rFonts w:asciiTheme="minorHAnsi" w:hAnsiTheme="minorHAnsi" w:cstheme="minorHAnsi"/>
          <w:spacing w:val="-4"/>
        </w:rPr>
        <w:t xml:space="preserve"> </w:t>
      </w:r>
      <w:r w:rsidRPr="00C871CF">
        <w:rPr>
          <w:rFonts w:asciiTheme="minorHAnsi" w:hAnsiTheme="minorHAnsi" w:cstheme="minorHAnsi"/>
        </w:rPr>
        <w:t>and</w:t>
      </w:r>
      <w:r w:rsidRPr="00C871CF">
        <w:rPr>
          <w:rFonts w:asciiTheme="minorHAnsi" w:hAnsiTheme="minorHAnsi" w:cstheme="minorHAnsi"/>
          <w:spacing w:val="-1"/>
        </w:rPr>
        <w:t xml:space="preserve"> </w:t>
      </w:r>
      <w:r w:rsidRPr="00C871CF">
        <w:rPr>
          <w:rFonts w:asciiTheme="minorHAnsi" w:hAnsiTheme="minorHAnsi" w:cstheme="minorHAnsi"/>
        </w:rPr>
        <w:t>civic</w:t>
      </w:r>
      <w:r w:rsidRPr="00C871CF">
        <w:rPr>
          <w:rFonts w:asciiTheme="minorHAnsi" w:hAnsiTheme="minorHAnsi" w:cstheme="minorHAnsi"/>
          <w:spacing w:val="-2"/>
        </w:rPr>
        <w:t xml:space="preserve"> </w:t>
      </w:r>
      <w:r w:rsidRPr="00C871CF">
        <w:rPr>
          <w:rFonts w:asciiTheme="minorHAnsi" w:hAnsiTheme="minorHAnsi" w:cstheme="minorHAnsi"/>
        </w:rPr>
        <w:t>participation.</w:t>
      </w:r>
    </w:p>
    <w:p w14:paraId="275EDFE9" w14:textId="6A5588F4" w:rsidR="00BB3CD8" w:rsidRPr="00C871CF" w:rsidRDefault="61AE3F5E" w:rsidP="60B71DAC">
      <w:pPr>
        <w:pStyle w:val="BodyText"/>
        <w:spacing w:after="240"/>
        <w:ind w:right="208"/>
        <w:rPr>
          <w:rFonts w:asciiTheme="minorHAnsi" w:hAnsiTheme="minorHAnsi" w:cstheme="minorBidi"/>
        </w:rPr>
      </w:pPr>
      <w:r w:rsidRPr="60B71DAC">
        <w:rPr>
          <w:rFonts w:asciiTheme="minorHAnsi" w:hAnsiTheme="minorHAnsi" w:cstheme="minorBidi"/>
        </w:rPr>
        <w:t xml:space="preserve">The guidance in this document details the allowable uses of </w:t>
      </w:r>
      <w:r w:rsidRPr="60B71DAC">
        <w:rPr>
          <w:rFonts w:asciiTheme="minorHAnsi" w:hAnsiTheme="minorHAnsi" w:cstheme="minorBidi"/>
          <w:b/>
          <w:bCs/>
        </w:rPr>
        <w:t xml:space="preserve">Title </w:t>
      </w:r>
      <w:r w:rsidR="7C60DC2B" w:rsidRPr="60B71DAC">
        <w:rPr>
          <w:rFonts w:asciiTheme="minorHAnsi" w:hAnsiTheme="minorHAnsi" w:cstheme="minorBidi"/>
          <w:b/>
          <w:bCs/>
        </w:rPr>
        <w:t>IV</w:t>
      </w:r>
      <w:r w:rsidR="6A51ABC1" w:rsidRPr="60B71DAC">
        <w:rPr>
          <w:rFonts w:asciiTheme="minorHAnsi" w:hAnsiTheme="minorHAnsi" w:cstheme="minorBidi"/>
          <w:b/>
          <w:bCs/>
        </w:rPr>
        <w:t xml:space="preserve">, Part </w:t>
      </w:r>
      <w:r w:rsidR="7C60DC2B" w:rsidRPr="60B71DAC">
        <w:rPr>
          <w:rFonts w:asciiTheme="minorHAnsi" w:hAnsiTheme="minorHAnsi" w:cstheme="minorBidi"/>
          <w:b/>
          <w:bCs/>
        </w:rPr>
        <w:t>A</w:t>
      </w:r>
      <w:r w:rsidR="17DDC0DE" w:rsidRPr="60B71DAC">
        <w:rPr>
          <w:rFonts w:asciiTheme="minorHAnsi" w:hAnsiTheme="minorHAnsi" w:cstheme="minorBidi"/>
          <w:b/>
          <w:bCs/>
        </w:rPr>
        <w:t xml:space="preserve"> (Fund Code 0309)</w:t>
      </w:r>
      <w:r w:rsidR="640A3493" w:rsidRPr="60B71DAC">
        <w:rPr>
          <w:rFonts w:asciiTheme="minorHAnsi" w:hAnsiTheme="minorHAnsi" w:cstheme="minorBidi"/>
          <w:b/>
          <w:bCs/>
        </w:rPr>
        <w:t xml:space="preserve"> </w:t>
      </w:r>
      <w:r w:rsidR="640A3493" w:rsidRPr="60B71DAC">
        <w:rPr>
          <w:rFonts w:asciiTheme="minorHAnsi" w:hAnsiTheme="minorHAnsi" w:cstheme="minorBidi"/>
        </w:rPr>
        <w:t>under ESSA</w:t>
      </w:r>
      <w:r w:rsidRPr="60B71DAC">
        <w:rPr>
          <w:rFonts w:asciiTheme="minorHAnsi" w:hAnsiTheme="minorHAnsi" w:cstheme="minorBidi"/>
        </w:rPr>
        <w:t>.</w:t>
      </w:r>
      <w:r w:rsidR="089EA81E" w:rsidRPr="60B71DAC">
        <w:rPr>
          <w:rFonts w:asciiTheme="minorHAnsi" w:hAnsiTheme="minorHAnsi" w:cstheme="minorBidi"/>
        </w:rPr>
        <w:t xml:space="preserve"> </w:t>
      </w:r>
      <w:r w:rsidR="6A300073" w:rsidRPr="60B71DAC">
        <w:rPr>
          <w:rFonts w:asciiTheme="minorHAnsi" w:hAnsiTheme="minorHAnsi" w:cstheme="minorBidi"/>
        </w:rPr>
        <w:t xml:space="preserve">This guidance document is intended to help Local Education Agencies (LEAs) better understand </w:t>
      </w:r>
      <w:r w:rsidR="627D3A33" w:rsidRPr="60B71DAC">
        <w:rPr>
          <w:rFonts w:asciiTheme="minorHAnsi" w:hAnsiTheme="minorHAnsi" w:cstheme="minorBidi"/>
        </w:rPr>
        <w:t xml:space="preserve">the </w:t>
      </w:r>
      <w:r w:rsidR="0C1EF218">
        <w:t xml:space="preserve">Title IV, Part A Student Support and Academic Enrichment (SSAE) </w:t>
      </w:r>
      <w:r w:rsidR="627D3A33">
        <w:t>p</w:t>
      </w:r>
      <w:r w:rsidR="0C1EF218">
        <w:t xml:space="preserve">rogram, </w:t>
      </w:r>
      <w:r w:rsidR="2F634BD6">
        <w:t xml:space="preserve">its </w:t>
      </w:r>
      <w:r w:rsidR="0C1EF218">
        <w:t>requirements, eligibility</w:t>
      </w:r>
      <w:r w:rsidR="036E48ED">
        <w:t xml:space="preserve"> terms,</w:t>
      </w:r>
      <w:r w:rsidR="0C1EF218">
        <w:t xml:space="preserve"> and allowable SSAE program activities.</w:t>
      </w:r>
    </w:p>
    <w:p w14:paraId="37914680" w14:textId="37F2925B" w:rsidR="00A6490D" w:rsidRPr="00C871CF" w:rsidRDefault="003D5E45" w:rsidP="006961BE">
      <w:pPr>
        <w:pStyle w:val="BodyText"/>
        <w:spacing w:after="240"/>
        <w:ind w:right="208"/>
        <w:rPr>
          <w:rFonts w:asciiTheme="minorHAnsi" w:hAnsiTheme="minorHAnsi" w:cstheme="minorHAnsi"/>
        </w:rPr>
      </w:pPr>
      <w:r w:rsidRPr="0072259E">
        <w:rPr>
          <w:rFonts w:asciiTheme="minorHAnsi" w:hAnsiTheme="minorHAnsi" w:cstheme="minorHAnsi"/>
        </w:rPr>
        <w:t>DESE</w:t>
      </w:r>
      <w:r w:rsidR="12271A7A" w:rsidRPr="0072259E">
        <w:rPr>
          <w:rFonts w:asciiTheme="minorHAnsi" w:hAnsiTheme="minorHAnsi" w:cstheme="minorHAnsi"/>
        </w:rPr>
        <w:t xml:space="preserve"> would like to thank the New </w:t>
      </w:r>
      <w:r w:rsidR="007F034C">
        <w:rPr>
          <w:rFonts w:asciiTheme="minorHAnsi" w:hAnsiTheme="minorHAnsi" w:cstheme="minorHAnsi"/>
        </w:rPr>
        <w:t>Hampshire</w:t>
      </w:r>
      <w:r w:rsidR="12271A7A" w:rsidRPr="0072259E">
        <w:rPr>
          <w:rFonts w:asciiTheme="minorHAnsi" w:hAnsiTheme="minorHAnsi" w:cstheme="minorHAnsi"/>
        </w:rPr>
        <w:t xml:space="preserve"> Department of Education </w:t>
      </w:r>
      <w:r w:rsidR="00D15E2B" w:rsidRPr="0072259E">
        <w:rPr>
          <w:rFonts w:asciiTheme="minorHAnsi" w:hAnsiTheme="minorHAnsi" w:cstheme="minorHAnsi"/>
        </w:rPr>
        <w:t xml:space="preserve">and the </w:t>
      </w:r>
      <w:r w:rsidR="00485BE3" w:rsidRPr="0072259E">
        <w:rPr>
          <w:rFonts w:asciiTheme="minorHAnsi" w:hAnsiTheme="minorHAnsi" w:cstheme="minorHAnsi"/>
        </w:rPr>
        <w:t xml:space="preserve">Minnesota </w:t>
      </w:r>
      <w:r w:rsidR="00C71F49" w:rsidRPr="0072259E">
        <w:rPr>
          <w:rFonts w:asciiTheme="minorHAnsi" w:hAnsiTheme="minorHAnsi" w:cstheme="minorHAnsi"/>
        </w:rPr>
        <w:t xml:space="preserve">Department of Education </w:t>
      </w:r>
      <w:r w:rsidR="12271A7A" w:rsidRPr="0072259E">
        <w:rPr>
          <w:rFonts w:asciiTheme="minorHAnsi" w:hAnsiTheme="minorHAnsi" w:cstheme="minorHAnsi"/>
        </w:rPr>
        <w:t>from whom we borrowed in creating this document.</w:t>
      </w:r>
    </w:p>
    <w:p w14:paraId="3434E8DF" w14:textId="2AF53895" w:rsidR="002F1D0A" w:rsidRPr="00AA1F51" w:rsidRDefault="00F35A42" w:rsidP="660722E0">
      <w:pPr>
        <w:pStyle w:val="Heading1"/>
        <w:shd w:val="clear" w:color="auto" w:fill="DBE5F1" w:themeFill="accent1" w:themeFillTint="33"/>
        <w:tabs>
          <w:tab w:val="left" w:pos="9651"/>
        </w:tabs>
        <w:spacing w:before="185"/>
        <w:ind w:left="0"/>
        <w:rPr>
          <w:rFonts w:asciiTheme="minorHAnsi" w:hAnsiTheme="minorHAnsi" w:cstheme="minorBidi"/>
          <w:b/>
          <w:bCs/>
          <w:sz w:val="22"/>
          <w:szCs w:val="22"/>
        </w:rPr>
      </w:pPr>
      <w:bookmarkStart w:id="1" w:name="_Toc280172734"/>
      <w:r w:rsidRPr="660722E0">
        <w:rPr>
          <w:rFonts w:asciiTheme="minorHAnsi" w:hAnsiTheme="minorHAnsi" w:cstheme="minorBidi"/>
          <w:b/>
          <w:bCs/>
          <w:spacing w:val="10"/>
          <w:sz w:val="22"/>
          <w:szCs w:val="22"/>
          <w:shd w:val="clear" w:color="auto" w:fill="D9E1F3"/>
        </w:rPr>
        <w:t>What</w:t>
      </w:r>
      <w:r w:rsidRPr="660722E0">
        <w:rPr>
          <w:rFonts w:asciiTheme="minorHAnsi" w:hAnsiTheme="minorHAnsi" w:cstheme="minorBidi"/>
          <w:b/>
          <w:bCs/>
          <w:spacing w:val="33"/>
          <w:sz w:val="22"/>
          <w:szCs w:val="22"/>
          <w:shd w:val="clear" w:color="auto" w:fill="D9E1F3"/>
        </w:rPr>
        <w:t xml:space="preserve"> </w:t>
      </w:r>
      <w:r w:rsidRPr="660722E0">
        <w:rPr>
          <w:rFonts w:asciiTheme="minorHAnsi" w:hAnsiTheme="minorHAnsi" w:cstheme="minorBidi"/>
          <w:b/>
          <w:bCs/>
          <w:sz w:val="22"/>
          <w:szCs w:val="22"/>
          <w:shd w:val="clear" w:color="auto" w:fill="D9E1F3"/>
        </w:rPr>
        <w:t>is</w:t>
      </w:r>
      <w:r w:rsidR="007C5766" w:rsidRPr="660722E0">
        <w:rPr>
          <w:rFonts w:asciiTheme="minorHAnsi" w:hAnsiTheme="minorHAnsi" w:cstheme="minorBidi"/>
          <w:b/>
          <w:bCs/>
          <w:sz w:val="22"/>
          <w:szCs w:val="22"/>
          <w:shd w:val="clear" w:color="auto" w:fill="D9E1F3"/>
        </w:rPr>
        <w:t xml:space="preserve"> </w:t>
      </w:r>
      <w:r w:rsidRPr="660722E0">
        <w:rPr>
          <w:rFonts w:asciiTheme="minorHAnsi" w:hAnsiTheme="minorHAnsi" w:cstheme="minorBidi"/>
          <w:b/>
          <w:bCs/>
          <w:spacing w:val="11"/>
          <w:sz w:val="22"/>
          <w:szCs w:val="22"/>
          <w:shd w:val="clear" w:color="auto" w:fill="D9E1F3"/>
        </w:rPr>
        <w:t>Title</w:t>
      </w:r>
      <w:r w:rsidRPr="660722E0">
        <w:rPr>
          <w:rFonts w:asciiTheme="minorHAnsi" w:hAnsiTheme="minorHAnsi" w:cstheme="minorBidi"/>
          <w:b/>
          <w:bCs/>
          <w:spacing w:val="33"/>
          <w:sz w:val="22"/>
          <w:szCs w:val="22"/>
          <w:shd w:val="clear" w:color="auto" w:fill="D9E1F3"/>
        </w:rPr>
        <w:t xml:space="preserve"> </w:t>
      </w:r>
      <w:r w:rsidRPr="660722E0">
        <w:rPr>
          <w:rFonts w:asciiTheme="minorHAnsi" w:hAnsiTheme="minorHAnsi" w:cstheme="minorBidi"/>
          <w:b/>
          <w:bCs/>
          <w:spacing w:val="11"/>
          <w:sz w:val="22"/>
          <w:szCs w:val="22"/>
          <w:shd w:val="clear" w:color="auto" w:fill="D9E1F3"/>
        </w:rPr>
        <w:t>I</w:t>
      </w:r>
      <w:r w:rsidR="00FB0D22" w:rsidRPr="660722E0">
        <w:rPr>
          <w:rFonts w:asciiTheme="minorHAnsi" w:hAnsiTheme="minorHAnsi" w:cstheme="minorBidi"/>
          <w:b/>
          <w:bCs/>
          <w:spacing w:val="11"/>
          <w:sz w:val="22"/>
          <w:szCs w:val="22"/>
          <w:shd w:val="clear" w:color="auto" w:fill="D9E1F3"/>
        </w:rPr>
        <w:t>VA</w:t>
      </w:r>
      <w:r w:rsidR="65E6E8AD" w:rsidRPr="660722E0">
        <w:rPr>
          <w:rFonts w:asciiTheme="minorHAnsi" w:hAnsiTheme="minorHAnsi" w:cstheme="minorBidi"/>
          <w:b/>
          <w:bCs/>
          <w:spacing w:val="11"/>
          <w:sz w:val="22"/>
          <w:szCs w:val="22"/>
          <w:shd w:val="clear" w:color="auto" w:fill="D9E1F3"/>
        </w:rPr>
        <w:t>?</w:t>
      </w:r>
      <w:r w:rsidRPr="00AA1F51">
        <w:rPr>
          <w:rFonts w:asciiTheme="minorHAnsi" w:hAnsiTheme="minorHAnsi" w:cstheme="minorHAnsi"/>
          <w:b/>
          <w:bCs/>
          <w:spacing w:val="11"/>
          <w:sz w:val="22"/>
          <w:szCs w:val="22"/>
          <w:shd w:val="clear" w:color="auto" w:fill="D9E1F3"/>
        </w:rPr>
        <w:tab/>
      </w:r>
      <w:bookmarkEnd w:id="1"/>
    </w:p>
    <w:p w14:paraId="5D0222A4" w14:textId="30B8583C" w:rsidR="00994C12" w:rsidRDefault="004B0A69" w:rsidP="00CE34AD">
      <w:pPr>
        <w:pStyle w:val="BodyText"/>
        <w:spacing w:before="240"/>
        <w:ind w:right="223"/>
      </w:pPr>
      <w:r w:rsidRPr="3D39B83B">
        <w:rPr>
          <w:rFonts w:asciiTheme="minorHAnsi" w:hAnsiTheme="minorHAnsi" w:cstheme="minorBidi"/>
        </w:rPr>
        <w:t xml:space="preserve">The purpose of </w:t>
      </w:r>
      <w:r w:rsidR="00F35A42" w:rsidRPr="3D39B83B">
        <w:rPr>
          <w:rFonts w:asciiTheme="minorHAnsi" w:hAnsiTheme="minorHAnsi" w:cstheme="minorBidi"/>
        </w:rPr>
        <w:t xml:space="preserve">Title </w:t>
      </w:r>
      <w:r w:rsidR="008A2AC9" w:rsidRPr="3D39B83B">
        <w:rPr>
          <w:rFonts w:asciiTheme="minorHAnsi" w:hAnsiTheme="minorHAnsi" w:cstheme="minorBidi"/>
        </w:rPr>
        <w:t>IVA</w:t>
      </w:r>
      <w:r w:rsidRPr="3D39B83B">
        <w:rPr>
          <w:rFonts w:asciiTheme="minorHAnsi" w:hAnsiTheme="minorHAnsi" w:cstheme="minorBidi"/>
        </w:rPr>
        <w:t xml:space="preserve"> is </w:t>
      </w:r>
      <w:r w:rsidR="008A2AC9">
        <w:t>to improve students’ academic achievement through a holistic education by increasing the capacity of the state educational agency (SEA) and local educational agencies (LEAs) to provide all students with access to a well-rounded education, improve school conditions for student learning, and improve the use of technology in order to improve the academic achievement and digital literacy of all students. These funds are an opportunity to innovate, pilot, and collaborate on activities, services or programs related to th</w:t>
      </w:r>
      <w:r w:rsidR="00B6149B">
        <w:t xml:space="preserve">ese areas </w:t>
      </w:r>
      <w:r w:rsidR="008A2AC9">
        <w:t>to improve equity, opportunity</w:t>
      </w:r>
      <w:r w:rsidR="00172341">
        <w:t>,</w:t>
      </w:r>
      <w:r w:rsidR="008A2AC9">
        <w:t xml:space="preserve"> and outcomes for all students.</w:t>
      </w:r>
    </w:p>
    <w:p w14:paraId="449D9E02" w14:textId="4AA9000F" w:rsidR="00AD4BBB" w:rsidRDefault="2DACE045" w:rsidP="00CE34AD">
      <w:pPr>
        <w:pStyle w:val="BodyText"/>
        <w:spacing w:before="240"/>
        <w:ind w:right="223"/>
      </w:pPr>
      <w:r w:rsidRPr="60B71DAC">
        <w:rPr>
          <w:b/>
          <w:bCs/>
        </w:rPr>
        <w:t>Well-Rounded Education</w:t>
      </w:r>
      <w:r>
        <w:t>: The purpose of a well-rounded education is to provide an enriched curriculum and education</w:t>
      </w:r>
      <w:r w:rsidR="7F366D19">
        <w:t>al</w:t>
      </w:r>
      <w:r>
        <w:t xml:space="preserve"> experiences to all students</w:t>
      </w:r>
      <w:r w:rsidR="4DC3B4C0">
        <w:t xml:space="preserve">. </w:t>
      </w:r>
      <w:r>
        <w:t>In general, an LEA may use funds for any program or activity that supports student access to and success in well-rounded educational experiences.</w:t>
      </w:r>
    </w:p>
    <w:p w14:paraId="00EBF440" w14:textId="2B58F43F" w:rsidR="00AD4BBB" w:rsidRDefault="00506EF2" w:rsidP="00CE34AD">
      <w:pPr>
        <w:pStyle w:val="BodyText"/>
        <w:spacing w:before="240"/>
        <w:ind w:right="223"/>
      </w:pPr>
      <w:r w:rsidRPr="00AD4BBB">
        <w:rPr>
          <w:b/>
          <w:bCs/>
        </w:rPr>
        <w:t>Safe and Healthy Students</w:t>
      </w:r>
      <w:r>
        <w:t>: The second purpose is to improve school conditions for student learning. When students are healthy and feel safe and supported, they are more likely to succeed in school.</w:t>
      </w:r>
    </w:p>
    <w:p w14:paraId="5A3C5E2A" w14:textId="7AEBA55C" w:rsidR="00506EF2" w:rsidRPr="00C871CF" w:rsidRDefault="00506EF2" w:rsidP="00CE34AD">
      <w:pPr>
        <w:pStyle w:val="BodyText"/>
        <w:spacing w:before="240"/>
        <w:ind w:right="223"/>
        <w:rPr>
          <w:rFonts w:asciiTheme="minorHAnsi" w:hAnsiTheme="minorHAnsi" w:cstheme="minorBidi"/>
        </w:rPr>
      </w:pPr>
      <w:r w:rsidRPr="00AD4BBB">
        <w:rPr>
          <w:b/>
          <w:bCs/>
        </w:rPr>
        <w:t>Effective Use of Technology</w:t>
      </w:r>
      <w:r>
        <w:t xml:space="preserve">: </w:t>
      </w:r>
      <w:r w:rsidR="00793F03">
        <w:t>The third purpose is to improve the use of technology in order to improve the academic achievement and digital literacy of all students</w:t>
      </w:r>
      <w:r w:rsidR="00660DB8">
        <w:t xml:space="preserve">. </w:t>
      </w:r>
    </w:p>
    <w:p w14:paraId="6D937657" w14:textId="25EE5C51" w:rsidR="00EB57CB" w:rsidRPr="00B24D15" w:rsidRDefault="006D6366" w:rsidP="660722E0">
      <w:pPr>
        <w:pStyle w:val="Heading1"/>
        <w:shd w:val="clear" w:color="auto" w:fill="DBE5F1" w:themeFill="accent1" w:themeFillTint="33"/>
        <w:tabs>
          <w:tab w:val="left" w:pos="9651"/>
        </w:tabs>
        <w:spacing w:before="185"/>
        <w:ind w:left="0"/>
        <w:rPr>
          <w:rFonts w:asciiTheme="minorHAnsi" w:hAnsiTheme="minorHAnsi" w:cstheme="minorBidi"/>
          <w:b/>
          <w:bCs/>
          <w:sz w:val="22"/>
          <w:szCs w:val="22"/>
        </w:rPr>
      </w:pPr>
      <w:bookmarkStart w:id="2" w:name="_Toc285053493"/>
      <w:r w:rsidRPr="660722E0">
        <w:rPr>
          <w:rFonts w:asciiTheme="minorHAnsi" w:hAnsiTheme="minorHAnsi" w:cstheme="minorBidi"/>
          <w:b/>
          <w:bCs/>
          <w:spacing w:val="10"/>
          <w:sz w:val="22"/>
          <w:szCs w:val="22"/>
          <w:shd w:val="clear" w:color="auto" w:fill="D9E1F3"/>
        </w:rPr>
        <w:t xml:space="preserve">How </w:t>
      </w:r>
      <w:r w:rsidR="00B24D15" w:rsidRPr="660722E0">
        <w:rPr>
          <w:rFonts w:asciiTheme="minorHAnsi" w:hAnsiTheme="minorHAnsi" w:cstheme="minorBidi"/>
          <w:b/>
          <w:bCs/>
          <w:spacing w:val="10"/>
          <w:sz w:val="22"/>
          <w:szCs w:val="22"/>
          <w:shd w:val="clear" w:color="auto" w:fill="D9E1F3"/>
        </w:rPr>
        <w:t xml:space="preserve">is </w:t>
      </w:r>
      <w:r w:rsidR="00276DAC" w:rsidRPr="660722E0">
        <w:rPr>
          <w:rFonts w:asciiTheme="minorHAnsi" w:hAnsiTheme="minorHAnsi" w:cstheme="minorBidi"/>
          <w:b/>
          <w:bCs/>
          <w:spacing w:val="10"/>
          <w:sz w:val="22"/>
          <w:szCs w:val="22"/>
          <w:shd w:val="clear" w:color="auto" w:fill="D9E1F3"/>
        </w:rPr>
        <w:t>T</w:t>
      </w:r>
      <w:r w:rsidRPr="660722E0">
        <w:rPr>
          <w:rFonts w:asciiTheme="minorHAnsi" w:hAnsiTheme="minorHAnsi" w:cstheme="minorBidi"/>
          <w:b/>
          <w:bCs/>
          <w:spacing w:val="11"/>
          <w:sz w:val="22"/>
          <w:szCs w:val="22"/>
          <w:shd w:val="clear" w:color="auto" w:fill="D9E1F3"/>
        </w:rPr>
        <w:t>itle</w:t>
      </w:r>
      <w:r w:rsidRPr="660722E0">
        <w:rPr>
          <w:rFonts w:asciiTheme="minorHAnsi" w:hAnsiTheme="minorHAnsi" w:cstheme="minorBidi"/>
          <w:b/>
          <w:bCs/>
          <w:spacing w:val="33"/>
          <w:sz w:val="22"/>
          <w:szCs w:val="22"/>
          <w:shd w:val="clear" w:color="auto" w:fill="D9E1F3"/>
        </w:rPr>
        <w:t xml:space="preserve"> </w:t>
      </w:r>
      <w:r w:rsidRPr="660722E0">
        <w:rPr>
          <w:rFonts w:asciiTheme="minorHAnsi" w:hAnsiTheme="minorHAnsi" w:cstheme="minorBidi"/>
          <w:b/>
          <w:bCs/>
          <w:spacing w:val="11"/>
          <w:sz w:val="22"/>
          <w:szCs w:val="22"/>
          <w:shd w:val="clear" w:color="auto" w:fill="D9E1F3"/>
        </w:rPr>
        <w:t>I</w:t>
      </w:r>
      <w:r w:rsidR="00280068" w:rsidRPr="660722E0">
        <w:rPr>
          <w:rFonts w:asciiTheme="minorHAnsi" w:hAnsiTheme="minorHAnsi" w:cstheme="minorBidi"/>
          <w:b/>
          <w:bCs/>
          <w:spacing w:val="11"/>
          <w:sz w:val="22"/>
          <w:szCs w:val="22"/>
          <w:shd w:val="clear" w:color="auto" w:fill="D9E1F3"/>
        </w:rPr>
        <w:t>VA</w:t>
      </w:r>
      <w:r w:rsidRPr="660722E0">
        <w:rPr>
          <w:rFonts w:asciiTheme="minorHAnsi" w:hAnsiTheme="minorHAnsi" w:cstheme="minorBidi"/>
          <w:b/>
          <w:bCs/>
          <w:spacing w:val="10"/>
          <w:sz w:val="22"/>
          <w:szCs w:val="22"/>
          <w:shd w:val="clear" w:color="auto" w:fill="D9E1F3"/>
        </w:rPr>
        <w:t xml:space="preserve"> Eligibility Determined</w:t>
      </w:r>
      <w:r w:rsidR="00EB57CB" w:rsidRPr="660722E0">
        <w:rPr>
          <w:rFonts w:asciiTheme="minorHAnsi" w:hAnsiTheme="minorHAnsi" w:cstheme="minorBidi"/>
          <w:b/>
          <w:bCs/>
          <w:spacing w:val="11"/>
          <w:sz w:val="22"/>
          <w:szCs w:val="22"/>
          <w:shd w:val="clear" w:color="auto" w:fill="D9E1F3"/>
        </w:rPr>
        <w:t>?</w:t>
      </w:r>
      <w:r>
        <w:tab/>
      </w:r>
      <w:bookmarkEnd w:id="2"/>
    </w:p>
    <w:p w14:paraId="53EB2C94" w14:textId="444B1AD7" w:rsidR="660722E0" w:rsidRDefault="00083CE7" w:rsidP="660722E0">
      <w:pPr>
        <w:pStyle w:val="BodyText"/>
        <w:spacing w:before="240" w:after="240"/>
        <w:ind w:right="223"/>
      </w:pPr>
      <w:r>
        <w:t>Local education agencies (LEAs) must be allocated and accept Title I, Part A awards in the prior fiscal year in order to be eligible to receive a Title IVA grant award allocation in the current year. LEAs will not receive Title IVA funds if they are not Title I</w:t>
      </w:r>
      <w:r w:rsidR="00467148">
        <w:t>,</w:t>
      </w:r>
      <w:r>
        <w:t xml:space="preserve"> Part A eligible in the prior fiscal year, or </w:t>
      </w:r>
      <w:r w:rsidR="001350B2">
        <w:t xml:space="preserve">forfeit </w:t>
      </w:r>
      <w:r>
        <w:t>Title I, Part A funds in the prior fiscal year.</w:t>
      </w:r>
    </w:p>
    <w:p w14:paraId="5E468F7D" w14:textId="5CFA47E3" w:rsidR="00EC6E2E" w:rsidRPr="00E74468" w:rsidRDefault="00636DAE" w:rsidP="660722E0">
      <w:pPr>
        <w:pStyle w:val="Heading1"/>
        <w:shd w:val="clear" w:color="auto" w:fill="DBE5F1" w:themeFill="accent1" w:themeFillTint="33"/>
        <w:tabs>
          <w:tab w:val="left" w:pos="9651"/>
        </w:tabs>
        <w:spacing w:before="185"/>
        <w:ind w:left="0"/>
        <w:rPr>
          <w:rFonts w:asciiTheme="minorHAnsi" w:hAnsiTheme="minorHAnsi" w:cstheme="minorBidi"/>
          <w:b/>
          <w:bCs/>
          <w:spacing w:val="10"/>
          <w:sz w:val="22"/>
          <w:szCs w:val="22"/>
          <w:shd w:val="clear" w:color="auto" w:fill="D9E1F3"/>
        </w:rPr>
      </w:pPr>
      <w:bookmarkStart w:id="3" w:name="_Toc1953886859"/>
      <w:r w:rsidRPr="660722E0">
        <w:rPr>
          <w:rFonts w:asciiTheme="minorHAnsi" w:hAnsiTheme="minorHAnsi" w:cstheme="minorBidi"/>
          <w:b/>
          <w:bCs/>
          <w:spacing w:val="10"/>
          <w:sz w:val="22"/>
          <w:szCs w:val="22"/>
          <w:shd w:val="clear" w:color="auto" w:fill="D9E1F3"/>
        </w:rPr>
        <w:t>Allocation and Distribution of Funds</w:t>
      </w:r>
      <w:bookmarkEnd w:id="3"/>
    </w:p>
    <w:p w14:paraId="3B5D6608" w14:textId="25ED20F4" w:rsidR="00F473C3" w:rsidRDefault="18581F17" w:rsidP="60B71DAC">
      <w:pPr>
        <w:pStyle w:val="BodyText"/>
        <w:spacing w:before="240" w:after="240"/>
        <w:ind w:right="223"/>
        <w:rPr>
          <w:rFonts w:asciiTheme="minorHAnsi" w:hAnsiTheme="minorHAnsi" w:cstheme="minorBidi"/>
        </w:rPr>
      </w:pPr>
      <w:r w:rsidRPr="60B71DAC">
        <w:rPr>
          <w:rFonts w:asciiTheme="minorHAnsi" w:hAnsiTheme="minorHAnsi" w:cstheme="minorBidi"/>
        </w:rPr>
        <w:t xml:space="preserve">LEAs </w:t>
      </w:r>
      <w:r w:rsidRPr="00A87515">
        <w:rPr>
          <w:rFonts w:asciiTheme="minorHAnsi" w:hAnsiTheme="minorHAnsi" w:cstheme="minorBidi"/>
          <w:b/>
          <w:bCs/>
          <w:u w:val="single"/>
        </w:rPr>
        <w:t>must</w:t>
      </w:r>
      <w:r w:rsidRPr="60B71DAC">
        <w:rPr>
          <w:rFonts w:asciiTheme="minorHAnsi" w:hAnsiTheme="minorHAnsi" w:cstheme="minorBidi"/>
        </w:rPr>
        <w:t xml:space="preserve"> prioritize the distribution of funds to schools based on one or more of several factors, including schools that</w:t>
      </w:r>
      <w:r w:rsidR="1374C482" w:rsidRPr="60B71DAC">
        <w:rPr>
          <w:rFonts w:asciiTheme="minorHAnsi" w:hAnsiTheme="minorHAnsi" w:cstheme="minorBidi"/>
        </w:rPr>
        <w:t>:</w:t>
      </w:r>
      <w:r w:rsidRPr="60B71DAC">
        <w:rPr>
          <w:rFonts w:asciiTheme="minorHAnsi" w:hAnsiTheme="minorHAnsi" w:cstheme="minorBidi"/>
        </w:rPr>
        <w:t xml:space="preserve"> </w:t>
      </w:r>
    </w:p>
    <w:p w14:paraId="758D804E" w14:textId="77777777" w:rsidR="00AB2DEE" w:rsidRDefault="00AB2DEE" w:rsidP="60B71DAC">
      <w:pPr>
        <w:pStyle w:val="BodyText"/>
        <w:spacing w:before="240" w:after="240"/>
        <w:ind w:right="223"/>
        <w:rPr>
          <w:rFonts w:asciiTheme="minorHAnsi" w:hAnsiTheme="minorHAnsi" w:cstheme="minorBidi"/>
        </w:rPr>
      </w:pPr>
    </w:p>
    <w:p w14:paraId="62243148" w14:textId="2BAC6F78" w:rsidR="00F473C3" w:rsidRDefault="448EBD29" w:rsidP="60AC34D4">
      <w:pPr>
        <w:pStyle w:val="BodyText"/>
        <w:numPr>
          <w:ilvl w:val="0"/>
          <w:numId w:val="2"/>
        </w:numPr>
        <w:spacing w:before="240" w:after="240"/>
        <w:ind w:left="720" w:right="216"/>
        <w:rPr>
          <w:rFonts w:asciiTheme="minorHAnsi" w:hAnsiTheme="minorHAnsi" w:cstheme="minorBidi"/>
        </w:rPr>
      </w:pPr>
      <w:r w:rsidRPr="60AC34D4">
        <w:rPr>
          <w:rFonts w:asciiTheme="minorHAnsi" w:hAnsiTheme="minorHAnsi" w:cstheme="minorBidi"/>
        </w:rPr>
        <w:lastRenderedPageBreak/>
        <w:t xml:space="preserve">are </w:t>
      </w:r>
      <w:r w:rsidR="007E6A76" w:rsidRPr="60AC34D4">
        <w:rPr>
          <w:rFonts w:asciiTheme="minorHAnsi" w:hAnsiTheme="minorHAnsi" w:cstheme="minorBidi"/>
        </w:rPr>
        <w:t>among those with the greatest needs, as determined by the LEA</w:t>
      </w:r>
      <w:r w:rsidR="006D3405" w:rsidRPr="60AC34D4">
        <w:rPr>
          <w:rFonts w:asciiTheme="minorHAnsi" w:hAnsiTheme="minorHAnsi" w:cstheme="minorBidi"/>
        </w:rPr>
        <w:t>;</w:t>
      </w:r>
    </w:p>
    <w:p w14:paraId="20241EAE" w14:textId="727E9022" w:rsidR="00F473C3" w:rsidRDefault="007E6A76" w:rsidP="60AC34D4">
      <w:pPr>
        <w:pStyle w:val="BodyText"/>
        <w:numPr>
          <w:ilvl w:val="0"/>
          <w:numId w:val="2"/>
        </w:numPr>
        <w:spacing w:before="240" w:after="240"/>
        <w:ind w:left="720" w:right="216"/>
        <w:rPr>
          <w:rFonts w:asciiTheme="minorHAnsi" w:hAnsiTheme="minorHAnsi" w:cstheme="minorBidi"/>
        </w:rPr>
      </w:pPr>
      <w:r w:rsidRPr="60AC34D4">
        <w:rPr>
          <w:rFonts w:asciiTheme="minorHAnsi" w:hAnsiTheme="minorHAnsi" w:cstheme="minorBidi"/>
        </w:rPr>
        <w:t>have the highest numbers of students from low-income families</w:t>
      </w:r>
      <w:r w:rsidR="00A3480B" w:rsidRPr="60AC34D4">
        <w:rPr>
          <w:rFonts w:asciiTheme="minorHAnsi" w:hAnsiTheme="minorHAnsi" w:cstheme="minorBidi"/>
        </w:rPr>
        <w:t xml:space="preserve"> counted under section 1124(c)</w:t>
      </w:r>
      <w:r w:rsidR="006D3405" w:rsidRPr="60AC34D4">
        <w:rPr>
          <w:rFonts w:asciiTheme="minorHAnsi" w:hAnsiTheme="minorHAnsi" w:cstheme="minorBidi"/>
        </w:rPr>
        <w:t>;</w:t>
      </w:r>
    </w:p>
    <w:p w14:paraId="76FC744A" w14:textId="72616F0B" w:rsidR="00F473C3" w:rsidRDefault="007E6A76" w:rsidP="60AC34D4">
      <w:pPr>
        <w:pStyle w:val="BodyText"/>
        <w:numPr>
          <w:ilvl w:val="0"/>
          <w:numId w:val="2"/>
        </w:numPr>
        <w:spacing w:before="240" w:after="240"/>
        <w:ind w:left="720" w:right="216"/>
        <w:rPr>
          <w:rFonts w:asciiTheme="minorHAnsi" w:hAnsiTheme="minorHAnsi" w:cstheme="minorBidi"/>
        </w:rPr>
      </w:pPr>
      <w:r w:rsidRPr="60AC34D4">
        <w:rPr>
          <w:rFonts w:asciiTheme="minorHAnsi" w:hAnsiTheme="minorHAnsi" w:cstheme="minorBidi"/>
        </w:rPr>
        <w:t>are identified for comprehensive support and improvement under Title I, Part A of the ESEA</w:t>
      </w:r>
      <w:r w:rsidR="2F62BCC1" w:rsidRPr="60AC34D4">
        <w:rPr>
          <w:rFonts w:asciiTheme="minorHAnsi" w:eastAsiaTheme="minorEastAsia" w:hAnsiTheme="minorHAnsi" w:cstheme="minorBidi"/>
        </w:rPr>
        <w:t xml:space="preserve"> under section 1111(c)(4)(D)(i)</w:t>
      </w:r>
      <w:r w:rsidRPr="60AC34D4">
        <w:rPr>
          <w:rFonts w:asciiTheme="minorHAnsi" w:eastAsiaTheme="minorEastAsia" w:hAnsiTheme="minorHAnsi" w:cstheme="minorBidi"/>
        </w:rPr>
        <w:t>;</w:t>
      </w:r>
    </w:p>
    <w:p w14:paraId="5F82F342" w14:textId="5C30FE00" w:rsidR="00F473C3" w:rsidRDefault="007E6A76" w:rsidP="60AC34D4">
      <w:pPr>
        <w:pStyle w:val="BodyText"/>
        <w:numPr>
          <w:ilvl w:val="0"/>
          <w:numId w:val="2"/>
        </w:numPr>
        <w:spacing w:before="240" w:after="240"/>
        <w:ind w:left="720" w:right="216"/>
        <w:rPr>
          <w:rFonts w:asciiTheme="minorHAnsi" w:hAnsiTheme="minorHAnsi" w:cstheme="minorBidi"/>
        </w:rPr>
      </w:pPr>
      <w:r w:rsidRPr="60AC34D4">
        <w:rPr>
          <w:rFonts w:asciiTheme="minorHAnsi" w:hAnsiTheme="minorHAnsi" w:cstheme="minorBidi"/>
        </w:rPr>
        <w:t>are implementing targeted support a</w:t>
      </w:r>
      <w:r w:rsidRPr="60AC34D4">
        <w:rPr>
          <w:rFonts w:asciiTheme="minorHAnsi" w:eastAsiaTheme="minorEastAsia" w:hAnsiTheme="minorHAnsi" w:cstheme="minorBidi"/>
        </w:rPr>
        <w:t>nd improvement plans under Title I, Part A of the ESEA</w:t>
      </w:r>
      <w:r w:rsidR="44BA4A4E" w:rsidRPr="60AC34D4">
        <w:rPr>
          <w:rFonts w:asciiTheme="minorHAnsi" w:eastAsiaTheme="minorEastAsia" w:hAnsiTheme="minorHAnsi" w:cstheme="minorBidi"/>
        </w:rPr>
        <w:t xml:space="preserve"> as described in section 1111(d)(2)</w:t>
      </w:r>
      <w:r w:rsidRPr="60AC34D4">
        <w:rPr>
          <w:rFonts w:asciiTheme="minorHAnsi" w:eastAsiaTheme="minorEastAsia" w:hAnsiTheme="minorHAnsi" w:cstheme="minorBidi"/>
        </w:rPr>
        <w:t xml:space="preserve">; or </w:t>
      </w:r>
    </w:p>
    <w:p w14:paraId="08A4A5DC" w14:textId="355D7284" w:rsidR="00636DAE" w:rsidRDefault="007E6A76" w:rsidP="60AC34D4">
      <w:pPr>
        <w:pStyle w:val="BodyText"/>
        <w:numPr>
          <w:ilvl w:val="0"/>
          <w:numId w:val="2"/>
        </w:numPr>
        <w:spacing w:before="240" w:after="240"/>
        <w:ind w:left="720" w:right="216"/>
        <w:rPr>
          <w:rFonts w:asciiTheme="minorHAnsi" w:hAnsiTheme="minorHAnsi" w:cstheme="minorBidi"/>
        </w:rPr>
      </w:pPr>
      <w:r w:rsidRPr="60AC34D4">
        <w:rPr>
          <w:rFonts w:asciiTheme="minorHAnsi" w:hAnsiTheme="minorHAnsi" w:cstheme="minorBidi"/>
        </w:rPr>
        <w:t>are identified as a persistently dangerous public school under section 8532 of the ESEA. (ESEA section 4106(e)(2))</w:t>
      </w:r>
    </w:p>
    <w:p w14:paraId="0384CDCB" w14:textId="410B908A" w:rsidR="00BF3C48" w:rsidRDefault="00AA3CB1" w:rsidP="00454DD0">
      <w:pPr>
        <w:pStyle w:val="BodyText"/>
        <w:spacing w:before="240" w:after="240"/>
        <w:ind w:right="223"/>
      </w:pPr>
      <w:r>
        <w:t xml:space="preserve">If an LEA receives an award allocation of </w:t>
      </w:r>
      <w:r w:rsidRPr="3D39B83B">
        <w:rPr>
          <w:b/>
          <w:bCs/>
        </w:rPr>
        <w:t>$30,000 or more</w:t>
      </w:r>
      <w:r>
        <w:t xml:space="preserve"> for a single year</w:t>
      </w:r>
      <w:r w:rsidR="00EF187D">
        <w:t>,</w:t>
      </w:r>
      <w:r>
        <w:t xml:space="preserve"> the LEA must complete a comprehensive needs assessment inclusive of the three areas of Title IV, Part A and must use:</w:t>
      </w:r>
    </w:p>
    <w:p w14:paraId="4351C8DE" w14:textId="77777777" w:rsidR="00BF3C48" w:rsidRPr="00BF3C48" w:rsidRDefault="00AA3CB1" w:rsidP="007D5CF2">
      <w:pPr>
        <w:pStyle w:val="BodyText"/>
        <w:numPr>
          <w:ilvl w:val="0"/>
          <w:numId w:val="1"/>
        </w:numPr>
        <w:spacing w:before="240" w:after="240"/>
        <w:ind w:right="223"/>
        <w:rPr>
          <w:rFonts w:asciiTheme="minorHAnsi" w:hAnsiTheme="minorHAnsi" w:cstheme="minorBidi"/>
        </w:rPr>
      </w:pPr>
      <w:r>
        <w:t>At least 20 percent of funds for activities to support well-rounded educational opportunities.</w:t>
      </w:r>
    </w:p>
    <w:p w14:paraId="460EF2C6" w14:textId="77777777" w:rsidR="00BF3C48" w:rsidRPr="00BF3C48" w:rsidRDefault="00AA3CB1" w:rsidP="007D5CF2">
      <w:pPr>
        <w:pStyle w:val="BodyText"/>
        <w:numPr>
          <w:ilvl w:val="0"/>
          <w:numId w:val="1"/>
        </w:numPr>
        <w:spacing w:before="240" w:after="240"/>
        <w:ind w:right="223"/>
        <w:rPr>
          <w:rFonts w:asciiTheme="minorHAnsi" w:hAnsiTheme="minorHAnsi" w:cstheme="minorBidi"/>
        </w:rPr>
      </w:pPr>
      <w:r>
        <w:t>At least 20 percent of funds for activities to support safe and healthy students.</w:t>
      </w:r>
    </w:p>
    <w:p w14:paraId="70E10744" w14:textId="408751AD" w:rsidR="001C060C" w:rsidRPr="004B1E18" w:rsidRDefault="00AA3CB1" w:rsidP="007D5CF2">
      <w:pPr>
        <w:pStyle w:val="BodyText"/>
        <w:numPr>
          <w:ilvl w:val="0"/>
          <w:numId w:val="1"/>
        </w:numPr>
        <w:spacing w:before="240" w:after="240"/>
        <w:ind w:right="223"/>
        <w:rPr>
          <w:rFonts w:asciiTheme="minorHAnsi" w:hAnsiTheme="minorHAnsi" w:cstheme="minorBidi"/>
        </w:rPr>
      </w:pPr>
      <w:r>
        <w:t>Of the remaining funds</w:t>
      </w:r>
      <w:r w:rsidR="00F76042">
        <w:rPr>
          <w:rFonts w:asciiTheme="minorHAnsi" w:hAnsiTheme="minorHAnsi" w:cstheme="minorBidi"/>
        </w:rPr>
        <w:t>,</w:t>
      </w:r>
      <w:r>
        <w:t xml:space="preserve"> at least some must be used for activities to support effective use of technology.</w:t>
      </w:r>
    </w:p>
    <w:p w14:paraId="4B24123C" w14:textId="2D255B2B" w:rsidR="009E4982" w:rsidRDefault="0722D9DB" w:rsidP="004B1E18">
      <w:pPr>
        <w:pStyle w:val="BodyText"/>
        <w:spacing w:before="240" w:after="240"/>
        <w:ind w:right="223"/>
      </w:pPr>
      <w:r>
        <w:t>For all LEAs</w:t>
      </w:r>
      <w:r w:rsidR="290D65D3">
        <w:t>,</w:t>
      </w:r>
      <w:r>
        <w:t xml:space="preserve"> regardless of allocation award amount, not more than 15 percent of funding in the effective use of technology category can be spent on technology infrastructure including devices, equipment, software applications, platforms, digital instructional resources, and/or one-time purchases. This percentage requirement applies to all LEAs no matter the size of the allocation award</w:t>
      </w:r>
      <w:r w:rsidR="659D6A65">
        <w:t>.</w:t>
      </w:r>
      <w:r>
        <w:t xml:space="preserve"> </w:t>
      </w:r>
    </w:p>
    <w:p w14:paraId="22D3A4F4" w14:textId="2B50B5C2" w:rsidR="118CBE2D" w:rsidRDefault="009E3AED" w:rsidP="60AC34D4">
      <w:pPr>
        <w:pStyle w:val="BodyText"/>
        <w:spacing w:before="240" w:after="240"/>
        <w:ind w:right="223"/>
      </w:pPr>
      <w:r>
        <w:t>Example: If an LEA puts $5,000 in</w:t>
      </w:r>
      <w:r w:rsidR="00EF187D">
        <w:t>to</w:t>
      </w:r>
      <w:r>
        <w:t xml:space="preserve"> effective use of technology</w:t>
      </w:r>
      <w:r w:rsidR="00346C97">
        <w:t>,</w:t>
      </w:r>
      <w:r>
        <w:t xml:space="preserve"> only $750 may be spent on purchasing technology infrastructure (defined above)</w:t>
      </w:r>
      <w:r w:rsidR="00346C97">
        <w:t>,</w:t>
      </w:r>
      <w:r>
        <w:t xml:space="preserve"> and the remainder must be used on learning how to use technology effectively.</w:t>
      </w:r>
      <w:r w:rsidR="00D4004C" w:rsidRPr="60AC34D4">
        <w:rPr>
          <w:rFonts w:asciiTheme="minorHAnsi" w:hAnsiTheme="minorHAnsi" w:cstheme="minorBidi"/>
        </w:rPr>
        <w:t xml:space="preserve"> </w:t>
      </w:r>
      <w:r w:rsidR="004B1E18">
        <w:t xml:space="preserve">The intent of the effective use of technology category is </w:t>
      </w:r>
      <w:r w:rsidR="00D4004C">
        <w:t xml:space="preserve">to </w:t>
      </w:r>
      <w:r w:rsidR="004B1E18">
        <w:t>promote professional learning and collaboration in order to better utilize and implement technology rather than purchasing devices and infrastructure.</w:t>
      </w:r>
      <w:r w:rsidR="00276034">
        <w:t xml:space="preserve"> </w:t>
      </w:r>
      <w:r w:rsidR="00D035C3">
        <w:t>Additionally</w:t>
      </w:r>
      <w:r w:rsidR="118CBE2D" w:rsidRPr="60AC34D4">
        <w:t xml:space="preserve">, </w:t>
      </w:r>
      <w:r w:rsidR="2A8C74E5" w:rsidRPr="60AC34D4">
        <w:t>no more than</w:t>
      </w:r>
      <w:r w:rsidR="118CBE2D" w:rsidRPr="60AC34D4">
        <w:t xml:space="preserve"> two percent of the Title IVA allocation can be spent on administrative costs.</w:t>
      </w:r>
    </w:p>
    <w:p w14:paraId="733F214E" w14:textId="776F364C" w:rsidR="2C9313BF" w:rsidRDefault="6D1051FB" w:rsidP="2C9313BF">
      <w:pPr>
        <w:pStyle w:val="BodyText"/>
        <w:spacing w:before="240" w:after="240"/>
        <w:ind w:right="223"/>
      </w:pPr>
      <w:r>
        <w:t>LEAs may choose to flex a portion or all of its Title IVA allocation to Titles I, IIA, and/or III to allow the funds to be used in alignment with those particular grants</w:t>
      </w:r>
      <w:r w:rsidR="76F43FA8">
        <w:t>’</w:t>
      </w:r>
      <w:r>
        <w:t xml:space="preserve"> priorities.</w:t>
      </w:r>
    </w:p>
    <w:p w14:paraId="46ABE3D1" w14:textId="0DBCF054" w:rsidR="006D7B43" w:rsidRPr="00E74468" w:rsidRDefault="00205EDB" w:rsidP="660722E0">
      <w:pPr>
        <w:pStyle w:val="Heading1"/>
        <w:shd w:val="clear" w:color="auto" w:fill="DBE5F1" w:themeFill="accent1" w:themeFillTint="33"/>
        <w:tabs>
          <w:tab w:val="left" w:pos="9651"/>
        </w:tabs>
        <w:spacing w:before="186"/>
        <w:ind w:left="0"/>
        <w:rPr>
          <w:rFonts w:asciiTheme="minorHAnsi" w:hAnsiTheme="minorHAnsi" w:cstheme="minorBidi"/>
          <w:b/>
          <w:bCs/>
          <w:spacing w:val="11"/>
          <w:sz w:val="22"/>
          <w:szCs w:val="22"/>
          <w:shd w:val="clear" w:color="auto" w:fill="D9E1F3"/>
        </w:rPr>
      </w:pPr>
      <w:bookmarkStart w:id="4" w:name="_Toc1149940574"/>
      <w:r w:rsidRPr="660722E0">
        <w:rPr>
          <w:rFonts w:asciiTheme="minorHAnsi" w:hAnsiTheme="minorHAnsi" w:cstheme="minorBidi"/>
          <w:b/>
          <w:bCs/>
          <w:spacing w:val="11"/>
          <w:sz w:val="22"/>
          <w:szCs w:val="22"/>
          <w:shd w:val="clear" w:color="auto" w:fill="D9E1F3"/>
        </w:rPr>
        <w:t>Needs Assessment</w:t>
      </w:r>
      <w:bookmarkEnd w:id="4"/>
    </w:p>
    <w:p w14:paraId="48EE8C39" w14:textId="265F5283" w:rsidR="00FE619B" w:rsidRDefault="00C418D5" w:rsidP="004B1E18">
      <w:pPr>
        <w:pStyle w:val="BodyText"/>
        <w:spacing w:before="240" w:after="240"/>
        <w:ind w:right="223"/>
      </w:pPr>
      <w:r>
        <w:t>An LEA that receives an allocation of $30,000 or more in Title IVA is required to complete a comprehensive needs assessment</w:t>
      </w:r>
      <w:r w:rsidR="006A64C2">
        <w:t>,</w:t>
      </w:r>
      <w:r>
        <w:t xml:space="preserve"> which includes, at a minimum, an evaluation</w:t>
      </w:r>
      <w:r w:rsidR="485D3A4C">
        <w:t xml:space="preserve"> a least once every three years</w:t>
      </w:r>
      <w:r>
        <w:t xml:space="preserve"> of the need for improvement in the three content areas: well-rounded education, safe and healthy students</w:t>
      </w:r>
      <w:r w:rsidR="00A60FE1">
        <w:t>,</w:t>
      </w:r>
      <w:r>
        <w:t xml:space="preserve"> and the effective use of techn</w:t>
      </w:r>
      <w:r w:rsidR="6AEB702A">
        <w:t>ology.</w:t>
      </w:r>
    </w:p>
    <w:p w14:paraId="3174523D" w14:textId="4661BDB6" w:rsidR="00A77D26" w:rsidRDefault="7F65F941" w:rsidP="004B1E18">
      <w:pPr>
        <w:pStyle w:val="BodyText"/>
        <w:spacing w:before="240" w:after="240"/>
        <w:ind w:right="223"/>
      </w:pPr>
      <w:r>
        <w:t>Activities that are supported with Title IVA funds must be planned through consultation with stakeholders served by the LEA. Stakeholders include: parents, teachers, principals, other school leaders, special service providers, students, community-based organizations, local government representative, Indian tribes or tribal organizations, and others with relevant and demonstrated expertise.</w:t>
      </w:r>
      <w:r w:rsidR="6D1051FB">
        <w:t xml:space="preserve"> Stakeholders must be involved in choosing evidence-based program</w:t>
      </w:r>
      <w:r w:rsidR="5ED77B50">
        <w:t>ming</w:t>
      </w:r>
      <w:r w:rsidR="6D1051FB">
        <w:t xml:space="preserve"> that best addresses the identified needs.</w:t>
      </w:r>
    </w:p>
    <w:p w14:paraId="5787FEAC" w14:textId="3AB6494E" w:rsidR="00AC47DD" w:rsidRDefault="00C418D5" w:rsidP="004B1E18">
      <w:pPr>
        <w:pStyle w:val="BodyText"/>
        <w:spacing w:before="240" w:after="240"/>
        <w:ind w:right="223"/>
      </w:pPr>
      <w:r>
        <w:lastRenderedPageBreak/>
        <w:t xml:space="preserve">The LEA is also expected to demonstrate ongoing consultation with stakeholders to continually improve and coordinate implementation of local activities with other programs and activities conducted in the community. The </w:t>
      </w:r>
      <w:r w:rsidR="003B01F3">
        <w:t>comprehensive needs assessment</w:t>
      </w:r>
      <w:r>
        <w:t xml:space="preserve"> and documentation of the involvement of stakeholders should be kept on file at the LEA.</w:t>
      </w:r>
    </w:p>
    <w:p w14:paraId="64BB7DEB" w14:textId="2715BF55" w:rsidR="00557FCD" w:rsidRPr="006D7D13" w:rsidRDefault="00557FCD" w:rsidP="660722E0">
      <w:pPr>
        <w:pStyle w:val="Heading1"/>
        <w:shd w:val="clear" w:color="auto" w:fill="DBE5F1" w:themeFill="accent1" w:themeFillTint="33"/>
        <w:tabs>
          <w:tab w:val="left" w:pos="9651"/>
        </w:tabs>
        <w:spacing w:before="186"/>
        <w:ind w:left="0"/>
        <w:rPr>
          <w:rFonts w:asciiTheme="minorHAnsi" w:hAnsiTheme="minorHAnsi" w:cstheme="minorBidi"/>
          <w:b/>
          <w:bCs/>
          <w:spacing w:val="11"/>
          <w:sz w:val="22"/>
          <w:szCs w:val="22"/>
          <w:shd w:val="clear" w:color="auto" w:fill="D9E1F3"/>
        </w:rPr>
      </w:pPr>
      <w:bookmarkStart w:id="5" w:name="_Toc1609250657"/>
      <w:r w:rsidRPr="660722E0">
        <w:rPr>
          <w:rFonts w:asciiTheme="minorHAnsi" w:hAnsiTheme="minorHAnsi" w:cstheme="minorBidi"/>
          <w:b/>
          <w:bCs/>
          <w:spacing w:val="11"/>
          <w:sz w:val="22"/>
          <w:szCs w:val="22"/>
          <w:shd w:val="clear" w:color="auto" w:fill="D9E1F3"/>
        </w:rPr>
        <w:t>Supplement, Not Supplant</w:t>
      </w:r>
      <w:bookmarkEnd w:id="5"/>
    </w:p>
    <w:p w14:paraId="1777DE53" w14:textId="7F87E966" w:rsidR="009248E7" w:rsidRDefault="474CBAD1" w:rsidP="004B1E18">
      <w:pPr>
        <w:pStyle w:val="BodyText"/>
        <w:spacing w:before="240" w:after="240"/>
        <w:ind w:right="223"/>
      </w:pPr>
      <w:r>
        <w:t>The supplement</w:t>
      </w:r>
      <w:r w:rsidR="1861F0DB">
        <w:t>,</w:t>
      </w:r>
      <w:r>
        <w:t xml:space="preserve"> not supplant provision requires that federal grant funds must add to (or supplement) and not replace (or supplant) other funds (state/local) in providing general educational services. The purpose of this</w:t>
      </w:r>
      <w:r w:rsidR="39FC5F2B">
        <w:t xml:space="preserve"> provision</w:t>
      </w:r>
      <w:r>
        <w:t xml:space="preserve"> is to ensure that federal funds are </w:t>
      </w:r>
      <w:r w:rsidR="4A43EF84">
        <w:t>benefiting</w:t>
      </w:r>
      <w:r w:rsidR="6E7E6F64">
        <w:t xml:space="preserve"> the</w:t>
      </w:r>
      <w:r>
        <w:t xml:space="preserve"> intended population and are not used to fund the basic education that the district would have provided in the absence of federal funds. </w:t>
      </w:r>
    </w:p>
    <w:p w14:paraId="3BE67DE3" w14:textId="1554299B" w:rsidR="009248E7" w:rsidRDefault="474CBAD1" w:rsidP="004B1E18">
      <w:pPr>
        <w:pStyle w:val="BodyText"/>
        <w:spacing w:before="240" w:after="240"/>
        <w:ind w:right="223"/>
      </w:pPr>
      <w:r>
        <w:t>Any service that a district is required to provide under state or local rule or policy must be provided using state or local funds. If federal funds are used to provide these services, it is presumed that supplanting has occurred. Any service that was provided in the prior year with state or local funds that are then replaced by federal</w:t>
      </w:r>
      <w:r w:rsidR="7EEB8432">
        <w:t xml:space="preserve"> Title IVA</w:t>
      </w:r>
      <w:r>
        <w:t xml:space="preserve"> funds is </w:t>
      </w:r>
      <w:r w:rsidR="2E0FFEFF">
        <w:t xml:space="preserve">also </w:t>
      </w:r>
      <w:r>
        <w:t xml:space="preserve">assumed to be supplanting. LEAs are not permitted to use </w:t>
      </w:r>
      <w:r w:rsidR="7B9E59B4">
        <w:t xml:space="preserve">Title IVA </w:t>
      </w:r>
      <w:r>
        <w:t xml:space="preserve">federal funds to replace state or local funds. </w:t>
      </w:r>
    </w:p>
    <w:p w14:paraId="0859D994" w14:textId="058D26BE" w:rsidR="00597AA8" w:rsidRDefault="00597AA8" w:rsidP="004B1E18">
      <w:pPr>
        <w:pStyle w:val="BodyText"/>
        <w:spacing w:before="240" w:after="240"/>
        <w:ind w:right="223"/>
      </w:pPr>
      <w:r>
        <w:t xml:space="preserve">To refute the “prior year” test of supplanting, the LEA would need to have </w:t>
      </w:r>
      <w:r w:rsidR="00EA7751">
        <w:t xml:space="preserve">documentation showing </w:t>
      </w:r>
      <w:r>
        <w:t>there</w:t>
      </w:r>
      <w:r w:rsidR="20574472">
        <w:t xml:space="preserve"> </w:t>
      </w:r>
      <w:r>
        <w:t>was a reduced amount of state or local funds to pay for this activity, and the district made the decision to eliminate the activity without taking into consideration federal funds.</w:t>
      </w:r>
    </w:p>
    <w:p w14:paraId="4905B8C1" w14:textId="19D5927C" w:rsidR="00C70C29" w:rsidRPr="002E290E" w:rsidRDefault="00C70C29" w:rsidP="660722E0">
      <w:pPr>
        <w:pStyle w:val="Heading1"/>
        <w:shd w:val="clear" w:color="auto" w:fill="DBE5F1" w:themeFill="accent1" w:themeFillTint="33"/>
        <w:tabs>
          <w:tab w:val="left" w:pos="9651"/>
        </w:tabs>
        <w:spacing w:before="186"/>
        <w:ind w:left="0"/>
        <w:rPr>
          <w:rFonts w:asciiTheme="minorHAnsi" w:hAnsiTheme="minorHAnsi" w:cstheme="minorBidi"/>
          <w:b/>
          <w:bCs/>
          <w:sz w:val="22"/>
          <w:szCs w:val="22"/>
        </w:rPr>
      </w:pPr>
      <w:bookmarkStart w:id="6" w:name="_Toc1356600260"/>
      <w:r w:rsidRPr="660722E0">
        <w:rPr>
          <w:rFonts w:asciiTheme="minorHAnsi" w:hAnsiTheme="minorHAnsi" w:cstheme="minorBidi"/>
          <w:b/>
          <w:bCs/>
          <w:spacing w:val="11"/>
          <w:sz w:val="22"/>
          <w:szCs w:val="22"/>
          <w:shd w:val="clear" w:color="auto" w:fill="D9E1F3"/>
        </w:rPr>
        <w:t>Equitable Services</w:t>
      </w:r>
      <w:r w:rsidRPr="002E290E">
        <w:rPr>
          <w:rFonts w:asciiTheme="minorHAnsi" w:hAnsiTheme="minorHAnsi" w:cstheme="minorHAnsi"/>
          <w:b/>
          <w:bCs/>
          <w:spacing w:val="13"/>
          <w:sz w:val="22"/>
          <w:szCs w:val="22"/>
          <w:shd w:val="clear" w:color="auto" w:fill="D9E1F3"/>
        </w:rPr>
        <w:tab/>
      </w:r>
      <w:bookmarkStart w:id="7" w:name="_Requirement_for_Stakeholder"/>
      <w:bookmarkStart w:id="8" w:name="_LEA-Level_Administrative_Costs"/>
      <w:bookmarkEnd w:id="6"/>
      <w:bookmarkEnd w:id="7"/>
      <w:bookmarkEnd w:id="8"/>
    </w:p>
    <w:p w14:paraId="41F23D58" w14:textId="67041545" w:rsidR="002663CD" w:rsidRPr="002E290E" w:rsidRDefault="002663CD" w:rsidP="3D39B83B">
      <w:pPr>
        <w:pStyle w:val="BodyText"/>
        <w:spacing w:before="240" w:after="240"/>
        <w:ind w:right="248"/>
        <w:rPr>
          <w:rFonts w:asciiTheme="minorHAnsi" w:hAnsiTheme="minorHAnsi" w:cstheme="minorBidi"/>
        </w:rPr>
      </w:pPr>
      <w:r w:rsidRPr="500668C8">
        <w:rPr>
          <w:rFonts w:asciiTheme="minorHAnsi" w:hAnsiTheme="minorHAnsi" w:cstheme="minorBidi"/>
        </w:rPr>
        <w:t>ESSA requires the equitable participation of students and educators in private, nonprofit schools for federally funded programs and services.</w:t>
      </w:r>
      <w:r w:rsidR="788DCCC1" w:rsidRPr="500668C8">
        <w:rPr>
          <w:rFonts w:asciiTheme="minorHAnsi" w:hAnsiTheme="minorHAnsi" w:cstheme="minorBidi"/>
        </w:rPr>
        <w:t xml:space="preserve"> </w:t>
      </w:r>
      <w:r w:rsidR="788DCCC1" w:rsidRPr="60AC34D4">
        <w:rPr>
          <w:rFonts w:asciiTheme="minorHAnsi" w:hAnsiTheme="minorHAnsi" w:cstheme="minorBidi"/>
        </w:rPr>
        <w:t>All students attending nonprofit private schools inside a district’s geographic borders are eligible; students attending schools outside of a district’s borders are not eligible even if they live within the district boundaries.</w:t>
      </w:r>
      <w:r w:rsidRPr="500668C8">
        <w:rPr>
          <w:rFonts w:asciiTheme="minorHAnsi" w:hAnsiTheme="minorHAnsi" w:cstheme="minorBidi"/>
        </w:rPr>
        <w:t xml:space="preserve"> The public school district </w:t>
      </w:r>
      <w:r w:rsidRPr="500668C8">
        <w:rPr>
          <w:rStyle w:val="FootnoteReference"/>
          <w:rFonts w:asciiTheme="minorHAnsi" w:hAnsiTheme="minorHAnsi" w:cstheme="minorBidi"/>
        </w:rPr>
        <w:footnoteReference w:id="2"/>
      </w:r>
      <w:r w:rsidR="24313349" w:rsidRPr="500668C8">
        <w:rPr>
          <w:rFonts w:asciiTheme="minorHAnsi" w:hAnsiTheme="minorHAnsi" w:cstheme="minorBidi"/>
        </w:rPr>
        <w:t xml:space="preserve"> </w:t>
      </w:r>
      <w:r w:rsidRPr="500668C8">
        <w:rPr>
          <w:rFonts w:asciiTheme="minorHAnsi" w:hAnsiTheme="minorHAnsi" w:cstheme="minorBidi"/>
        </w:rPr>
        <w:t>is required to have "timely and meaningful consultation" with private school officials regarding the participation of private school students and educators in ESSA-funded programs and services. The public school district is responsible for providing equitable services and must retain control of the federal funds used to provide such services. Therefore, equitable services are provided by either an employee of the district or through a contract by the district with an individual, association, agency, or organization. Reimbursement to participating private schools is not allowable.</w:t>
      </w:r>
      <w:r w:rsidR="6C2AD927" w:rsidRPr="500668C8">
        <w:rPr>
          <w:rFonts w:asciiTheme="minorHAnsi" w:hAnsiTheme="minorHAnsi" w:cstheme="minorBidi"/>
        </w:rPr>
        <w:t xml:space="preserve"> </w:t>
      </w:r>
      <w:r w:rsidR="00C70C29" w:rsidRPr="60AC34D4">
        <w:rPr>
          <w:rFonts w:asciiTheme="minorHAnsi" w:hAnsiTheme="minorHAnsi" w:cstheme="minorBidi"/>
        </w:rPr>
        <w:t>Please refer to</w:t>
      </w:r>
      <w:r w:rsidR="00F36799" w:rsidRPr="60AC34D4">
        <w:rPr>
          <w:rFonts w:asciiTheme="minorHAnsi" w:hAnsiTheme="minorHAnsi" w:cstheme="minorBidi"/>
        </w:rPr>
        <w:t xml:space="preserve"> the </w:t>
      </w:r>
      <w:hyperlink r:id="rId12">
        <w:r w:rsidR="00BD02D8" w:rsidRPr="60AC34D4">
          <w:rPr>
            <w:rStyle w:val="Hyperlink"/>
            <w:rFonts w:asciiTheme="minorHAnsi" w:hAnsiTheme="minorHAnsi" w:cstheme="minorBidi"/>
          </w:rPr>
          <w:t>ESSA Equitable Services for Private Schools Resource Guide</w:t>
        </w:r>
      </w:hyperlink>
      <w:r w:rsidR="00BD02D8" w:rsidRPr="60AC34D4">
        <w:rPr>
          <w:rFonts w:asciiTheme="minorHAnsi" w:hAnsiTheme="minorHAnsi" w:cstheme="minorBidi"/>
        </w:rPr>
        <w:t xml:space="preserve"> for more information.</w:t>
      </w:r>
    </w:p>
    <w:p w14:paraId="3161585E" w14:textId="2FA48301" w:rsidR="002663CD" w:rsidRPr="002E290E" w:rsidRDefault="002663CD" w:rsidP="002E290E">
      <w:pPr>
        <w:pStyle w:val="Heading1"/>
        <w:shd w:val="clear" w:color="auto" w:fill="DBE5F1" w:themeFill="accent1" w:themeFillTint="33"/>
        <w:ind w:left="0"/>
        <w:rPr>
          <w:b/>
          <w:bCs/>
          <w:sz w:val="22"/>
          <w:szCs w:val="22"/>
        </w:rPr>
      </w:pPr>
      <w:bookmarkStart w:id="9" w:name="_Toc7727980"/>
      <w:r w:rsidRPr="002E290E">
        <w:rPr>
          <w:b/>
          <w:bCs/>
          <w:sz w:val="22"/>
          <w:szCs w:val="22"/>
          <w:shd w:val="clear" w:color="auto" w:fill="D9E1F3"/>
        </w:rPr>
        <w:t>Application Information</w:t>
      </w:r>
      <w:bookmarkEnd w:id="9"/>
    </w:p>
    <w:p w14:paraId="1ED18275" w14:textId="0695CEC2" w:rsidR="00F63173" w:rsidRDefault="6FCFC3A3" w:rsidP="00272A2F">
      <w:pPr>
        <w:spacing w:before="240" w:after="240"/>
      </w:pPr>
      <w:r>
        <w:t>The RFP for Title I</w:t>
      </w:r>
      <w:r w:rsidR="07C46499">
        <w:t>VA</w:t>
      </w:r>
      <w:r>
        <w:t xml:space="preserve"> is typically released in July </w:t>
      </w:r>
      <w:r w:rsidR="6C52799F">
        <w:t xml:space="preserve">and is listed on the DESE </w:t>
      </w:r>
      <w:hyperlink r:id="rId13">
        <w:r w:rsidR="6C52799F" w:rsidRPr="60B71DAC">
          <w:rPr>
            <w:rStyle w:val="Hyperlink"/>
          </w:rPr>
          <w:t>Grants Management website</w:t>
        </w:r>
      </w:hyperlink>
      <w:r w:rsidR="6C52799F">
        <w:t>. The RFP</w:t>
      </w:r>
      <w:r>
        <w:t xml:space="preserve"> includes information on how </w:t>
      </w:r>
      <w:r w:rsidR="3DB2A0EA">
        <w:t xml:space="preserve">eligible </w:t>
      </w:r>
      <w:r>
        <w:t>LEAs can apply for the grant</w:t>
      </w:r>
      <w:r w:rsidR="6C52799F">
        <w:t xml:space="preserve">, </w:t>
      </w:r>
      <w:r w:rsidR="25480073">
        <w:t xml:space="preserve">which is </w:t>
      </w:r>
      <w:r w:rsidR="09A4F6F0">
        <w:t>part of</w:t>
      </w:r>
      <w:r w:rsidR="6C52799F">
        <w:t xml:space="preserve"> the ESSA Consolidated Application for Titles I, IIA, III, and IV</w:t>
      </w:r>
      <w:r w:rsidR="34C08741">
        <w:t>A</w:t>
      </w:r>
      <w:r>
        <w:t xml:space="preserve">. </w:t>
      </w:r>
      <w:r w:rsidR="2D9CD5EC">
        <w:t>Districts must apply for the grant through DESE’s Grants for Education Management System (</w:t>
      </w:r>
      <w:hyperlink r:id="rId14">
        <w:r w:rsidR="6B194D09" w:rsidRPr="60B71DAC">
          <w:rPr>
            <w:rStyle w:val="Hyperlink"/>
          </w:rPr>
          <w:t>GEM$</w:t>
        </w:r>
      </w:hyperlink>
      <w:r w:rsidR="2D9CD5EC">
        <w:t xml:space="preserve">). </w:t>
      </w:r>
      <w:r w:rsidR="6C52799F">
        <w:t>The Federal Grants Office will send out a</w:t>
      </w:r>
      <w:r w:rsidR="3E8EC638">
        <w:t xml:space="preserve"> message throu</w:t>
      </w:r>
      <w:r w:rsidR="7B4BA08E">
        <w:t>gh GEM$ to LEA Grantwriters and LEA Fiscal Representatives</w:t>
      </w:r>
      <w:r w:rsidR="6C52799F">
        <w:t xml:space="preserve"> when the RFP</w:t>
      </w:r>
      <w:r w:rsidR="1FB3DC64">
        <w:t>,</w:t>
      </w:r>
      <w:r w:rsidR="1FDF3098">
        <w:t xml:space="preserve"> </w:t>
      </w:r>
      <w:r w:rsidR="6C52799F">
        <w:t>allocations</w:t>
      </w:r>
      <w:r w:rsidR="1FB3DC64">
        <w:t>, and application</w:t>
      </w:r>
      <w:r w:rsidR="6C52799F">
        <w:t xml:space="preserve"> </w:t>
      </w:r>
      <w:r w:rsidR="1FB3DC64">
        <w:t xml:space="preserve">become </w:t>
      </w:r>
      <w:r w:rsidR="6C52799F">
        <w:t xml:space="preserve">available. </w:t>
      </w:r>
    </w:p>
    <w:p w14:paraId="3D0A2F9A" w14:textId="48E4E593" w:rsidR="60AC34D4" w:rsidRDefault="60AC34D4" w:rsidP="60AC34D4">
      <w:pPr>
        <w:spacing w:before="240" w:after="240"/>
      </w:pPr>
    </w:p>
    <w:p w14:paraId="6DD92871" w14:textId="785A1B93" w:rsidR="00DF7DBB" w:rsidRPr="00DF7DBB" w:rsidRDefault="00EE6F1A" w:rsidP="00EE6F1A">
      <w:pPr>
        <w:pStyle w:val="Heading1"/>
        <w:shd w:val="clear" w:color="auto" w:fill="DBE5F1" w:themeFill="accent1" w:themeFillTint="33"/>
        <w:ind w:left="0"/>
        <w:rPr>
          <w:b/>
          <w:bCs/>
          <w:sz w:val="22"/>
          <w:szCs w:val="22"/>
          <w:shd w:val="clear" w:color="auto" w:fill="D9E1F3"/>
        </w:rPr>
      </w:pPr>
      <w:bookmarkStart w:id="10" w:name="_Toc2120115570"/>
      <w:r>
        <w:rPr>
          <w:b/>
          <w:bCs/>
          <w:sz w:val="22"/>
          <w:szCs w:val="22"/>
          <w:shd w:val="clear" w:color="auto" w:fill="D9E1F3"/>
        </w:rPr>
        <w:lastRenderedPageBreak/>
        <w:t>Allowable Activities</w:t>
      </w:r>
      <w:r w:rsidR="001175BA">
        <w:rPr>
          <w:rStyle w:val="FootnoteReference"/>
          <w:b/>
          <w:bCs/>
          <w:sz w:val="22"/>
          <w:szCs w:val="22"/>
          <w:shd w:val="clear" w:color="auto" w:fill="D9E1F3"/>
        </w:rPr>
        <w:footnoteReference w:id="3"/>
      </w:r>
      <w:bookmarkEnd w:id="10"/>
    </w:p>
    <w:p w14:paraId="084EFE39" w14:textId="42FF04B5" w:rsidR="00941812" w:rsidRPr="001175BA" w:rsidRDefault="001175BA" w:rsidP="00272A2F">
      <w:pPr>
        <w:spacing w:before="240" w:after="240"/>
      </w:pPr>
      <w:r w:rsidRPr="001175BA">
        <w:t>Remember: All costs must be necessary and reasonable</w:t>
      </w:r>
      <w:r>
        <w:t>.</w:t>
      </w:r>
    </w:p>
    <w:tbl>
      <w:tblPr>
        <w:tblStyle w:val="TableGrid"/>
        <w:tblW w:w="0" w:type="auto"/>
        <w:tblLook w:val="04A0" w:firstRow="1" w:lastRow="0" w:firstColumn="1" w:lastColumn="0" w:noHBand="0" w:noVBand="1"/>
      </w:tblPr>
      <w:tblGrid>
        <w:gridCol w:w="3250"/>
        <w:gridCol w:w="3250"/>
        <w:gridCol w:w="3250"/>
      </w:tblGrid>
      <w:tr w:rsidR="00401C79" w14:paraId="416E8FC7" w14:textId="77777777" w:rsidTr="60B71DAC">
        <w:trPr>
          <w:tblHeader/>
        </w:trPr>
        <w:tc>
          <w:tcPr>
            <w:tcW w:w="3250" w:type="dxa"/>
            <w:shd w:val="clear" w:color="auto" w:fill="D9D9D9" w:themeFill="background1" w:themeFillShade="D9"/>
          </w:tcPr>
          <w:p w14:paraId="3DEAAC09" w14:textId="1224AC08" w:rsidR="00401C79" w:rsidRPr="00401C79" w:rsidRDefault="576B2617" w:rsidP="00E328B4">
            <w:pPr>
              <w:pStyle w:val="NoSpacing"/>
              <w:jc w:val="center"/>
              <w:rPr>
                <w:b/>
                <w:bCs/>
              </w:rPr>
            </w:pPr>
            <w:r w:rsidRPr="60B71DAC">
              <w:rPr>
                <w:b/>
                <w:bCs/>
              </w:rPr>
              <w:t>Well-Rounded Educational Opportunities</w:t>
            </w:r>
          </w:p>
          <w:p w14:paraId="231EF0DD" w14:textId="2B70D4C8" w:rsidR="00401C79" w:rsidRPr="00401C79" w:rsidRDefault="00401C79" w:rsidP="00E328B4">
            <w:pPr>
              <w:pStyle w:val="NoSpacing"/>
              <w:jc w:val="center"/>
              <w:rPr>
                <w:i/>
                <w:iCs/>
              </w:rPr>
            </w:pPr>
            <w:r w:rsidRPr="00401C79">
              <w:rPr>
                <w:i/>
                <w:iCs/>
              </w:rPr>
              <w:t xml:space="preserve">(ESEA </w:t>
            </w:r>
            <w:r>
              <w:rPr>
                <w:i/>
                <w:iCs/>
              </w:rPr>
              <w:t>s</w:t>
            </w:r>
            <w:r w:rsidRPr="00401C79">
              <w:rPr>
                <w:i/>
                <w:iCs/>
              </w:rPr>
              <w:t>ection 4107)</w:t>
            </w:r>
          </w:p>
        </w:tc>
        <w:tc>
          <w:tcPr>
            <w:tcW w:w="3250" w:type="dxa"/>
            <w:shd w:val="clear" w:color="auto" w:fill="D9D9D9" w:themeFill="background1" w:themeFillShade="D9"/>
          </w:tcPr>
          <w:p w14:paraId="25EBFC94" w14:textId="77777777" w:rsidR="00401C79" w:rsidRDefault="00401C79" w:rsidP="00E328B4">
            <w:pPr>
              <w:pStyle w:val="NoSpacing"/>
              <w:jc w:val="center"/>
              <w:rPr>
                <w:b/>
                <w:bCs/>
              </w:rPr>
            </w:pPr>
            <w:r>
              <w:rPr>
                <w:b/>
                <w:bCs/>
              </w:rPr>
              <w:t>Safe and Healthy Students</w:t>
            </w:r>
          </w:p>
          <w:p w14:paraId="750B1EAE" w14:textId="0E46D21E" w:rsidR="00401C79" w:rsidRPr="00401C79" w:rsidRDefault="00401C79" w:rsidP="00E328B4">
            <w:pPr>
              <w:pStyle w:val="NoSpacing"/>
              <w:jc w:val="center"/>
              <w:rPr>
                <w:i/>
                <w:iCs/>
              </w:rPr>
            </w:pPr>
            <w:r w:rsidRPr="00401C79">
              <w:rPr>
                <w:i/>
                <w:iCs/>
              </w:rPr>
              <w:t xml:space="preserve">(ESEA </w:t>
            </w:r>
            <w:r>
              <w:rPr>
                <w:i/>
                <w:iCs/>
              </w:rPr>
              <w:t>s</w:t>
            </w:r>
            <w:r w:rsidRPr="00401C79">
              <w:rPr>
                <w:i/>
                <w:iCs/>
              </w:rPr>
              <w:t>ection 4108)</w:t>
            </w:r>
          </w:p>
        </w:tc>
        <w:tc>
          <w:tcPr>
            <w:tcW w:w="3250" w:type="dxa"/>
            <w:shd w:val="clear" w:color="auto" w:fill="D9D9D9" w:themeFill="background1" w:themeFillShade="D9"/>
          </w:tcPr>
          <w:p w14:paraId="2912D29B" w14:textId="77777777" w:rsidR="00401C79" w:rsidRDefault="00401C79" w:rsidP="00E328B4">
            <w:pPr>
              <w:pStyle w:val="NoSpacing"/>
              <w:jc w:val="center"/>
              <w:rPr>
                <w:b/>
                <w:bCs/>
              </w:rPr>
            </w:pPr>
            <w:r>
              <w:rPr>
                <w:b/>
                <w:bCs/>
              </w:rPr>
              <w:t>Effective Use of Technology</w:t>
            </w:r>
          </w:p>
          <w:p w14:paraId="46A4F598" w14:textId="68857805" w:rsidR="00401C79" w:rsidRPr="00E328B4" w:rsidRDefault="00401C79" w:rsidP="00E328B4">
            <w:pPr>
              <w:pStyle w:val="NoSpacing"/>
              <w:jc w:val="center"/>
              <w:rPr>
                <w:i/>
                <w:iCs/>
              </w:rPr>
            </w:pPr>
            <w:r w:rsidRPr="00E328B4">
              <w:rPr>
                <w:i/>
                <w:iCs/>
              </w:rPr>
              <w:t xml:space="preserve">(ESEA </w:t>
            </w:r>
            <w:r w:rsidR="00E328B4" w:rsidRPr="00E328B4">
              <w:rPr>
                <w:i/>
                <w:iCs/>
              </w:rPr>
              <w:t>section 4109)</w:t>
            </w:r>
          </w:p>
        </w:tc>
      </w:tr>
      <w:tr w:rsidR="00401C79" w14:paraId="6EED5FE8" w14:textId="77777777" w:rsidTr="60B71DAC">
        <w:tc>
          <w:tcPr>
            <w:tcW w:w="3250" w:type="dxa"/>
          </w:tcPr>
          <w:p w14:paraId="2DE84645" w14:textId="5446EAB1" w:rsidR="00401C79" w:rsidRDefault="00CC50CB" w:rsidP="00E328B4">
            <w:pPr>
              <w:pStyle w:val="NoSpacing"/>
              <w:numPr>
                <w:ilvl w:val="0"/>
                <w:numId w:val="4"/>
              </w:numPr>
            </w:pPr>
            <w:r w:rsidRPr="00CC50CB">
              <w:t>Improving access to foreign language instruction, arts, music education</w:t>
            </w:r>
            <w:r w:rsidR="00B70EEB" w:rsidRPr="006930D9">
              <w:t xml:space="preserve">, </w:t>
            </w:r>
            <w:r w:rsidR="0015171A" w:rsidRPr="006930D9">
              <w:t>dance, media arts, and theater</w:t>
            </w:r>
          </w:p>
          <w:p w14:paraId="786BB6C9" w14:textId="2F57B00A" w:rsidR="00CC50CB" w:rsidRDefault="00CC50CB" w:rsidP="008171FD">
            <w:pPr>
              <w:pStyle w:val="NoSpacing"/>
              <w:numPr>
                <w:ilvl w:val="0"/>
                <w:numId w:val="4"/>
              </w:numPr>
            </w:pPr>
            <w:r w:rsidRPr="00CC50CB">
              <w:t>Supporting college and career counseling, including providing information on opportunities for financial aid through the early FAFSA</w:t>
            </w:r>
            <w:r w:rsidR="008171FD">
              <w:t xml:space="preserve"> </w:t>
            </w:r>
            <w:r w:rsidR="008171FD" w:rsidRPr="006930D9">
              <w:t>and college and career readiness software</w:t>
            </w:r>
          </w:p>
          <w:p w14:paraId="46E82D57" w14:textId="363BB687" w:rsidR="00CC50CB" w:rsidRDefault="00CC50CB" w:rsidP="00E328B4">
            <w:pPr>
              <w:pStyle w:val="NoSpacing"/>
              <w:numPr>
                <w:ilvl w:val="0"/>
                <w:numId w:val="4"/>
              </w:numPr>
            </w:pPr>
            <w:r w:rsidRPr="00CC50CB">
              <w:t>Providing programming to improve instruction and student engagement in science, technology, engineering, and mathematics (STEM), including computer science, and increasing access to these subjects for underrepresented groups</w:t>
            </w:r>
            <w:r w:rsidR="00EE1F39">
              <w:t xml:space="preserve">; </w:t>
            </w:r>
            <w:r w:rsidR="00EE1F39" w:rsidRPr="006930D9">
              <w:t>supporting participation in nonprofit competitions (e.g. robotics, math competitions, computer programming); providing students hands-on learning and exposure to STEM, including through field-based and service learning</w:t>
            </w:r>
          </w:p>
          <w:p w14:paraId="6EE13A4E" w14:textId="77777777" w:rsidR="00913A0F" w:rsidRDefault="00913A0F" w:rsidP="00913A0F">
            <w:pPr>
              <w:pStyle w:val="NoSpacing"/>
              <w:numPr>
                <w:ilvl w:val="0"/>
                <w:numId w:val="4"/>
              </w:numPr>
            </w:pPr>
            <w:r w:rsidRPr="00CC50CB">
              <w:t>Strengthening instruction in American history, civics, economics, geography, government education, and environmental education</w:t>
            </w:r>
          </w:p>
          <w:p w14:paraId="6629DBC6" w14:textId="25501BB7" w:rsidR="00913A0F" w:rsidRDefault="00913A0F" w:rsidP="00913A0F">
            <w:pPr>
              <w:pStyle w:val="NoSpacing"/>
              <w:ind w:left="540"/>
            </w:pPr>
          </w:p>
          <w:p w14:paraId="056359F3" w14:textId="77777777" w:rsidR="00913A0F" w:rsidRDefault="00913A0F" w:rsidP="00913A0F">
            <w:pPr>
              <w:pStyle w:val="NoSpacing"/>
              <w:ind w:left="540"/>
            </w:pPr>
          </w:p>
          <w:p w14:paraId="0191E781" w14:textId="2ADB2A43" w:rsidR="00CC50CB" w:rsidRDefault="00CC50CB" w:rsidP="00E328B4">
            <w:pPr>
              <w:pStyle w:val="NoSpacing"/>
              <w:numPr>
                <w:ilvl w:val="0"/>
                <w:numId w:val="4"/>
              </w:numPr>
            </w:pPr>
            <w:r w:rsidRPr="00CC50CB">
              <w:lastRenderedPageBreak/>
              <w:t>Promoting access to accelerated learning opportunities including Advanced Placement (AP) and International Baccalaureate (IB) programs, dual or concurrent enrollment programs and early college high schools</w:t>
            </w:r>
          </w:p>
          <w:p w14:paraId="40D59DDC" w14:textId="77777777" w:rsidR="00B70EEB" w:rsidRPr="006930D9" w:rsidRDefault="00B70EEB" w:rsidP="00E328B4">
            <w:pPr>
              <w:pStyle w:val="NoSpacing"/>
              <w:numPr>
                <w:ilvl w:val="0"/>
                <w:numId w:val="4"/>
              </w:numPr>
            </w:pPr>
            <w:r w:rsidRPr="006930D9">
              <w:t>Activities supporting social emotional learning, including interventions that build resilience, self-control, empathy, persistence, and other social and behavioral skills.</w:t>
            </w:r>
          </w:p>
          <w:p w14:paraId="498E8AAD" w14:textId="5B4F9902" w:rsidR="008171FD" w:rsidRPr="00913A0F" w:rsidRDefault="6E9BD0F1" w:rsidP="00913A0F">
            <w:pPr>
              <w:pStyle w:val="NoSpacing"/>
              <w:numPr>
                <w:ilvl w:val="0"/>
                <w:numId w:val="4"/>
              </w:numPr>
              <w:rPr>
                <w:b/>
                <w:bCs/>
              </w:rPr>
            </w:pPr>
            <w:r>
              <w:t>Costs associated with</w:t>
            </w:r>
            <w:r w:rsidR="0C2DF157">
              <w:t xml:space="preserve"> </w:t>
            </w:r>
            <w:r>
              <w:t>administration of a Seal of Biliteracy Program</w:t>
            </w:r>
            <w:r w:rsidR="02E2288D">
              <w:t>, including supplemental materials for assessment</w:t>
            </w:r>
            <w:r w:rsidR="0DEC0C11">
              <w:t xml:space="preserve">. </w:t>
            </w:r>
            <w:r w:rsidR="0DEC0C11" w:rsidRPr="3D39B83B">
              <w:rPr>
                <w:b/>
                <w:bCs/>
              </w:rPr>
              <w:t xml:space="preserve">NOTE: </w:t>
            </w:r>
            <w:r w:rsidR="02E2288D" w:rsidRPr="3D39B83B">
              <w:rPr>
                <w:b/>
                <w:bCs/>
              </w:rPr>
              <w:t xml:space="preserve">funding for the World Language Assessment is </w:t>
            </w:r>
            <w:r w:rsidR="0DEC0C11" w:rsidRPr="3D39B83B">
              <w:rPr>
                <w:b/>
                <w:bCs/>
              </w:rPr>
              <w:t>not</w:t>
            </w:r>
            <w:r w:rsidR="02E2288D" w:rsidRPr="3D39B83B">
              <w:rPr>
                <w:b/>
                <w:bCs/>
              </w:rPr>
              <w:t xml:space="preserve"> an allowable cos</w:t>
            </w:r>
            <w:r w:rsidR="0C2DF157" w:rsidRPr="3D39B83B">
              <w:rPr>
                <w:b/>
                <w:bCs/>
              </w:rPr>
              <w:t>t under Title IV</w:t>
            </w:r>
            <w:r w:rsidR="494A673E" w:rsidRPr="3D39B83B">
              <w:rPr>
                <w:b/>
                <w:bCs/>
              </w:rPr>
              <w:t>A</w:t>
            </w:r>
          </w:p>
        </w:tc>
        <w:tc>
          <w:tcPr>
            <w:tcW w:w="3250" w:type="dxa"/>
          </w:tcPr>
          <w:p w14:paraId="6AB85894" w14:textId="77777777" w:rsidR="009B52F4" w:rsidRDefault="009B52F4" w:rsidP="00CC50CB">
            <w:pPr>
              <w:pStyle w:val="NoSpacing"/>
              <w:numPr>
                <w:ilvl w:val="0"/>
                <w:numId w:val="4"/>
              </w:numPr>
            </w:pPr>
            <w:r w:rsidRPr="009B52F4">
              <w:lastRenderedPageBreak/>
              <w:t>Promoting community and parent involvement in school</w:t>
            </w:r>
            <w:r>
              <w:t>s</w:t>
            </w:r>
          </w:p>
          <w:p w14:paraId="20FBD940" w14:textId="77777777" w:rsidR="009B52F4" w:rsidRDefault="009B52F4" w:rsidP="00CC50CB">
            <w:pPr>
              <w:pStyle w:val="NoSpacing"/>
              <w:numPr>
                <w:ilvl w:val="0"/>
                <w:numId w:val="4"/>
              </w:numPr>
            </w:pPr>
            <w:r w:rsidRPr="009B52F4">
              <w:t>Providing school-based mental health services and counseling</w:t>
            </w:r>
          </w:p>
          <w:p w14:paraId="49B6F815" w14:textId="77777777" w:rsidR="009B52F4" w:rsidRDefault="009B52F4" w:rsidP="00CC50CB">
            <w:pPr>
              <w:pStyle w:val="NoSpacing"/>
              <w:numPr>
                <w:ilvl w:val="0"/>
                <w:numId w:val="4"/>
              </w:numPr>
            </w:pPr>
            <w:r w:rsidRPr="009B52F4">
              <w:t>Promoting supportive school climates to reduce the use of exclusionary discipline and promoting supportive school discipline</w:t>
            </w:r>
          </w:p>
          <w:p w14:paraId="7C59F235" w14:textId="3996758E" w:rsidR="009B52F4" w:rsidRDefault="009B52F4" w:rsidP="00CC50CB">
            <w:pPr>
              <w:pStyle w:val="NoSpacing"/>
              <w:numPr>
                <w:ilvl w:val="0"/>
                <w:numId w:val="4"/>
              </w:numPr>
            </w:pPr>
            <w:r w:rsidRPr="009B52F4">
              <w:t xml:space="preserve">Establishing or </w:t>
            </w:r>
            <w:r w:rsidR="007529D2" w:rsidRPr="009B52F4">
              <w:t>improving dropout</w:t>
            </w:r>
            <w:r w:rsidRPr="009B52F4">
              <w:t xml:space="preserve"> prevention</w:t>
            </w:r>
          </w:p>
          <w:p w14:paraId="5D4ED097" w14:textId="77777777" w:rsidR="009B52F4" w:rsidRDefault="009B52F4" w:rsidP="00CC50CB">
            <w:pPr>
              <w:pStyle w:val="NoSpacing"/>
              <w:numPr>
                <w:ilvl w:val="0"/>
                <w:numId w:val="4"/>
              </w:numPr>
            </w:pPr>
            <w:r w:rsidRPr="009B52F4">
              <w:t>Supporting re-entry programs and transition services for justice</w:t>
            </w:r>
            <w:r>
              <w:t>-</w:t>
            </w:r>
            <w:r w:rsidRPr="009B52F4">
              <w:t>involved youth</w:t>
            </w:r>
          </w:p>
          <w:p w14:paraId="20D2F18D" w14:textId="77777777" w:rsidR="009B52F4" w:rsidRDefault="009B52F4" w:rsidP="00CC50CB">
            <w:pPr>
              <w:pStyle w:val="NoSpacing"/>
              <w:numPr>
                <w:ilvl w:val="0"/>
                <w:numId w:val="4"/>
              </w:numPr>
            </w:pPr>
            <w:r w:rsidRPr="009B52F4">
              <w:t>Implementing programs that support a healthy, active lifestyle (nutritional and physical education)</w:t>
            </w:r>
          </w:p>
          <w:p w14:paraId="5F3450A7" w14:textId="77777777" w:rsidR="009B52F4" w:rsidRDefault="009B52F4" w:rsidP="00CC50CB">
            <w:pPr>
              <w:pStyle w:val="NoSpacing"/>
              <w:numPr>
                <w:ilvl w:val="0"/>
                <w:numId w:val="4"/>
              </w:numPr>
            </w:pPr>
            <w:r w:rsidRPr="009B52F4">
              <w:t>Implementing systems and practices to prevent bullying and harassment</w:t>
            </w:r>
          </w:p>
          <w:p w14:paraId="16C4D41F" w14:textId="77777777" w:rsidR="009B52F4" w:rsidRDefault="009B52F4" w:rsidP="00CC50CB">
            <w:pPr>
              <w:pStyle w:val="NoSpacing"/>
              <w:numPr>
                <w:ilvl w:val="0"/>
                <w:numId w:val="4"/>
              </w:numPr>
            </w:pPr>
            <w:r w:rsidRPr="009B52F4">
              <w:t>Developing relationship building skills to help improve safety through the recognition and prevention of coercion, violence, or abuse</w:t>
            </w:r>
          </w:p>
          <w:p w14:paraId="6E1B24B8" w14:textId="77777777" w:rsidR="0015171A" w:rsidRDefault="009B52F4" w:rsidP="00CC50CB">
            <w:pPr>
              <w:pStyle w:val="NoSpacing"/>
              <w:numPr>
                <w:ilvl w:val="0"/>
                <w:numId w:val="4"/>
              </w:numPr>
            </w:pPr>
            <w:r w:rsidRPr="009B52F4">
              <w:t xml:space="preserve">Establishing community partnerships </w:t>
            </w:r>
          </w:p>
          <w:p w14:paraId="7FFD63B0" w14:textId="348B4A51" w:rsidR="00401C79" w:rsidRDefault="00C62BCA" w:rsidP="00471036">
            <w:pPr>
              <w:pStyle w:val="NoSpacing"/>
              <w:numPr>
                <w:ilvl w:val="0"/>
                <w:numId w:val="4"/>
              </w:numPr>
            </w:pPr>
            <w:r w:rsidRPr="006930D9">
              <w:t>Preventing use of drugs, alcohol, tobacco</w:t>
            </w:r>
            <w:r w:rsidR="00471036" w:rsidRPr="006930D9">
              <w:t>, and electronic cigarettes</w:t>
            </w:r>
            <w:r w:rsidR="009B52F4" w:rsidRPr="006930D9">
              <w:t xml:space="preserve"> </w:t>
            </w:r>
          </w:p>
          <w:p w14:paraId="3A39B80F" w14:textId="77777777" w:rsidR="00AB2DEE" w:rsidRPr="006930D9" w:rsidRDefault="00AB2DEE" w:rsidP="00AB2DEE">
            <w:pPr>
              <w:pStyle w:val="NoSpacing"/>
              <w:ind w:left="540"/>
            </w:pPr>
          </w:p>
          <w:p w14:paraId="334244F6" w14:textId="7C073C31" w:rsidR="00D3302C" w:rsidRPr="00113C03" w:rsidRDefault="1E7A0200" w:rsidP="60AC34D4">
            <w:pPr>
              <w:pStyle w:val="NoSpacing"/>
              <w:numPr>
                <w:ilvl w:val="0"/>
                <w:numId w:val="4"/>
              </w:numPr>
            </w:pPr>
            <w:r>
              <w:lastRenderedPageBreak/>
              <w:t>Stipends for staff to attend</w:t>
            </w:r>
            <w:r w:rsidR="7D9C935B">
              <w:t xml:space="preserve"> or lead</w:t>
            </w:r>
            <w:r w:rsidR="53967EAB">
              <w:t xml:space="preserve"> health and safety-related</w:t>
            </w:r>
            <w:r>
              <w:t xml:space="preserve"> </w:t>
            </w:r>
            <w:r w:rsidR="53967EAB">
              <w:t>professional development</w:t>
            </w:r>
          </w:p>
          <w:p w14:paraId="7C6AF053" w14:textId="19F09773" w:rsidR="00F62216" w:rsidRPr="00401C79" w:rsidRDefault="00081671" w:rsidP="00D3302C">
            <w:pPr>
              <w:pStyle w:val="NoSpacing"/>
              <w:numPr>
                <w:ilvl w:val="0"/>
                <w:numId w:val="4"/>
              </w:numPr>
            </w:pPr>
            <w:r w:rsidRPr="006930D9">
              <w:t>Security cameras</w:t>
            </w:r>
            <w:r w:rsidR="00D242E1" w:rsidRPr="006930D9">
              <w:t xml:space="preserve"> or emergency buttons</w:t>
            </w:r>
            <w:r w:rsidRPr="006930D9">
              <w:t xml:space="preserve"> if not required by state or local laws or previously funded with other sources</w:t>
            </w:r>
          </w:p>
        </w:tc>
        <w:tc>
          <w:tcPr>
            <w:tcW w:w="3250" w:type="dxa"/>
          </w:tcPr>
          <w:p w14:paraId="42859D0B" w14:textId="77777777" w:rsidR="007529D2" w:rsidRDefault="00CA38DC" w:rsidP="00CA38DC">
            <w:pPr>
              <w:pStyle w:val="NoSpacing"/>
              <w:numPr>
                <w:ilvl w:val="0"/>
                <w:numId w:val="4"/>
              </w:numPr>
            </w:pPr>
            <w:r w:rsidRPr="00CA38DC">
              <w:lastRenderedPageBreak/>
              <w:t>Supporting high-quality professional development for educators, school leaders, and administrators to personalize learning and improve academic achievement</w:t>
            </w:r>
          </w:p>
          <w:p w14:paraId="7717512B" w14:textId="0FFEF18E" w:rsidR="00CA38DC" w:rsidRDefault="00CA38DC" w:rsidP="00CA38DC">
            <w:pPr>
              <w:pStyle w:val="NoSpacing"/>
              <w:numPr>
                <w:ilvl w:val="0"/>
                <w:numId w:val="4"/>
              </w:numPr>
            </w:pPr>
            <w:r w:rsidRPr="00CA38DC">
              <w:t>Building technological capacity and infrastructure</w:t>
            </w:r>
          </w:p>
          <w:p w14:paraId="3779BF2B" w14:textId="77777777" w:rsidR="00CA38DC" w:rsidRDefault="00CA38DC" w:rsidP="00CA38DC">
            <w:pPr>
              <w:pStyle w:val="NoSpacing"/>
              <w:numPr>
                <w:ilvl w:val="0"/>
                <w:numId w:val="4"/>
              </w:numPr>
            </w:pPr>
            <w:r w:rsidRPr="00CA38DC">
              <w:t>Carrying out innovative blended learning projects</w:t>
            </w:r>
          </w:p>
          <w:p w14:paraId="008D2D94" w14:textId="77777777" w:rsidR="00CA38DC" w:rsidRDefault="00CA38DC" w:rsidP="00CA38DC">
            <w:pPr>
              <w:pStyle w:val="NoSpacing"/>
              <w:numPr>
                <w:ilvl w:val="0"/>
                <w:numId w:val="4"/>
              </w:numPr>
            </w:pPr>
            <w:r w:rsidRPr="00CA38DC">
              <w:t>Providing students in rural, remote, and underserved areas with the resources to benefit from high-quality digital learning opportunities</w:t>
            </w:r>
          </w:p>
          <w:p w14:paraId="3D08D911" w14:textId="2A7285A6" w:rsidR="00401C79" w:rsidRDefault="2D496BC0" w:rsidP="00CA38DC">
            <w:pPr>
              <w:pStyle w:val="NoSpacing"/>
              <w:numPr>
                <w:ilvl w:val="0"/>
                <w:numId w:val="4"/>
              </w:numPr>
            </w:pPr>
            <w:r>
              <w:t xml:space="preserve">Delivering specialized or rigorous academic courses and curricula using technology, including digital learning technologies and assistive </w:t>
            </w:r>
            <w:r w:rsidR="174DDD73">
              <w:t>technologies</w:t>
            </w:r>
          </w:p>
          <w:p w14:paraId="52FA3C83" w14:textId="090E7B5C" w:rsidR="13B41F1E" w:rsidRDefault="13B41F1E" w:rsidP="60B71DAC">
            <w:pPr>
              <w:pStyle w:val="NoSpacing"/>
              <w:numPr>
                <w:ilvl w:val="0"/>
                <w:numId w:val="4"/>
              </w:numPr>
            </w:pPr>
            <w:r>
              <w:t>Implementing personalized learning/blended learning programs</w:t>
            </w:r>
          </w:p>
          <w:p w14:paraId="2D92AC6B" w14:textId="449E50E1" w:rsidR="00EE1C2D" w:rsidRPr="00401C79" w:rsidRDefault="7F35EBB8" w:rsidP="00A30DB0">
            <w:pPr>
              <w:pStyle w:val="NoSpacing"/>
              <w:numPr>
                <w:ilvl w:val="0"/>
                <w:numId w:val="4"/>
              </w:numPr>
            </w:pPr>
            <w:r>
              <w:t>Purchas</w:t>
            </w:r>
            <w:r w:rsidR="686E07BC">
              <w:t>ing</w:t>
            </w:r>
            <w:r>
              <w:t xml:space="preserve"> d</w:t>
            </w:r>
            <w:r w:rsidR="71F1F8C2">
              <w:t>evices, equipment, software applications, platforms, digital instructional resources and/or other one-time IT purchases</w:t>
            </w:r>
            <w:r>
              <w:t xml:space="preserve"> to build technology capacity and infrastructure and increase readiness</w:t>
            </w:r>
            <w:r w:rsidR="686E07BC">
              <w:t>.</w:t>
            </w:r>
            <w:r w:rsidR="633D1AE5">
              <w:t xml:space="preserve"> </w:t>
            </w:r>
            <w:r w:rsidR="00C16EF2">
              <w:rPr>
                <w:b/>
                <w:bCs/>
              </w:rPr>
              <w:t xml:space="preserve">NOTE: </w:t>
            </w:r>
            <w:r w:rsidR="2FCFFB8B" w:rsidRPr="60B71DAC">
              <w:rPr>
                <w:b/>
                <w:bCs/>
              </w:rPr>
              <w:t>No</w:t>
            </w:r>
            <w:r w:rsidR="633D1AE5" w:rsidRPr="60B71DAC">
              <w:rPr>
                <w:b/>
                <w:bCs/>
              </w:rPr>
              <w:t xml:space="preserve"> more than 15 percent </w:t>
            </w:r>
            <w:r w:rsidR="633D1AE5" w:rsidRPr="60B71DAC">
              <w:rPr>
                <w:b/>
                <w:bCs/>
              </w:rPr>
              <w:lastRenderedPageBreak/>
              <w:t>of funding in the effective use of technology category can be spent on technology infrastructure including devices, equipment, software applications, platforms, digital instructional resources, and/or one-time purchases.</w:t>
            </w:r>
          </w:p>
        </w:tc>
      </w:tr>
      <w:tr w:rsidR="00244DF8" w14:paraId="6A420675" w14:textId="77777777" w:rsidTr="60B71DAC">
        <w:tc>
          <w:tcPr>
            <w:tcW w:w="9750" w:type="dxa"/>
            <w:gridSpan w:val="3"/>
            <w:shd w:val="clear" w:color="auto" w:fill="D9D9D9" w:themeFill="background1" w:themeFillShade="D9"/>
          </w:tcPr>
          <w:p w14:paraId="0E0B8034" w14:textId="3C122F94" w:rsidR="00244DF8" w:rsidRPr="00CA38DC" w:rsidRDefault="2F0E6F85" w:rsidP="00244DF8">
            <w:pPr>
              <w:pStyle w:val="NoSpacing"/>
              <w:jc w:val="center"/>
            </w:pPr>
            <w:r w:rsidRPr="60B71DAC">
              <w:rPr>
                <w:b/>
                <w:bCs/>
              </w:rPr>
              <w:lastRenderedPageBreak/>
              <w:t>Unallowable Costs</w:t>
            </w:r>
            <w:r w:rsidR="2225DF37" w:rsidRPr="60B71DAC">
              <w:rPr>
                <w:b/>
                <w:bCs/>
              </w:rPr>
              <w:t xml:space="preserve"> </w:t>
            </w:r>
            <w:r w:rsidR="354B91A7" w:rsidRPr="60B71DAC">
              <w:rPr>
                <w:b/>
                <w:bCs/>
              </w:rPr>
              <w:t>(applies to all categories)</w:t>
            </w:r>
          </w:p>
        </w:tc>
      </w:tr>
      <w:tr w:rsidR="00244DF8" w14:paraId="6AAEE887" w14:textId="77777777" w:rsidTr="60B71DAC">
        <w:tc>
          <w:tcPr>
            <w:tcW w:w="9750" w:type="dxa"/>
            <w:gridSpan w:val="3"/>
          </w:tcPr>
          <w:p w14:paraId="12EA96FA" w14:textId="77CE8D26" w:rsidR="003B15ED" w:rsidRDefault="26691B96" w:rsidP="00CA38DC">
            <w:pPr>
              <w:pStyle w:val="NoSpacing"/>
              <w:numPr>
                <w:ilvl w:val="0"/>
                <w:numId w:val="4"/>
              </w:numPr>
            </w:pPr>
            <w:r>
              <w:t>Anything previously funded by state or local funds</w:t>
            </w:r>
          </w:p>
          <w:p w14:paraId="5ECBB55B" w14:textId="35C17706" w:rsidR="14442499" w:rsidRDefault="14442499" w:rsidP="60B71DAC">
            <w:pPr>
              <w:pStyle w:val="NoSpacing"/>
              <w:numPr>
                <w:ilvl w:val="0"/>
                <w:numId w:val="4"/>
              </w:numPr>
            </w:pPr>
            <w:r w:rsidRPr="60B71DAC">
              <w:t>Purchase of weapons and/or training in the use of a dangerous weapon</w:t>
            </w:r>
          </w:p>
          <w:p w14:paraId="6B547DFC" w14:textId="5D22963D" w:rsidR="00244DF8" w:rsidRDefault="3AAC7765" w:rsidP="00CA38DC">
            <w:pPr>
              <w:pStyle w:val="NoSpacing"/>
              <w:numPr>
                <w:ilvl w:val="0"/>
                <w:numId w:val="4"/>
              </w:numPr>
            </w:pPr>
            <w:r>
              <w:t xml:space="preserve">Transportation to </w:t>
            </w:r>
            <w:r w:rsidR="4C41EE71">
              <w:t>programs not funded by Title IV</w:t>
            </w:r>
            <w:r w:rsidR="75466673">
              <w:t>A</w:t>
            </w:r>
          </w:p>
          <w:p w14:paraId="71B9713F" w14:textId="1B7545F3" w:rsidR="00991C34" w:rsidRDefault="793B24C0" w:rsidP="00CA38DC">
            <w:pPr>
              <w:pStyle w:val="NoSpacing"/>
              <w:numPr>
                <w:ilvl w:val="0"/>
                <w:numId w:val="4"/>
              </w:numPr>
            </w:pPr>
            <w:r>
              <w:t>Stipends for parents or students to participate in Title IV</w:t>
            </w:r>
            <w:r w:rsidR="75466673">
              <w:t>A</w:t>
            </w:r>
            <w:r>
              <w:t xml:space="preserve"> activities</w:t>
            </w:r>
          </w:p>
          <w:p w14:paraId="265E71BF" w14:textId="74F6D10D" w:rsidR="00E348BC" w:rsidRDefault="74CB1545" w:rsidP="000E0A5B">
            <w:pPr>
              <w:pStyle w:val="NoSpacing"/>
              <w:numPr>
                <w:ilvl w:val="0"/>
                <w:numId w:val="4"/>
              </w:numPr>
            </w:pPr>
            <w:r>
              <w:t>Technology or devices to support activities/programs required to be provided under state or local rule or policy</w:t>
            </w:r>
          </w:p>
          <w:p w14:paraId="5B9F3B4E" w14:textId="77777777" w:rsidR="009865FE" w:rsidRDefault="095EBA01" w:rsidP="00CA38DC">
            <w:pPr>
              <w:pStyle w:val="NoSpacing"/>
              <w:numPr>
                <w:ilvl w:val="0"/>
                <w:numId w:val="4"/>
              </w:numPr>
            </w:pPr>
            <w:r>
              <w:t>Medical supplies that are required to be provided by the district/school</w:t>
            </w:r>
          </w:p>
          <w:p w14:paraId="099A7098" w14:textId="77777777" w:rsidR="00ED5E2F" w:rsidRDefault="678AC9C6" w:rsidP="00CA38DC">
            <w:pPr>
              <w:pStyle w:val="NoSpacing"/>
              <w:numPr>
                <w:ilvl w:val="0"/>
                <w:numId w:val="4"/>
              </w:numPr>
            </w:pPr>
            <w:r>
              <w:t>Standing desks and other furniture</w:t>
            </w:r>
          </w:p>
          <w:p w14:paraId="31D02FB3" w14:textId="2FB9AACE" w:rsidR="00BF3D00" w:rsidRDefault="76CB2720" w:rsidP="00CA38DC">
            <w:pPr>
              <w:pStyle w:val="NoSpacing"/>
              <w:numPr>
                <w:ilvl w:val="0"/>
                <w:numId w:val="4"/>
              </w:numPr>
            </w:pPr>
            <w:r>
              <w:t>Construction</w:t>
            </w:r>
          </w:p>
          <w:p w14:paraId="564FF11C" w14:textId="488C2405" w:rsidR="34E44BAB" w:rsidRDefault="70B9987B" w:rsidP="500668C8">
            <w:pPr>
              <w:pStyle w:val="NoSpacing"/>
              <w:numPr>
                <w:ilvl w:val="0"/>
                <w:numId w:val="4"/>
              </w:numPr>
            </w:pPr>
            <w:r>
              <w:t>Section 4001(b) in general, requires prior written informed parent consent of children under 18 years of age to participate in any mental-health assessment or service funded under this title.</w:t>
            </w:r>
          </w:p>
          <w:p w14:paraId="66FA7016" w14:textId="1FA4522F" w:rsidR="34E44BAB" w:rsidRDefault="70B9987B" w:rsidP="500668C8">
            <w:pPr>
              <w:pStyle w:val="NoSpacing"/>
              <w:numPr>
                <w:ilvl w:val="0"/>
                <w:numId w:val="4"/>
              </w:numPr>
            </w:pPr>
            <w:r>
              <w:t>Section 4001(c) in general prohibits activities or programming that encourages teenage sexual activity.</w:t>
            </w:r>
          </w:p>
          <w:p w14:paraId="7FC2AE8A" w14:textId="27231B46" w:rsidR="008171FD" w:rsidRPr="00CA38DC" w:rsidRDefault="70B9987B" w:rsidP="00BF3D00">
            <w:pPr>
              <w:pStyle w:val="NoSpacing"/>
              <w:numPr>
                <w:ilvl w:val="0"/>
                <w:numId w:val="4"/>
              </w:numPr>
            </w:pPr>
            <w:r>
              <w:t xml:space="preserve">Section 8256 prohibits the uses of funds for construction, renovation and repair of school facilities, transportation, distribution of materials or programs that promote sexual activity, distribution of legally obscene materials, sex or HIV prevention education unless </w:t>
            </w:r>
            <w:r w:rsidR="461B16A3">
              <w:t>age-appropriate</w:t>
            </w:r>
            <w:r>
              <w:t xml:space="preserve"> including benefits of abstinence or the operation of a program of contraceptive distribution.</w:t>
            </w:r>
          </w:p>
        </w:tc>
      </w:tr>
    </w:tbl>
    <w:p w14:paraId="25852EAF" w14:textId="6B6C7DDC" w:rsidR="00941812" w:rsidRPr="002E290E" w:rsidRDefault="00401E87" w:rsidP="00941812">
      <w:pPr>
        <w:pStyle w:val="Heading1"/>
        <w:shd w:val="clear" w:color="auto" w:fill="DBE5F1" w:themeFill="accent1" w:themeFillTint="33"/>
        <w:ind w:left="0"/>
        <w:rPr>
          <w:b/>
          <w:bCs/>
          <w:sz w:val="22"/>
          <w:szCs w:val="22"/>
        </w:rPr>
      </w:pPr>
      <w:bookmarkStart w:id="11" w:name="_Toc717310258"/>
      <w:r>
        <w:rPr>
          <w:b/>
          <w:bCs/>
          <w:sz w:val="22"/>
          <w:szCs w:val="22"/>
          <w:shd w:val="clear" w:color="auto" w:fill="D9E1F3"/>
        </w:rPr>
        <w:lastRenderedPageBreak/>
        <w:t xml:space="preserve">Program Evaluation and </w:t>
      </w:r>
      <w:r w:rsidR="002D684B" w:rsidRPr="500668C8">
        <w:rPr>
          <w:b/>
          <w:bCs/>
          <w:sz w:val="22"/>
          <w:szCs w:val="22"/>
          <w:shd w:val="clear" w:color="auto" w:fill="D9E1F3"/>
        </w:rPr>
        <w:t>Data Collection</w:t>
      </w:r>
      <w:bookmarkEnd w:id="11"/>
    </w:p>
    <w:p w14:paraId="5AD2FF91" w14:textId="227AC690" w:rsidR="009457D3" w:rsidRDefault="73859CFE" w:rsidP="00272A2F">
      <w:pPr>
        <w:spacing w:before="240" w:after="240"/>
      </w:pPr>
      <w:r>
        <w:t>I</w:t>
      </w:r>
      <w:r w:rsidR="52861F2F">
        <w:t>n the Title IV</w:t>
      </w:r>
      <w:r w:rsidR="2237A1A6">
        <w:t>A</w:t>
      </w:r>
      <w:r w:rsidR="52861F2F">
        <w:t xml:space="preserve"> application, LEAs are required to identify a</w:t>
      </w:r>
      <w:r w:rsidR="13B8B9E2">
        <w:t>t least one</w:t>
      </w:r>
      <w:r w:rsidR="52861F2F">
        <w:t xml:space="preserve"> specific and measurable goal that will </w:t>
      </w:r>
      <w:r>
        <w:t>be used</w:t>
      </w:r>
      <w:r w:rsidR="52861F2F">
        <w:t xml:space="preserve"> to determine the effectiveness for each Title IV</w:t>
      </w:r>
      <w:r>
        <w:t>A</w:t>
      </w:r>
      <w:r w:rsidR="52861F2F">
        <w:t xml:space="preserve">-funded activity. If a goal provided by the </w:t>
      </w:r>
      <w:r>
        <w:t>LEA</w:t>
      </w:r>
      <w:r w:rsidR="52861F2F">
        <w:t xml:space="preserve"> is not specific </w:t>
      </w:r>
      <w:r>
        <w:t xml:space="preserve">enough </w:t>
      </w:r>
      <w:r w:rsidR="52861F2F">
        <w:t>or measurable, DESE may ask them to re</w:t>
      </w:r>
      <w:r>
        <w:t>vise</w:t>
      </w:r>
      <w:r w:rsidR="52861F2F">
        <w:t xml:space="preserve"> and re-submit the goal. </w:t>
      </w:r>
      <w:r w:rsidR="2A7CBA7D">
        <w:t xml:space="preserve">LEAs are required to evaluate </w:t>
      </w:r>
      <w:r w:rsidR="0861276C">
        <w:t>the activities funded by Title IVA to determine</w:t>
      </w:r>
      <w:r w:rsidR="10613D8B">
        <w:t xml:space="preserve"> </w:t>
      </w:r>
      <w:r w:rsidR="5C44A3EE">
        <w:t xml:space="preserve">effectiveness. </w:t>
      </w:r>
      <w:r w:rsidR="7B90D672">
        <w:t xml:space="preserve">Based on the analysis of the </w:t>
      </w:r>
      <w:r w:rsidR="6C5BFDAA">
        <w:t>data</w:t>
      </w:r>
      <w:r w:rsidR="7B90D672">
        <w:t>, LEAs should determine if the activities should be continued, modified, or discontinued</w:t>
      </w:r>
      <w:r w:rsidR="6C5BFDAA">
        <w:t>.</w:t>
      </w:r>
    </w:p>
    <w:p w14:paraId="1DBE0AD3" w14:textId="3019D7AE" w:rsidR="00F0521D" w:rsidRPr="00F0521D" w:rsidRDefault="00F0521D" w:rsidP="00272A2F">
      <w:pPr>
        <w:spacing w:before="240" w:after="240"/>
      </w:pPr>
      <w:r w:rsidRPr="00080CFC">
        <w:t xml:space="preserve">Section 4104 (a)(2) of ESSA requires that the </w:t>
      </w:r>
      <w:r>
        <w:t xml:space="preserve">SEA </w:t>
      </w:r>
      <w:r w:rsidRPr="00080CFC">
        <w:t>publicly report "how funds made available under this subpart are being expended by local education agencies, including the degree to which the local educational agencies have made progress toward meeting the objectives and outcomes described in section 4106 (e)(1)(E)</w:t>
      </w:r>
      <w:r>
        <w:t>”.</w:t>
      </w:r>
    </w:p>
    <w:p w14:paraId="607705B5" w14:textId="77181F8F" w:rsidR="001D0122" w:rsidRDefault="73859CFE" w:rsidP="001D0122">
      <w:pPr>
        <w:spacing w:before="240" w:after="240"/>
      </w:pPr>
      <w:r>
        <w:t>At the end of the grant’s period of performance (</w:t>
      </w:r>
      <w:r w:rsidR="12771C6C">
        <w:t>September 30</w:t>
      </w:r>
      <w:r w:rsidR="0B5F4B92" w:rsidRPr="006E3A9F">
        <w:rPr>
          <w:vertAlign w:val="superscript"/>
        </w:rPr>
        <w:t>th</w:t>
      </w:r>
      <w:r w:rsidR="0B5F4B92">
        <w:t xml:space="preserve"> </w:t>
      </w:r>
      <w:r w:rsidR="12771C6C">
        <w:t xml:space="preserve">of </w:t>
      </w:r>
      <w:r w:rsidR="0B5F4B92">
        <w:t>year 3</w:t>
      </w:r>
      <w:r>
        <w:t>), the SEA must compile data from LEAs including</w:t>
      </w:r>
      <w:r w:rsidR="006C04CD">
        <w:rPr>
          <w:rStyle w:val="FootnoteReference"/>
        </w:rPr>
        <w:footnoteReference w:id="4"/>
      </w:r>
      <w:r>
        <w:t>:</w:t>
      </w:r>
    </w:p>
    <w:p w14:paraId="62740BAF" w14:textId="722CE897" w:rsidR="003B5077" w:rsidRDefault="001D0122" w:rsidP="00F0521D">
      <w:pPr>
        <w:pStyle w:val="ListParagraph"/>
        <w:numPr>
          <w:ilvl w:val="0"/>
          <w:numId w:val="9"/>
        </w:numPr>
        <w:spacing w:before="240" w:after="240"/>
        <w:ind w:left="720"/>
      </w:pPr>
      <w:r>
        <w:t>t</w:t>
      </w:r>
      <w:r w:rsidRPr="001D0122">
        <w:t>he amount of funds spent by content area</w:t>
      </w:r>
      <w:r w:rsidR="00F0521D">
        <w:t xml:space="preserve">: </w:t>
      </w:r>
      <w:r w:rsidRPr="001D0122">
        <w:t>well-rounded</w:t>
      </w:r>
      <w:r>
        <w:t xml:space="preserve"> education</w:t>
      </w:r>
      <w:r w:rsidRPr="001D0122">
        <w:t>, safe and healthy</w:t>
      </w:r>
      <w:r>
        <w:t xml:space="preserve"> students</w:t>
      </w:r>
      <w:r w:rsidRPr="001D0122">
        <w:t>, and effective use of technology</w:t>
      </w:r>
      <w:r w:rsidR="0046401C">
        <w:t>,</w:t>
      </w:r>
    </w:p>
    <w:p w14:paraId="11E4E864" w14:textId="6230E275" w:rsidR="001D0122" w:rsidRDefault="001D0122" w:rsidP="001D0122">
      <w:pPr>
        <w:pStyle w:val="ListParagraph"/>
        <w:numPr>
          <w:ilvl w:val="0"/>
          <w:numId w:val="8"/>
        </w:numPr>
        <w:spacing w:before="240" w:after="240"/>
      </w:pPr>
      <w:r>
        <w:t xml:space="preserve">whether the LEAs </w:t>
      </w:r>
      <w:r w:rsidR="00826AED">
        <w:t xml:space="preserve">with Title IVA allocations </w:t>
      </w:r>
      <w:r w:rsidR="00AB00E0">
        <w:t xml:space="preserve">of </w:t>
      </w:r>
      <w:r w:rsidR="00826AED">
        <w:t xml:space="preserve">$30,000 or more, </w:t>
      </w:r>
      <w:r>
        <w:t>met the</w:t>
      </w:r>
      <w:r w:rsidRPr="001D0122">
        <w:t xml:space="preserve"> expenditure requirements (</w:t>
      </w:r>
      <w:r>
        <w:t xml:space="preserve">at least </w:t>
      </w:r>
      <w:r w:rsidRPr="001D0122">
        <w:t>20%</w:t>
      </w:r>
      <w:r>
        <w:t xml:space="preserve"> in well-rounded education</w:t>
      </w:r>
      <w:r w:rsidRPr="001D0122">
        <w:t xml:space="preserve">, </w:t>
      </w:r>
      <w:r>
        <w:t xml:space="preserve">at least </w:t>
      </w:r>
      <w:r w:rsidRPr="001D0122">
        <w:t>20%</w:t>
      </w:r>
      <w:r>
        <w:t xml:space="preserve"> in safe and healthy students</w:t>
      </w:r>
      <w:r w:rsidRPr="001D0122">
        <w:t xml:space="preserve">, </w:t>
      </w:r>
      <w:r>
        <w:t>and greater than $0 in effective use of technology</w:t>
      </w:r>
      <w:r w:rsidRPr="001D0122">
        <w:t>)</w:t>
      </w:r>
      <w:r w:rsidR="0046401C">
        <w:t>, and</w:t>
      </w:r>
    </w:p>
    <w:p w14:paraId="11E43301" w14:textId="78C4193D" w:rsidR="006C04CD" w:rsidRDefault="0046401C" w:rsidP="001D0122">
      <w:pPr>
        <w:pStyle w:val="ListParagraph"/>
        <w:numPr>
          <w:ilvl w:val="0"/>
          <w:numId w:val="8"/>
        </w:numPr>
        <w:spacing w:before="240" w:after="240"/>
      </w:pPr>
      <w:r>
        <w:t xml:space="preserve">the </w:t>
      </w:r>
      <w:r w:rsidR="006C04CD" w:rsidRPr="006C04CD">
        <w:t xml:space="preserve">progress towards meeting </w:t>
      </w:r>
      <w:r w:rsidR="006C04CD">
        <w:t xml:space="preserve">each </w:t>
      </w:r>
      <w:r w:rsidR="006C04CD" w:rsidRPr="006C04CD">
        <w:t xml:space="preserve">objective and outcome </w:t>
      </w:r>
      <w:r>
        <w:t xml:space="preserve">identified </w:t>
      </w:r>
      <w:r w:rsidR="006C04CD" w:rsidRPr="006C04CD">
        <w:t xml:space="preserve">in </w:t>
      </w:r>
      <w:r w:rsidR="006C04CD">
        <w:t xml:space="preserve">the LEA’s </w:t>
      </w:r>
      <w:r w:rsidR="006C04CD" w:rsidRPr="006C04CD">
        <w:t>approved application</w:t>
      </w:r>
      <w:r w:rsidR="006C04CD">
        <w:t>.</w:t>
      </w:r>
    </w:p>
    <w:p w14:paraId="7CD6CE51" w14:textId="678A903E" w:rsidR="006D7D13" w:rsidRPr="002E290E" w:rsidRDefault="006D7D13" w:rsidP="006D7D13">
      <w:pPr>
        <w:pStyle w:val="Heading1"/>
        <w:shd w:val="clear" w:color="auto" w:fill="DBE5F1" w:themeFill="accent1" w:themeFillTint="33"/>
        <w:ind w:left="0"/>
        <w:rPr>
          <w:b/>
          <w:bCs/>
          <w:sz w:val="22"/>
          <w:szCs w:val="22"/>
        </w:rPr>
      </w:pPr>
      <w:bookmarkStart w:id="12" w:name="_Toc1715862716"/>
      <w:r>
        <w:rPr>
          <w:b/>
          <w:bCs/>
          <w:sz w:val="22"/>
          <w:szCs w:val="22"/>
          <w:shd w:val="clear" w:color="auto" w:fill="D9E1F3"/>
        </w:rPr>
        <w:t>Frequently Asked Questions about Title IV</w:t>
      </w:r>
      <w:r w:rsidR="00483D39">
        <w:rPr>
          <w:b/>
          <w:bCs/>
          <w:sz w:val="22"/>
          <w:szCs w:val="22"/>
          <w:shd w:val="clear" w:color="auto" w:fill="D9E1F3"/>
        </w:rPr>
        <w:t>A</w:t>
      </w:r>
      <w:bookmarkEnd w:id="12"/>
    </w:p>
    <w:p w14:paraId="65DE2505" w14:textId="77777777" w:rsidR="006D7D13" w:rsidRDefault="006D7D13" w:rsidP="006D7D13">
      <w:pPr>
        <w:pStyle w:val="NoSpacing"/>
      </w:pPr>
    </w:p>
    <w:p w14:paraId="482DA04A" w14:textId="051376D9" w:rsidR="00006612" w:rsidRPr="00006612" w:rsidRDefault="00006612" w:rsidP="00006612">
      <w:pPr>
        <w:widowControl/>
        <w:autoSpaceDE/>
        <w:autoSpaceDN/>
        <w:spacing w:after="160" w:line="259" w:lineRule="auto"/>
        <w:rPr>
          <w:rFonts w:cs="Times New Roman"/>
          <w:b/>
          <w:bCs/>
        </w:rPr>
      </w:pPr>
      <w:r w:rsidRPr="3D39B83B">
        <w:rPr>
          <w:rFonts w:cs="Times New Roman"/>
          <w:b/>
          <w:bCs/>
        </w:rPr>
        <w:t>May an LEA use a single activity to address more than one of the three SSAE program content areas (i.e., well-rounded education, safe and healthy students, effective uses of technology)?</w:t>
      </w:r>
    </w:p>
    <w:p w14:paraId="196B17C5" w14:textId="015846BC" w:rsidR="00006612" w:rsidRPr="00006612" w:rsidRDefault="3041E993" w:rsidP="00006612">
      <w:pPr>
        <w:widowControl/>
        <w:autoSpaceDE/>
        <w:autoSpaceDN/>
        <w:spacing w:after="160" w:line="259" w:lineRule="auto"/>
        <w:rPr>
          <w:rFonts w:cs="Times New Roman"/>
        </w:rPr>
      </w:pPr>
      <w:r w:rsidRPr="60B71DAC">
        <w:rPr>
          <w:rFonts w:cs="Times New Roman"/>
        </w:rPr>
        <w:t>There may be certain activities an LEA wishes to fund that could fit into more than one of the SSAE program content areas</w:t>
      </w:r>
      <w:r w:rsidR="26517BF3" w:rsidRPr="60B71DAC">
        <w:rPr>
          <w:rFonts w:cs="Times New Roman"/>
        </w:rPr>
        <w:t xml:space="preserve">. </w:t>
      </w:r>
      <w:r w:rsidRPr="60B71DAC">
        <w:rPr>
          <w:rFonts w:cs="Times New Roman"/>
        </w:rPr>
        <w:t xml:space="preserve">For example, a student trauma recovery program that utilizes student performance art could be categorized in either the safe and healthy students content area (ESEA section 4108) or the well-rounded education content area (ESEA section 4107) and could be used to satisfy expenditures requirements in both areas. In such cases, the LEA should explain in its application to the SEA how the activity fits in more than one content area. The SEA will ultimately approve or disapprove </w:t>
      </w:r>
      <w:r w:rsidR="6C120FDE" w:rsidRPr="60B71DAC">
        <w:rPr>
          <w:rFonts w:cs="Times New Roman"/>
        </w:rPr>
        <w:t xml:space="preserve">of </w:t>
      </w:r>
      <w:r w:rsidRPr="60B71DAC">
        <w:rPr>
          <w:rFonts w:cs="Times New Roman"/>
        </w:rPr>
        <w:t>the activity through its application approval process consistent with relevant statutory application requirements.</w:t>
      </w:r>
    </w:p>
    <w:p w14:paraId="3C7B8EB9" w14:textId="7233DC3A" w:rsidR="00006612" w:rsidRPr="00006612" w:rsidRDefault="00006612" w:rsidP="00006612">
      <w:pPr>
        <w:widowControl/>
        <w:autoSpaceDE/>
        <w:autoSpaceDN/>
        <w:spacing w:after="160" w:line="259" w:lineRule="auto"/>
        <w:rPr>
          <w:rFonts w:cs="Times New Roman"/>
          <w:b/>
          <w:bCs/>
        </w:rPr>
      </w:pPr>
      <w:r w:rsidRPr="3D39B83B">
        <w:rPr>
          <w:rFonts w:cs="Times New Roman"/>
          <w:b/>
          <w:bCs/>
        </w:rPr>
        <w:t>Must an LEA distribute Title IV</w:t>
      </w:r>
      <w:r w:rsidR="008819D8" w:rsidRPr="3D39B83B">
        <w:rPr>
          <w:rFonts w:cs="Times New Roman"/>
          <w:b/>
          <w:bCs/>
        </w:rPr>
        <w:t>A</w:t>
      </w:r>
      <w:r w:rsidRPr="3D39B83B">
        <w:rPr>
          <w:rFonts w:cs="Times New Roman"/>
          <w:b/>
          <w:bCs/>
        </w:rPr>
        <w:t xml:space="preserve"> program funds to each of its schools? </w:t>
      </w:r>
    </w:p>
    <w:p w14:paraId="6B1F24D9" w14:textId="3CF4E1DA" w:rsidR="00006612" w:rsidRPr="00006612" w:rsidRDefault="00006612" w:rsidP="00006612">
      <w:pPr>
        <w:widowControl/>
        <w:autoSpaceDE/>
        <w:autoSpaceDN/>
        <w:spacing w:after="160" w:line="259" w:lineRule="auto"/>
        <w:rPr>
          <w:rFonts w:cs="Times New Roman"/>
        </w:rPr>
      </w:pPr>
      <w:r w:rsidRPr="3D39B83B">
        <w:rPr>
          <w:rFonts w:cs="Times New Roman"/>
        </w:rPr>
        <w:t>No.</w:t>
      </w:r>
      <w:r w:rsidR="008031F7" w:rsidRPr="3D39B83B">
        <w:rPr>
          <w:rFonts w:cs="Times New Roman"/>
        </w:rPr>
        <w:t xml:space="preserve"> </w:t>
      </w:r>
      <w:r w:rsidRPr="3D39B83B">
        <w:rPr>
          <w:rFonts w:cs="Times New Roman"/>
        </w:rPr>
        <w:t>An LEA is not required to distribute SSAE program funds to each of its schools.</w:t>
      </w:r>
      <w:r w:rsidR="00D5568B" w:rsidRPr="3D39B83B">
        <w:rPr>
          <w:rFonts w:cs="Times New Roman"/>
        </w:rPr>
        <w:t xml:space="preserve"> In prioritizing the distribution of funds, an LEA that provides district-wide services with the SSAE program funds must focus those services on schools with the greatest need identified in ESEA section 4106(e)(2)(A) </w:t>
      </w:r>
      <w:r w:rsidRPr="3D39B83B">
        <w:rPr>
          <w:rFonts w:cs="Times New Roman"/>
        </w:rPr>
        <w:t xml:space="preserve">and must implement the SSAE program consistent with all relevant statutory requirements. </w:t>
      </w:r>
    </w:p>
    <w:p w14:paraId="24D58A47" w14:textId="129D507D" w:rsidR="00006612" w:rsidRPr="00006612" w:rsidRDefault="00006612" w:rsidP="00006612">
      <w:pPr>
        <w:widowControl/>
        <w:autoSpaceDE/>
        <w:autoSpaceDN/>
        <w:spacing w:after="160" w:line="259" w:lineRule="auto"/>
        <w:rPr>
          <w:rFonts w:cs="Times New Roman"/>
          <w:b/>
          <w:bCs/>
        </w:rPr>
      </w:pPr>
      <w:r w:rsidRPr="60AC34D4">
        <w:rPr>
          <w:rFonts w:cs="Times New Roman"/>
          <w:b/>
          <w:bCs/>
        </w:rPr>
        <w:lastRenderedPageBreak/>
        <w:t>Can Title IV</w:t>
      </w:r>
      <w:r w:rsidR="005013B2" w:rsidRPr="60AC34D4">
        <w:rPr>
          <w:rFonts w:cs="Times New Roman"/>
          <w:b/>
          <w:bCs/>
        </w:rPr>
        <w:t>A</w:t>
      </w:r>
      <w:r w:rsidRPr="60AC34D4">
        <w:rPr>
          <w:rFonts w:cs="Times New Roman"/>
          <w:b/>
          <w:bCs/>
        </w:rPr>
        <w:t xml:space="preserve"> funds be flexed </w:t>
      </w:r>
      <w:r w:rsidR="3CA8429D" w:rsidRPr="60AC34D4">
        <w:rPr>
          <w:rFonts w:cs="Times New Roman"/>
          <w:b/>
          <w:bCs/>
        </w:rPr>
        <w:t>in</w:t>
      </w:r>
      <w:r w:rsidRPr="60AC34D4">
        <w:rPr>
          <w:rFonts w:cs="Times New Roman"/>
          <w:b/>
          <w:bCs/>
        </w:rPr>
        <w:t>to other ESSA Title grants?</w:t>
      </w:r>
    </w:p>
    <w:p w14:paraId="2F267992" w14:textId="56A2B82E" w:rsidR="00006612" w:rsidRPr="00006612" w:rsidRDefault="3041E993" w:rsidP="00006612">
      <w:pPr>
        <w:widowControl/>
        <w:autoSpaceDE/>
        <w:autoSpaceDN/>
        <w:spacing w:after="160" w:line="259" w:lineRule="auto"/>
        <w:rPr>
          <w:rFonts w:cs="Times New Roman"/>
        </w:rPr>
      </w:pPr>
      <w:r w:rsidRPr="60B71DAC">
        <w:rPr>
          <w:rFonts w:cs="Times New Roman"/>
        </w:rPr>
        <w:t xml:space="preserve">Yes, a district may flex </w:t>
      </w:r>
      <w:r w:rsidR="3A16D50D" w:rsidRPr="60B71DAC">
        <w:rPr>
          <w:rFonts w:cs="Times New Roman"/>
        </w:rPr>
        <w:t>a</w:t>
      </w:r>
      <w:r w:rsidRPr="60B71DAC">
        <w:rPr>
          <w:rFonts w:cs="Times New Roman"/>
        </w:rPr>
        <w:t xml:space="preserve"> portion or the entirety of their Title IV</w:t>
      </w:r>
      <w:r w:rsidR="3A16D50D" w:rsidRPr="60B71DAC">
        <w:rPr>
          <w:rFonts w:cs="Times New Roman"/>
        </w:rPr>
        <w:t>A</w:t>
      </w:r>
      <w:r w:rsidRPr="60B71DAC">
        <w:rPr>
          <w:rFonts w:cs="Times New Roman"/>
        </w:rPr>
        <w:t xml:space="preserve"> allocation into either Title I</w:t>
      </w:r>
      <w:r w:rsidR="1BCB53F6" w:rsidRPr="60B71DAC">
        <w:rPr>
          <w:rFonts w:cs="Times New Roman"/>
        </w:rPr>
        <w:t xml:space="preserve">, </w:t>
      </w:r>
      <w:r w:rsidRPr="60B71DAC">
        <w:rPr>
          <w:rFonts w:cs="Times New Roman"/>
        </w:rPr>
        <w:t>Title II</w:t>
      </w:r>
      <w:r w:rsidR="3A16D50D" w:rsidRPr="60B71DAC">
        <w:rPr>
          <w:rFonts w:cs="Times New Roman"/>
        </w:rPr>
        <w:t>A</w:t>
      </w:r>
      <w:r w:rsidR="0446D1AF" w:rsidRPr="60B71DAC">
        <w:rPr>
          <w:rFonts w:cs="Times New Roman"/>
        </w:rPr>
        <w:t>, and/or Title III</w:t>
      </w:r>
      <w:r w:rsidRPr="60B71DAC">
        <w:rPr>
          <w:rFonts w:cs="Times New Roman"/>
        </w:rPr>
        <w:t xml:space="preserve">. Please keep in mind that an LEA must consult with their private school officials prior to any </w:t>
      </w:r>
      <w:r w:rsidR="6525864E" w:rsidRPr="60B71DAC">
        <w:rPr>
          <w:rFonts w:cs="Times New Roman"/>
        </w:rPr>
        <w:t>flexing</w:t>
      </w:r>
      <w:r w:rsidR="51B43992" w:rsidRPr="60B71DAC">
        <w:rPr>
          <w:rFonts w:cs="Times New Roman"/>
        </w:rPr>
        <w:t>,</w:t>
      </w:r>
      <w:r w:rsidRPr="60B71DAC">
        <w:rPr>
          <w:rFonts w:cs="Times New Roman"/>
        </w:rPr>
        <w:t xml:space="preserve"> as the amount of the equitable share</w:t>
      </w:r>
      <w:r w:rsidR="51B43992" w:rsidRPr="60B71DAC">
        <w:rPr>
          <w:rFonts w:cs="Times New Roman"/>
        </w:rPr>
        <w:t xml:space="preserve"> for nonpublic schools</w:t>
      </w:r>
      <w:r w:rsidRPr="60B71DAC">
        <w:rPr>
          <w:rFonts w:cs="Times New Roman"/>
        </w:rPr>
        <w:t xml:space="preserve"> w</w:t>
      </w:r>
      <w:r w:rsidR="107AB721" w:rsidRPr="60B71DAC">
        <w:rPr>
          <w:rFonts w:cs="Times New Roman"/>
        </w:rPr>
        <w:t>ould</w:t>
      </w:r>
      <w:r w:rsidRPr="60B71DAC">
        <w:rPr>
          <w:rFonts w:cs="Times New Roman"/>
        </w:rPr>
        <w:t xml:space="preserve"> change</w:t>
      </w:r>
      <w:r w:rsidR="107AB721" w:rsidRPr="60B71DAC">
        <w:rPr>
          <w:rFonts w:cs="Times New Roman"/>
        </w:rPr>
        <w:t xml:space="preserve"> if funds were flexed</w:t>
      </w:r>
      <w:r w:rsidRPr="60B71DAC">
        <w:rPr>
          <w:rFonts w:cs="Times New Roman"/>
        </w:rPr>
        <w:t xml:space="preserve">; however, the final decision about whether to </w:t>
      </w:r>
      <w:r w:rsidR="6525864E" w:rsidRPr="60B71DAC">
        <w:rPr>
          <w:rFonts w:cs="Times New Roman"/>
        </w:rPr>
        <w:t>flex</w:t>
      </w:r>
      <w:r w:rsidRPr="60B71DAC">
        <w:rPr>
          <w:rFonts w:cs="Times New Roman"/>
        </w:rPr>
        <w:t xml:space="preserve"> funds remains with the LEA.</w:t>
      </w:r>
    </w:p>
    <w:p w14:paraId="72129D38" w14:textId="2E35DEAE" w:rsidR="00006612" w:rsidRPr="00006612" w:rsidRDefault="00006612" w:rsidP="00006612">
      <w:pPr>
        <w:widowControl/>
        <w:autoSpaceDE/>
        <w:autoSpaceDN/>
        <w:spacing w:after="160" w:line="259" w:lineRule="auto"/>
        <w:rPr>
          <w:rFonts w:cs="Times New Roman"/>
          <w:b/>
          <w:bCs/>
        </w:rPr>
      </w:pPr>
      <w:r w:rsidRPr="00006612">
        <w:rPr>
          <w:rFonts w:cs="Times New Roman"/>
          <w:b/>
          <w:bCs/>
        </w:rPr>
        <w:t>If only a portion of the Title IVA allocation is flexed into another allowable federal program, making funds available less than $30,000, is the LEA required to follow Title IVA special rules?</w:t>
      </w:r>
    </w:p>
    <w:p w14:paraId="4F265C9D" w14:textId="71633E99" w:rsidR="00006612" w:rsidRPr="00006612" w:rsidRDefault="3041E993" w:rsidP="00006612">
      <w:pPr>
        <w:widowControl/>
        <w:autoSpaceDE/>
        <w:autoSpaceDN/>
        <w:spacing w:after="160" w:line="259" w:lineRule="auto"/>
        <w:rPr>
          <w:rFonts w:cs="Times New Roman"/>
        </w:rPr>
      </w:pPr>
      <w:r w:rsidRPr="60B71DAC">
        <w:rPr>
          <w:rFonts w:cs="Times New Roman"/>
        </w:rPr>
        <w:t>No, if a flex of funds leaves less than $30,000 in the Title IVA grant application, the LEA is not required to meet the 20 percent of funds for activities to support well-rounded educational opportunities, 20 percent of funds for activities to support safe and healthy students and at least some funds toward the effective use of technology. However, the LEA is required to have completed a comprehensive needs assessment with consultation prior to making the decision.</w:t>
      </w:r>
    </w:p>
    <w:p w14:paraId="57335284" w14:textId="59F16834" w:rsidR="0A6175E0" w:rsidRDefault="0A6175E0" w:rsidP="60B71DAC">
      <w:pPr>
        <w:widowControl/>
        <w:spacing w:after="160" w:line="259" w:lineRule="auto"/>
        <w:rPr>
          <w:rFonts w:cs="Times New Roman"/>
          <w:b/>
          <w:bCs/>
        </w:rPr>
      </w:pPr>
      <w:r w:rsidRPr="60B71DAC">
        <w:rPr>
          <w:rFonts w:cs="Times New Roman"/>
          <w:b/>
          <w:bCs/>
        </w:rPr>
        <w:t>Can Title IVA fund activities outside of the school day (i.e. before or after school)?</w:t>
      </w:r>
    </w:p>
    <w:p w14:paraId="1592D389" w14:textId="2235FC49" w:rsidR="0A6175E0" w:rsidRDefault="0A6175E0" w:rsidP="60B71DAC">
      <w:pPr>
        <w:widowControl/>
        <w:spacing w:after="160" w:line="259" w:lineRule="auto"/>
        <w:rPr>
          <w:rFonts w:cs="Times New Roman"/>
          <w:b/>
          <w:bCs/>
        </w:rPr>
      </w:pPr>
      <w:r w:rsidRPr="60B71DAC">
        <w:rPr>
          <w:rFonts w:cs="Times New Roman"/>
        </w:rPr>
        <w:t>Yes, activities funded with Title IVA may be outside of the school day.</w:t>
      </w:r>
    </w:p>
    <w:p w14:paraId="0DBBC2D6" w14:textId="4EEFA5B8" w:rsidR="00006612" w:rsidRPr="00006612" w:rsidRDefault="00006612" w:rsidP="00006612">
      <w:pPr>
        <w:widowControl/>
        <w:autoSpaceDE/>
        <w:autoSpaceDN/>
        <w:spacing w:after="160" w:line="259" w:lineRule="auto"/>
        <w:rPr>
          <w:rFonts w:cs="Times New Roman"/>
          <w:b/>
          <w:bCs/>
        </w:rPr>
      </w:pPr>
      <w:r w:rsidRPr="3D39B83B">
        <w:rPr>
          <w:rFonts w:cs="Times New Roman"/>
          <w:b/>
          <w:bCs/>
        </w:rPr>
        <w:t>Improving access to foreign language instruction is included as an allowable cost under Well-Rounded Educational Opportunities</w:t>
      </w:r>
      <w:r w:rsidR="00BE316C" w:rsidRPr="3D39B83B">
        <w:rPr>
          <w:rFonts w:cs="Times New Roman"/>
          <w:b/>
          <w:bCs/>
        </w:rPr>
        <w:t>.</w:t>
      </w:r>
      <w:r w:rsidRPr="3D39B83B">
        <w:rPr>
          <w:rFonts w:cs="Times New Roman"/>
          <w:b/>
          <w:bCs/>
        </w:rPr>
        <w:t xml:space="preserve"> </w:t>
      </w:r>
      <w:r w:rsidR="00BE316C" w:rsidRPr="3D39B83B">
        <w:rPr>
          <w:rFonts w:cs="Times New Roman"/>
          <w:b/>
          <w:bCs/>
        </w:rPr>
        <w:t>D</w:t>
      </w:r>
      <w:r w:rsidRPr="3D39B83B">
        <w:rPr>
          <w:rFonts w:cs="Times New Roman"/>
          <w:b/>
          <w:bCs/>
        </w:rPr>
        <w:t>oes this include providing English language instruction to ELs?</w:t>
      </w:r>
    </w:p>
    <w:p w14:paraId="772E5060" w14:textId="39AC5945" w:rsidR="00006612" w:rsidRPr="00006612" w:rsidRDefault="00006612" w:rsidP="00006612">
      <w:pPr>
        <w:widowControl/>
        <w:autoSpaceDE/>
        <w:autoSpaceDN/>
        <w:spacing w:after="160" w:line="259" w:lineRule="auto"/>
        <w:rPr>
          <w:rFonts w:cs="Times New Roman"/>
        </w:rPr>
      </w:pPr>
      <w:r w:rsidRPr="00006612">
        <w:rPr>
          <w:rFonts w:cs="Times New Roman"/>
        </w:rPr>
        <w:t>No, Title IV</w:t>
      </w:r>
      <w:r w:rsidR="009F4827">
        <w:rPr>
          <w:rFonts w:cs="Times New Roman"/>
        </w:rPr>
        <w:t>A</w:t>
      </w:r>
      <w:r w:rsidRPr="00006612">
        <w:rPr>
          <w:rFonts w:cs="Times New Roman"/>
        </w:rPr>
        <w:t xml:space="preserve"> is intended to be used for foreign language instruction only and may not be used for English language instruction for any students.</w:t>
      </w:r>
    </w:p>
    <w:p w14:paraId="46CE5B66" w14:textId="4C5F0219" w:rsidR="00006612" w:rsidRPr="00006612" w:rsidRDefault="00006612" w:rsidP="00006612">
      <w:pPr>
        <w:widowControl/>
        <w:autoSpaceDE/>
        <w:autoSpaceDN/>
        <w:spacing w:after="160" w:line="259" w:lineRule="auto"/>
        <w:rPr>
          <w:rFonts w:cs="Times New Roman"/>
          <w:b/>
          <w:bCs/>
        </w:rPr>
      </w:pPr>
      <w:r w:rsidRPr="60AC34D4">
        <w:rPr>
          <w:rFonts w:cs="Times New Roman"/>
          <w:b/>
          <w:bCs/>
        </w:rPr>
        <w:t xml:space="preserve">Are funds restricted for new activities or can they be used to enhance or expand current programs/activities? </w:t>
      </w:r>
    </w:p>
    <w:p w14:paraId="759540E0" w14:textId="6F2FE8F7" w:rsidR="00006612" w:rsidRPr="00006612" w:rsidRDefault="3041E993" w:rsidP="00006612">
      <w:pPr>
        <w:widowControl/>
        <w:autoSpaceDE/>
        <w:autoSpaceDN/>
        <w:spacing w:after="160" w:line="259" w:lineRule="auto"/>
        <w:rPr>
          <w:rFonts w:cs="Times New Roman"/>
        </w:rPr>
      </w:pPr>
      <w:r w:rsidRPr="60B71DAC">
        <w:rPr>
          <w:rFonts w:cs="Times New Roman"/>
        </w:rPr>
        <w:t>Funds may enhance or expand current activities but may not supplant current funding sources.</w:t>
      </w:r>
    </w:p>
    <w:p w14:paraId="79E6D5FF" w14:textId="23E986CE" w:rsidR="00006612" w:rsidRPr="00006612" w:rsidRDefault="00006612" w:rsidP="00006612">
      <w:pPr>
        <w:widowControl/>
        <w:autoSpaceDE/>
        <w:autoSpaceDN/>
        <w:spacing w:after="160" w:line="259" w:lineRule="auto"/>
        <w:rPr>
          <w:rFonts w:cs="Times New Roman"/>
          <w:b/>
          <w:bCs/>
        </w:rPr>
      </w:pPr>
      <w:r w:rsidRPr="00006612">
        <w:rPr>
          <w:rFonts w:cs="Times New Roman"/>
          <w:b/>
          <w:bCs/>
        </w:rPr>
        <w:t>Must an LEA spend their entire Title IV</w:t>
      </w:r>
      <w:r w:rsidR="009F4827">
        <w:rPr>
          <w:rFonts w:cs="Times New Roman"/>
          <w:b/>
          <w:bCs/>
        </w:rPr>
        <w:t>A</w:t>
      </w:r>
      <w:r w:rsidRPr="00006612">
        <w:rPr>
          <w:rFonts w:cs="Times New Roman"/>
          <w:b/>
          <w:bCs/>
        </w:rPr>
        <w:t xml:space="preserve"> allocation within the school year that they receive it?</w:t>
      </w:r>
    </w:p>
    <w:p w14:paraId="27AC84F5" w14:textId="4F678248" w:rsidR="00006612" w:rsidRPr="00006612" w:rsidRDefault="3041E993" w:rsidP="00006612">
      <w:pPr>
        <w:widowControl/>
        <w:autoSpaceDE/>
        <w:autoSpaceDN/>
        <w:spacing w:after="160" w:line="259" w:lineRule="auto"/>
        <w:rPr>
          <w:rFonts w:cs="Times New Roman"/>
        </w:rPr>
      </w:pPr>
      <w:r w:rsidRPr="60B71DAC">
        <w:rPr>
          <w:rFonts w:cs="Times New Roman"/>
        </w:rPr>
        <w:t xml:space="preserve">No, </w:t>
      </w:r>
      <w:r w:rsidR="3702E042" w:rsidRPr="60B71DAC">
        <w:rPr>
          <w:rFonts w:cs="Times New Roman"/>
        </w:rPr>
        <w:t xml:space="preserve">although we encourage LEAs to spend funds within the school year they are received, </w:t>
      </w:r>
      <w:r w:rsidRPr="60B71DAC">
        <w:rPr>
          <w:rFonts w:cs="Times New Roman"/>
        </w:rPr>
        <w:t>Title IV</w:t>
      </w:r>
      <w:r w:rsidR="3702E042" w:rsidRPr="60B71DAC">
        <w:rPr>
          <w:rFonts w:cs="Times New Roman"/>
        </w:rPr>
        <w:t>A</w:t>
      </w:r>
      <w:r w:rsidRPr="60B71DAC">
        <w:rPr>
          <w:rFonts w:cs="Times New Roman"/>
        </w:rPr>
        <w:t xml:space="preserve"> funds are part of a 27-month grant </w:t>
      </w:r>
      <w:r w:rsidR="7688E08F" w:rsidRPr="60B71DAC">
        <w:rPr>
          <w:rFonts w:cs="Times New Roman"/>
        </w:rPr>
        <w:t>period of performance</w:t>
      </w:r>
      <w:r w:rsidRPr="60B71DAC">
        <w:rPr>
          <w:rFonts w:cs="Times New Roman"/>
        </w:rPr>
        <w:t xml:space="preserve"> and are not required to be spent within the first school year. If needed, Title I</w:t>
      </w:r>
      <w:r w:rsidR="3702E042" w:rsidRPr="60B71DAC">
        <w:rPr>
          <w:rFonts w:cs="Times New Roman"/>
        </w:rPr>
        <w:t>A</w:t>
      </w:r>
      <w:r w:rsidRPr="60B71DAC">
        <w:rPr>
          <w:rFonts w:cs="Times New Roman"/>
        </w:rPr>
        <w:t xml:space="preserve"> funds can be carried over in their entirety to a second school year. </w:t>
      </w:r>
    </w:p>
    <w:p w14:paraId="20758572" w14:textId="3E62D36C" w:rsidR="00006612" w:rsidRPr="00006612" w:rsidRDefault="00006612" w:rsidP="00006612">
      <w:pPr>
        <w:widowControl/>
        <w:autoSpaceDE/>
        <w:autoSpaceDN/>
        <w:spacing w:after="160" w:line="259" w:lineRule="auto"/>
        <w:rPr>
          <w:rFonts w:cs="Times New Roman"/>
          <w:b/>
          <w:bCs/>
        </w:rPr>
      </w:pPr>
      <w:r w:rsidRPr="00006612">
        <w:rPr>
          <w:rFonts w:cs="Times New Roman"/>
          <w:b/>
          <w:bCs/>
        </w:rPr>
        <w:t>Is Title IV</w:t>
      </w:r>
      <w:r w:rsidR="009F4827">
        <w:rPr>
          <w:rFonts w:cs="Times New Roman"/>
          <w:b/>
          <w:bCs/>
        </w:rPr>
        <w:t>A</w:t>
      </w:r>
      <w:r w:rsidRPr="00006612">
        <w:rPr>
          <w:rFonts w:cs="Times New Roman"/>
          <w:b/>
          <w:bCs/>
        </w:rPr>
        <w:t xml:space="preserve"> included in the ESSA monitoring process?</w:t>
      </w:r>
    </w:p>
    <w:p w14:paraId="578D231B" w14:textId="36175527" w:rsidR="00006612" w:rsidRPr="00006612" w:rsidRDefault="3041E993" w:rsidP="00006612">
      <w:pPr>
        <w:widowControl/>
        <w:autoSpaceDE/>
        <w:autoSpaceDN/>
        <w:spacing w:after="160" w:line="259" w:lineRule="auto"/>
        <w:rPr>
          <w:rFonts w:cs="Times New Roman"/>
        </w:rPr>
      </w:pPr>
      <w:r w:rsidRPr="60B71DAC">
        <w:rPr>
          <w:rFonts w:cs="Times New Roman"/>
        </w:rPr>
        <w:t xml:space="preserve">Yes, every six years, each </w:t>
      </w:r>
      <w:r w:rsidR="3702E042" w:rsidRPr="60B71DAC">
        <w:rPr>
          <w:rFonts w:cs="Times New Roman"/>
        </w:rPr>
        <w:t>LEA</w:t>
      </w:r>
      <w:r w:rsidRPr="60B71DAC">
        <w:rPr>
          <w:rFonts w:cs="Times New Roman"/>
        </w:rPr>
        <w:t xml:space="preserve"> in the Commonwealth is scheduled for a </w:t>
      </w:r>
      <w:hyperlink r:id="rId15">
        <w:r w:rsidR="3702E042" w:rsidRPr="60B71DAC">
          <w:rPr>
            <w:rStyle w:val="Hyperlink"/>
            <w:rFonts w:cs="Times New Roman"/>
          </w:rPr>
          <w:t xml:space="preserve">federal </w:t>
        </w:r>
        <w:r w:rsidRPr="60B71DAC">
          <w:rPr>
            <w:rStyle w:val="Hyperlink"/>
            <w:rFonts w:cs="Times New Roman"/>
          </w:rPr>
          <w:t>program monitoring review</w:t>
        </w:r>
      </w:hyperlink>
      <w:r w:rsidRPr="60B71DAC">
        <w:rPr>
          <w:rFonts w:cs="Times New Roman"/>
        </w:rPr>
        <w:t xml:space="preserve"> of their Title I, Title IIA, and Title IVA federal grant programs authorized by </w:t>
      </w:r>
      <w:bookmarkStart w:id="13" w:name="_Int_Ob6jZabQ"/>
      <w:r w:rsidRPr="60B71DAC">
        <w:rPr>
          <w:rFonts w:cs="Times New Roman"/>
        </w:rPr>
        <w:t>the Every</w:t>
      </w:r>
      <w:bookmarkEnd w:id="13"/>
      <w:r w:rsidRPr="60B71DAC">
        <w:rPr>
          <w:rFonts w:cs="Times New Roman"/>
        </w:rPr>
        <w:t xml:space="preserve"> Student Succeeds Act (ESSA). During this time, </w:t>
      </w:r>
      <w:r w:rsidR="3702E042" w:rsidRPr="60B71DAC">
        <w:rPr>
          <w:rFonts w:cs="Times New Roman"/>
        </w:rPr>
        <w:t>LEAs</w:t>
      </w:r>
      <w:r w:rsidRPr="60B71DAC">
        <w:rPr>
          <w:rFonts w:cs="Times New Roman"/>
        </w:rPr>
        <w:t xml:space="preserve"> will be assessed on different Title IV</w:t>
      </w:r>
      <w:r w:rsidR="3702E042" w:rsidRPr="60B71DAC">
        <w:rPr>
          <w:rFonts w:cs="Times New Roman"/>
        </w:rPr>
        <w:t>A</w:t>
      </w:r>
      <w:r w:rsidRPr="60B71DAC">
        <w:rPr>
          <w:rFonts w:cs="Times New Roman"/>
        </w:rPr>
        <w:t xml:space="preserve"> criteria, including their annual report on fund use, adherence to </w:t>
      </w:r>
      <w:r w:rsidR="4ED43A40" w:rsidRPr="60B71DAC">
        <w:rPr>
          <w:rFonts w:cs="Times New Roman"/>
        </w:rPr>
        <w:t xml:space="preserve">the </w:t>
      </w:r>
      <w:r w:rsidRPr="60B71DAC">
        <w:rPr>
          <w:rFonts w:cs="Times New Roman"/>
        </w:rPr>
        <w:t xml:space="preserve">supplement </w:t>
      </w:r>
      <w:bookmarkStart w:id="14" w:name="_Int_rIlqSWTF"/>
      <w:r w:rsidRPr="60B71DAC">
        <w:rPr>
          <w:rFonts w:cs="Times New Roman"/>
        </w:rPr>
        <w:t>not supplant</w:t>
      </w:r>
      <w:bookmarkEnd w:id="14"/>
      <w:r w:rsidR="4ED43A40" w:rsidRPr="60B71DAC">
        <w:rPr>
          <w:rFonts w:cs="Times New Roman"/>
        </w:rPr>
        <w:t xml:space="preserve"> requirement</w:t>
      </w:r>
      <w:r w:rsidRPr="60B71DAC">
        <w:rPr>
          <w:rFonts w:cs="Times New Roman"/>
        </w:rPr>
        <w:t>, process for prioritizing fund distribution</w:t>
      </w:r>
      <w:r w:rsidR="26FB222E" w:rsidRPr="60B71DAC">
        <w:rPr>
          <w:rFonts w:cs="Times New Roman"/>
        </w:rPr>
        <w:t>, and program evaluation.</w:t>
      </w:r>
    </w:p>
    <w:p w14:paraId="5C88A197" w14:textId="0232FA01" w:rsidR="00006612" w:rsidRPr="00006612" w:rsidRDefault="00006612" w:rsidP="00006612">
      <w:pPr>
        <w:widowControl/>
        <w:autoSpaceDE/>
        <w:autoSpaceDN/>
        <w:spacing w:after="160" w:line="259" w:lineRule="auto"/>
        <w:rPr>
          <w:rFonts w:cs="Times New Roman"/>
          <w:b/>
          <w:bCs/>
        </w:rPr>
      </w:pPr>
      <w:r w:rsidRPr="3D39B83B">
        <w:rPr>
          <w:rFonts w:cs="Times New Roman"/>
          <w:b/>
          <w:bCs/>
        </w:rPr>
        <w:t>What if no evidence of effectiveness is available for an activity to address an identified need?</w:t>
      </w:r>
    </w:p>
    <w:p w14:paraId="6EB3F58C" w14:textId="39F43AD5" w:rsidR="00F15B6B" w:rsidRPr="009F4827" w:rsidRDefault="00006612" w:rsidP="00006612">
      <w:pPr>
        <w:widowControl/>
        <w:autoSpaceDE/>
        <w:autoSpaceDN/>
        <w:spacing w:after="160" w:line="259" w:lineRule="auto"/>
        <w:rPr>
          <w:rFonts w:cs="Times New Roman"/>
        </w:rPr>
      </w:pPr>
      <w:r w:rsidRPr="00006612">
        <w:rPr>
          <w:rFonts w:cs="Times New Roman"/>
        </w:rPr>
        <w:t>If there is no evidence of effectiveness for an activity to address an identified need, an LEA should use a logic model to demonstrate a rationale for why an activity is expected to address the need in the LEA’s specific context. The logic model should use prior research or data from performance monitoring to provide support that the activity is likely to improve the relevant outcome(s).</w:t>
      </w:r>
    </w:p>
    <w:p w14:paraId="64BF65FE" w14:textId="7523850B" w:rsidR="00006612" w:rsidRPr="00006612" w:rsidRDefault="00006612" w:rsidP="00006612">
      <w:pPr>
        <w:widowControl/>
        <w:autoSpaceDE/>
        <w:autoSpaceDN/>
        <w:spacing w:after="160" w:line="259" w:lineRule="auto"/>
        <w:rPr>
          <w:rFonts w:cs="Times New Roman"/>
          <w:b/>
          <w:bCs/>
        </w:rPr>
      </w:pPr>
      <w:r w:rsidRPr="00006612">
        <w:rPr>
          <w:rFonts w:cs="Times New Roman"/>
          <w:b/>
          <w:bCs/>
        </w:rPr>
        <w:lastRenderedPageBreak/>
        <w:t>Can the SSAE program funds be used to develop and implement emergency operations plans?</w:t>
      </w:r>
    </w:p>
    <w:p w14:paraId="1DB8A83A" w14:textId="77777777" w:rsidR="00006612" w:rsidRPr="00006612" w:rsidRDefault="00006612" w:rsidP="00006612">
      <w:pPr>
        <w:widowControl/>
        <w:autoSpaceDE/>
        <w:autoSpaceDN/>
        <w:spacing w:after="160" w:line="259" w:lineRule="auto"/>
        <w:rPr>
          <w:rFonts w:cs="Times New Roman"/>
        </w:rPr>
      </w:pPr>
      <w:r w:rsidRPr="00006612">
        <w:rPr>
          <w:rFonts w:cs="Times New Roman"/>
        </w:rPr>
        <w:t>Yes. Any activity that fosters safe, healthy, supportive, and drug-free environments that supports student academic achievement, including the development and implementation of an emergency operations plan, is allowable under section 4108.</w:t>
      </w:r>
    </w:p>
    <w:p w14:paraId="501A8E0A" w14:textId="77777777" w:rsidR="00006612" w:rsidRPr="00006612" w:rsidRDefault="00006612" w:rsidP="00006612">
      <w:pPr>
        <w:widowControl/>
        <w:autoSpaceDE/>
        <w:autoSpaceDN/>
        <w:spacing w:after="160" w:line="259" w:lineRule="auto"/>
        <w:rPr>
          <w:rFonts w:cs="Times New Roman"/>
          <w:b/>
          <w:bCs/>
        </w:rPr>
      </w:pPr>
      <w:r w:rsidRPr="00006612">
        <w:rPr>
          <w:rFonts w:cs="Times New Roman"/>
          <w:b/>
          <w:bCs/>
        </w:rPr>
        <w:t>Does the 15% cap on technology infrastructure apply to blended learning software or other education technology expenses?</w:t>
      </w:r>
    </w:p>
    <w:p w14:paraId="25C7EEB9" w14:textId="04BFA91A" w:rsidR="00006612" w:rsidRPr="00006612" w:rsidRDefault="00006612" w:rsidP="00006612">
      <w:pPr>
        <w:widowControl/>
        <w:autoSpaceDE/>
        <w:autoSpaceDN/>
        <w:spacing w:after="160" w:line="259" w:lineRule="auto"/>
        <w:rPr>
          <w:rFonts w:cs="Times New Roman"/>
        </w:rPr>
      </w:pPr>
      <w:r w:rsidRPr="3D39B83B">
        <w:rPr>
          <w:rFonts w:cs="Times New Roman"/>
        </w:rPr>
        <w:t>Yes. Specifically, the statute states that LEAs may not use more than 15 percent for purchasing technology infrastructure as described in section 4109 (a)(2)(B) which states: "purchasing devices, equipment, and software applications to address readiness shortfalls" and in section 4109 (a)(4)(A) which states: "blended learning technology software and platforms, the purchase of digital instructional resources, initial professional development activities, and one-time information technology purchases."</w:t>
      </w:r>
    </w:p>
    <w:p w14:paraId="0E616EA6" w14:textId="4D4A10A7" w:rsidR="349749CA" w:rsidRDefault="453FC5D9" w:rsidP="349749CA">
      <w:pPr>
        <w:pStyle w:val="NoSpacing"/>
        <w:rPr>
          <w:b/>
          <w:bCs/>
          <w:highlight w:val="yellow"/>
        </w:rPr>
      </w:pPr>
      <w:r w:rsidRPr="349749CA">
        <w:rPr>
          <w:b/>
          <w:bCs/>
        </w:rPr>
        <w:t>Can Title IVA funds be used to purchase food?</w:t>
      </w:r>
    </w:p>
    <w:p w14:paraId="62F6E9F5" w14:textId="77777777" w:rsidR="003C2306" w:rsidRPr="003C2306" w:rsidRDefault="003C2306" w:rsidP="349749CA">
      <w:pPr>
        <w:pStyle w:val="NoSpacing"/>
        <w:rPr>
          <w:b/>
          <w:bCs/>
          <w:highlight w:val="yellow"/>
        </w:rPr>
      </w:pPr>
    </w:p>
    <w:p w14:paraId="769C8213" w14:textId="23BB388C" w:rsidR="00F63173" w:rsidRPr="002E290E" w:rsidRDefault="022CE105" w:rsidP="60B71DAC">
      <w:pPr>
        <w:spacing w:before="56"/>
        <w:rPr>
          <w:rFonts w:cs="Times New Roman"/>
        </w:rPr>
      </w:pPr>
      <w:r w:rsidRPr="60B71DAC">
        <w:rPr>
          <w:rFonts w:cs="Times New Roman"/>
        </w:rPr>
        <w:t xml:space="preserve">In most cases, </w:t>
      </w:r>
      <w:r w:rsidR="03DFAC9D" w:rsidRPr="60B71DAC">
        <w:rPr>
          <w:rFonts w:cs="Times New Roman"/>
        </w:rPr>
        <w:t xml:space="preserve">no, unless </w:t>
      </w:r>
      <w:r w:rsidR="6ACD275E" w:rsidRPr="60B71DAC">
        <w:rPr>
          <w:rFonts w:cs="Times New Roman"/>
        </w:rPr>
        <w:t xml:space="preserve">it is </w:t>
      </w:r>
      <w:r w:rsidR="03DFAC9D" w:rsidRPr="60B71DAC">
        <w:rPr>
          <w:rFonts w:cs="Times New Roman"/>
        </w:rPr>
        <w:t>required to meet</w:t>
      </w:r>
      <w:r w:rsidR="58415C92" w:rsidRPr="60B71DAC">
        <w:rPr>
          <w:rFonts w:cs="Times New Roman"/>
        </w:rPr>
        <w:t xml:space="preserve"> the</w:t>
      </w:r>
      <w:r w:rsidR="03DFAC9D" w:rsidRPr="60B71DAC">
        <w:rPr>
          <w:rFonts w:cs="Times New Roman"/>
        </w:rPr>
        <w:t xml:space="preserve"> purpose of </w:t>
      </w:r>
      <w:r w:rsidR="4A0A4C38" w:rsidRPr="60B71DAC">
        <w:rPr>
          <w:rFonts w:cs="Times New Roman"/>
        </w:rPr>
        <w:t xml:space="preserve">a Title IVA </w:t>
      </w:r>
      <w:r w:rsidR="03DFAC9D" w:rsidRPr="60B71DAC">
        <w:rPr>
          <w:rFonts w:cs="Times New Roman"/>
        </w:rPr>
        <w:t xml:space="preserve">program such as </w:t>
      </w:r>
      <w:r w:rsidR="561D2CB0" w:rsidRPr="60B71DAC">
        <w:rPr>
          <w:rFonts w:cs="Times New Roman"/>
        </w:rPr>
        <w:t xml:space="preserve">purchasing </w:t>
      </w:r>
      <w:r w:rsidR="03DFAC9D" w:rsidRPr="60B71DAC">
        <w:rPr>
          <w:rFonts w:cs="Times New Roman"/>
        </w:rPr>
        <w:t>ingredients for a supplemental nutrition class</w:t>
      </w:r>
      <w:r w:rsidR="3AEBE256" w:rsidRPr="60B71DAC">
        <w:rPr>
          <w:rFonts w:cs="Times New Roman"/>
        </w:rPr>
        <w:t>.</w:t>
      </w:r>
    </w:p>
    <w:p w14:paraId="719AA173" w14:textId="77777777" w:rsidR="00F63173" w:rsidRPr="002E290E" w:rsidRDefault="00F63173" w:rsidP="00F63173">
      <w:pPr>
        <w:pStyle w:val="BodyText"/>
        <w:spacing w:before="56"/>
        <w:ind w:right="391"/>
        <w:rPr>
          <w:rFonts w:asciiTheme="minorHAnsi" w:hAnsiTheme="minorHAnsi" w:cstheme="minorHAnsi"/>
        </w:rPr>
      </w:pPr>
    </w:p>
    <w:p w14:paraId="6B3D6711" w14:textId="6B43F674" w:rsidR="0069443B" w:rsidRPr="002E290E" w:rsidRDefault="0069443B" w:rsidP="00ED59B1">
      <w:pPr>
        <w:pStyle w:val="Heading1"/>
        <w:tabs>
          <w:tab w:val="left" w:pos="9651"/>
        </w:tabs>
        <w:spacing w:before="186"/>
        <w:ind w:left="0"/>
        <w:rPr>
          <w:rFonts w:asciiTheme="minorHAnsi" w:hAnsiTheme="minorHAnsi" w:cstheme="minorHAnsi"/>
          <w:sz w:val="22"/>
          <w:szCs w:val="22"/>
        </w:rPr>
      </w:pPr>
    </w:p>
    <w:sectPr w:rsidR="0069443B" w:rsidRPr="002E290E" w:rsidSect="00ED59B1">
      <w:headerReference w:type="default" r:id="rId16"/>
      <w:footerReference w:type="default" r:id="rId17"/>
      <w:pgSz w:w="12240" w:h="15840"/>
      <w:pgMar w:top="1340" w:right="1240" w:bottom="1200" w:left="1240" w:header="818" w:footer="10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CBB56" w14:textId="77777777" w:rsidR="00694CEE" w:rsidRDefault="00694CEE">
      <w:r>
        <w:separator/>
      </w:r>
    </w:p>
  </w:endnote>
  <w:endnote w:type="continuationSeparator" w:id="0">
    <w:p w14:paraId="2F9EDBE9" w14:textId="77777777" w:rsidR="00694CEE" w:rsidRDefault="00694CEE">
      <w:r>
        <w:continuationSeparator/>
      </w:r>
    </w:p>
  </w:endnote>
  <w:endnote w:type="continuationNotice" w:id="1">
    <w:p w14:paraId="215CA058" w14:textId="77777777" w:rsidR="00694CEE" w:rsidRDefault="00694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861319"/>
      <w:docPartObj>
        <w:docPartGallery w:val="Page Numbers (Bottom of Page)"/>
        <w:docPartUnique/>
      </w:docPartObj>
    </w:sdtPr>
    <w:sdtEndPr>
      <w:rPr>
        <w:color w:val="595959" w:themeColor="text1" w:themeTint="A6"/>
        <w:spacing w:val="60"/>
      </w:rPr>
    </w:sdtEndPr>
    <w:sdtContent>
      <w:p w14:paraId="454D5036" w14:textId="3932CEF9" w:rsidR="007026F2" w:rsidRDefault="007026F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C53A08">
          <w:rPr>
            <w:color w:val="595959" w:themeColor="text1" w:themeTint="A6"/>
            <w:spacing w:val="60"/>
          </w:rPr>
          <w:t>Page</w:t>
        </w:r>
      </w:p>
    </w:sdtContent>
  </w:sdt>
  <w:p w14:paraId="55395FA7" w14:textId="7BECC4F8" w:rsidR="00607761" w:rsidRDefault="0060776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14020" w14:textId="77777777" w:rsidR="00694CEE" w:rsidRDefault="00694CEE">
      <w:r>
        <w:separator/>
      </w:r>
    </w:p>
  </w:footnote>
  <w:footnote w:type="continuationSeparator" w:id="0">
    <w:p w14:paraId="1C588B10" w14:textId="77777777" w:rsidR="00694CEE" w:rsidRDefault="00694CEE">
      <w:r>
        <w:continuationSeparator/>
      </w:r>
    </w:p>
  </w:footnote>
  <w:footnote w:type="continuationNotice" w:id="1">
    <w:p w14:paraId="02C73C8D" w14:textId="77777777" w:rsidR="00694CEE" w:rsidRDefault="00694CEE"/>
  </w:footnote>
  <w:footnote w:id="2">
    <w:p w14:paraId="593B5904" w14:textId="02CA086D" w:rsidR="500668C8" w:rsidRDefault="500668C8" w:rsidP="500668C8">
      <w:pPr>
        <w:pStyle w:val="FootnoteText"/>
      </w:pPr>
      <w:r w:rsidRPr="500668C8">
        <w:rPr>
          <w:rStyle w:val="FootnoteReference"/>
        </w:rPr>
        <w:footnoteRef/>
      </w:r>
      <w:r w:rsidRPr="500668C8">
        <w:t xml:space="preserve"> This requirement does not apply to charter schools, regional vocational technical schools, or virtual schools.</w:t>
      </w:r>
    </w:p>
  </w:footnote>
  <w:footnote w:id="3">
    <w:p w14:paraId="33E0CA2B" w14:textId="4EC7EB8D" w:rsidR="001175BA" w:rsidRDefault="001175BA" w:rsidP="001175BA">
      <w:pPr>
        <w:spacing w:before="240" w:after="240"/>
      </w:pPr>
      <w:r>
        <w:rPr>
          <w:rStyle w:val="FootnoteReference"/>
        </w:rPr>
        <w:footnoteRef/>
      </w:r>
      <w:r>
        <w:t xml:space="preserve"> </w:t>
      </w:r>
      <w:r w:rsidRPr="007E2719">
        <w:rPr>
          <w:b/>
          <w:bCs/>
        </w:rPr>
        <w:t>Note:</w:t>
      </w:r>
      <w:r w:rsidRPr="007E2719">
        <w:t xml:space="preserve"> This table provides examples of allowable activities and is not an exhaustive list. Please consult the statute for more information. The text of the ESEA, as amended by ESSA, is available</w:t>
      </w:r>
      <w:r>
        <w:t xml:space="preserve"> </w:t>
      </w:r>
      <w:hyperlink r:id="rId1" w:history="1">
        <w:r w:rsidRPr="007E2719">
          <w:rPr>
            <w:rStyle w:val="Hyperlink"/>
          </w:rPr>
          <w:t>here</w:t>
        </w:r>
      </w:hyperlink>
      <w:r>
        <w:t>.</w:t>
      </w:r>
    </w:p>
  </w:footnote>
  <w:footnote w:id="4">
    <w:p w14:paraId="2EA2AF4C" w14:textId="51A56DEC" w:rsidR="006C04CD" w:rsidRDefault="006C04CD">
      <w:pPr>
        <w:pStyle w:val="FootnoteText"/>
      </w:pPr>
      <w:r>
        <w:rPr>
          <w:rStyle w:val="FootnoteReference"/>
        </w:rPr>
        <w:footnoteRef/>
      </w:r>
      <w:r w:rsidR="60B71DAC">
        <w:t xml:space="preserve"> Note: The next Title IVA data collection will take place at the end of the FY24’s period of performance (9/30/25). The Federal Grant Programs office will provide additional guidance to LEAs in advance.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C8B31" w14:textId="15481DD4" w:rsidR="00607761" w:rsidRDefault="00607761">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24FA7A21" wp14:editId="28C6DDCB">
              <wp:simplePos x="0" y="0"/>
              <wp:positionH relativeFrom="page">
                <wp:posOffset>896620</wp:posOffset>
              </wp:positionH>
              <wp:positionV relativeFrom="page">
                <wp:posOffset>640080</wp:posOffset>
              </wp:positionV>
              <wp:extent cx="5981700" cy="635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ADE9C" id="Rectangle 4" o:spid="_x0000_s1026" alt="&quot;&quot;" style="position:absolute;margin-left:70.6pt;margin-top:50.4pt;width:471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" fillcolor="#d9d9d9" stroked="f">
              <w10:wrap anchorx="page"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5FlSE0ewX1IzRd" int2:id="VH0bXCeP">
      <int2:state int2:value="Rejected" int2:type="AugLoop_Text_Critique"/>
    </int2:textHash>
    <int2:bookmark int2:bookmarkName="_Int_Ob6jZabQ" int2:invalidationBookmarkName="" int2:hashCode="zCPoYIEiIb172+" int2:id="ghFS1vf5">
      <int2:state int2:value="Rejected" int2:type="AugLoop_Text_Critique"/>
    </int2:bookmark>
    <int2:bookmark int2:bookmarkName="_Int_rIlqSWTF" int2:invalidationBookmarkName="" int2:hashCode="BUo7A4/FBX3e8O" int2:id="AMNY2dP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527F0"/>
    <w:multiLevelType w:val="hybridMultilevel"/>
    <w:tmpl w:val="A602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80276"/>
    <w:multiLevelType w:val="hybridMultilevel"/>
    <w:tmpl w:val="3120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C3386"/>
    <w:multiLevelType w:val="hybridMultilevel"/>
    <w:tmpl w:val="A23E9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A7047C"/>
    <w:multiLevelType w:val="hybridMultilevel"/>
    <w:tmpl w:val="67E40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380882"/>
    <w:multiLevelType w:val="hybridMultilevel"/>
    <w:tmpl w:val="3E92F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1308C"/>
    <w:multiLevelType w:val="hybridMultilevel"/>
    <w:tmpl w:val="2C1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C21B5"/>
    <w:multiLevelType w:val="hybridMultilevel"/>
    <w:tmpl w:val="95E03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03E9A"/>
    <w:multiLevelType w:val="hybridMultilevel"/>
    <w:tmpl w:val="A100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A701C"/>
    <w:multiLevelType w:val="hybridMultilevel"/>
    <w:tmpl w:val="35D2088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113323">
    <w:abstractNumId w:val="7"/>
  </w:num>
  <w:num w:numId="2" w16cid:durableId="692531574">
    <w:abstractNumId w:val="2"/>
  </w:num>
  <w:num w:numId="3" w16cid:durableId="459958979">
    <w:abstractNumId w:val="1"/>
  </w:num>
  <w:num w:numId="4" w16cid:durableId="2024546825">
    <w:abstractNumId w:val="8"/>
  </w:num>
  <w:num w:numId="5" w16cid:durableId="1592396241">
    <w:abstractNumId w:val="6"/>
  </w:num>
  <w:num w:numId="6" w16cid:durableId="1977567338">
    <w:abstractNumId w:val="5"/>
  </w:num>
  <w:num w:numId="7" w16cid:durableId="155612037">
    <w:abstractNumId w:val="4"/>
  </w:num>
  <w:num w:numId="8" w16cid:durableId="614756830">
    <w:abstractNumId w:val="0"/>
  </w:num>
  <w:num w:numId="9" w16cid:durableId="68402128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0D"/>
    <w:rsid w:val="00003A0E"/>
    <w:rsid w:val="00005A14"/>
    <w:rsid w:val="00006612"/>
    <w:rsid w:val="00006F29"/>
    <w:rsid w:val="0000F53C"/>
    <w:rsid w:val="00011D58"/>
    <w:rsid w:val="00017240"/>
    <w:rsid w:val="00017A91"/>
    <w:rsid w:val="00017EEA"/>
    <w:rsid w:val="00017F93"/>
    <w:rsid w:val="00021289"/>
    <w:rsid w:val="0002162A"/>
    <w:rsid w:val="00030CAF"/>
    <w:rsid w:val="00043AD8"/>
    <w:rsid w:val="00044880"/>
    <w:rsid w:val="00044AD6"/>
    <w:rsid w:val="00044CC2"/>
    <w:rsid w:val="0004509E"/>
    <w:rsid w:val="00053304"/>
    <w:rsid w:val="00053E23"/>
    <w:rsid w:val="0005579C"/>
    <w:rsid w:val="00055BE4"/>
    <w:rsid w:val="00055E18"/>
    <w:rsid w:val="00056654"/>
    <w:rsid w:val="0006280D"/>
    <w:rsid w:val="00080CFC"/>
    <w:rsid w:val="00081671"/>
    <w:rsid w:val="00083CE7"/>
    <w:rsid w:val="00092F87"/>
    <w:rsid w:val="000962C4"/>
    <w:rsid w:val="000A4C62"/>
    <w:rsid w:val="000A60BA"/>
    <w:rsid w:val="000A6218"/>
    <w:rsid w:val="000B02CE"/>
    <w:rsid w:val="000B1770"/>
    <w:rsid w:val="000B3809"/>
    <w:rsid w:val="000B781E"/>
    <w:rsid w:val="000C0C58"/>
    <w:rsid w:val="000C1D89"/>
    <w:rsid w:val="000C551D"/>
    <w:rsid w:val="000C6A4A"/>
    <w:rsid w:val="000D17BC"/>
    <w:rsid w:val="000D43D4"/>
    <w:rsid w:val="000D6FE9"/>
    <w:rsid w:val="000E0A5B"/>
    <w:rsid w:val="000E22D4"/>
    <w:rsid w:val="000E3430"/>
    <w:rsid w:val="000F2F41"/>
    <w:rsid w:val="000F39C2"/>
    <w:rsid w:val="000F4235"/>
    <w:rsid w:val="000F6A98"/>
    <w:rsid w:val="000F718B"/>
    <w:rsid w:val="001025F7"/>
    <w:rsid w:val="00102850"/>
    <w:rsid w:val="0010732F"/>
    <w:rsid w:val="00110FCA"/>
    <w:rsid w:val="001118DA"/>
    <w:rsid w:val="00111CB1"/>
    <w:rsid w:val="00113C03"/>
    <w:rsid w:val="00113E56"/>
    <w:rsid w:val="00116478"/>
    <w:rsid w:val="001171BC"/>
    <w:rsid w:val="001175BA"/>
    <w:rsid w:val="00125075"/>
    <w:rsid w:val="0012674F"/>
    <w:rsid w:val="00126FCE"/>
    <w:rsid w:val="00133C71"/>
    <w:rsid w:val="00134F1B"/>
    <w:rsid w:val="001350B2"/>
    <w:rsid w:val="00145B92"/>
    <w:rsid w:val="0015171A"/>
    <w:rsid w:val="0015311C"/>
    <w:rsid w:val="0015385E"/>
    <w:rsid w:val="00155201"/>
    <w:rsid w:val="001562C5"/>
    <w:rsid w:val="00156F14"/>
    <w:rsid w:val="00160014"/>
    <w:rsid w:val="00162198"/>
    <w:rsid w:val="00162D61"/>
    <w:rsid w:val="00167FF8"/>
    <w:rsid w:val="00171DA5"/>
    <w:rsid w:val="00172341"/>
    <w:rsid w:val="001732BD"/>
    <w:rsid w:val="0017688E"/>
    <w:rsid w:val="0018098A"/>
    <w:rsid w:val="0018205C"/>
    <w:rsid w:val="0018248B"/>
    <w:rsid w:val="00184C8C"/>
    <w:rsid w:val="00187D86"/>
    <w:rsid w:val="0019049F"/>
    <w:rsid w:val="00193C5C"/>
    <w:rsid w:val="00196C9D"/>
    <w:rsid w:val="00197A59"/>
    <w:rsid w:val="001A2204"/>
    <w:rsid w:val="001A62BB"/>
    <w:rsid w:val="001B15CD"/>
    <w:rsid w:val="001C060C"/>
    <w:rsid w:val="001C0EF3"/>
    <w:rsid w:val="001C1495"/>
    <w:rsid w:val="001C1F59"/>
    <w:rsid w:val="001D0122"/>
    <w:rsid w:val="001D6171"/>
    <w:rsid w:val="001E5D4F"/>
    <w:rsid w:val="001E62B2"/>
    <w:rsid w:val="001E79FF"/>
    <w:rsid w:val="001F1D8D"/>
    <w:rsid w:val="002046BE"/>
    <w:rsid w:val="00205EDB"/>
    <w:rsid w:val="00206009"/>
    <w:rsid w:val="002133EC"/>
    <w:rsid w:val="002164FA"/>
    <w:rsid w:val="00216ABB"/>
    <w:rsid w:val="002170A9"/>
    <w:rsid w:val="00217120"/>
    <w:rsid w:val="00221917"/>
    <w:rsid w:val="00222028"/>
    <w:rsid w:val="0022587B"/>
    <w:rsid w:val="00231996"/>
    <w:rsid w:val="00231B0D"/>
    <w:rsid w:val="00232D0F"/>
    <w:rsid w:val="00233848"/>
    <w:rsid w:val="002338DC"/>
    <w:rsid w:val="00236BA7"/>
    <w:rsid w:val="002405FC"/>
    <w:rsid w:val="00243550"/>
    <w:rsid w:val="00244DF8"/>
    <w:rsid w:val="00257ECD"/>
    <w:rsid w:val="002663CD"/>
    <w:rsid w:val="002727BB"/>
    <w:rsid w:val="00272A2F"/>
    <w:rsid w:val="00276034"/>
    <w:rsid w:val="00276749"/>
    <w:rsid w:val="00276DAC"/>
    <w:rsid w:val="00280068"/>
    <w:rsid w:val="00284C4E"/>
    <w:rsid w:val="00285E9A"/>
    <w:rsid w:val="00294745"/>
    <w:rsid w:val="00296BBE"/>
    <w:rsid w:val="002B02BA"/>
    <w:rsid w:val="002B10E1"/>
    <w:rsid w:val="002B71ED"/>
    <w:rsid w:val="002C02CE"/>
    <w:rsid w:val="002C133C"/>
    <w:rsid w:val="002C61C1"/>
    <w:rsid w:val="002D51B5"/>
    <w:rsid w:val="002D684B"/>
    <w:rsid w:val="002E1F67"/>
    <w:rsid w:val="002E290E"/>
    <w:rsid w:val="002E3D93"/>
    <w:rsid w:val="002E5345"/>
    <w:rsid w:val="002F190C"/>
    <w:rsid w:val="002F1BE6"/>
    <w:rsid w:val="002F1D0A"/>
    <w:rsid w:val="002F2CD8"/>
    <w:rsid w:val="00301C00"/>
    <w:rsid w:val="00303FD7"/>
    <w:rsid w:val="0031323C"/>
    <w:rsid w:val="003158AD"/>
    <w:rsid w:val="00315E79"/>
    <w:rsid w:val="00321012"/>
    <w:rsid w:val="00322736"/>
    <w:rsid w:val="003236FF"/>
    <w:rsid w:val="00325C8D"/>
    <w:rsid w:val="00325F97"/>
    <w:rsid w:val="00340B88"/>
    <w:rsid w:val="00343C7F"/>
    <w:rsid w:val="00345755"/>
    <w:rsid w:val="00346C97"/>
    <w:rsid w:val="00346D0A"/>
    <w:rsid w:val="00370025"/>
    <w:rsid w:val="00375F5C"/>
    <w:rsid w:val="003815BA"/>
    <w:rsid w:val="003819E7"/>
    <w:rsid w:val="00383B33"/>
    <w:rsid w:val="003862CE"/>
    <w:rsid w:val="00387AB1"/>
    <w:rsid w:val="00390CA4"/>
    <w:rsid w:val="00391624"/>
    <w:rsid w:val="00391CF4"/>
    <w:rsid w:val="003963F3"/>
    <w:rsid w:val="00396D97"/>
    <w:rsid w:val="003A0F65"/>
    <w:rsid w:val="003A3F7C"/>
    <w:rsid w:val="003A51C7"/>
    <w:rsid w:val="003B01F3"/>
    <w:rsid w:val="003B05AB"/>
    <w:rsid w:val="003B15ED"/>
    <w:rsid w:val="003B270A"/>
    <w:rsid w:val="003B29B5"/>
    <w:rsid w:val="003B5077"/>
    <w:rsid w:val="003C2306"/>
    <w:rsid w:val="003C28D7"/>
    <w:rsid w:val="003C2FA6"/>
    <w:rsid w:val="003C6E07"/>
    <w:rsid w:val="003D080B"/>
    <w:rsid w:val="003D4259"/>
    <w:rsid w:val="003D5E45"/>
    <w:rsid w:val="003E65AF"/>
    <w:rsid w:val="003F3411"/>
    <w:rsid w:val="003F3E85"/>
    <w:rsid w:val="003F4534"/>
    <w:rsid w:val="0040128C"/>
    <w:rsid w:val="00401C79"/>
    <w:rsid w:val="00401E87"/>
    <w:rsid w:val="00410597"/>
    <w:rsid w:val="00411F56"/>
    <w:rsid w:val="0041420A"/>
    <w:rsid w:val="00416002"/>
    <w:rsid w:val="0042103C"/>
    <w:rsid w:val="004316F4"/>
    <w:rsid w:val="00431B8A"/>
    <w:rsid w:val="00432D5D"/>
    <w:rsid w:val="00433B7F"/>
    <w:rsid w:val="00440C3C"/>
    <w:rsid w:val="004415D4"/>
    <w:rsid w:val="00442ACB"/>
    <w:rsid w:val="00445185"/>
    <w:rsid w:val="00454DD0"/>
    <w:rsid w:val="004558B4"/>
    <w:rsid w:val="00457110"/>
    <w:rsid w:val="004619D7"/>
    <w:rsid w:val="00463F14"/>
    <w:rsid w:val="0046401C"/>
    <w:rsid w:val="00465CE0"/>
    <w:rsid w:val="00466F5E"/>
    <w:rsid w:val="00467148"/>
    <w:rsid w:val="00471036"/>
    <w:rsid w:val="00473F32"/>
    <w:rsid w:val="00474D68"/>
    <w:rsid w:val="00477720"/>
    <w:rsid w:val="00483D39"/>
    <w:rsid w:val="00485BE3"/>
    <w:rsid w:val="00486F96"/>
    <w:rsid w:val="00487336"/>
    <w:rsid w:val="00491ACC"/>
    <w:rsid w:val="00492FDA"/>
    <w:rsid w:val="004A15FE"/>
    <w:rsid w:val="004A2E3D"/>
    <w:rsid w:val="004A448F"/>
    <w:rsid w:val="004A4833"/>
    <w:rsid w:val="004A5567"/>
    <w:rsid w:val="004A72D3"/>
    <w:rsid w:val="004B0A69"/>
    <w:rsid w:val="004B1E18"/>
    <w:rsid w:val="004B1E1B"/>
    <w:rsid w:val="004B218D"/>
    <w:rsid w:val="004C11AC"/>
    <w:rsid w:val="004C5E51"/>
    <w:rsid w:val="004D26E1"/>
    <w:rsid w:val="004D2908"/>
    <w:rsid w:val="004D4A91"/>
    <w:rsid w:val="004E3A33"/>
    <w:rsid w:val="004F0F4D"/>
    <w:rsid w:val="004F2689"/>
    <w:rsid w:val="004F4792"/>
    <w:rsid w:val="004F5F71"/>
    <w:rsid w:val="004F65E9"/>
    <w:rsid w:val="00500131"/>
    <w:rsid w:val="00500514"/>
    <w:rsid w:val="005013B2"/>
    <w:rsid w:val="00506EF2"/>
    <w:rsid w:val="005139B8"/>
    <w:rsid w:val="0051664A"/>
    <w:rsid w:val="005212F2"/>
    <w:rsid w:val="005233C9"/>
    <w:rsid w:val="0052410E"/>
    <w:rsid w:val="00524C9E"/>
    <w:rsid w:val="00525886"/>
    <w:rsid w:val="00531791"/>
    <w:rsid w:val="00533B4A"/>
    <w:rsid w:val="00535BA9"/>
    <w:rsid w:val="00541D05"/>
    <w:rsid w:val="0054224B"/>
    <w:rsid w:val="00545E4E"/>
    <w:rsid w:val="00552D72"/>
    <w:rsid w:val="00553542"/>
    <w:rsid w:val="00553D62"/>
    <w:rsid w:val="00557FCD"/>
    <w:rsid w:val="0056072A"/>
    <w:rsid w:val="00563D0F"/>
    <w:rsid w:val="005705A3"/>
    <w:rsid w:val="0057198F"/>
    <w:rsid w:val="00577F4F"/>
    <w:rsid w:val="00580A98"/>
    <w:rsid w:val="005967EA"/>
    <w:rsid w:val="00596DDB"/>
    <w:rsid w:val="00597AA8"/>
    <w:rsid w:val="005A17B6"/>
    <w:rsid w:val="005B1E20"/>
    <w:rsid w:val="005B25B7"/>
    <w:rsid w:val="005B38D8"/>
    <w:rsid w:val="005B45BA"/>
    <w:rsid w:val="005B68E3"/>
    <w:rsid w:val="005B7559"/>
    <w:rsid w:val="005C0115"/>
    <w:rsid w:val="005C0558"/>
    <w:rsid w:val="005C5383"/>
    <w:rsid w:val="005C750E"/>
    <w:rsid w:val="005C7FB4"/>
    <w:rsid w:val="005D0D49"/>
    <w:rsid w:val="005D7466"/>
    <w:rsid w:val="005E5A2E"/>
    <w:rsid w:val="005E6EB9"/>
    <w:rsid w:val="005F4193"/>
    <w:rsid w:val="00600861"/>
    <w:rsid w:val="00602C99"/>
    <w:rsid w:val="00603823"/>
    <w:rsid w:val="00605A0F"/>
    <w:rsid w:val="00607761"/>
    <w:rsid w:val="00611C35"/>
    <w:rsid w:val="0061278D"/>
    <w:rsid w:val="006167AF"/>
    <w:rsid w:val="00616B46"/>
    <w:rsid w:val="006218B1"/>
    <w:rsid w:val="006229AE"/>
    <w:rsid w:val="00623840"/>
    <w:rsid w:val="006241DE"/>
    <w:rsid w:val="00625D9E"/>
    <w:rsid w:val="0062710D"/>
    <w:rsid w:val="0062796A"/>
    <w:rsid w:val="00632A7F"/>
    <w:rsid w:val="00636DAE"/>
    <w:rsid w:val="006400D2"/>
    <w:rsid w:val="006439A5"/>
    <w:rsid w:val="006509A2"/>
    <w:rsid w:val="00651583"/>
    <w:rsid w:val="0065372A"/>
    <w:rsid w:val="00660B48"/>
    <w:rsid w:val="00660DB8"/>
    <w:rsid w:val="006637D5"/>
    <w:rsid w:val="00666183"/>
    <w:rsid w:val="00667B66"/>
    <w:rsid w:val="00667E36"/>
    <w:rsid w:val="0067448A"/>
    <w:rsid w:val="006779B6"/>
    <w:rsid w:val="00685665"/>
    <w:rsid w:val="00690231"/>
    <w:rsid w:val="00690367"/>
    <w:rsid w:val="0069242D"/>
    <w:rsid w:val="006930D9"/>
    <w:rsid w:val="0069443B"/>
    <w:rsid w:val="00694CEE"/>
    <w:rsid w:val="006961BE"/>
    <w:rsid w:val="006979E8"/>
    <w:rsid w:val="006A52A1"/>
    <w:rsid w:val="006A64C2"/>
    <w:rsid w:val="006A7925"/>
    <w:rsid w:val="006B37DB"/>
    <w:rsid w:val="006B3A33"/>
    <w:rsid w:val="006C04CD"/>
    <w:rsid w:val="006C071A"/>
    <w:rsid w:val="006C28E8"/>
    <w:rsid w:val="006C2E51"/>
    <w:rsid w:val="006C6555"/>
    <w:rsid w:val="006C7712"/>
    <w:rsid w:val="006D3405"/>
    <w:rsid w:val="006D3DE7"/>
    <w:rsid w:val="006D5891"/>
    <w:rsid w:val="006D6366"/>
    <w:rsid w:val="006D7B43"/>
    <w:rsid w:val="006D7D13"/>
    <w:rsid w:val="006E3A9F"/>
    <w:rsid w:val="006E5EF6"/>
    <w:rsid w:val="006E7FEE"/>
    <w:rsid w:val="006F3076"/>
    <w:rsid w:val="0070057E"/>
    <w:rsid w:val="0070125B"/>
    <w:rsid w:val="00701630"/>
    <w:rsid w:val="007026F2"/>
    <w:rsid w:val="007030B7"/>
    <w:rsid w:val="00713FE2"/>
    <w:rsid w:val="007147B9"/>
    <w:rsid w:val="00714EB5"/>
    <w:rsid w:val="00715E36"/>
    <w:rsid w:val="007206E7"/>
    <w:rsid w:val="00720769"/>
    <w:rsid w:val="00720790"/>
    <w:rsid w:val="0072259E"/>
    <w:rsid w:val="007227D3"/>
    <w:rsid w:val="0072327C"/>
    <w:rsid w:val="007304CC"/>
    <w:rsid w:val="00731A02"/>
    <w:rsid w:val="007331C9"/>
    <w:rsid w:val="00742909"/>
    <w:rsid w:val="00750338"/>
    <w:rsid w:val="007513E2"/>
    <w:rsid w:val="007529D2"/>
    <w:rsid w:val="0075373E"/>
    <w:rsid w:val="00755DEE"/>
    <w:rsid w:val="00763456"/>
    <w:rsid w:val="00764FB3"/>
    <w:rsid w:val="0076509C"/>
    <w:rsid w:val="0076716E"/>
    <w:rsid w:val="007779CF"/>
    <w:rsid w:val="00782753"/>
    <w:rsid w:val="00784B2F"/>
    <w:rsid w:val="00793F03"/>
    <w:rsid w:val="00796019"/>
    <w:rsid w:val="007A1879"/>
    <w:rsid w:val="007B0582"/>
    <w:rsid w:val="007B1D7C"/>
    <w:rsid w:val="007B4128"/>
    <w:rsid w:val="007C07D7"/>
    <w:rsid w:val="007C5766"/>
    <w:rsid w:val="007D3CA9"/>
    <w:rsid w:val="007D4845"/>
    <w:rsid w:val="007D5CF2"/>
    <w:rsid w:val="007E23DB"/>
    <w:rsid w:val="007E2719"/>
    <w:rsid w:val="007E53C4"/>
    <w:rsid w:val="007E5462"/>
    <w:rsid w:val="007E607E"/>
    <w:rsid w:val="007E6A76"/>
    <w:rsid w:val="007E76E5"/>
    <w:rsid w:val="007F034C"/>
    <w:rsid w:val="007F3423"/>
    <w:rsid w:val="008031F7"/>
    <w:rsid w:val="00805383"/>
    <w:rsid w:val="008061C7"/>
    <w:rsid w:val="008119CB"/>
    <w:rsid w:val="00814CCF"/>
    <w:rsid w:val="00814E1E"/>
    <w:rsid w:val="0081599D"/>
    <w:rsid w:val="008171FD"/>
    <w:rsid w:val="00823914"/>
    <w:rsid w:val="0082560C"/>
    <w:rsid w:val="00826AED"/>
    <w:rsid w:val="00835DF7"/>
    <w:rsid w:val="00840FBE"/>
    <w:rsid w:val="008519E5"/>
    <w:rsid w:val="00856E46"/>
    <w:rsid w:val="00857AB1"/>
    <w:rsid w:val="00861BC4"/>
    <w:rsid w:val="0086343B"/>
    <w:rsid w:val="008665F2"/>
    <w:rsid w:val="0086BF91"/>
    <w:rsid w:val="00875B9D"/>
    <w:rsid w:val="00875C08"/>
    <w:rsid w:val="008819D8"/>
    <w:rsid w:val="00884EFC"/>
    <w:rsid w:val="00891DAD"/>
    <w:rsid w:val="008949C4"/>
    <w:rsid w:val="00897392"/>
    <w:rsid w:val="008A2AC9"/>
    <w:rsid w:val="008A34B7"/>
    <w:rsid w:val="008A516D"/>
    <w:rsid w:val="008A6F28"/>
    <w:rsid w:val="008B29C7"/>
    <w:rsid w:val="008B5421"/>
    <w:rsid w:val="008B7215"/>
    <w:rsid w:val="008B7EE5"/>
    <w:rsid w:val="008C1416"/>
    <w:rsid w:val="008C39A0"/>
    <w:rsid w:val="008C5DC9"/>
    <w:rsid w:val="008C6DDE"/>
    <w:rsid w:val="008D0AB4"/>
    <w:rsid w:val="008D1093"/>
    <w:rsid w:val="008D14A6"/>
    <w:rsid w:val="008E0AFD"/>
    <w:rsid w:val="008E4CE8"/>
    <w:rsid w:val="008E5A7D"/>
    <w:rsid w:val="008F0DF3"/>
    <w:rsid w:val="008F1A3F"/>
    <w:rsid w:val="0090143E"/>
    <w:rsid w:val="009037F8"/>
    <w:rsid w:val="00907B44"/>
    <w:rsid w:val="0091348E"/>
    <w:rsid w:val="00913A0F"/>
    <w:rsid w:val="00913EC8"/>
    <w:rsid w:val="00917B50"/>
    <w:rsid w:val="00920CE9"/>
    <w:rsid w:val="009212BD"/>
    <w:rsid w:val="0092472E"/>
    <w:rsid w:val="009248E7"/>
    <w:rsid w:val="0092667A"/>
    <w:rsid w:val="00933FF3"/>
    <w:rsid w:val="00940B1C"/>
    <w:rsid w:val="00941319"/>
    <w:rsid w:val="00941812"/>
    <w:rsid w:val="009457D3"/>
    <w:rsid w:val="00955685"/>
    <w:rsid w:val="009630CD"/>
    <w:rsid w:val="00966503"/>
    <w:rsid w:val="00973B0F"/>
    <w:rsid w:val="0097403B"/>
    <w:rsid w:val="00974F79"/>
    <w:rsid w:val="0097704B"/>
    <w:rsid w:val="00977F7A"/>
    <w:rsid w:val="00983814"/>
    <w:rsid w:val="00984D08"/>
    <w:rsid w:val="009865FE"/>
    <w:rsid w:val="00986DCD"/>
    <w:rsid w:val="00987164"/>
    <w:rsid w:val="00991C34"/>
    <w:rsid w:val="00994C12"/>
    <w:rsid w:val="009B08D9"/>
    <w:rsid w:val="009B1AD0"/>
    <w:rsid w:val="009B52F4"/>
    <w:rsid w:val="009C0F13"/>
    <w:rsid w:val="009C1444"/>
    <w:rsid w:val="009C6209"/>
    <w:rsid w:val="009D208F"/>
    <w:rsid w:val="009E0628"/>
    <w:rsid w:val="009E3AED"/>
    <w:rsid w:val="009E4982"/>
    <w:rsid w:val="009E51F2"/>
    <w:rsid w:val="009E66F1"/>
    <w:rsid w:val="009E6C74"/>
    <w:rsid w:val="009E7BAE"/>
    <w:rsid w:val="009F2146"/>
    <w:rsid w:val="009F31F2"/>
    <w:rsid w:val="009F4827"/>
    <w:rsid w:val="00A01882"/>
    <w:rsid w:val="00A125C6"/>
    <w:rsid w:val="00A13AAB"/>
    <w:rsid w:val="00A2337D"/>
    <w:rsid w:val="00A252C8"/>
    <w:rsid w:val="00A25F5C"/>
    <w:rsid w:val="00A3050F"/>
    <w:rsid w:val="00A30DB0"/>
    <w:rsid w:val="00A31433"/>
    <w:rsid w:val="00A3480B"/>
    <w:rsid w:val="00A3658B"/>
    <w:rsid w:val="00A41BCB"/>
    <w:rsid w:val="00A42AE1"/>
    <w:rsid w:val="00A47253"/>
    <w:rsid w:val="00A47603"/>
    <w:rsid w:val="00A47863"/>
    <w:rsid w:val="00A5084A"/>
    <w:rsid w:val="00A52175"/>
    <w:rsid w:val="00A54210"/>
    <w:rsid w:val="00A55C37"/>
    <w:rsid w:val="00A574C3"/>
    <w:rsid w:val="00A60FE1"/>
    <w:rsid w:val="00A62650"/>
    <w:rsid w:val="00A6490D"/>
    <w:rsid w:val="00A77D26"/>
    <w:rsid w:val="00A80C78"/>
    <w:rsid w:val="00A82082"/>
    <w:rsid w:val="00A820D2"/>
    <w:rsid w:val="00A82C93"/>
    <w:rsid w:val="00A834E5"/>
    <w:rsid w:val="00A85D6B"/>
    <w:rsid w:val="00A87515"/>
    <w:rsid w:val="00A8795A"/>
    <w:rsid w:val="00A96A70"/>
    <w:rsid w:val="00AA0DC9"/>
    <w:rsid w:val="00AA14FB"/>
    <w:rsid w:val="00AA1F51"/>
    <w:rsid w:val="00AA3CB1"/>
    <w:rsid w:val="00AA3F6F"/>
    <w:rsid w:val="00AA6AF4"/>
    <w:rsid w:val="00AB00E0"/>
    <w:rsid w:val="00AB2770"/>
    <w:rsid w:val="00AB2DEE"/>
    <w:rsid w:val="00AB3EA9"/>
    <w:rsid w:val="00AB4C6A"/>
    <w:rsid w:val="00AB509A"/>
    <w:rsid w:val="00AB658E"/>
    <w:rsid w:val="00AC03B5"/>
    <w:rsid w:val="00AC47DD"/>
    <w:rsid w:val="00AD1952"/>
    <w:rsid w:val="00AD4BBB"/>
    <w:rsid w:val="00AE38A0"/>
    <w:rsid w:val="00AE5692"/>
    <w:rsid w:val="00AE7872"/>
    <w:rsid w:val="00AF3D94"/>
    <w:rsid w:val="00AF656D"/>
    <w:rsid w:val="00B030C8"/>
    <w:rsid w:val="00B05B36"/>
    <w:rsid w:val="00B12A82"/>
    <w:rsid w:val="00B13932"/>
    <w:rsid w:val="00B139C9"/>
    <w:rsid w:val="00B14CD4"/>
    <w:rsid w:val="00B154BF"/>
    <w:rsid w:val="00B20CBE"/>
    <w:rsid w:val="00B24D15"/>
    <w:rsid w:val="00B269CC"/>
    <w:rsid w:val="00B330F3"/>
    <w:rsid w:val="00B4150F"/>
    <w:rsid w:val="00B41CDF"/>
    <w:rsid w:val="00B47534"/>
    <w:rsid w:val="00B50A08"/>
    <w:rsid w:val="00B55130"/>
    <w:rsid w:val="00B568FC"/>
    <w:rsid w:val="00B5702C"/>
    <w:rsid w:val="00B60058"/>
    <w:rsid w:val="00B6149B"/>
    <w:rsid w:val="00B61C37"/>
    <w:rsid w:val="00B621AC"/>
    <w:rsid w:val="00B70EEB"/>
    <w:rsid w:val="00B72BA6"/>
    <w:rsid w:val="00B73D15"/>
    <w:rsid w:val="00B76593"/>
    <w:rsid w:val="00B774EF"/>
    <w:rsid w:val="00B7760A"/>
    <w:rsid w:val="00B77A88"/>
    <w:rsid w:val="00B82856"/>
    <w:rsid w:val="00B833F5"/>
    <w:rsid w:val="00B85C31"/>
    <w:rsid w:val="00B87F56"/>
    <w:rsid w:val="00B91300"/>
    <w:rsid w:val="00B96753"/>
    <w:rsid w:val="00BA32A8"/>
    <w:rsid w:val="00BA3875"/>
    <w:rsid w:val="00BA59B5"/>
    <w:rsid w:val="00BA602A"/>
    <w:rsid w:val="00BA751C"/>
    <w:rsid w:val="00BA77F3"/>
    <w:rsid w:val="00BB36AB"/>
    <w:rsid w:val="00BB3CD8"/>
    <w:rsid w:val="00BB3D9E"/>
    <w:rsid w:val="00BD02D8"/>
    <w:rsid w:val="00BD1FB3"/>
    <w:rsid w:val="00BD28A5"/>
    <w:rsid w:val="00BD3EE3"/>
    <w:rsid w:val="00BD46B6"/>
    <w:rsid w:val="00BE0C44"/>
    <w:rsid w:val="00BE316C"/>
    <w:rsid w:val="00BE6A53"/>
    <w:rsid w:val="00BF3C48"/>
    <w:rsid w:val="00BF3D00"/>
    <w:rsid w:val="00BF57B4"/>
    <w:rsid w:val="00BF64F5"/>
    <w:rsid w:val="00C00CDE"/>
    <w:rsid w:val="00C0122B"/>
    <w:rsid w:val="00C0639F"/>
    <w:rsid w:val="00C11E78"/>
    <w:rsid w:val="00C16EF2"/>
    <w:rsid w:val="00C17449"/>
    <w:rsid w:val="00C20DD9"/>
    <w:rsid w:val="00C22F8C"/>
    <w:rsid w:val="00C26576"/>
    <w:rsid w:val="00C33C22"/>
    <w:rsid w:val="00C36414"/>
    <w:rsid w:val="00C37C1D"/>
    <w:rsid w:val="00C418D5"/>
    <w:rsid w:val="00C45247"/>
    <w:rsid w:val="00C458CA"/>
    <w:rsid w:val="00C466A7"/>
    <w:rsid w:val="00C473BF"/>
    <w:rsid w:val="00C47410"/>
    <w:rsid w:val="00C47CCD"/>
    <w:rsid w:val="00C52ACC"/>
    <w:rsid w:val="00C53A08"/>
    <w:rsid w:val="00C57EDD"/>
    <w:rsid w:val="00C61B71"/>
    <w:rsid w:val="00C62BCA"/>
    <w:rsid w:val="00C70C29"/>
    <w:rsid w:val="00C70D94"/>
    <w:rsid w:val="00C71F49"/>
    <w:rsid w:val="00C80947"/>
    <w:rsid w:val="00C81F63"/>
    <w:rsid w:val="00C871CF"/>
    <w:rsid w:val="00C90ADE"/>
    <w:rsid w:val="00C92517"/>
    <w:rsid w:val="00C97EED"/>
    <w:rsid w:val="00CA07A6"/>
    <w:rsid w:val="00CA38DC"/>
    <w:rsid w:val="00CA6841"/>
    <w:rsid w:val="00CB034F"/>
    <w:rsid w:val="00CB3427"/>
    <w:rsid w:val="00CB3557"/>
    <w:rsid w:val="00CC229D"/>
    <w:rsid w:val="00CC238C"/>
    <w:rsid w:val="00CC3627"/>
    <w:rsid w:val="00CC37B6"/>
    <w:rsid w:val="00CC50CB"/>
    <w:rsid w:val="00CC5433"/>
    <w:rsid w:val="00CC7018"/>
    <w:rsid w:val="00CE028F"/>
    <w:rsid w:val="00CE05D0"/>
    <w:rsid w:val="00CE34AD"/>
    <w:rsid w:val="00CE5CA2"/>
    <w:rsid w:val="00CE6F49"/>
    <w:rsid w:val="00CF13A2"/>
    <w:rsid w:val="00CF2727"/>
    <w:rsid w:val="00CF5342"/>
    <w:rsid w:val="00D035C3"/>
    <w:rsid w:val="00D11B97"/>
    <w:rsid w:val="00D12BCF"/>
    <w:rsid w:val="00D15E2B"/>
    <w:rsid w:val="00D20E73"/>
    <w:rsid w:val="00D242E1"/>
    <w:rsid w:val="00D24A5A"/>
    <w:rsid w:val="00D24C32"/>
    <w:rsid w:val="00D26473"/>
    <w:rsid w:val="00D2734A"/>
    <w:rsid w:val="00D3302C"/>
    <w:rsid w:val="00D33A36"/>
    <w:rsid w:val="00D33FF6"/>
    <w:rsid w:val="00D4004C"/>
    <w:rsid w:val="00D5568B"/>
    <w:rsid w:val="00D55C6F"/>
    <w:rsid w:val="00D56798"/>
    <w:rsid w:val="00D615A8"/>
    <w:rsid w:val="00D6304F"/>
    <w:rsid w:val="00D72D88"/>
    <w:rsid w:val="00D732BB"/>
    <w:rsid w:val="00D74371"/>
    <w:rsid w:val="00D753CC"/>
    <w:rsid w:val="00D75D8D"/>
    <w:rsid w:val="00D75FBD"/>
    <w:rsid w:val="00D761B4"/>
    <w:rsid w:val="00D77212"/>
    <w:rsid w:val="00D82A08"/>
    <w:rsid w:val="00D84759"/>
    <w:rsid w:val="00D9118D"/>
    <w:rsid w:val="00D91B67"/>
    <w:rsid w:val="00D9576A"/>
    <w:rsid w:val="00DA24DD"/>
    <w:rsid w:val="00DA349B"/>
    <w:rsid w:val="00DA3A2A"/>
    <w:rsid w:val="00DA4691"/>
    <w:rsid w:val="00DB03EA"/>
    <w:rsid w:val="00DB1CC6"/>
    <w:rsid w:val="00DC33E9"/>
    <w:rsid w:val="00DC3BE0"/>
    <w:rsid w:val="00DC40F2"/>
    <w:rsid w:val="00DC6A39"/>
    <w:rsid w:val="00DD0A61"/>
    <w:rsid w:val="00DD18F5"/>
    <w:rsid w:val="00DD1E50"/>
    <w:rsid w:val="00DD3D72"/>
    <w:rsid w:val="00DD6775"/>
    <w:rsid w:val="00DE4DBD"/>
    <w:rsid w:val="00DE5D51"/>
    <w:rsid w:val="00DE6974"/>
    <w:rsid w:val="00DF463A"/>
    <w:rsid w:val="00DF68C0"/>
    <w:rsid w:val="00DF7DBB"/>
    <w:rsid w:val="00E0057A"/>
    <w:rsid w:val="00E03928"/>
    <w:rsid w:val="00E13096"/>
    <w:rsid w:val="00E13D0B"/>
    <w:rsid w:val="00E22F75"/>
    <w:rsid w:val="00E266D7"/>
    <w:rsid w:val="00E31FC8"/>
    <w:rsid w:val="00E321E7"/>
    <w:rsid w:val="00E328B4"/>
    <w:rsid w:val="00E348BC"/>
    <w:rsid w:val="00E35211"/>
    <w:rsid w:val="00E40341"/>
    <w:rsid w:val="00E40F80"/>
    <w:rsid w:val="00E420B3"/>
    <w:rsid w:val="00E4269B"/>
    <w:rsid w:val="00E469D1"/>
    <w:rsid w:val="00E55C8E"/>
    <w:rsid w:val="00E5728B"/>
    <w:rsid w:val="00E57648"/>
    <w:rsid w:val="00E57D52"/>
    <w:rsid w:val="00E6194B"/>
    <w:rsid w:val="00E62EEA"/>
    <w:rsid w:val="00E652BC"/>
    <w:rsid w:val="00E71F80"/>
    <w:rsid w:val="00E74468"/>
    <w:rsid w:val="00E74CC0"/>
    <w:rsid w:val="00E777E6"/>
    <w:rsid w:val="00E81BE5"/>
    <w:rsid w:val="00E83984"/>
    <w:rsid w:val="00E839F4"/>
    <w:rsid w:val="00E920EB"/>
    <w:rsid w:val="00E95206"/>
    <w:rsid w:val="00EA0F6F"/>
    <w:rsid w:val="00EA45DC"/>
    <w:rsid w:val="00EA7751"/>
    <w:rsid w:val="00EB57CB"/>
    <w:rsid w:val="00EB61C1"/>
    <w:rsid w:val="00EC2092"/>
    <w:rsid w:val="00EC5F12"/>
    <w:rsid w:val="00EC61A8"/>
    <w:rsid w:val="00EC645F"/>
    <w:rsid w:val="00EC6E2E"/>
    <w:rsid w:val="00ED0F01"/>
    <w:rsid w:val="00ED33F2"/>
    <w:rsid w:val="00ED37CF"/>
    <w:rsid w:val="00ED59B1"/>
    <w:rsid w:val="00ED5E2F"/>
    <w:rsid w:val="00EE12AE"/>
    <w:rsid w:val="00EE1C2D"/>
    <w:rsid w:val="00EE1F39"/>
    <w:rsid w:val="00EE2A8E"/>
    <w:rsid w:val="00EE56F2"/>
    <w:rsid w:val="00EE6F1A"/>
    <w:rsid w:val="00EE77B1"/>
    <w:rsid w:val="00EF187D"/>
    <w:rsid w:val="00EF1FEB"/>
    <w:rsid w:val="00EF4078"/>
    <w:rsid w:val="00EF6F31"/>
    <w:rsid w:val="00F00590"/>
    <w:rsid w:val="00F032C5"/>
    <w:rsid w:val="00F0521D"/>
    <w:rsid w:val="00F120B3"/>
    <w:rsid w:val="00F12F87"/>
    <w:rsid w:val="00F140F3"/>
    <w:rsid w:val="00F15B6B"/>
    <w:rsid w:val="00F16164"/>
    <w:rsid w:val="00F20DE7"/>
    <w:rsid w:val="00F26293"/>
    <w:rsid w:val="00F343CE"/>
    <w:rsid w:val="00F34AD1"/>
    <w:rsid w:val="00F35A42"/>
    <w:rsid w:val="00F36799"/>
    <w:rsid w:val="00F39508"/>
    <w:rsid w:val="00F473C3"/>
    <w:rsid w:val="00F47831"/>
    <w:rsid w:val="00F5151C"/>
    <w:rsid w:val="00F53008"/>
    <w:rsid w:val="00F553B1"/>
    <w:rsid w:val="00F56E2D"/>
    <w:rsid w:val="00F56EEE"/>
    <w:rsid w:val="00F56FA3"/>
    <w:rsid w:val="00F5720A"/>
    <w:rsid w:val="00F601C4"/>
    <w:rsid w:val="00F62216"/>
    <w:rsid w:val="00F63173"/>
    <w:rsid w:val="00F72DDC"/>
    <w:rsid w:val="00F73FD6"/>
    <w:rsid w:val="00F76042"/>
    <w:rsid w:val="00F7740E"/>
    <w:rsid w:val="00F80173"/>
    <w:rsid w:val="00F80B65"/>
    <w:rsid w:val="00F82E2C"/>
    <w:rsid w:val="00F8332D"/>
    <w:rsid w:val="00F8698E"/>
    <w:rsid w:val="00F90623"/>
    <w:rsid w:val="00F94965"/>
    <w:rsid w:val="00F956DF"/>
    <w:rsid w:val="00F96527"/>
    <w:rsid w:val="00F972B9"/>
    <w:rsid w:val="00FA0897"/>
    <w:rsid w:val="00FA447D"/>
    <w:rsid w:val="00FB0D22"/>
    <w:rsid w:val="00FB2E7F"/>
    <w:rsid w:val="00FB3D39"/>
    <w:rsid w:val="00FB40D0"/>
    <w:rsid w:val="00FC097F"/>
    <w:rsid w:val="00FC389B"/>
    <w:rsid w:val="00FC393B"/>
    <w:rsid w:val="00FC4953"/>
    <w:rsid w:val="00FC5410"/>
    <w:rsid w:val="00FC6C86"/>
    <w:rsid w:val="00FD1AB3"/>
    <w:rsid w:val="00FD3C86"/>
    <w:rsid w:val="00FD3FDD"/>
    <w:rsid w:val="00FD42BF"/>
    <w:rsid w:val="00FD7472"/>
    <w:rsid w:val="00FE0430"/>
    <w:rsid w:val="00FE619B"/>
    <w:rsid w:val="00FE7758"/>
    <w:rsid w:val="00FF01A3"/>
    <w:rsid w:val="00FF1730"/>
    <w:rsid w:val="00FF1DA9"/>
    <w:rsid w:val="00FF648E"/>
    <w:rsid w:val="00FF6E9D"/>
    <w:rsid w:val="0130952A"/>
    <w:rsid w:val="01868080"/>
    <w:rsid w:val="01E05C75"/>
    <w:rsid w:val="0211D6C3"/>
    <w:rsid w:val="022CE105"/>
    <w:rsid w:val="023A2C72"/>
    <w:rsid w:val="0255CCF1"/>
    <w:rsid w:val="02E2288D"/>
    <w:rsid w:val="03030F02"/>
    <w:rsid w:val="0319DF78"/>
    <w:rsid w:val="0328F0A8"/>
    <w:rsid w:val="032AC994"/>
    <w:rsid w:val="035365D4"/>
    <w:rsid w:val="0356E882"/>
    <w:rsid w:val="036E48ED"/>
    <w:rsid w:val="03851A47"/>
    <w:rsid w:val="03DFAC9D"/>
    <w:rsid w:val="03F1F1C9"/>
    <w:rsid w:val="0437B4E4"/>
    <w:rsid w:val="0446D1AF"/>
    <w:rsid w:val="047BAB12"/>
    <w:rsid w:val="04C37E17"/>
    <w:rsid w:val="04D58516"/>
    <w:rsid w:val="04FA3B99"/>
    <w:rsid w:val="0528818B"/>
    <w:rsid w:val="056C29BB"/>
    <w:rsid w:val="05F7D972"/>
    <w:rsid w:val="062157A5"/>
    <w:rsid w:val="066C04D7"/>
    <w:rsid w:val="0693421D"/>
    <w:rsid w:val="06EB9881"/>
    <w:rsid w:val="0722D9DB"/>
    <w:rsid w:val="07304FE5"/>
    <w:rsid w:val="076B3911"/>
    <w:rsid w:val="0793118F"/>
    <w:rsid w:val="07C46499"/>
    <w:rsid w:val="07CE5BC3"/>
    <w:rsid w:val="08131D91"/>
    <w:rsid w:val="08535D8B"/>
    <w:rsid w:val="085E424E"/>
    <w:rsid w:val="0861276C"/>
    <w:rsid w:val="08899ECB"/>
    <w:rsid w:val="088E5326"/>
    <w:rsid w:val="0898F833"/>
    <w:rsid w:val="089EA81E"/>
    <w:rsid w:val="08F5C534"/>
    <w:rsid w:val="0906150D"/>
    <w:rsid w:val="0933B49F"/>
    <w:rsid w:val="09560E24"/>
    <w:rsid w:val="095EBA01"/>
    <w:rsid w:val="0964AA13"/>
    <w:rsid w:val="09783578"/>
    <w:rsid w:val="09A4F6F0"/>
    <w:rsid w:val="09B9FC38"/>
    <w:rsid w:val="09E22125"/>
    <w:rsid w:val="09FE4FB6"/>
    <w:rsid w:val="0A14AA9E"/>
    <w:rsid w:val="0A6175E0"/>
    <w:rsid w:val="0A920CF7"/>
    <w:rsid w:val="0AB21313"/>
    <w:rsid w:val="0ABE0A21"/>
    <w:rsid w:val="0AC09228"/>
    <w:rsid w:val="0AD9F7A4"/>
    <w:rsid w:val="0B36ED88"/>
    <w:rsid w:val="0B539ED6"/>
    <w:rsid w:val="0B5F4B92"/>
    <w:rsid w:val="0C1EF218"/>
    <w:rsid w:val="0C221E56"/>
    <w:rsid w:val="0C2DF157"/>
    <w:rsid w:val="0C43B756"/>
    <w:rsid w:val="0C4AB949"/>
    <w:rsid w:val="0C51962B"/>
    <w:rsid w:val="0CC3A413"/>
    <w:rsid w:val="0D01C351"/>
    <w:rsid w:val="0D1257FB"/>
    <w:rsid w:val="0D2B7D9E"/>
    <w:rsid w:val="0D342420"/>
    <w:rsid w:val="0D4A5101"/>
    <w:rsid w:val="0D5A2D90"/>
    <w:rsid w:val="0D71CA99"/>
    <w:rsid w:val="0DC50CA6"/>
    <w:rsid w:val="0DEC0C11"/>
    <w:rsid w:val="0E1185DA"/>
    <w:rsid w:val="0E3F9F36"/>
    <w:rsid w:val="0EA35FFF"/>
    <w:rsid w:val="0EE6C39B"/>
    <w:rsid w:val="0EFBA18F"/>
    <w:rsid w:val="0F362597"/>
    <w:rsid w:val="0F56D400"/>
    <w:rsid w:val="0F86B708"/>
    <w:rsid w:val="0FF30C5E"/>
    <w:rsid w:val="1005B7E8"/>
    <w:rsid w:val="1008DDDC"/>
    <w:rsid w:val="1027C2D6"/>
    <w:rsid w:val="102B145C"/>
    <w:rsid w:val="10415652"/>
    <w:rsid w:val="10613D8B"/>
    <w:rsid w:val="107AB721"/>
    <w:rsid w:val="1089BE6D"/>
    <w:rsid w:val="10A30D1F"/>
    <w:rsid w:val="10A78C38"/>
    <w:rsid w:val="10E2A32B"/>
    <w:rsid w:val="10F9F3B1"/>
    <w:rsid w:val="118CBE2D"/>
    <w:rsid w:val="11AE874B"/>
    <w:rsid w:val="12271A7A"/>
    <w:rsid w:val="1233070F"/>
    <w:rsid w:val="123E82E3"/>
    <w:rsid w:val="12771C6C"/>
    <w:rsid w:val="1294FDE6"/>
    <w:rsid w:val="129BB347"/>
    <w:rsid w:val="12A3F92E"/>
    <w:rsid w:val="12B8BD15"/>
    <w:rsid w:val="136FEFAC"/>
    <w:rsid w:val="1374C482"/>
    <w:rsid w:val="137AB1A9"/>
    <w:rsid w:val="137D0E8D"/>
    <w:rsid w:val="139A37D0"/>
    <w:rsid w:val="139D1AF2"/>
    <w:rsid w:val="13B41F1E"/>
    <w:rsid w:val="13B8B9E2"/>
    <w:rsid w:val="13CFF595"/>
    <w:rsid w:val="13D0E5B6"/>
    <w:rsid w:val="140E6E46"/>
    <w:rsid w:val="14442499"/>
    <w:rsid w:val="14E6CEE8"/>
    <w:rsid w:val="1509A89B"/>
    <w:rsid w:val="1584832C"/>
    <w:rsid w:val="15928E51"/>
    <w:rsid w:val="15B19F6F"/>
    <w:rsid w:val="15C02342"/>
    <w:rsid w:val="15CC124E"/>
    <w:rsid w:val="15EEDB87"/>
    <w:rsid w:val="161EE4A9"/>
    <w:rsid w:val="1640893A"/>
    <w:rsid w:val="1643BF15"/>
    <w:rsid w:val="166E3646"/>
    <w:rsid w:val="16FA27AD"/>
    <w:rsid w:val="1717BF14"/>
    <w:rsid w:val="173FAD9E"/>
    <w:rsid w:val="1748E99B"/>
    <w:rsid w:val="174DDD73"/>
    <w:rsid w:val="179137CF"/>
    <w:rsid w:val="17BF9A15"/>
    <w:rsid w:val="17DDC0DE"/>
    <w:rsid w:val="1805474D"/>
    <w:rsid w:val="180F2D11"/>
    <w:rsid w:val="181ECAFA"/>
    <w:rsid w:val="184DC9B3"/>
    <w:rsid w:val="18581F17"/>
    <w:rsid w:val="1861F0DB"/>
    <w:rsid w:val="189C532C"/>
    <w:rsid w:val="18A16D4B"/>
    <w:rsid w:val="18BC23EE"/>
    <w:rsid w:val="19098397"/>
    <w:rsid w:val="19185E08"/>
    <w:rsid w:val="192F5C0F"/>
    <w:rsid w:val="1946D9B5"/>
    <w:rsid w:val="19862023"/>
    <w:rsid w:val="198F8C00"/>
    <w:rsid w:val="19CA0B5D"/>
    <w:rsid w:val="1A11DEAF"/>
    <w:rsid w:val="1A354621"/>
    <w:rsid w:val="1A3B4BBD"/>
    <w:rsid w:val="1A3D0882"/>
    <w:rsid w:val="1A4860E5"/>
    <w:rsid w:val="1ABF3C79"/>
    <w:rsid w:val="1AED9650"/>
    <w:rsid w:val="1AF6C083"/>
    <w:rsid w:val="1B240DD5"/>
    <w:rsid w:val="1BCB53F6"/>
    <w:rsid w:val="1BF32E7E"/>
    <w:rsid w:val="1C5BFB96"/>
    <w:rsid w:val="1C70169F"/>
    <w:rsid w:val="1C75A1F1"/>
    <w:rsid w:val="1CC68785"/>
    <w:rsid w:val="1CF45A0F"/>
    <w:rsid w:val="1CF4C831"/>
    <w:rsid w:val="1D01AC1F"/>
    <w:rsid w:val="1D49F137"/>
    <w:rsid w:val="1E075A2C"/>
    <w:rsid w:val="1E13C96A"/>
    <w:rsid w:val="1E40AD88"/>
    <w:rsid w:val="1E7488D1"/>
    <w:rsid w:val="1E7A0200"/>
    <w:rsid w:val="1E8B05DD"/>
    <w:rsid w:val="1EB4494A"/>
    <w:rsid w:val="1EF4BBBA"/>
    <w:rsid w:val="1F066434"/>
    <w:rsid w:val="1F87B97A"/>
    <w:rsid w:val="1FB3DC64"/>
    <w:rsid w:val="1FDF3098"/>
    <w:rsid w:val="1FE7C6F0"/>
    <w:rsid w:val="1FF361CA"/>
    <w:rsid w:val="200651DE"/>
    <w:rsid w:val="202BD6E8"/>
    <w:rsid w:val="20327A97"/>
    <w:rsid w:val="20574472"/>
    <w:rsid w:val="20BB19EC"/>
    <w:rsid w:val="20D6F080"/>
    <w:rsid w:val="20ED34C4"/>
    <w:rsid w:val="210AAC6C"/>
    <w:rsid w:val="212AE2C3"/>
    <w:rsid w:val="217A6675"/>
    <w:rsid w:val="21FE0D00"/>
    <w:rsid w:val="2225DF37"/>
    <w:rsid w:val="2228228E"/>
    <w:rsid w:val="222B4A79"/>
    <w:rsid w:val="2237A1A6"/>
    <w:rsid w:val="22608734"/>
    <w:rsid w:val="226863C9"/>
    <w:rsid w:val="22A21795"/>
    <w:rsid w:val="22A6555A"/>
    <w:rsid w:val="2347F9F4"/>
    <w:rsid w:val="2370EDA3"/>
    <w:rsid w:val="23A6F3CF"/>
    <w:rsid w:val="23AAB92D"/>
    <w:rsid w:val="23B0792F"/>
    <w:rsid w:val="23E43CC9"/>
    <w:rsid w:val="24313349"/>
    <w:rsid w:val="246921D3"/>
    <w:rsid w:val="247328E9"/>
    <w:rsid w:val="24C2C56F"/>
    <w:rsid w:val="24E3CA55"/>
    <w:rsid w:val="24FE7830"/>
    <w:rsid w:val="250CBE04"/>
    <w:rsid w:val="250DC5A0"/>
    <w:rsid w:val="2514A7EE"/>
    <w:rsid w:val="25242E15"/>
    <w:rsid w:val="25480073"/>
    <w:rsid w:val="2562EB3B"/>
    <w:rsid w:val="259B171A"/>
    <w:rsid w:val="25C25967"/>
    <w:rsid w:val="25E7981B"/>
    <w:rsid w:val="25EE2A3C"/>
    <w:rsid w:val="25FD89C7"/>
    <w:rsid w:val="263A2714"/>
    <w:rsid w:val="26517BF3"/>
    <w:rsid w:val="26691B96"/>
    <w:rsid w:val="26B52C9B"/>
    <w:rsid w:val="26FB0FBF"/>
    <w:rsid w:val="26FB222E"/>
    <w:rsid w:val="26FEBB9C"/>
    <w:rsid w:val="271B094C"/>
    <w:rsid w:val="272306D9"/>
    <w:rsid w:val="27417BEB"/>
    <w:rsid w:val="2773462A"/>
    <w:rsid w:val="2841C45F"/>
    <w:rsid w:val="28445EC6"/>
    <w:rsid w:val="28898538"/>
    <w:rsid w:val="2895988B"/>
    <w:rsid w:val="28C9A8E4"/>
    <w:rsid w:val="290D65D3"/>
    <w:rsid w:val="29114953"/>
    <w:rsid w:val="292414C7"/>
    <w:rsid w:val="2925E8C1"/>
    <w:rsid w:val="292C369D"/>
    <w:rsid w:val="297A97EF"/>
    <w:rsid w:val="29D064C4"/>
    <w:rsid w:val="29E02F27"/>
    <w:rsid w:val="29F06721"/>
    <w:rsid w:val="2A6B83D4"/>
    <w:rsid w:val="2A7B4B13"/>
    <w:rsid w:val="2A7C069C"/>
    <w:rsid w:val="2A7CBA7D"/>
    <w:rsid w:val="2A8126BA"/>
    <w:rsid w:val="2A8C74E5"/>
    <w:rsid w:val="2A9C8353"/>
    <w:rsid w:val="2AA4CFFB"/>
    <w:rsid w:val="2AFABF06"/>
    <w:rsid w:val="2B1CC553"/>
    <w:rsid w:val="2B7919C9"/>
    <w:rsid w:val="2BDD4F9F"/>
    <w:rsid w:val="2C0A2308"/>
    <w:rsid w:val="2C12FAA9"/>
    <w:rsid w:val="2C1B1C93"/>
    <w:rsid w:val="2C1FA7E0"/>
    <w:rsid w:val="2C472BB4"/>
    <w:rsid w:val="2C5D8983"/>
    <w:rsid w:val="2C7F0965"/>
    <w:rsid w:val="2C9313BF"/>
    <w:rsid w:val="2CB8C906"/>
    <w:rsid w:val="2CC307DB"/>
    <w:rsid w:val="2CF95F29"/>
    <w:rsid w:val="2D4668AA"/>
    <w:rsid w:val="2D496BC0"/>
    <w:rsid w:val="2D5DC6CB"/>
    <w:rsid w:val="2D8A525A"/>
    <w:rsid w:val="2D9CD5EC"/>
    <w:rsid w:val="2DACE045"/>
    <w:rsid w:val="2E0FFEFF"/>
    <w:rsid w:val="2E225AB8"/>
    <w:rsid w:val="2E2BA110"/>
    <w:rsid w:val="2E34EB43"/>
    <w:rsid w:val="2E4CDE31"/>
    <w:rsid w:val="2E965E3A"/>
    <w:rsid w:val="2EC7E006"/>
    <w:rsid w:val="2F0E6F85"/>
    <w:rsid w:val="2F4976C2"/>
    <w:rsid w:val="2F5AAFAA"/>
    <w:rsid w:val="2F62BCC1"/>
    <w:rsid w:val="2F634BD6"/>
    <w:rsid w:val="2FAFD70A"/>
    <w:rsid w:val="2FB2E402"/>
    <w:rsid w:val="2FCFFB8B"/>
    <w:rsid w:val="2FE18F09"/>
    <w:rsid w:val="300B8353"/>
    <w:rsid w:val="3041E993"/>
    <w:rsid w:val="3047BDBB"/>
    <w:rsid w:val="307282B1"/>
    <w:rsid w:val="30768018"/>
    <w:rsid w:val="3090D829"/>
    <w:rsid w:val="309F76F3"/>
    <w:rsid w:val="30C7FAE4"/>
    <w:rsid w:val="30DF3C25"/>
    <w:rsid w:val="30E1F103"/>
    <w:rsid w:val="3117F23E"/>
    <w:rsid w:val="314BA76B"/>
    <w:rsid w:val="319EDE59"/>
    <w:rsid w:val="31A2ADD5"/>
    <w:rsid w:val="31D4AA08"/>
    <w:rsid w:val="3218ED4F"/>
    <w:rsid w:val="325BBA90"/>
    <w:rsid w:val="326C452C"/>
    <w:rsid w:val="328793F0"/>
    <w:rsid w:val="329D2480"/>
    <w:rsid w:val="34102C38"/>
    <w:rsid w:val="3438B854"/>
    <w:rsid w:val="347873DF"/>
    <w:rsid w:val="349749CA"/>
    <w:rsid w:val="34BC0AF7"/>
    <w:rsid w:val="34C08741"/>
    <w:rsid w:val="34CCF68D"/>
    <w:rsid w:val="34D11ED1"/>
    <w:rsid w:val="34E44BAB"/>
    <w:rsid w:val="34F98043"/>
    <w:rsid w:val="35140A14"/>
    <w:rsid w:val="352B4C63"/>
    <w:rsid w:val="3532B93E"/>
    <w:rsid w:val="354B91A7"/>
    <w:rsid w:val="3555AE77"/>
    <w:rsid w:val="3580FC8B"/>
    <w:rsid w:val="3593144D"/>
    <w:rsid w:val="35B73602"/>
    <w:rsid w:val="36144440"/>
    <w:rsid w:val="3614B5BD"/>
    <w:rsid w:val="36AF93A4"/>
    <w:rsid w:val="36D44444"/>
    <w:rsid w:val="3702E042"/>
    <w:rsid w:val="374F8CFD"/>
    <w:rsid w:val="37577EDC"/>
    <w:rsid w:val="379E1D5C"/>
    <w:rsid w:val="379E548D"/>
    <w:rsid w:val="381116B9"/>
    <w:rsid w:val="3822CC84"/>
    <w:rsid w:val="3848DC0A"/>
    <w:rsid w:val="386880D4"/>
    <w:rsid w:val="387C3B84"/>
    <w:rsid w:val="387D458E"/>
    <w:rsid w:val="3889D585"/>
    <w:rsid w:val="388D4F39"/>
    <w:rsid w:val="3893D7BE"/>
    <w:rsid w:val="38B004B6"/>
    <w:rsid w:val="38D125AD"/>
    <w:rsid w:val="38EF5AC2"/>
    <w:rsid w:val="38F34F3D"/>
    <w:rsid w:val="3911F5F7"/>
    <w:rsid w:val="393ADD9B"/>
    <w:rsid w:val="39455EAF"/>
    <w:rsid w:val="394BD297"/>
    <w:rsid w:val="396F20E9"/>
    <w:rsid w:val="39C643EC"/>
    <w:rsid w:val="39D618D8"/>
    <w:rsid w:val="39D77813"/>
    <w:rsid w:val="39FC5F2B"/>
    <w:rsid w:val="3A16D50D"/>
    <w:rsid w:val="3A44E182"/>
    <w:rsid w:val="3A454D48"/>
    <w:rsid w:val="3A75F741"/>
    <w:rsid w:val="3AAC7765"/>
    <w:rsid w:val="3AD73E4E"/>
    <w:rsid w:val="3AEBE256"/>
    <w:rsid w:val="3AFDE716"/>
    <w:rsid w:val="3B275205"/>
    <w:rsid w:val="3B3D0402"/>
    <w:rsid w:val="3B5A4D3F"/>
    <w:rsid w:val="3BA1FAC2"/>
    <w:rsid w:val="3BEE494C"/>
    <w:rsid w:val="3C74A7D2"/>
    <w:rsid w:val="3C9305C6"/>
    <w:rsid w:val="3CA8429D"/>
    <w:rsid w:val="3CBAE36F"/>
    <w:rsid w:val="3CF89B6E"/>
    <w:rsid w:val="3D076658"/>
    <w:rsid w:val="3D15B1BF"/>
    <w:rsid w:val="3D2A6FD5"/>
    <w:rsid w:val="3D39B83B"/>
    <w:rsid w:val="3D8C0E70"/>
    <w:rsid w:val="3DB2A0EA"/>
    <w:rsid w:val="3DB6F60D"/>
    <w:rsid w:val="3DE893A2"/>
    <w:rsid w:val="3E3C8AF6"/>
    <w:rsid w:val="3E507118"/>
    <w:rsid w:val="3E663F76"/>
    <w:rsid w:val="3E8EC638"/>
    <w:rsid w:val="3EBB42B2"/>
    <w:rsid w:val="3EE5CD73"/>
    <w:rsid w:val="3EF7C9C7"/>
    <w:rsid w:val="3F27C7D7"/>
    <w:rsid w:val="3F427328"/>
    <w:rsid w:val="3F600AB0"/>
    <w:rsid w:val="3F6B4DA1"/>
    <w:rsid w:val="3F8743D0"/>
    <w:rsid w:val="3F8B364D"/>
    <w:rsid w:val="3FAD2255"/>
    <w:rsid w:val="3FC28281"/>
    <w:rsid w:val="402A152B"/>
    <w:rsid w:val="403A3522"/>
    <w:rsid w:val="403FE26C"/>
    <w:rsid w:val="4040BCBA"/>
    <w:rsid w:val="4073BC45"/>
    <w:rsid w:val="40836103"/>
    <w:rsid w:val="40DADB0D"/>
    <w:rsid w:val="41276FEE"/>
    <w:rsid w:val="4241D117"/>
    <w:rsid w:val="4245BEF2"/>
    <w:rsid w:val="42760A19"/>
    <w:rsid w:val="4276E66B"/>
    <w:rsid w:val="42E3E956"/>
    <w:rsid w:val="4327CE23"/>
    <w:rsid w:val="43ADA777"/>
    <w:rsid w:val="43BC39C6"/>
    <w:rsid w:val="43BD8967"/>
    <w:rsid w:val="43F2B596"/>
    <w:rsid w:val="440672D4"/>
    <w:rsid w:val="442B176B"/>
    <w:rsid w:val="443FD19E"/>
    <w:rsid w:val="445EA770"/>
    <w:rsid w:val="448EBD29"/>
    <w:rsid w:val="44BA4A4E"/>
    <w:rsid w:val="44C3DF36"/>
    <w:rsid w:val="44CFD3A7"/>
    <w:rsid w:val="453FC5D9"/>
    <w:rsid w:val="4549A8DE"/>
    <w:rsid w:val="46003846"/>
    <w:rsid w:val="460CEDAC"/>
    <w:rsid w:val="461B16A3"/>
    <w:rsid w:val="4620BFAF"/>
    <w:rsid w:val="4638E9AA"/>
    <w:rsid w:val="4677E35E"/>
    <w:rsid w:val="47282BD7"/>
    <w:rsid w:val="474CBAD1"/>
    <w:rsid w:val="4764B2C9"/>
    <w:rsid w:val="478E6A66"/>
    <w:rsid w:val="48017650"/>
    <w:rsid w:val="481D7B89"/>
    <w:rsid w:val="48483344"/>
    <w:rsid w:val="485D3A4C"/>
    <w:rsid w:val="48A5E0DC"/>
    <w:rsid w:val="48A8316E"/>
    <w:rsid w:val="48BB6F94"/>
    <w:rsid w:val="48EDC499"/>
    <w:rsid w:val="48F85572"/>
    <w:rsid w:val="48FDE7BD"/>
    <w:rsid w:val="49079EAF"/>
    <w:rsid w:val="49318C2F"/>
    <w:rsid w:val="4936A1F3"/>
    <w:rsid w:val="494A673E"/>
    <w:rsid w:val="49A735FD"/>
    <w:rsid w:val="49E7B78D"/>
    <w:rsid w:val="49EB11BE"/>
    <w:rsid w:val="4A0A4C38"/>
    <w:rsid w:val="4A3C19F1"/>
    <w:rsid w:val="4A43EF84"/>
    <w:rsid w:val="4A4478A7"/>
    <w:rsid w:val="4A764C40"/>
    <w:rsid w:val="4A81BB69"/>
    <w:rsid w:val="4AB6759B"/>
    <w:rsid w:val="4AC60B28"/>
    <w:rsid w:val="4B0ECE21"/>
    <w:rsid w:val="4B17049B"/>
    <w:rsid w:val="4B1FEF55"/>
    <w:rsid w:val="4B76A26D"/>
    <w:rsid w:val="4B8684FA"/>
    <w:rsid w:val="4BAF72EF"/>
    <w:rsid w:val="4BC8F1FF"/>
    <w:rsid w:val="4BE34811"/>
    <w:rsid w:val="4C41EE71"/>
    <w:rsid w:val="4C42E7DC"/>
    <w:rsid w:val="4C6F4277"/>
    <w:rsid w:val="4D27AC62"/>
    <w:rsid w:val="4D56A9FE"/>
    <w:rsid w:val="4D69FADB"/>
    <w:rsid w:val="4D9D744B"/>
    <w:rsid w:val="4DC3B4C0"/>
    <w:rsid w:val="4DC3CD76"/>
    <w:rsid w:val="4DE99B41"/>
    <w:rsid w:val="4E3E8109"/>
    <w:rsid w:val="4E438F32"/>
    <w:rsid w:val="4E4991C9"/>
    <w:rsid w:val="4ECC9E18"/>
    <w:rsid w:val="4ED3AD2C"/>
    <w:rsid w:val="4ED43A40"/>
    <w:rsid w:val="4EE202B1"/>
    <w:rsid w:val="4F461BF0"/>
    <w:rsid w:val="4FAB6838"/>
    <w:rsid w:val="4FB20668"/>
    <w:rsid w:val="4FF349C6"/>
    <w:rsid w:val="500668C8"/>
    <w:rsid w:val="501ED398"/>
    <w:rsid w:val="5043AD00"/>
    <w:rsid w:val="505058EC"/>
    <w:rsid w:val="507627BC"/>
    <w:rsid w:val="5099227F"/>
    <w:rsid w:val="509F32FE"/>
    <w:rsid w:val="50D7A721"/>
    <w:rsid w:val="512BF7A5"/>
    <w:rsid w:val="515A5356"/>
    <w:rsid w:val="51B43992"/>
    <w:rsid w:val="51B81734"/>
    <w:rsid w:val="5203F3EB"/>
    <w:rsid w:val="5207913A"/>
    <w:rsid w:val="521D12ED"/>
    <w:rsid w:val="522B2973"/>
    <w:rsid w:val="5233B21C"/>
    <w:rsid w:val="524E47F7"/>
    <w:rsid w:val="52799A8A"/>
    <w:rsid w:val="52861F2F"/>
    <w:rsid w:val="528F6937"/>
    <w:rsid w:val="529137AD"/>
    <w:rsid w:val="52A64CC1"/>
    <w:rsid w:val="52E28CDC"/>
    <w:rsid w:val="52FCD20A"/>
    <w:rsid w:val="53681069"/>
    <w:rsid w:val="53967EAB"/>
    <w:rsid w:val="53AD5F7C"/>
    <w:rsid w:val="53B5CCAC"/>
    <w:rsid w:val="53D32FE1"/>
    <w:rsid w:val="54C6C845"/>
    <w:rsid w:val="54C9BEE7"/>
    <w:rsid w:val="54CC4A89"/>
    <w:rsid w:val="54F531F0"/>
    <w:rsid w:val="54FBDCB0"/>
    <w:rsid w:val="54FC4801"/>
    <w:rsid w:val="54FF6EB2"/>
    <w:rsid w:val="55243A33"/>
    <w:rsid w:val="55488076"/>
    <w:rsid w:val="55673D47"/>
    <w:rsid w:val="5584E3F0"/>
    <w:rsid w:val="55DC427A"/>
    <w:rsid w:val="55E4B3DD"/>
    <w:rsid w:val="561D2CB0"/>
    <w:rsid w:val="56365AC0"/>
    <w:rsid w:val="569FF01D"/>
    <w:rsid w:val="56EA8736"/>
    <w:rsid w:val="570C8B95"/>
    <w:rsid w:val="572B7AD5"/>
    <w:rsid w:val="5737537E"/>
    <w:rsid w:val="5744FF62"/>
    <w:rsid w:val="574ED5CF"/>
    <w:rsid w:val="576B2617"/>
    <w:rsid w:val="57B45982"/>
    <w:rsid w:val="57BD73D6"/>
    <w:rsid w:val="57BD8C0F"/>
    <w:rsid w:val="57D9C199"/>
    <w:rsid w:val="57E12192"/>
    <w:rsid w:val="581EAD98"/>
    <w:rsid w:val="582E65BD"/>
    <w:rsid w:val="58415C92"/>
    <w:rsid w:val="5847FA53"/>
    <w:rsid w:val="58A1368B"/>
    <w:rsid w:val="58A42902"/>
    <w:rsid w:val="58ACAE61"/>
    <w:rsid w:val="58B913F7"/>
    <w:rsid w:val="58BF5498"/>
    <w:rsid w:val="58C2465A"/>
    <w:rsid w:val="58E929D7"/>
    <w:rsid w:val="58EE5DC4"/>
    <w:rsid w:val="59131363"/>
    <w:rsid w:val="59460929"/>
    <w:rsid w:val="594CAE16"/>
    <w:rsid w:val="5987DF69"/>
    <w:rsid w:val="599DA39E"/>
    <w:rsid w:val="59C96882"/>
    <w:rsid w:val="5A0C3693"/>
    <w:rsid w:val="5A233A57"/>
    <w:rsid w:val="5A35D17A"/>
    <w:rsid w:val="5A3CC021"/>
    <w:rsid w:val="5A51A27D"/>
    <w:rsid w:val="5A8ED3BC"/>
    <w:rsid w:val="5AB9E928"/>
    <w:rsid w:val="5AD1D5C8"/>
    <w:rsid w:val="5B3EEE2B"/>
    <w:rsid w:val="5B5ED11E"/>
    <w:rsid w:val="5BE2E617"/>
    <w:rsid w:val="5BE66314"/>
    <w:rsid w:val="5BE884EC"/>
    <w:rsid w:val="5C10A92D"/>
    <w:rsid w:val="5C215825"/>
    <w:rsid w:val="5C379E46"/>
    <w:rsid w:val="5C44A3EE"/>
    <w:rsid w:val="5C4C959B"/>
    <w:rsid w:val="5C5E9219"/>
    <w:rsid w:val="5CB06E84"/>
    <w:rsid w:val="5CCFAD74"/>
    <w:rsid w:val="5D0DE884"/>
    <w:rsid w:val="5D26B320"/>
    <w:rsid w:val="5D3CCA77"/>
    <w:rsid w:val="5D4DEE62"/>
    <w:rsid w:val="5DC1B27C"/>
    <w:rsid w:val="5E09768A"/>
    <w:rsid w:val="5E262B9D"/>
    <w:rsid w:val="5E3FB4BD"/>
    <w:rsid w:val="5E557E08"/>
    <w:rsid w:val="5ED77B50"/>
    <w:rsid w:val="5F2B093F"/>
    <w:rsid w:val="5F3AC984"/>
    <w:rsid w:val="5F745C1E"/>
    <w:rsid w:val="602445AD"/>
    <w:rsid w:val="607A895A"/>
    <w:rsid w:val="60AC34D4"/>
    <w:rsid w:val="60B71DAC"/>
    <w:rsid w:val="60D3DF78"/>
    <w:rsid w:val="610924DB"/>
    <w:rsid w:val="61494EB7"/>
    <w:rsid w:val="6189452B"/>
    <w:rsid w:val="6189F63A"/>
    <w:rsid w:val="619F03C7"/>
    <w:rsid w:val="61AE3F5E"/>
    <w:rsid w:val="62450246"/>
    <w:rsid w:val="624BD900"/>
    <w:rsid w:val="6257492F"/>
    <w:rsid w:val="627D3A33"/>
    <w:rsid w:val="62819094"/>
    <w:rsid w:val="629AC5A4"/>
    <w:rsid w:val="62B7A2A1"/>
    <w:rsid w:val="62B82BD7"/>
    <w:rsid w:val="6325C69B"/>
    <w:rsid w:val="633D1AE5"/>
    <w:rsid w:val="633FE81E"/>
    <w:rsid w:val="64028756"/>
    <w:rsid w:val="640A3493"/>
    <w:rsid w:val="64150A17"/>
    <w:rsid w:val="642B7C9D"/>
    <w:rsid w:val="642BF627"/>
    <w:rsid w:val="645609E0"/>
    <w:rsid w:val="64B96ADE"/>
    <w:rsid w:val="64F9E3DE"/>
    <w:rsid w:val="6525864E"/>
    <w:rsid w:val="65532602"/>
    <w:rsid w:val="659D6A65"/>
    <w:rsid w:val="65A97B80"/>
    <w:rsid w:val="65AB840B"/>
    <w:rsid w:val="65B25A9E"/>
    <w:rsid w:val="65C391C5"/>
    <w:rsid w:val="65E6E8AD"/>
    <w:rsid w:val="65F1DA41"/>
    <w:rsid w:val="660722E0"/>
    <w:rsid w:val="660B25F1"/>
    <w:rsid w:val="660FE902"/>
    <w:rsid w:val="6614886F"/>
    <w:rsid w:val="662A42BD"/>
    <w:rsid w:val="663EE4E5"/>
    <w:rsid w:val="665FC603"/>
    <w:rsid w:val="66881817"/>
    <w:rsid w:val="668E8C41"/>
    <w:rsid w:val="66CEB99C"/>
    <w:rsid w:val="67187369"/>
    <w:rsid w:val="6734F766"/>
    <w:rsid w:val="67625F6D"/>
    <w:rsid w:val="6771A79A"/>
    <w:rsid w:val="678AC9C6"/>
    <w:rsid w:val="67C4345F"/>
    <w:rsid w:val="67D2E05F"/>
    <w:rsid w:val="67F21894"/>
    <w:rsid w:val="680CC5E1"/>
    <w:rsid w:val="6866E17B"/>
    <w:rsid w:val="686E07BC"/>
    <w:rsid w:val="6891ABD2"/>
    <w:rsid w:val="68954C90"/>
    <w:rsid w:val="6904E321"/>
    <w:rsid w:val="69710807"/>
    <w:rsid w:val="698A1B05"/>
    <w:rsid w:val="69BC86FD"/>
    <w:rsid w:val="69D05D8A"/>
    <w:rsid w:val="69D170B5"/>
    <w:rsid w:val="69FF1A5A"/>
    <w:rsid w:val="6A300073"/>
    <w:rsid w:val="6A320675"/>
    <w:rsid w:val="6A3EBC7C"/>
    <w:rsid w:val="6A51ABC1"/>
    <w:rsid w:val="6A6C40AC"/>
    <w:rsid w:val="6A91D722"/>
    <w:rsid w:val="6AA0B382"/>
    <w:rsid w:val="6AA5B6F1"/>
    <w:rsid w:val="6ACD275E"/>
    <w:rsid w:val="6AEB702A"/>
    <w:rsid w:val="6B194D09"/>
    <w:rsid w:val="6B561E07"/>
    <w:rsid w:val="6B6087B8"/>
    <w:rsid w:val="6B62E4C8"/>
    <w:rsid w:val="6B6C2DEB"/>
    <w:rsid w:val="6B74AD85"/>
    <w:rsid w:val="6B9AEABB"/>
    <w:rsid w:val="6BA8F40F"/>
    <w:rsid w:val="6BBC0A5B"/>
    <w:rsid w:val="6C120FDE"/>
    <w:rsid w:val="6C128A23"/>
    <w:rsid w:val="6C2AD927"/>
    <w:rsid w:val="6C43AC68"/>
    <w:rsid w:val="6C52799F"/>
    <w:rsid w:val="6C5BFDAA"/>
    <w:rsid w:val="6C875A87"/>
    <w:rsid w:val="6CA4A17D"/>
    <w:rsid w:val="6CF50822"/>
    <w:rsid w:val="6D1051FB"/>
    <w:rsid w:val="6D259E75"/>
    <w:rsid w:val="6D47B8CD"/>
    <w:rsid w:val="6D653DD6"/>
    <w:rsid w:val="6D927233"/>
    <w:rsid w:val="6D9DC598"/>
    <w:rsid w:val="6DC34069"/>
    <w:rsid w:val="6DD85444"/>
    <w:rsid w:val="6DE98DE6"/>
    <w:rsid w:val="6E68FD28"/>
    <w:rsid w:val="6E7E6F64"/>
    <w:rsid w:val="6E9BD0F1"/>
    <w:rsid w:val="6E9C13F8"/>
    <w:rsid w:val="6EA3CEAD"/>
    <w:rsid w:val="6ECF9548"/>
    <w:rsid w:val="6EE54F96"/>
    <w:rsid w:val="6F3975F6"/>
    <w:rsid w:val="6F72515E"/>
    <w:rsid w:val="6FC7EAC7"/>
    <w:rsid w:val="6FC83343"/>
    <w:rsid w:val="6FCFC3A3"/>
    <w:rsid w:val="6FD2C2B8"/>
    <w:rsid w:val="6FE566A1"/>
    <w:rsid w:val="7000EFA4"/>
    <w:rsid w:val="704672D4"/>
    <w:rsid w:val="705014BE"/>
    <w:rsid w:val="707F598F"/>
    <w:rsid w:val="708CF01E"/>
    <w:rsid w:val="70AF2DA8"/>
    <w:rsid w:val="70B9987B"/>
    <w:rsid w:val="70BCEFB6"/>
    <w:rsid w:val="70ECC54F"/>
    <w:rsid w:val="70FD91BF"/>
    <w:rsid w:val="717E7F13"/>
    <w:rsid w:val="71845A8C"/>
    <w:rsid w:val="71F1F8C2"/>
    <w:rsid w:val="71FF6B88"/>
    <w:rsid w:val="7249DC2D"/>
    <w:rsid w:val="724AAA8E"/>
    <w:rsid w:val="724B41C5"/>
    <w:rsid w:val="72687C70"/>
    <w:rsid w:val="72CD7FEF"/>
    <w:rsid w:val="72F7A336"/>
    <w:rsid w:val="7377EE95"/>
    <w:rsid w:val="73859CFE"/>
    <w:rsid w:val="73A74106"/>
    <w:rsid w:val="74549567"/>
    <w:rsid w:val="74A97678"/>
    <w:rsid w:val="74AC9E50"/>
    <w:rsid w:val="74BE3EFC"/>
    <w:rsid w:val="74C0E170"/>
    <w:rsid w:val="74CB1545"/>
    <w:rsid w:val="752BFE36"/>
    <w:rsid w:val="75466673"/>
    <w:rsid w:val="755FF09D"/>
    <w:rsid w:val="756B4706"/>
    <w:rsid w:val="7582637B"/>
    <w:rsid w:val="75D92885"/>
    <w:rsid w:val="768138C0"/>
    <w:rsid w:val="768689C5"/>
    <w:rsid w:val="7688E08F"/>
    <w:rsid w:val="76BEB076"/>
    <w:rsid w:val="76CB2720"/>
    <w:rsid w:val="76E6A7E6"/>
    <w:rsid w:val="76F43FA8"/>
    <w:rsid w:val="76FBC0FE"/>
    <w:rsid w:val="7707A68B"/>
    <w:rsid w:val="778108FE"/>
    <w:rsid w:val="778BAF26"/>
    <w:rsid w:val="78225A26"/>
    <w:rsid w:val="786E4EBA"/>
    <w:rsid w:val="788DCCC1"/>
    <w:rsid w:val="78B95FC5"/>
    <w:rsid w:val="78BB3BAC"/>
    <w:rsid w:val="78C050E2"/>
    <w:rsid w:val="78CE3373"/>
    <w:rsid w:val="78DED75A"/>
    <w:rsid w:val="78E1838A"/>
    <w:rsid w:val="7909199F"/>
    <w:rsid w:val="793B24C0"/>
    <w:rsid w:val="796A3A81"/>
    <w:rsid w:val="796C8A00"/>
    <w:rsid w:val="7997FEB0"/>
    <w:rsid w:val="79A90464"/>
    <w:rsid w:val="79ABD771"/>
    <w:rsid w:val="79BE2A87"/>
    <w:rsid w:val="7A0EC9DE"/>
    <w:rsid w:val="7A44D2EC"/>
    <w:rsid w:val="7A592EFD"/>
    <w:rsid w:val="7A7D53EB"/>
    <w:rsid w:val="7A8D2C4D"/>
    <w:rsid w:val="7A96FD5E"/>
    <w:rsid w:val="7AE35EE1"/>
    <w:rsid w:val="7B4BA08E"/>
    <w:rsid w:val="7B5FA840"/>
    <w:rsid w:val="7B817F75"/>
    <w:rsid w:val="7B90D672"/>
    <w:rsid w:val="7B9E59B4"/>
    <w:rsid w:val="7BCC60F6"/>
    <w:rsid w:val="7C539199"/>
    <w:rsid w:val="7C60DC2B"/>
    <w:rsid w:val="7C6918D4"/>
    <w:rsid w:val="7C922169"/>
    <w:rsid w:val="7CEA0ACD"/>
    <w:rsid w:val="7D071AA3"/>
    <w:rsid w:val="7D2430B7"/>
    <w:rsid w:val="7D2E3478"/>
    <w:rsid w:val="7D8021E6"/>
    <w:rsid w:val="7D9C935B"/>
    <w:rsid w:val="7DD83543"/>
    <w:rsid w:val="7DD93029"/>
    <w:rsid w:val="7DED50E6"/>
    <w:rsid w:val="7DF26042"/>
    <w:rsid w:val="7E06F401"/>
    <w:rsid w:val="7E455D8C"/>
    <w:rsid w:val="7E555E9B"/>
    <w:rsid w:val="7E844492"/>
    <w:rsid w:val="7E883037"/>
    <w:rsid w:val="7EACAABD"/>
    <w:rsid w:val="7EB4560E"/>
    <w:rsid w:val="7ED66386"/>
    <w:rsid w:val="7ED8D440"/>
    <w:rsid w:val="7EEB8432"/>
    <w:rsid w:val="7F35EBB8"/>
    <w:rsid w:val="7F366D19"/>
    <w:rsid w:val="7F65F941"/>
    <w:rsid w:val="7F77E46E"/>
    <w:rsid w:val="7FA1C0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5C8CC"/>
  <w15:docId w15:val="{2E267816-C080-48D0-8C97-E9DD3772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78"/>
      <w:ind w:left="111"/>
      <w:outlineLvl w:val="0"/>
    </w:pPr>
    <w:rPr>
      <w:sz w:val="24"/>
      <w:szCs w:val="24"/>
    </w:rPr>
  </w:style>
  <w:style w:type="paragraph" w:styleId="Heading2">
    <w:name w:val="heading 2"/>
    <w:basedOn w:val="Normal"/>
    <w:uiPriority w:val="9"/>
    <w:unhideWhenUsed/>
    <w:qFormat/>
    <w:pPr>
      <w:ind w:left="100"/>
      <w:outlineLvl w:val="1"/>
    </w:pPr>
    <w:rPr>
      <w:sz w:val="23"/>
      <w:szCs w:val="23"/>
    </w:rPr>
  </w:style>
  <w:style w:type="paragraph" w:styleId="Heading3">
    <w:name w:val="heading 3"/>
    <w:basedOn w:val="Normal"/>
    <w:uiPriority w:val="9"/>
    <w:unhideWhenUsed/>
    <w:qFormat/>
    <w:pPr>
      <w:spacing w:before="1"/>
      <w:ind w:left="920"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614" w:lineRule="exact"/>
      <w:ind w:left="896"/>
    </w:pPr>
    <w:rPr>
      <w:rFonts w:ascii="Calibri Light" w:eastAsia="Calibri Light" w:hAnsi="Calibri Light" w:cs="Calibri Light"/>
      <w:sz w:val="52"/>
      <w:szCs w:val="52"/>
    </w:rPr>
  </w:style>
  <w:style w:type="paragraph" w:styleId="ListParagraph">
    <w:name w:val="List Paragraph"/>
    <w:basedOn w:val="Normal"/>
    <w:uiPriority w:val="34"/>
    <w:qFormat/>
    <w:pPr>
      <w:ind w:left="920" w:hanging="361"/>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B030C8"/>
    <w:rPr>
      <w:sz w:val="16"/>
      <w:szCs w:val="16"/>
    </w:rPr>
  </w:style>
  <w:style w:type="paragraph" w:styleId="CommentText">
    <w:name w:val="annotation text"/>
    <w:basedOn w:val="Normal"/>
    <w:link w:val="CommentTextChar"/>
    <w:uiPriority w:val="99"/>
    <w:unhideWhenUsed/>
    <w:rsid w:val="00B030C8"/>
    <w:rPr>
      <w:sz w:val="20"/>
      <w:szCs w:val="20"/>
    </w:rPr>
  </w:style>
  <w:style w:type="character" w:customStyle="1" w:styleId="CommentTextChar">
    <w:name w:val="Comment Text Char"/>
    <w:basedOn w:val="DefaultParagraphFont"/>
    <w:link w:val="CommentText"/>
    <w:uiPriority w:val="99"/>
    <w:rsid w:val="00B030C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030C8"/>
    <w:rPr>
      <w:b/>
      <w:bCs/>
    </w:rPr>
  </w:style>
  <w:style w:type="character" w:customStyle="1" w:styleId="CommentSubjectChar">
    <w:name w:val="Comment Subject Char"/>
    <w:basedOn w:val="CommentTextChar"/>
    <w:link w:val="CommentSubject"/>
    <w:uiPriority w:val="99"/>
    <w:semiHidden/>
    <w:rsid w:val="00B030C8"/>
    <w:rPr>
      <w:rFonts w:ascii="Calibri" w:eastAsia="Calibri" w:hAnsi="Calibri" w:cs="Calibri"/>
      <w:b/>
      <w:bCs/>
      <w:sz w:val="20"/>
      <w:szCs w:val="20"/>
    </w:rPr>
  </w:style>
  <w:style w:type="character" w:styleId="Hyperlink">
    <w:name w:val="Hyperlink"/>
    <w:basedOn w:val="DefaultParagraphFont"/>
    <w:uiPriority w:val="99"/>
    <w:unhideWhenUsed/>
    <w:rsid w:val="00C36414"/>
    <w:rPr>
      <w:color w:val="0000FF" w:themeColor="hyperlink"/>
      <w:u w:val="single"/>
    </w:rPr>
  </w:style>
  <w:style w:type="character" w:styleId="UnresolvedMention">
    <w:name w:val="Unresolved Mention"/>
    <w:basedOn w:val="DefaultParagraphFont"/>
    <w:uiPriority w:val="99"/>
    <w:semiHidden/>
    <w:unhideWhenUsed/>
    <w:rsid w:val="00C36414"/>
    <w:rPr>
      <w:color w:val="605E5C"/>
      <w:shd w:val="clear" w:color="auto" w:fill="E1DFDD"/>
    </w:rPr>
  </w:style>
  <w:style w:type="character" w:customStyle="1" w:styleId="contenttext">
    <w:name w:val="contenttext"/>
    <w:basedOn w:val="DefaultParagraphFont"/>
    <w:rsid w:val="005B1E20"/>
  </w:style>
  <w:style w:type="paragraph" w:styleId="BalloonText">
    <w:name w:val="Balloon Text"/>
    <w:basedOn w:val="Normal"/>
    <w:link w:val="BalloonTextChar"/>
    <w:uiPriority w:val="99"/>
    <w:semiHidden/>
    <w:unhideWhenUsed/>
    <w:rsid w:val="00C11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E78"/>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EE56F2"/>
    <w:rPr>
      <w:sz w:val="20"/>
      <w:szCs w:val="20"/>
    </w:rPr>
  </w:style>
  <w:style w:type="character" w:customStyle="1" w:styleId="FootnoteTextChar">
    <w:name w:val="Footnote Text Char"/>
    <w:basedOn w:val="DefaultParagraphFont"/>
    <w:link w:val="FootnoteText"/>
    <w:uiPriority w:val="99"/>
    <w:semiHidden/>
    <w:rsid w:val="00EE56F2"/>
    <w:rPr>
      <w:rFonts w:ascii="Calibri" w:eastAsia="Calibri" w:hAnsi="Calibri" w:cs="Calibri"/>
      <w:sz w:val="20"/>
      <w:szCs w:val="20"/>
    </w:rPr>
  </w:style>
  <w:style w:type="character" w:styleId="FootnoteReference">
    <w:name w:val="footnote reference"/>
    <w:basedOn w:val="DefaultParagraphFont"/>
    <w:uiPriority w:val="99"/>
    <w:semiHidden/>
    <w:unhideWhenUsed/>
    <w:rsid w:val="00EE56F2"/>
    <w:rPr>
      <w:vertAlign w:val="superscript"/>
    </w:rPr>
  </w:style>
  <w:style w:type="paragraph" w:styleId="EndnoteText">
    <w:name w:val="endnote text"/>
    <w:basedOn w:val="Normal"/>
    <w:link w:val="EndnoteTextChar"/>
    <w:uiPriority w:val="99"/>
    <w:semiHidden/>
    <w:unhideWhenUsed/>
    <w:rsid w:val="00EE56F2"/>
    <w:rPr>
      <w:sz w:val="20"/>
      <w:szCs w:val="20"/>
    </w:rPr>
  </w:style>
  <w:style w:type="character" w:customStyle="1" w:styleId="EndnoteTextChar">
    <w:name w:val="Endnote Text Char"/>
    <w:basedOn w:val="DefaultParagraphFont"/>
    <w:link w:val="EndnoteText"/>
    <w:uiPriority w:val="99"/>
    <w:semiHidden/>
    <w:rsid w:val="00EE56F2"/>
    <w:rPr>
      <w:rFonts w:ascii="Calibri" w:eastAsia="Calibri" w:hAnsi="Calibri" w:cs="Calibri"/>
      <w:sz w:val="20"/>
      <w:szCs w:val="20"/>
    </w:rPr>
  </w:style>
  <w:style w:type="character" w:styleId="EndnoteReference">
    <w:name w:val="endnote reference"/>
    <w:basedOn w:val="DefaultParagraphFont"/>
    <w:uiPriority w:val="99"/>
    <w:semiHidden/>
    <w:unhideWhenUsed/>
    <w:rsid w:val="00EE56F2"/>
    <w:rPr>
      <w:vertAlign w:val="superscript"/>
    </w:rPr>
  </w:style>
  <w:style w:type="character" w:styleId="FollowedHyperlink">
    <w:name w:val="FollowedHyperlink"/>
    <w:basedOn w:val="DefaultParagraphFont"/>
    <w:uiPriority w:val="99"/>
    <w:semiHidden/>
    <w:unhideWhenUsed/>
    <w:rsid w:val="004C5E51"/>
    <w:rPr>
      <w:color w:val="800080" w:themeColor="followedHyperlink"/>
      <w:u w:val="single"/>
    </w:rPr>
  </w:style>
  <w:style w:type="paragraph" w:styleId="NormalWeb">
    <w:name w:val="Normal (Web)"/>
    <w:basedOn w:val="Normal"/>
    <w:uiPriority w:val="99"/>
    <w:semiHidden/>
    <w:unhideWhenUsed/>
    <w:rsid w:val="00465C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11">
    <w:name w:val="s11"/>
    <w:basedOn w:val="DefaultParagraphFont"/>
    <w:rsid w:val="00465CE0"/>
  </w:style>
  <w:style w:type="paragraph" w:styleId="Header">
    <w:name w:val="header"/>
    <w:basedOn w:val="Normal"/>
    <w:link w:val="HeaderChar"/>
    <w:uiPriority w:val="99"/>
    <w:unhideWhenUsed/>
    <w:rsid w:val="00C70C29"/>
    <w:pPr>
      <w:tabs>
        <w:tab w:val="center" w:pos="4680"/>
        <w:tab w:val="right" w:pos="9360"/>
      </w:tabs>
    </w:pPr>
  </w:style>
  <w:style w:type="character" w:customStyle="1" w:styleId="HeaderChar">
    <w:name w:val="Header Char"/>
    <w:basedOn w:val="DefaultParagraphFont"/>
    <w:link w:val="Header"/>
    <w:uiPriority w:val="99"/>
    <w:rsid w:val="00C70C29"/>
    <w:rPr>
      <w:rFonts w:ascii="Calibri" w:eastAsia="Calibri" w:hAnsi="Calibri" w:cs="Calibri"/>
    </w:rPr>
  </w:style>
  <w:style w:type="paragraph" w:styleId="Footer">
    <w:name w:val="footer"/>
    <w:basedOn w:val="Normal"/>
    <w:link w:val="FooterChar"/>
    <w:uiPriority w:val="99"/>
    <w:unhideWhenUsed/>
    <w:rsid w:val="00C70C29"/>
    <w:pPr>
      <w:tabs>
        <w:tab w:val="center" w:pos="4680"/>
        <w:tab w:val="right" w:pos="9360"/>
      </w:tabs>
    </w:pPr>
  </w:style>
  <w:style w:type="character" w:customStyle="1" w:styleId="FooterChar">
    <w:name w:val="Footer Char"/>
    <w:basedOn w:val="DefaultParagraphFont"/>
    <w:link w:val="Footer"/>
    <w:uiPriority w:val="99"/>
    <w:rsid w:val="00C70C29"/>
    <w:rPr>
      <w:rFonts w:ascii="Calibri" w:eastAsia="Calibri" w:hAnsi="Calibri" w:cs="Calibri"/>
    </w:rPr>
  </w:style>
  <w:style w:type="paragraph" w:styleId="Revision">
    <w:name w:val="Revision"/>
    <w:hidden/>
    <w:uiPriority w:val="99"/>
    <w:semiHidden/>
    <w:rsid w:val="0042103C"/>
    <w:pPr>
      <w:widowControl/>
      <w:autoSpaceDE/>
      <w:autoSpaceDN/>
    </w:pPr>
    <w:rPr>
      <w:rFonts w:ascii="Calibri" w:eastAsia="Calibri" w:hAnsi="Calibri" w:cs="Calibri"/>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A31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A349B"/>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DA349B"/>
    <w:pPr>
      <w:spacing w:before="360"/>
    </w:pPr>
    <w:rPr>
      <w:rFonts w:asciiTheme="majorHAnsi" w:hAnsiTheme="majorHAnsi"/>
      <w:b/>
      <w:bCs/>
      <w:caps/>
      <w:sz w:val="24"/>
      <w:szCs w:val="24"/>
    </w:rPr>
  </w:style>
  <w:style w:type="paragraph" w:styleId="TOC2">
    <w:name w:val="toc 2"/>
    <w:basedOn w:val="Normal"/>
    <w:next w:val="Normal"/>
    <w:autoRedefine/>
    <w:uiPriority w:val="39"/>
    <w:unhideWhenUsed/>
    <w:rsid w:val="0005579C"/>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05579C"/>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05579C"/>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05579C"/>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05579C"/>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05579C"/>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05579C"/>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05579C"/>
    <w:pPr>
      <w:ind w:left="1540"/>
    </w:pPr>
    <w:rPr>
      <w:rFonts w:asciiTheme="minorHAnsi" w:hAnsiTheme="minorHAnsi" w:cstheme="minorHAnsi"/>
      <w:sz w:val="20"/>
      <w:szCs w:val="20"/>
    </w:rPr>
  </w:style>
  <w:style w:type="paragraph" w:styleId="NoSpacing">
    <w:name w:val="No Spacing"/>
    <w:uiPriority w:val="1"/>
    <w:qFormat/>
    <w:rsid w:val="00401C7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021992">
      <w:bodyDiv w:val="1"/>
      <w:marLeft w:val="0"/>
      <w:marRight w:val="0"/>
      <w:marTop w:val="0"/>
      <w:marBottom w:val="0"/>
      <w:divBdr>
        <w:top w:val="none" w:sz="0" w:space="0" w:color="auto"/>
        <w:left w:val="none" w:sz="0" w:space="0" w:color="auto"/>
        <w:bottom w:val="none" w:sz="0" w:space="0" w:color="auto"/>
        <w:right w:val="none" w:sz="0" w:space="0" w:color="auto"/>
      </w:divBdr>
    </w:div>
    <w:div w:id="1056589883">
      <w:bodyDiv w:val="1"/>
      <w:marLeft w:val="0"/>
      <w:marRight w:val="0"/>
      <w:marTop w:val="0"/>
      <w:marBottom w:val="0"/>
      <w:divBdr>
        <w:top w:val="none" w:sz="0" w:space="0" w:color="auto"/>
        <w:left w:val="none" w:sz="0" w:space="0" w:color="auto"/>
        <w:bottom w:val="none" w:sz="0" w:space="0" w:color="auto"/>
        <w:right w:val="none" w:sz="0" w:space="0" w:color="auto"/>
      </w:divBdr>
      <w:divsChild>
        <w:div w:id="972826945">
          <w:marLeft w:val="360"/>
          <w:marRight w:val="0"/>
          <w:marTop w:val="200"/>
          <w:marBottom w:val="0"/>
          <w:divBdr>
            <w:top w:val="none" w:sz="0" w:space="0" w:color="auto"/>
            <w:left w:val="none" w:sz="0" w:space="0" w:color="auto"/>
            <w:bottom w:val="none" w:sz="0" w:space="0" w:color="auto"/>
            <w:right w:val="none" w:sz="0" w:space="0" w:color="auto"/>
          </w:divBdr>
        </w:div>
      </w:divsChild>
    </w:div>
    <w:div w:id="1246299209">
      <w:bodyDiv w:val="1"/>
      <w:marLeft w:val="0"/>
      <w:marRight w:val="0"/>
      <w:marTop w:val="0"/>
      <w:marBottom w:val="0"/>
      <w:divBdr>
        <w:top w:val="none" w:sz="0" w:space="0" w:color="auto"/>
        <w:left w:val="none" w:sz="0" w:space="0" w:color="auto"/>
        <w:bottom w:val="none" w:sz="0" w:space="0" w:color="auto"/>
        <w:right w:val="none" w:sz="0" w:space="0" w:color="auto"/>
      </w:divBdr>
    </w:div>
    <w:div w:id="1446078445">
      <w:bodyDiv w:val="1"/>
      <w:marLeft w:val="0"/>
      <w:marRight w:val="0"/>
      <w:marTop w:val="0"/>
      <w:marBottom w:val="0"/>
      <w:divBdr>
        <w:top w:val="none" w:sz="0" w:space="0" w:color="auto"/>
        <w:left w:val="none" w:sz="0" w:space="0" w:color="auto"/>
        <w:bottom w:val="none" w:sz="0" w:space="0" w:color="auto"/>
        <w:right w:val="none" w:sz="0" w:space="0" w:color="auto"/>
      </w:divBdr>
      <w:divsChild>
        <w:div w:id="618414847">
          <w:marLeft w:val="446"/>
          <w:marRight w:val="0"/>
          <w:marTop w:val="0"/>
          <w:marBottom w:val="0"/>
          <w:divBdr>
            <w:top w:val="none" w:sz="0" w:space="0" w:color="auto"/>
            <w:left w:val="none" w:sz="0" w:space="0" w:color="auto"/>
            <w:bottom w:val="none" w:sz="0" w:space="0" w:color="auto"/>
            <w:right w:val="none" w:sz="0" w:space="0" w:color="auto"/>
          </w:divBdr>
        </w:div>
        <w:div w:id="914705399">
          <w:marLeft w:val="1166"/>
          <w:marRight w:val="0"/>
          <w:marTop w:val="0"/>
          <w:marBottom w:val="0"/>
          <w:divBdr>
            <w:top w:val="none" w:sz="0" w:space="0" w:color="auto"/>
            <w:left w:val="none" w:sz="0" w:space="0" w:color="auto"/>
            <w:bottom w:val="none" w:sz="0" w:space="0" w:color="auto"/>
            <w:right w:val="none" w:sz="0" w:space="0" w:color="auto"/>
          </w:divBdr>
        </w:div>
        <w:div w:id="1288009258">
          <w:marLeft w:val="1166"/>
          <w:marRight w:val="0"/>
          <w:marTop w:val="0"/>
          <w:marBottom w:val="0"/>
          <w:divBdr>
            <w:top w:val="none" w:sz="0" w:space="0" w:color="auto"/>
            <w:left w:val="none" w:sz="0" w:space="0" w:color="auto"/>
            <w:bottom w:val="none" w:sz="0" w:space="0" w:color="auto"/>
            <w:right w:val="none" w:sz="0" w:space="0" w:color="auto"/>
          </w:divBdr>
        </w:div>
        <w:div w:id="1371224823">
          <w:marLeft w:val="1166"/>
          <w:marRight w:val="0"/>
          <w:marTop w:val="0"/>
          <w:marBottom w:val="0"/>
          <w:divBdr>
            <w:top w:val="none" w:sz="0" w:space="0" w:color="auto"/>
            <w:left w:val="none" w:sz="0" w:space="0" w:color="auto"/>
            <w:bottom w:val="none" w:sz="0" w:space="0" w:color="auto"/>
            <w:right w:val="none" w:sz="0" w:space="0" w:color="auto"/>
          </w:divBdr>
        </w:div>
        <w:div w:id="1429962472">
          <w:marLeft w:val="446"/>
          <w:marRight w:val="0"/>
          <w:marTop w:val="0"/>
          <w:marBottom w:val="0"/>
          <w:divBdr>
            <w:top w:val="none" w:sz="0" w:space="0" w:color="auto"/>
            <w:left w:val="none" w:sz="0" w:space="0" w:color="auto"/>
            <w:bottom w:val="none" w:sz="0" w:space="0" w:color="auto"/>
            <w:right w:val="none" w:sz="0" w:space="0" w:color="auto"/>
          </w:divBdr>
        </w:div>
        <w:div w:id="1744982821">
          <w:marLeft w:val="446"/>
          <w:marRight w:val="0"/>
          <w:marTop w:val="0"/>
          <w:marBottom w:val="0"/>
          <w:divBdr>
            <w:top w:val="none" w:sz="0" w:space="0" w:color="auto"/>
            <w:left w:val="none" w:sz="0" w:space="0" w:color="auto"/>
            <w:bottom w:val="none" w:sz="0" w:space="0" w:color="auto"/>
            <w:right w:val="none" w:sz="0" w:space="0" w:color="auto"/>
          </w:divBdr>
        </w:div>
        <w:div w:id="1943806086">
          <w:marLeft w:val="1166"/>
          <w:marRight w:val="0"/>
          <w:marTop w:val="0"/>
          <w:marBottom w:val="0"/>
          <w:divBdr>
            <w:top w:val="none" w:sz="0" w:space="0" w:color="auto"/>
            <w:left w:val="none" w:sz="0" w:space="0" w:color="auto"/>
            <w:bottom w:val="none" w:sz="0" w:space="0" w:color="auto"/>
            <w:right w:val="none" w:sz="0" w:space="0" w:color="auto"/>
          </w:divBdr>
        </w:div>
        <w:div w:id="1945724067">
          <w:marLeft w:val="446"/>
          <w:marRight w:val="0"/>
          <w:marTop w:val="0"/>
          <w:marBottom w:val="0"/>
          <w:divBdr>
            <w:top w:val="none" w:sz="0" w:space="0" w:color="auto"/>
            <w:left w:val="none" w:sz="0" w:space="0" w:color="auto"/>
            <w:bottom w:val="none" w:sz="0" w:space="0" w:color="auto"/>
            <w:right w:val="none" w:sz="0" w:space="0" w:color="auto"/>
          </w:divBdr>
        </w:div>
      </w:divsChild>
    </w:div>
    <w:div w:id="1829133565">
      <w:bodyDiv w:val="1"/>
      <w:marLeft w:val="0"/>
      <w:marRight w:val="0"/>
      <w:marTop w:val="0"/>
      <w:marBottom w:val="0"/>
      <w:divBdr>
        <w:top w:val="none" w:sz="0" w:space="0" w:color="auto"/>
        <w:left w:val="none" w:sz="0" w:space="0" w:color="auto"/>
        <w:bottom w:val="none" w:sz="0" w:space="0" w:color="auto"/>
        <w:right w:val="none" w:sz="0" w:space="0" w:color="auto"/>
      </w:divBdr>
    </w:div>
    <w:div w:id="2024546565">
      <w:bodyDiv w:val="1"/>
      <w:marLeft w:val="0"/>
      <w:marRight w:val="0"/>
      <w:marTop w:val="0"/>
      <w:marBottom w:val="0"/>
      <w:divBdr>
        <w:top w:val="none" w:sz="0" w:space="0" w:color="auto"/>
        <w:left w:val="none" w:sz="0" w:space="0" w:color="auto"/>
        <w:bottom w:val="none" w:sz="0" w:space="0" w:color="auto"/>
        <w:right w:val="none" w:sz="0" w:space="0" w:color="auto"/>
      </w:divBdr>
      <w:divsChild>
        <w:div w:id="1207598962">
          <w:marLeft w:val="360"/>
          <w:marRight w:val="0"/>
          <w:marTop w:val="200"/>
          <w:marBottom w:val="0"/>
          <w:divBdr>
            <w:top w:val="none" w:sz="0" w:space="0" w:color="auto"/>
            <w:left w:val="none" w:sz="0" w:space="0" w:color="auto"/>
            <w:bottom w:val="none" w:sz="0" w:space="0" w:color="auto"/>
            <w:right w:val="none" w:sz="0" w:space="0" w:color="auto"/>
          </w:divBdr>
        </w:div>
      </w:divsChild>
    </w:div>
    <w:div w:id="2025669301">
      <w:bodyDiv w:val="1"/>
      <w:marLeft w:val="0"/>
      <w:marRight w:val="0"/>
      <w:marTop w:val="0"/>
      <w:marBottom w:val="0"/>
      <w:divBdr>
        <w:top w:val="none" w:sz="0" w:space="0" w:color="auto"/>
        <w:left w:val="none" w:sz="0" w:space="0" w:color="auto"/>
        <w:bottom w:val="none" w:sz="0" w:space="0" w:color="auto"/>
        <w:right w:val="none" w:sz="0" w:space="0" w:color="auto"/>
      </w:divBdr>
    </w:div>
    <w:div w:id="213393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Grant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doe.mass.edu/federalgrants/resources/equitableservices-essa/rg-eqserv.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doe.mass.edu/federalgrants/resources/monitor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ss.egrantsmanagement.com/default.aspx?ccipSessionKey=63853112247013541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egcounsel.house.gov/Comps/Elementary%20And%20Secondary%20Education%20Act%20Of%201965.pdf" TargetMode="External"/></Relationships>
</file>

<file path=word/documenttasks/documenttasks1.xml><?xml version="1.0" encoding="utf-8"?>
<t:Tasks xmlns:t="http://schemas.microsoft.com/office/tasks/2019/documenttasks" xmlns:oel="http://schemas.microsoft.com/office/2019/extlst">
  <t:Task id="{EB18EEFF-14F6-4D51-83B0-396626CBCCEE}">
    <t:Anchor>
      <t:Comment id="248896828"/>
    </t:Anchor>
    <t:History>
      <t:Event id="{69A04370-447A-4200-945F-DC3AEE54E47C}" time="2021-07-19T15:01:59.207Z">
        <t:Attribution userId="S::eleanor.rounds@mass.gov::ae3cae55-aabd-4d2f-9bc9-45b61ff330c5" userProvider="AD" userName="Rounds-Bloom, Eleanor (DESE)"/>
        <t:Anchor>
          <t:Comment id="961732716"/>
        </t:Anchor>
        <t:Create/>
      </t:Event>
      <t:Event id="{F9C01D49-9700-4611-A89D-EB9098577F6E}" time="2021-07-19T15:01:59.207Z">
        <t:Attribution userId="S::eleanor.rounds@mass.gov::ae3cae55-aabd-4d2f-9bc9-45b61ff330c5" userProvider="AD" userName="Rounds-Bloom, Eleanor (DESE)"/>
        <t:Anchor>
          <t:Comment id="961732716"/>
        </t:Anchor>
        <t:Assign userId="S::Elizabeth.A.O'Connell@mass.gov::f1437753-d882-43da-bb9c-05152211f8fc" userProvider="AD" userName="O'Connell, Elizabeth (DESE)"/>
      </t:Event>
      <t:Event id="{903FEB4E-D12E-46B6-BD24-F182C8BA6417}" time="2021-07-19T15:01:59.207Z">
        <t:Attribution userId="S::eleanor.rounds@mass.gov::ae3cae55-aabd-4d2f-9bc9-45b61ff330c5" userProvider="AD" userName="Rounds-Bloom, Eleanor (DESE)"/>
        <t:Anchor>
          <t:Comment id="961732716"/>
        </t:Anchor>
        <t:SetTitle title="@O'Connell, Elizabeth (DESE) -just add to the body of the work and folks will review there. Easier to read."/>
      </t:Event>
      <t:Event id="{FD33FEDF-EBE3-4EDF-A364-F87762D7E6AC}" time="2021-07-19T15:05:43.122Z">
        <t:Attribution userId="S::elizabeth.a.o'connell@mass.gov::f1437753-d882-43da-bb9c-05152211f8fc" userProvider="AD" userName="O'Connell, Elizabeth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6" ma:contentTypeDescription="Create a new document." ma:contentTypeScope="" ma:versionID="0987dfbc8ad267364bbb798d26b4dead">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5df0dd8d2e9224e40af4386b3e554a65"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dfc3a5-e0cb-420d-bb1c-baaddc6e8637}"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MediaLengthInSeconds xmlns="67cbf261-e971-4a38-83b4-d85e273e70b4" xsi:nil="true"/>
    <SharedWithUsers xmlns="46f7fc10-315f-4884-8231-57a9c90b9c56">
      <UserInfo>
        <DisplayName>Foodman, Julia (DESE)</DisplayName>
        <AccountId>24</AccountId>
        <AccountType/>
      </UserInfo>
      <UserInfo>
        <DisplayName>Lynch, Simone E (DESE)</DisplayName>
        <AccountId>18</AccountId>
        <AccountType/>
      </UserInfo>
      <UserInfo>
        <DisplayName>Deninger, Matthew (DESE)</DisplayName>
        <AccountId>34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B9CEE-BF5D-47C2-BD0A-375AB3B96840}">
  <ds:schemaRefs>
    <ds:schemaRef ds:uri="http://schemas.microsoft.com/sharepoint/v3/contenttype/forms"/>
  </ds:schemaRefs>
</ds:datastoreItem>
</file>

<file path=customXml/itemProps2.xml><?xml version="1.0" encoding="utf-8"?>
<ds:datastoreItem xmlns:ds="http://schemas.openxmlformats.org/officeDocument/2006/customXml" ds:itemID="{97AD9E0A-822A-4566-98E9-79B3BB815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C2153-4E47-48B1-A5E1-198A725DD67B}">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4.xml><?xml version="1.0" encoding="utf-8"?>
<ds:datastoreItem xmlns:ds="http://schemas.openxmlformats.org/officeDocument/2006/customXml" ds:itemID="{16BCDA9D-192D-4F01-AF43-0AE1B39B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3419</Words>
  <Characters>19458</Characters>
  <Application>Microsoft Office Word</Application>
  <DocSecurity>0</DocSecurity>
  <Lines>452</Lines>
  <Paragraphs>148</Paragraphs>
  <ScaleCrop>false</ScaleCrop>
  <HeadingPairs>
    <vt:vector size="2" baseType="variant">
      <vt:variant>
        <vt:lpstr>Title</vt:lpstr>
      </vt:variant>
      <vt:variant>
        <vt:i4>1</vt:i4>
      </vt:variant>
    </vt:vector>
  </HeadingPairs>
  <TitlesOfParts>
    <vt:vector size="1" baseType="lpstr">
      <vt:lpstr>Title IVA Resource Guide</vt:lpstr>
    </vt:vector>
  </TitlesOfParts>
  <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IVA Resource Guide</dc:title>
  <dc:subject/>
  <dc:creator>DESE</dc:creator>
  <cp:keywords/>
  <cp:lastModifiedBy>Zou, Dong (EOE)</cp:lastModifiedBy>
  <cp:revision>12</cp:revision>
  <dcterms:created xsi:type="dcterms:W3CDTF">2024-06-24T13:31:00Z</dcterms:created>
  <dcterms:modified xsi:type="dcterms:W3CDTF">2024-06-24T19:09:00Z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2024 12:00AM</vt:lpwstr>
  </property>
</Properties>
</file>