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BB5C" w14:textId="2D02DF87" w:rsidR="00723B1C" w:rsidRDefault="00FF1214" w:rsidP="00C004F4">
      <w:pPr>
        <w:spacing w:after="0" w:line="240" w:lineRule="auto"/>
        <w:rPr>
          <w:b/>
          <w:color w:val="1F497D" w:themeColor="text2"/>
          <w:sz w:val="32"/>
          <w:szCs w:val="32"/>
        </w:rPr>
      </w:pPr>
      <w:r w:rsidRPr="00C237D0">
        <w:rPr>
          <w:noProof/>
          <w:color w:val="1F497D" w:themeColor="text2"/>
          <w:sz w:val="32"/>
          <w:szCs w:val="32"/>
        </w:rPr>
        <w:drawing>
          <wp:anchor distT="0" distB="0" distL="114300" distR="114300" simplePos="0" relativeHeight="251663360" behindDoc="0" locked="0" layoutInCell="1" allowOverlap="1" wp14:anchorId="6F745933" wp14:editId="746E40E6">
            <wp:simplePos x="0" y="0"/>
            <wp:positionH relativeFrom="margin">
              <wp:posOffset>5767705</wp:posOffset>
            </wp:positionH>
            <wp:positionV relativeFrom="paragraph">
              <wp:posOffset>-4445</wp:posOffset>
            </wp:positionV>
            <wp:extent cx="1278074" cy="76327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8074"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2E39" w14:textId="36318939" w:rsidR="00811F57" w:rsidRPr="009B412E" w:rsidRDefault="00D53271" w:rsidP="00C004F4">
      <w:pPr>
        <w:spacing w:after="0" w:line="240" w:lineRule="auto"/>
        <w:rPr>
          <w:b/>
          <w:color w:val="1F497D" w:themeColor="text2"/>
          <w:sz w:val="32"/>
          <w:szCs w:val="32"/>
        </w:rPr>
      </w:pPr>
      <w:r>
        <w:rPr>
          <w:b/>
          <w:color w:val="1F497D" w:themeColor="text2"/>
          <w:sz w:val="32"/>
          <w:szCs w:val="32"/>
        </w:rPr>
        <w:t>Title IV</w:t>
      </w:r>
      <w:r w:rsidR="000309D7">
        <w:rPr>
          <w:b/>
          <w:color w:val="1F497D" w:themeColor="text2"/>
          <w:sz w:val="32"/>
          <w:szCs w:val="32"/>
        </w:rPr>
        <w:t xml:space="preserve">, Part </w:t>
      </w:r>
      <w:r w:rsidR="00972D90" w:rsidRPr="009B412E">
        <w:rPr>
          <w:b/>
          <w:color w:val="1F497D" w:themeColor="text2"/>
          <w:sz w:val="32"/>
          <w:szCs w:val="32"/>
        </w:rPr>
        <w:t>A</w:t>
      </w:r>
      <w:r w:rsidR="00056E07">
        <w:rPr>
          <w:b/>
          <w:color w:val="1F497D" w:themeColor="text2"/>
          <w:sz w:val="32"/>
          <w:szCs w:val="32"/>
        </w:rPr>
        <w:t>:</w:t>
      </w:r>
      <w:r w:rsidR="00972D90" w:rsidRPr="009B412E">
        <w:rPr>
          <w:b/>
          <w:color w:val="1F497D" w:themeColor="text2"/>
          <w:sz w:val="32"/>
          <w:szCs w:val="32"/>
        </w:rPr>
        <w:t xml:space="preserve"> Quick Reference Guide </w:t>
      </w:r>
      <w:r w:rsidR="004B0C48">
        <w:rPr>
          <w:b/>
          <w:color w:val="1F497D" w:themeColor="text2"/>
          <w:sz w:val="32"/>
          <w:szCs w:val="32"/>
        </w:rPr>
        <w:t>– F</w:t>
      </w:r>
      <w:r w:rsidR="0031692E">
        <w:rPr>
          <w:b/>
          <w:color w:val="1F497D" w:themeColor="text2"/>
          <w:sz w:val="32"/>
          <w:szCs w:val="32"/>
        </w:rPr>
        <w:t xml:space="preserve">und </w:t>
      </w:r>
      <w:r w:rsidR="004B0C48">
        <w:rPr>
          <w:b/>
          <w:color w:val="1F497D" w:themeColor="text2"/>
          <w:sz w:val="32"/>
          <w:szCs w:val="32"/>
        </w:rPr>
        <w:t>C</w:t>
      </w:r>
      <w:r w:rsidR="0031692E">
        <w:rPr>
          <w:b/>
          <w:color w:val="1F497D" w:themeColor="text2"/>
          <w:sz w:val="32"/>
          <w:szCs w:val="32"/>
        </w:rPr>
        <w:t>ode</w:t>
      </w:r>
      <w:r w:rsidR="004B0C48">
        <w:rPr>
          <w:b/>
          <w:color w:val="1F497D" w:themeColor="text2"/>
          <w:sz w:val="32"/>
          <w:szCs w:val="32"/>
        </w:rPr>
        <w:t xml:space="preserve"> 30</w:t>
      </w:r>
      <w:r w:rsidR="006460A3">
        <w:rPr>
          <w:b/>
          <w:color w:val="1F497D" w:themeColor="text2"/>
          <w:sz w:val="32"/>
          <w:szCs w:val="32"/>
        </w:rPr>
        <w:t>9</w:t>
      </w:r>
    </w:p>
    <w:p w14:paraId="15CE2C15" w14:textId="697C6D84" w:rsidR="00965002" w:rsidRDefault="001B26DA" w:rsidP="00C004F4">
      <w:pPr>
        <w:spacing w:after="0" w:line="240" w:lineRule="auto"/>
        <w:rPr>
          <w:b/>
          <w:color w:val="E36C0A" w:themeColor="accent6" w:themeShade="BF"/>
          <w:sz w:val="28"/>
          <w:szCs w:val="32"/>
        </w:rPr>
      </w:pPr>
      <w:r>
        <w:rPr>
          <w:b/>
          <w:color w:val="E36C0A" w:themeColor="accent6" w:themeShade="BF"/>
          <w:sz w:val="28"/>
          <w:szCs w:val="32"/>
        </w:rPr>
        <w:t xml:space="preserve">Allowable </w:t>
      </w:r>
      <w:r w:rsidR="001806F2">
        <w:rPr>
          <w:b/>
          <w:color w:val="E36C0A" w:themeColor="accent6" w:themeShade="BF"/>
          <w:sz w:val="28"/>
          <w:szCs w:val="32"/>
        </w:rPr>
        <w:t xml:space="preserve">Uses to Support </w:t>
      </w:r>
      <w:r w:rsidR="001A1F17">
        <w:rPr>
          <w:b/>
          <w:color w:val="E36C0A" w:themeColor="accent6" w:themeShade="BF"/>
          <w:sz w:val="28"/>
          <w:szCs w:val="32"/>
        </w:rPr>
        <w:t>Safe and Healthy Schools</w:t>
      </w:r>
    </w:p>
    <w:p w14:paraId="217DE045" w14:textId="41DF4264" w:rsidR="00D53271" w:rsidRPr="00F246C3" w:rsidRDefault="00D53271" w:rsidP="00C004F4">
      <w:pPr>
        <w:spacing w:after="0" w:line="240" w:lineRule="auto"/>
        <w:rPr>
          <w:b/>
          <w:color w:val="E36C0A" w:themeColor="accent6" w:themeShade="BF"/>
          <w:sz w:val="24"/>
          <w:szCs w:val="24"/>
        </w:rPr>
      </w:pPr>
    </w:p>
    <w:p w14:paraId="75118B35" w14:textId="4505F77D" w:rsidR="00056E07" w:rsidRDefault="00D53271" w:rsidP="00056E07">
      <w:pPr>
        <w:shd w:val="clear" w:color="auto" w:fill="FFFFFF" w:themeFill="background1"/>
        <w:spacing w:after="0" w:line="240" w:lineRule="auto"/>
        <w:rPr>
          <w:color w:val="1F497D" w:themeColor="text2"/>
          <w:sz w:val="24"/>
          <w:szCs w:val="20"/>
        </w:rPr>
      </w:pPr>
      <w:r>
        <w:rPr>
          <w:b/>
          <w:color w:val="1F497D" w:themeColor="text2"/>
          <w:sz w:val="24"/>
          <w:szCs w:val="20"/>
        </w:rPr>
        <w:t>Priorities of Title IV</w:t>
      </w:r>
      <w:r w:rsidR="004B0C48">
        <w:rPr>
          <w:b/>
          <w:color w:val="1F497D" w:themeColor="text2"/>
          <w:sz w:val="24"/>
          <w:szCs w:val="20"/>
        </w:rPr>
        <w:t xml:space="preserve">, Part </w:t>
      </w:r>
      <w:r w:rsidR="009B412E" w:rsidRPr="00056E07">
        <w:rPr>
          <w:b/>
          <w:color w:val="1F497D" w:themeColor="text2"/>
          <w:sz w:val="24"/>
          <w:szCs w:val="20"/>
        </w:rPr>
        <w:t>A</w:t>
      </w:r>
      <w:r w:rsidR="004B0C48">
        <w:rPr>
          <w:b/>
          <w:color w:val="1F497D" w:themeColor="text2"/>
          <w:sz w:val="24"/>
          <w:szCs w:val="20"/>
        </w:rPr>
        <w:t xml:space="preserve"> – Student Support and Academic Enrichment (SSAE)</w:t>
      </w:r>
      <w:r w:rsidR="009B412E" w:rsidRPr="00056E07">
        <w:rPr>
          <w:b/>
          <w:color w:val="1F497D" w:themeColor="text2"/>
          <w:sz w:val="24"/>
          <w:szCs w:val="20"/>
        </w:rPr>
        <w:t>:</w:t>
      </w:r>
      <w:r w:rsidR="009B412E" w:rsidRPr="00056E07">
        <w:rPr>
          <w:color w:val="1F497D" w:themeColor="text2"/>
          <w:sz w:val="24"/>
          <w:szCs w:val="20"/>
        </w:rPr>
        <w:t xml:space="preserve"> </w:t>
      </w:r>
    </w:p>
    <w:p w14:paraId="3D166FC8" w14:textId="77777777" w:rsidR="00056E07" w:rsidRPr="00056E07" w:rsidRDefault="00D53271" w:rsidP="00056E07">
      <w:pPr>
        <w:pStyle w:val="ListParagraph"/>
        <w:numPr>
          <w:ilvl w:val="0"/>
          <w:numId w:val="31"/>
        </w:numPr>
        <w:shd w:val="clear" w:color="auto" w:fill="FFFFFF" w:themeFill="background1"/>
        <w:spacing w:line="240" w:lineRule="auto"/>
        <w:rPr>
          <w:color w:val="1F497D" w:themeColor="text2"/>
          <w:sz w:val="24"/>
          <w:szCs w:val="20"/>
        </w:rPr>
      </w:pPr>
      <w:r>
        <w:rPr>
          <w:sz w:val="20"/>
          <w:szCs w:val="20"/>
        </w:rPr>
        <w:t>Provide all students with access to a well-rounded education;</w:t>
      </w:r>
    </w:p>
    <w:p w14:paraId="20CB2B7E" w14:textId="47529BB4" w:rsidR="00056E07" w:rsidRPr="00D53271" w:rsidRDefault="009B412E" w:rsidP="00056E07">
      <w:pPr>
        <w:pStyle w:val="ListParagraph"/>
        <w:numPr>
          <w:ilvl w:val="0"/>
          <w:numId w:val="31"/>
        </w:numPr>
        <w:shd w:val="clear" w:color="auto" w:fill="FFFFFF" w:themeFill="background1"/>
        <w:spacing w:line="240" w:lineRule="auto"/>
        <w:rPr>
          <w:color w:val="1F497D" w:themeColor="text2"/>
          <w:sz w:val="24"/>
          <w:szCs w:val="20"/>
        </w:rPr>
      </w:pPr>
      <w:r w:rsidRPr="00056E07">
        <w:rPr>
          <w:sz w:val="20"/>
          <w:szCs w:val="20"/>
        </w:rPr>
        <w:t>Improve</w:t>
      </w:r>
      <w:r w:rsidR="00D53271" w:rsidRPr="00561265">
        <w:rPr>
          <w:i/>
          <w:sz w:val="20"/>
        </w:rPr>
        <w:t xml:space="preserve"> </w:t>
      </w:r>
      <w:r w:rsidR="00D53271" w:rsidRPr="00D53271">
        <w:rPr>
          <w:sz w:val="20"/>
        </w:rPr>
        <w:t>s</w:t>
      </w:r>
      <w:r w:rsidR="00D53271" w:rsidRPr="00D53271">
        <w:rPr>
          <w:bCs/>
          <w:sz w:val="20"/>
        </w:rPr>
        <w:t>chool conditions for learning to</w:t>
      </w:r>
      <w:r w:rsidR="00D53271" w:rsidRPr="00D53271">
        <w:rPr>
          <w:sz w:val="20"/>
        </w:rPr>
        <w:t xml:space="preserve"> ensure safe and healthy students</w:t>
      </w:r>
      <w:r w:rsidR="00D53271">
        <w:rPr>
          <w:sz w:val="20"/>
        </w:rPr>
        <w:t>;</w:t>
      </w:r>
      <w:r w:rsidR="0031692E">
        <w:rPr>
          <w:sz w:val="20"/>
        </w:rPr>
        <w:t xml:space="preserve"> and</w:t>
      </w:r>
    </w:p>
    <w:p w14:paraId="2D504077" w14:textId="4B2C322D" w:rsidR="00AD1C20" w:rsidRPr="00F246C3" w:rsidRDefault="00D53271" w:rsidP="00F246C3">
      <w:pPr>
        <w:pStyle w:val="ListParagraph"/>
        <w:numPr>
          <w:ilvl w:val="0"/>
          <w:numId w:val="31"/>
        </w:numPr>
        <w:shd w:val="clear" w:color="auto" w:fill="FFFFFF" w:themeFill="background1"/>
        <w:spacing w:after="0" w:line="240" w:lineRule="auto"/>
        <w:rPr>
          <w:color w:val="1F497D" w:themeColor="text2"/>
          <w:sz w:val="24"/>
          <w:szCs w:val="20"/>
        </w:rPr>
      </w:pPr>
      <w:r w:rsidRPr="00D53271">
        <w:rPr>
          <w:sz w:val="20"/>
        </w:rPr>
        <w:t>Improve the u</w:t>
      </w:r>
      <w:r w:rsidRPr="00D53271">
        <w:rPr>
          <w:bCs/>
          <w:sz w:val="20"/>
        </w:rPr>
        <w:t xml:space="preserve">se of technology </w:t>
      </w:r>
      <w:r w:rsidRPr="00D53271">
        <w:rPr>
          <w:sz w:val="20"/>
        </w:rPr>
        <w:t>to improve academic achievement</w:t>
      </w:r>
      <w:r w:rsidR="0031692E">
        <w:rPr>
          <w:sz w:val="20"/>
        </w:rPr>
        <w:t>.</w:t>
      </w:r>
      <w:r w:rsidRPr="00D53271">
        <w:rPr>
          <w:sz w:val="20"/>
          <w:szCs w:val="20"/>
        </w:rPr>
        <w:t xml:space="preserve"> </w:t>
      </w:r>
    </w:p>
    <w:p w14:paraId="419C06CD" w14:textId="5A4FC44C" w:rsidR="00F246C3" w:rsidRDefault="00F246C3" w:rsidP="00F246C3">
      <w:pPr>
        <w:numPr>
          <w:ilvl w:val="0"/>
          <w:numId w:val="31"/>
        </w:numPr>
        <w:spacing w:before="100" w:beforeAutospacing="1" w:line="240" w:lineRule="auto"/>
        <w:rPr>
          <w:sz w:val="20"/>
        </w:rPr>
      </w:pPr>
      <w:r>
        <w:rPr>
          <w:sz w:val="20"/>
        </w:rPr>
        <w:t xml:space="preserve">Support key district and school improvement initiatives </w:t>
      </w:r>
      <w:r w:rsidRPr="00C94BDC">
        <w:rPr>
          <w:b/>
          <w:bCs/>
          <w:sz w:val="20"/>
        </w:rPr>
        <w:t>in coordination with</w:t>
      </w:r>
      <w:r>
        <w:rPr>
          <w:sz w:val="20"/>
        </w:rPr>
        <w:t xml:space="preserve"> other federal grant funds and state and local resources so initiatives and their impact </w:t>
      </w:r>
      <w:r w:rsidRPr="00C94BDC">
        <w:rPr>
          <w:b/>
          <w:bCs/>
          <w:sz w:val="20"/>
        </w:rPr>
        <w:t>are sustained</w:t>
      </w:r>
      <w:r>
        <w:rPr>
          <w:sz w:val="20"/>
        </w:rPr>
        <w:t xml:space="preserve"> beyond the life of individual sources of funding.</w:t>
      </w:r>
    </w:p>
    <w:p w14:paraId="2E85B66F" w14:textId="3D2F2E39" w:rsidR="001806F2" w:rsidRDefault="001806F2" w:rsidP="00A8194D">
      <w:pPr>
        <w:spacing w:after="0" w:line="240" w:lineRule="auto"/>
        <w:rPr>
          <w:b/>
          <w:color w:val="1F497D" w:themeColor="text2"/>
          <w:sz w:val="24"/>
          <w:szCs w:val="20"/>
        </w:rPr>
      </w:pPr>
      <w:r>
        <w:rPr>
          <w:b/>
          <w:color w:val="1F497D" w:themeColor="text2"/>
          <w:sz w:val="24"/>
          <w:szCs w:val="20"/>
        </w:rPr>
        <w:t xml:space="preserve">Allowable SSAE </w:t>
      </w:r>
      <w:r w:rsidRPr="001806F2">
        <w:rPr>
          <w:b/>
          <w:color w:val="1F497D" w:themeColor="text2"/>
          <w:sz w:val="24"/>
          <w:szCs w:val="20"/>
        </w:rPr>
        <w:t xml:space="preserve">Activities to Support </w:t>
      </w:r>
      <w:r w:rsidR="001A1F17">
        <w:rPr>
          <w:b/>
          <w:color w:val="1F497D" w:themeColor="text2"/>
          <w:sz w:val="24"/>
          <w:szCs w:val="20"/>
        </w:rPr>
        <w:t>Safe and Healthy Students</w:t>
      </w:r>
    </w:p>
    <w:p w14:paraId="5EF37970" w14:textId="73A35CD2" w:rsidR="003C216E" w:rsidRPr="009975EC" w:rsidRDefault="00224C54" w:rsidP="003C216E">
      <w:pPr>
        <w:spacing w:after="0" w:line="240" w:lineRule="auto"/>
        <w:rPr>
          <w:b/>
          <w:bCs/>
          <w:sz w:val="8"/>
          <w:szCs w:val="10"/>
        </w:rPr>
      </w:pPr>
      <w:r w:rsidRPr="00224C54">
        <w:rPr>
          <w:sz w:val="20"/>
        </w:rPr>
        <w:t>The second purpose of the SSAE program is to improve school conditions for student learning. When students are healthy and feel safe and supported, they are more likely to succeed in school.</w:t>
      </w:r>
      <w:r>
        <w:rPr>
          <w:sz w:val="20"/>
        </w:rPr>
        <w:t xml:space="preserve"> </w:t>
      </w:r>
      <w:r w:rsidR="003C216E" w:rsidRPr="00E849D9">
        <w:rPr>
          <w:b/>
          <w:bCs/>
          <w:sz w:val="20"/>
        </w:rPr>
        <w:t>An LEA or consortium of LEAs that receives $30,000 or more in SSAE program funds must use at least 20 percent of those funds to develop, implement, and evaluate comprehensive programs and activities that:</w:t>
      </w:r>
      <w:r w:rsidR="009975EC">
        <w:rPr>
          <w:b/>
          <w:bCs/>
          <w:sz w:val="20"/>
        </w:rPr>
        <w:br/>
      </w:r>
    </w:p>
    <w:p w14:paraId="1EB4DE85" w14:textId="77777777" w:rsidR="003C216E" w:rsidRPr="003C216E" w:rsidRDefault="003C216E" w:rsidP="003C216E">
      <w:pPr>
        <w:pStyle w:val="ListParagraph"/>
        <w:numPr>
          <w:ilvl w:val="0"/>
          <w:numId w:val="44"/>
        </w:numPr>
        <w:spacing w:after="0" w:line="240" w:lineRule="auto"/>
        <w:rPr>
          <w:sz w:val="20"/>
        </w:rPr>
      </w:pPr>
      <w:r w:rsidRPr="003C216E">
        <w:rPr>
          <w:sz w:val="20"/>
        </w:rPr>
        <w:t>Are coordinated with other schools and community-based services and programs;</w:t>
      </w:r>
    </w:p>
    <w:p w14:paraId="255420CB" w14:textId="76D684E3" w:rsidR="003C216E" w:rsidRPr="003C216E" w:rsidRDefault="003C216E" w:rsidP="003C216E">
      <w:pPr>
        <w:pStyle w:val="ListParagraph"/>
        <w:numPr>
          <w:ilvl w:val="0"/>
          <w:numId w:val="44"/>
        </w:numPr>
        <w:spacing w:after="0" w:line="240" w:lineRule="auto"/>
        <w:rPr>
          <w:sz w:val="20"/>
        </w:rPr>
      </w:pPr>
      <w:r w:rsidRPr="003C216E">
        <w:rPr>
          <w:sz w:val="20"/>
        </w:rPr>
        <w:t>Foster safe, healthy, supportive, and drug-free environments that support student academic achievement;</w:t>
      </w:r>
    </w:p>
    <w:p w14:paraId="277ACFEF" w14:textId="0D08FD7C" w:rsidR="003C216E" w:rsidRPr="003C216E" w:rsidRDefault="003C216E" w:rsidP="003C216E">
      <w:pPr>
        <w:pStyle w:val="ListParagraph"/>
        <w:numPr>
          <w:ilvl w:val="0"/>
          <w:numId w:val="44"/>
        </w:numPr>
        <w:spacing w:after="0" w:line="240" w:lineRule="auto"/>
        <w:rPr>
          <w:sz w:val="20"/>
        </w:rPr>
      </w:pPr>
      <w:r w:rsidRPr="003C216E">
        <w:rPr>
          <w:sz w:val="20"/>
        </w:rPr>
        <w:t>Promote the involvement of parents in the activity or program;</w:t>
      </w:r>
    </w:p>
    <w:p w14:paraId="2D87C28A" w14:textId="4BC3E2AB" w:rsidR="003C216E" w:rsidRPr="003C216E" w:rsidRDefault="003C216E" w:rsidP="003C216E">
      <w:pPr>
        <w:pStyle w:val="ListParagraph"/>
        <w:numPr>
          <w:ilvl w:val="0"/>
          <w:numId w:val="44"/>
        </w:numPr>
        <w:spacing w:after="0" w:line="240" w:lineRule="auto"/>
        <w:rPr>
          <w:sz w:val="20"/>
        </w:rPr>
      </w:pPr>
      <w:r w:rsidRPr="003C216E">
        <w:rPr>
          <w:sz w:val="20"/>
        </w:rPr>
        <w:t>May be conducted in partnership with an IHE, business, nonprofit organization, community-based organization, or other public or private entity with a demonstrated record of success in implementing activities authorized under section 4108;</w:t>
      </w:r>
      <w:r w:rsidR="009975EC">
        <w:rPr>
          <w:sz w:val="20"/>
        </w:rPr>
        <w:t xml:space="preserve"> and</w:t>
      </w:r>
    </w:p>
    <w:p w14:paraId="4C3F033F" w14:textId="427D6C15" w:rsidR="003C216E" w:rsidRDefault="003C216E" w:rsidP="003C216E">
      <w:pPr>
        <w:pStyle w:val="ListParagraph"/>
        <w:numPr>
          <w:ilvl w:val="0"/>
          <w:numId w:val="44"/>
        </w:numPr>
        <w:spacing w:after="0" w:line="240" w:lineRule="auto"/>
        <w:rPr>
          <w:sz w:val="20"/>
        </w:rPr>
      </w:pPr>
      <w:r w:rsidRPr="003C216E">
        <w:rPr>
          <w:sz w:val="20"/>
        </w:rPr>
        <w:t>May include a wide variety of programs and activities discussed in detail below among other programs and activities. (ESEA section 4108(1)-(5)).</w:t>
      </w:r>
    </w:p>
    <w:p w14:paraId="2988B81D" w14:textId="77777777" w:rsidR="00FF7605" w:rsidRPr="003C216E" w:rsidRDefault="00FF7605" w:rsidP="00FF7605">
      <w:pPr>
        <w:pStyle w:val="ListParagraph"/>
        <w:spacing w:after="0" w:line="240" w:lineRule="auto"/>
        <w:rPr>
          <w:sz w:val="20"/>
        </w:rPr>
      </w:pPr>
    </w:p>
    <w:p w14:paraId="4A88E0B3" w14:textId="286C5CEF" w:rsidR="00735F66" w:rsidRDefault="003C216E" w:rsidP="003C216E">
      <w:pPr>
        <w:spacing w:after="0" w:line="240" w:lineRule="auto"/>
        <w:rPr>
          <w:sz w:val="20"/>
        </w:rPr>
      </w:pPr>
      <w:r w:rsidRPr="003C216E">
        <w:rPr>
          <w:sz w:val="20"/>
        </w:rPr>
        <w:t>It is important to note that a State or LEA receiving funds under the SSAE program, generally must obtain prior written, informed consent from the parent of each child who is under 18 years of age to participate in any mental-health assessment or service that is funded with SSAE program funds. Prior written, informed consent means active consent; silent (passive) consent does not constitute prior written, informed consent is therefore not sufficient. Section 4001 of the ESEA describes in detail the contents of such consent, as well as limitations and exceptions to when prior, written informed consent is required.</w:t>
      </w:r>
    </w:p>
    <w:p w14:paraId="114D3C75" w14:textId="77777777" w:rsidR="00FB39F8" w:rsidRDefault="00FB39F8" w:rsidP="00FB39F8">
      <w:pPr>
        <w:spacing w:after="0" w:line="240" w:lineRule="auto"/>
        <w:rPr>
          <w:sz w:val="20"/>
        </w:rPr>
      </w:pPr>
    </w:p>
    <w:p w14:paraId="1F995E7A" w14:textId="7D4628D6" w:rsidR="00FB39F8" w:rsidRDefault="00FB39F8" w:rsidP="00FB39F8">
      <w:pPr>
        <w:spacing w:after="0" w:line="240" w:lineRule="auto"/>
        <w:rPr>
          <w:sz w:val="20"/>
        </w:rPr>
      </w:pPr>
      <w:r w:rsidRPr="00FB39F8">
        <w:rPr>
          <w:sz w:val="20"/>
        </w:rPr>
        <w:t xml:space="preserve">Generally, the SSAE program funds may be used under section 4108 for any program or activity that fosters safe, healthy, supportive, and drug-free school environments, including direct student services and professional development and training for school staff. As indicated in </w:t>
      </w:r>
      <w:r w:rsidR="00FF7605">
        <w:rPr>
          <w:sz w:val="20"/>
        </w:rPr>
        <w:t>the table on the next page</w:t>
      </w:r>
      <w:r w:rsidRPr="00FB39F8">
        <w:rPr>
          <w:sz w:val="20"/>
        </w:rPr>
        <w:t>, the authorized LEA activities in section 4108 may be categorized by topic as: 1) Safe and supportive learning environments; and 2) Student physical and mental health, including substance abuse prevention. Three of the authorized activities--mentoring and school counseling, schoolwide positive behavioral interventions, and pay for success initiatives--are cross-cutting and are applicable to both topics.</w:t>
      </w:r>
    </w:p>
    <w:p w14:paraId="53B17965" w14:textId="77777777" w:rsidR="00FB39F8" w:rsidRDefault="00FB39F8" w:rsidP="00FB39F8">
      <w:pPr>
        <w:spacing w:after="0" w:line="240" w:lineRule="auto"/>
        <w:rPr>
          <w:sz w:val="20"/>
        </w:rPr>
      </w:pPr>
    </w:p>
    <w:p w14:paraId="66774C8E" w14:textId="45388933" w:rsidR="0093762F" w:rsidRDefault="0093762F" w:rsidP="0093762F">
      <w:pPr>
        <w:spacing w:after="0" w:line="240" w:lineRule="auto"/>
        <w:rPr>
          <w:sz w:val="20"/>
        </w:rPr>
      </w:pPr>
      <w:r>
        <w:rPr>
          <w:sz w:val="20"/>
        </w:rPr>
        <w:t>S</w:t>
      </w:r>
      <w:r w:rsidRPr="0093762F">
        <w:rPr>
          <w:sz w:val="20"/>
        </w:rPr>
        <w:t>ection 4108 supports programs, activities, and professional development and training activities that are cross-cutting in nature and that can positively impact both safe and supportive learning environments as well as physical and mental health. For example, the SSAE program presents an opportunity for LEAs and schools to promote safe, healthy, and affirming school environments that are inclusive of all students. The SSAE funds can be used to reduce incidences of bullying and harassment against all students, including bullying and harassment based on a student’s (or their associates) actual or perceived race, color, national origin, sex (including gender identity), disability, sexual orientation, religion, or any other distinguishing characteristics that may be identified by the state or LEA. In addition, LEAs can use funds to implement school-wide positive behavioral interventions and supports (PBIS). PBIS provides a framework for SEAs and LEAs to develop their capacity to support the social, emotional, academic, and behavioral needs of all their students in which a wide range of evidence-based programs can be implemented including, but not limited to, prevention of the risk factors associated with substance abuse, bullying, and violence as well as promotion of mental health and wellness.</w:t>
      </w:r>
    </w:p>
    <w:p w14:paraId="736DFF6C" w14:textId="77777777" w:rsidR="00155472" w:rsidRDefault="00155472" w:rsidP="0093762F">
      <w:pPr>
        <w:spacing w:after="0" w:line="240" w:lineRule="auto"/>
        <w:rPr>
          <w:sz w:val="20"/>
        </w:rPr>
      </w:pPr>
    </w:p>
    <w:p w14:paraId="0197B2EF" w14:textId="45C79FE4" w:rsidR="00155472" w:rsidRDefault="00155472" w:rsidP="00155472">
      <w:pPr>
        <w:spacing w:after="0" w:line="240" w:lineRule="auto"/>
        <w:rPr>
          <w:sz w:val="20"/>
        </w:rPr>
      </w:pPr>
      <w:r w:rsidRPr="00155472">
        <w:rPr>
          <w:sz w:val="20"/>
        </w:rPr>
        <w:t>Many SEAs and LEAs have implemented programs that help students transition from correctional facilities back to school. An allowable SSAE program activity includes the development and implementation of a plan (also known as a youth PROMISE plan) that includes evidence-based strategies to reduce exclusionary discipline practices, reduce entry into the prison system, and support reentry and transition of youth offenders returning from confinement back to their community and their local schools by providing mentoring, intervention, school counseling, and other education services to address unique risk factors.</w:t>
      </w:r>
      <w:r w:rsidR="00FF7605">
        <w:rPr>
          <w:sz w:val="20"/>
        </w:rPr>
        <w:t xml:space="preserve"> </w:t>
      </w:r>
      <w:r w:rsidR="00D70A20" w:rsidRPr="00D70A20">
        <w:rPr>
          <w:sz w:val="20"/>
        </w:rPr>
        <w:t xml:space="preserve">To assist LEAs and SEAs in improving their reentry strategies, ED recently released a </w:t>
      </w:r>
      <w:hyperlink r:id="rId13">
        <w:r w:rsidR="00D70A20" w:rsidRPr="00D70A20">
          <w:rPr>
            <w:rStyle w:val="Hyperlink"/>
            <w:rFonts w:cstheme="minorBidi"/>
            <w:sz w:val="20"/>
          </w:rPr>
          <w:t>Reentry</w:t>
        </w:r>
      </w:hyperlink>
      <w:r w:rsidR="00D70A20" w:rsidRPr="00D70A20">
        <w:rPr>
          <w:sz w:val="20"/>
        </w:rPr>
        <w:t xml:space="preserve"> </w:t>
      </w:r>
      <w:hyperlink r:id="rId14">
        <w:r w:rsidR="00D70A20" w:rsidRPr="00D70A20">
          <w:rPr>
            <w:rStyle w:val="Hyperlink"/>
            <w:rFonts w:cstheme="minorBidi"/>
            <w:sz w:val="20"/>
          </w:rPr>
          <w:t>Education Tool Kit.</w:t>
        </w:r>
      </w:hyperlink>
      <w:r w:rsidR="00D70A20" w:rsidRPr="00D70A20">
        <w:rPr>
          <w:sz w:val="20"/>
        </w:rPr>
        <w:t xml:space="preserve"> The guide is designed to help education providers and their partners create a reentry education continuum in their communities.</w:t>
      </w:r>
    </w:p>
    <w:p w14:paraId="0E18F598" w14:textId="77777777" w:rsidR="004A7055" w:rsidRPr="00155472" w:rsidRDefault="004A7055" w:rsidP="00155472">
      <w:pPr>
        <w:spacing w:after="0" w:line="240" w:lineRule="auto"/>
        <w:rPr>
          <w:sz w:val="20"/>
        </w:rPr>
      </w:pPr>
    </w:p>
    <w:p w14:paraId="0AFB47E5" w14:textId="77777777" w:rsidR="008256D5" w:rsidRDefault="008256D5" w:rsidP="00FB39F8">
      <w:pPr>
        <w:spacing w:after="0" w:line="240" w:lineRule="auto"/>
        <w:rPr>
          <w:b/>
          <w:color w:val="1F497D" w:themeColor="text2"/>
          <w:sz w:val="24"/>
          <w:szCs w:val="20"/>
        </w:rPr>
      </w:pPr>
    </w:p>
    <w:p w14:paraId="59CA4430" w14:textId="55286D70" w:rsidR="00FB39F8" w:rsidRPr="0093762F" w:rsidRDefault="00FB39F8" w:rsidP="00FB39F8">
      <w:pPr>
        <w:spacing w:after="0" w:line="240" w:lineRule="auto"/>
        <w:rPr>
          <w:b/>
          <w:color w:val="1F497D" w:themeColor="text2"/>
          <w:sz w:val="24"/>
          <w:szCs w:val="20"/>
        </w:rPr>
      </w:pPr>
      <w:r w:rsidRPr="00FB39F8">
        <w:rPr>
          <w:b/>
          <w:color w:val="1F497D" w:themeColor="text2"/>
          <w:sz w:val="24"/>
          <w:szCs w:val="20"/>
        </w:rPr>
        <w:t>Overview of Authorized Topics Under Section 4108 of the ESEA*</w:t>
      </w:r>
    </w:p>
    <w:p w14:paraId="723865DB" w14:textId="77777777" w:rsidR="0093762F" w:rsidRPr="00FB39F8" w:rsidRDefault="0093762F" w:rsidP="00FB39F8">
      <w:pPr>
        <w:spacing w:after="0" w:line="240" w:lineRule="auto"/>
        <w:rPr>
          <w:b/>
          <w:sz w:val="12"/>
          <w:szCs w:val="1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5220"/>
      </w:tblGrid>
      <w:tr w:rsidR="00FB39F8" w:rsidRPr="00FB39F8" w14:paraId="567F11A7" w14:textId="77777777" w:rsidTr="00FB39F8">
        <w:trPr>
          <w:trHeight w:val="412"/>
        </w:trPr>
        <w:tc>
          <w:tcPr>
            <w:tcW w:w="5580" w:type="dxa"/>
            <w:shd w:val="clear" w:color="auto" w:fill="1F497D"/>
          </w:tcPr>
          <w:p w14:paraId="3FA6C56C" w14:textId="77777777" w:rsidR="00FB39F8" w:rsidRPr="00FB39F8" w:rsidRDefault="00FB39F8" w:rsidP="00FB39F8">
            <w:pPr>
              <w:spacing w:before="40" w:after="40" w:line="240" w:lineRule="auto"/>
              <w:jc w:val="center"/>
              <w:rPr>
                <w:b/>
                <w:color w:val="FFFFFF" w:themeColor="background1"/>
                <w:sz w:val="20"/>
              </w:rPr>
            </w:pPr>
            <w:r w:rsidRPr="00FB39F8">
              <w:rPr>
                <w:b/>
                <w:color w:val="FFFFFF" w:themeColor="background1"/>
                <w:sz w:val="24"/>
                <w:szCs w:val="24"/>
              </w:rPr>
              <w:t>Safe and Supportive Schools</w:t>
            </w:r>
          </w:p>
        </w:tc>
        <w:tc>
          <w:tcPr>
            <w:tcW w:w="5220" w:type="dxa"/>
            <w:shd w:val="clear" w:color="auto" w:fill="1F497D"/>
          </w:tcPr>
          <w:p w14:paraId="7BF08DDB" w14:textId="77777777" w:rsidR="00FB39F8" w:rsidRPr="00FB39F8" w:rsidRDefault="00FB39F8" w:rsidP="00FB39F8">
            <w:pPr>
              <w:spacing w:before="40" w:after="40" w:line="240" w:lineRule="auto"/>
              <w:jc w:val="center"/>
              <w:rPr>
                <w:b/>
                <w:color w:val="FFFFFF" w:themeColor="background1"/>
                <w:sz w:val="20"/>
              </w:rPr>
            </w:pPr>
            <w:r w:rsidRPr="00FB39F8">
              <w:rPr>
                <w:b/>
                <w:color w:val="FFFFFF" w:themeColor="background1"/>
                <w:sz w:val="24"/>
                <w:szCs w:val="24"/>
              </w:rPr>
              <w:t>Student Physical and Mental Health</w:t>
            </w:r>
          </w:p>
        </w:tc>
      </w:tr>
      <w:tr w:rsidR="00FB39F8" w:rsidRPr="00FB39F8" w14:paraId="0D5E9F7A" w14:textId="77777777" w:rsidTr="0093762F">
        <w:trPr>
          <w:trHeight w:val="4058"/>
        </w:trPr>
        <w:tc>
          <w:tcPr>
            <w:tcW w:w="5580" w:type="dxa"/>
            <w:shd w:val="clear" w:color="auto" w:fill="FFFFFF" w:themeFill="background1"/>
          </w:tcPr>
          <w:p w14:paraId="63D520B0" w14:textId="77777777" w:rsidR="00FB39F8" w:rsidRPr="00FB39F8" w:rsidRDefault="00FB39F8" w:rsidP="00FB39F8">
            <w:pPr>
              <w:numPr>
                <w:ilvl w:val="0"/>
                <w:numId w:val="46"/>
              </w:numPr>
              <w:spacing w:after="0" w:line="240" w:lineRule="auto"/>
              <w:rPr>
                <w:sz w:val="20"/>
              </w:rPr>
            </w:pPr>
            <w:r w:rsidRPr="00FB39F8">
              <w:rPr>
                <w:sz w:val="20"/>
              </w:rPr>
              <w:t>Preventing Bullying and Harassment</w:t>
            </w:r>
          </w:p>
          <w:p w14:paraId="0253E4CC" w14:textId="77777777" w:rsidR="00FB39F8" w:rsidRPr="00FB39F8" w:rsidRDefault="00FB39F8" w:rsidP="00FB39F8">
            <w:pPr>
              <w:numPr>
                <w:ilvl w:val="0"/>
                <w:numId w:val="46"/>
              </w:numPr>
              <w:spacing w:after="0" w:line="240" w:lineRule="auto"/>
              <w:rPr>
                <w:sz w:val="20"/>
              </w:rPr>
            </w:pPr>
            <w:r w:rsidRPr="00FB39F8">
              <w:rPr>
                <w:sz w:val="20"/>
              </w:rPr>
              <w:t>Relationship-Building Skills</w:t>
            </w:r>
          </w:p>
          <w:p w14:paraId="677D05F4" w14:textId="77777777" w:rsidR="00FB39F8" w:rsidRPr="00FB39F8" w:rsidRDefault="00FB39F8" w:rsidP="00FB39F8">
            <w:pPr>
              <w:numPr>
                <w:ilvl w:val="0"/>
                <w:numId w:val="46"/>
              </w:numPr>
              <w:spacing w:after="0" w:line="240" w:lineRule="auto"/>
              <w:rPr>
                <w:sz w:val="20"/>
              </w:rPr>
            </w:pPr>
            <w:r w:rsidRPr="00FB39F8">
              <w:rPr>
                <w:sz w:val="20"/>
              </w:rPr>
              <w:t>School Dropout Prevention</w:t>
            </w:r>
          </w:p>
          <w:p w14:paraId="425A430D" w14:textId="77777777" w:rsidR="00FB39F8" w:rsidRPr="00FB39F8" w:rsidRDefault="00FB39F8" w:rsidP="00FB39F8">
            <w:pPr>
              <w:numPr>
                <w:ilvl w:val="0"/>
                <w:numId w:val="46"/>
              </w:numPr>
              <w:spacing w:after="0" w:line="240" w:lineRule="auto"/>
              <w:rPr>
                <w:sz w:val="20"/>
              </w:rPr>
            </w:pPr>
            <w:r w:rsidRPr="00FB39F8">
              <w:rPr>
                <w:sz w:val="20"/>
              </w:rPr>
              <w:t>Re-Entry Programs and Transition Services for Justice Involved Youth</w:t>
            </w:r>
          </w:p>
          <w:p w14:paraId="1BCB194D" w14:textId="77777777" w:rsidR="00FB39F8" w:rsidRPr="00FB39F8" w:rsidRDefault="00FB39F8" w:rsidP="00FB39F8">
            <w:pPr>
              <w:numPr>
                <w:ilvl w:val="0"/>
                <w:numId w:val="46"/>
              </w:numPr>
              <w:spacing w:after="0" w:line="240" w:lineRule="auto"/>
              <w:rPr>
                <w:sz w:val="20"/>
              </w:rPr>
            </w:pPr>
            <w:r w:rsidRPr="00FB39F8">
              <w:rPr>
                <w:sz w:val="20"/>
              </w:rPr>
              <w:t>School Readiness and Academic Success</w:t>
            </w:r>
          </w:p>
          <w:p w14:paraId="59964EB3" w14:textId="77777777" w:rsidR="00FB39F8" w:rsidRPr="00FB39F8" w:rsidRDefault="00FB39F8" w:rsidP="00FB39F8">
            <w:pPr>
              <w:numPr>
                <w:ilvl w:val="0"/>
                <w:numId w:val="46"/>
              </w:numPr>
              <w:spacing w:after="0" w:line="240" w:lineRule="auto"/>
              <w:rPr>
                <w:sz w:val="20"/>
              </w:rPr>
            </w:pPr>
            <w:r w:rsidRPr="00FB39F8">
              <w:rPr>
                <w:sz w:val="20"/>
              </w:rPr>
              <w:t>Child Sexual Abuse Awareness and Prevention</w:t>
            </w:r>
          </w:p>
          <w:p w14:paraId="76561DEA" w14:textId="0E7C9CC5" w:rsidR="00FB39F8" w:rsidRPr="00FB39F8" w:rsidRDefault="00FB39F8" w:rsidP="00FB39F8">
            <w:pPr>
              <w:numPr>
                <w:ilvl w:val="0"/>
                <w:numId w:val="46"/>
              </w:numPr>
              <w:spacing w:after="0" w:line="240" w:lineRule="auto"/>
              <w:rPr>
                <w:sz w:val="20"/>
              </w:rPr>
            </w:pPr>
            <w:r w:rsidRPr="00FB39F8">
              <w:rPr>
                <w:sz w:val="20"/>
              </w:rPr>
              <w:t xml:space="preserve">Reducing Use of Exclusionary Discipline Practices and Promoting </w:t>
            </w:r>
            <w:hyperlink r:id="rId15" w:history="1">
              <w:r w:rsidRPr="00FB39F8">
                <w:rPr>
                  <w:rStyle w:val="Hyperlink"/>
                  <w:rFonts w:cstheme="minorBidi"/>
                  <w:sz w:val="20"/>
                </w:rPr>
                <w:t>Supportive School Discipline</w:t>
              </w:r>
            </w:hyperlink>
          </w:p>
          <w:p w14:paraId="60C681A2" w14:textId="77777777" w:rsidR="00FB39F8" w:rsidRPr="00FB39F8" w:rsidRDefault="00FB39F8" w:rsidP="00FB39F8">
            <w:pPr>
              <w:numPr>
                <w:ilvl w:val="0"/>
                <w:numId w:val="46"/>
              </w:numPr>
              <w:spacing w:after="0" w:line="240" w:lineRule="auto"/>
              <w:rPr>
                <w:sz w:val="20"/>
              </w:rPr>
            </w:pPr>
            <w:r w:rsidRPr="00FB39F8">
              <w:rPr>
                <w:sz w:val="20"/>
              </w:rPr>
              <w:t>Suicide Prevention</w:t>
            </w:r>
          </w:p>
          <w:p w14:paraId="3A6805C9" w14:textId="77777777" w:rsidR="00FB39F8" w:rsidRPr="00FB39F8" w:rsidRDefault="00FB39F8" w:rsidP="00FB39F8">
            <w:pPr>
              <w:numPr>
                <w:ilvl w:val="0"/>
                <w:numId w:val="46"/>
              </w:numPr>
              <w:spacing w:after="0" w:line="240" w:lineRule="auto"/>
              <w:rPr>
                <w:sz w:val="20"/>
              </w:rPr>
            </w:pPr>
            <w:r w:rsidRPr="00FB39F8">
              <w:rPr>
                <w:sz w:val="20"/>
              </w:rPr>
              <w:t>Violence Prevention, Crisis Management and Conflict Resolution</w:t>
            </w:r>
          </w:p>
          <w:p w14:paraId="43B2B301" w14:textId="77777777" w:rsidR="00FB39F8" w:rsidRPr="00FB39F8" w:rsidRDefault="00FB39F8" w:rsidP="00FB39F8">
            <w:pPr>
              <w:numPr>
                <w:ilvl w:val="0"/>
                <w:numId w:val="46"/>
              </w:numPr>
              <w:spacing w:after="0" w:line="240" w:lineRule="auto"/>
              <w:rPr>
                <w:sz w:val="20"/>
              </w:rPr>
            </w:pPr>
            <w:r w:rsidRPr="00FB39F8">
              <w:rPr>
                <w:sz w:val="20"/>
              </w:rPr>
              <w:t>Preventing Human Trafficking</w:t>
            </w:r>
          </w:p>
          <w:p w14:paraId="398A160A" w14:textId="77777777" w:rsidR="00FB39F8" w:rsidRPr="00FB39F8" w:rsidRDefault="00FB39F8" w:rsidP="00FB39F8">
            <w:pPr>
              <w:numPr>
                <w:ilvl w:val="0"/>
                <w:numId w:val="46"/>
              </w:numPr>
              <w:spacing w:after="0" w:line="240" w:lineRule="auto"/>
              <w:rPr>
                <w:sz w:val="20"/>
              </w:rPr>
            </w:pPr>
            <w:r w:rsidRPr="00FB39F8">
              <w:rPr>
                <w:sz w:val="20"/>
              </w:rPr>
              <w:t>Building School and Community Relationships</w:t>
            </w:r>
          </w:p>
          <w:p w14:paraId="0E1C776F" w14:textId="77777777" w:rsidR="00FB39F8" w:rsidRDefault="00FB39F8" w:rsidP="00FB39F8">
            <w:pPr>
              <w:numPr>
                <w:ilvl w:val="0"/>
                <w:numId w:val="46"/>
              </w:numPr>
              <w:spacing w:after="0" w:line="240" w:lineRule="auto"/>
              <w:rPr>
                <w:sz w:val="20"/>
              </w:rPr>
            </w:pPr>
            <w:r w:rsidRPr="00FB39F8">
              <w:rPr>
                <w:sz w:val="20"/>
              </w:rPr>
              <w:t>Culturally Responsive Teaching and Professional Development of Implicit Bias</w:t>
            </w:r>
          </w:p>
          <w:p w14:paraId="017C4DF6" w14:textId="77777777" w:rsidR="0093762F" w:rsidRPr="00FB39F8" w:rsidRDefault="0093762F" w:rsidP="0093762F">
            <w:pPr>
              <w:spacing w:after="0" w:line="240" w:lineRule="auto"/>
              <w:ind w:left="796"/>
              <w:rPr>
                <w:sz w:val="20"/>
              </w:rPr>
            </w:pPr>
          </w:p>
        </w:tc>
        <w:tc>
          <w:tcPr>
            <w:tcW w:w="5220" w:type="dxa"/>
            <w:tcBorders>
              <w:right w:val="single" w:sz="2" w:space="0" w:color="000000"/>
            </w:tcBorders>
            <w:shd w:val="clear" w:color="auto" w:fill="FFFFFF" w:themeFill="background1"/>
          </w:tcPr>
          <w:p w14:paraId="18C77F0E" w14:textId="77777777" w:rsidR="00FB39F8" w:rsidRPr="00FB39F8" w:rsidRDefault="00FB39F8" w:rsidP="00FB39F8">
            <w:pPr>
              <w:numPr>
                <w:ilvl w:val="0"/>
                <w:numId w:val="45"/>
              </w:numPr>
              <w:spacing w:after="0" w:line="240" w:lineRule="auto"/>
              <w:rPr>
                <w:sz w:val="20"/>
              </w:rPr>
            </w:pPr>
            <w:r w:rsidRPr="00FB39F8">
              <w:rPr>
                <w:sz w:val="20"/>
              </w:rPr>
              <w:t>Drug and Violence Prevention</w:t>
            </w:r>
          </w:p>
          <w:p w14:paraId="386207C4" w14:textId="77777777" w:rsidR="00FB39F8" w:rsidRPr="00FB39F8" w:rsidRDefault="00FB39F8" w:rsidP="00FB39F8">
            <w:pPr>
              <w:numPr>
                <w:ilvl w:val="0"/>
                <w:numId w:val="45"/>
              </w:numPr>
              <w:spacing w:after="0" w:line="240" w:lineRule="auto"/>
              <w:rPr>
                <w:sz w:val="20"/>
              </w:rPr>
            </w:pPr>
            <w:r w:rsidRPr="00FB39F8">
              <w:rPr>
                <w:sz w:val="20"/>
              </w:rPr>
              <w:t>Health and Safety Practices in School or Athletic Programs</w:t>
            </w:r>
          </w:p>
          <w:p w14:paraId="23D0BAB7" w14:textId="77777777" w:rsidR="00FB39F8" w:rsidRPr="00FB39F8" w:rsidRDefault="00FB39F8" w:rsidP="00FB39F8">
            <w:pPr>
              <w:numPr>
                <w:ilvl w:val="0"/>
                <w:numId w:val="45"/>
              </w:numPr>
              <w:spacing w:after="0" w:line="240" w:lineRule="auto"/>
              <w:rPr>
                <w:sz w:val="20"/>
              </w:rPr>
            </w:pPr>
            <w:r w:rsidRPr="00FB39F8">
              <w:rPr>
                <w:sz w:val="20"/>
              </w:rPr>
              <w:t>School-Based Health and Mental Health Services</w:t>
            </w:r>
          </w:p>
          <w:p w14:paraId="1997CBCF" w14:textId="77777777" w:rsidR="00FB39F8" w:rsidRPr="00FB39F8" w:rsidRDefault="00FB39F8" w:rsidP="00FB39F8">
            <w:pPr>
              <w:numPr>
                <w:ilvl w:val="0"/>
                <w:numId w:val="45"/>
              </w:numPr>
              <w:spacing w:after="0" w:line="240" w:lineRule="auto"/>
              <w:rPr>
                <w:sz w:val="20"/>
              </w:rPr>
            </w:pPr>
            <w:r w:rsidRPr="00FB39F8">
              <w:rPr>
                <w:sz w:val="20"/>
              </w:rPr>
              <w:t>Healthy, Active Lifestyle, Nutritional Education</w:t>
            </w:r>
          </w:p>
          <w:p w14:paraId="6F72890E" w14:textId="77777777" w:rsidR="00FB39F8" w:rsidRPr="00FB39F8" w:rsidRDefault="00FB39F8" w:rsidP="00FB39F8">
            <w:pPr>
              <w:numPr>
                <w:ilvl w:val="0"/>
                <w:numId w:val="45"/>
              </w:numPr>
              <w:spacing w:after="0" w:line="240" w:lineRule="auto"/>
              <w:rPr>
                <w:sz w:val="20"/>
              </w:rPr>
            </w:pPr>
            <w:r w:rsidRPr="00FB39F8">
              <w:rPr>
                <w:sz w:val="20"/>
              </w:rPr>
              <w:t>Physical Activities</w:t>
            </w:r>
          </w:p>
          <w:p w14:paraId="1800DB85" w14:textId="77777777" w:rsidR="00FB39F8" w:rsidRPr="00FB39F8" w:rsidRDefault="00FB39F8" w:rsidP="00FB39F8">
            <w:pPr>
              <w:numPr>
                <w:ilvl w:val="0"/>
                <w:numId w:val="45"/>
              </w:numPr>
              <w:spacing w:after="0" w:line="240" w:lineRule="auto"/>
              <w:rPr>
                <w:sz w:val="20"/>
              </w:rPr>
            </w:pPr>
            <w:r w:rsidRPr="00FB39F8">
              <w:rPr>
                <w:sz w:val="20"/>
              </w:rPr>
              <w:t>Trauma-Informed Classroom Management</w:t>
            </w:r>
          </w:p>
          <w:p w14:paraId="73F2337D" w14:textId="77777777" w:rsidR="00FB39F8" w:rsidRPr="00FB39F8" w:rsidRDefault="00FB39F8" w:rsidP="00FB39F8">
            <w:pPr>
              <w:numPr>
                <w:ilvl w:val="0"/>
                <w:numId w:val="45"/>
              </w:numPr>
              <w:spacing w:after="0" w:line="240" w:lineRule="auto"/>
              <w:rPr>
                <w:sz w:val="20"/>
              </w:rPr>
            </w:pPr>
            <w:r w:rsidRPr="00FB39F8">
              <w:rPr>
                <w:sz w:val="20"/>
              </w:rPr>
              <w:t>Preventing Use of Alcohol, Tobacco, Marijuana, Smokeless Tobacco, Electronic Cigarettes</w:t>
            </w:r>
          </w:p>
          <w:p w14:paraId="2DAE28C3" w14:textId="77777777" w:rsidR="00FB39F8" w:rsidRPr="00FB39F8" w:rsidRDefault="00FB39F8" w:rsidP="00FB39F8">
            <w:pPr>
              <w:numPr>
                <w:ilvl w:val="0"/>
                <w:numId w:val="45"/>
              </w:numPr>
              <w:spacing w:after="0" w:line="240" w:lineRule="auto"/>
              <w:rPr>
                <w:sz w:val="20"/>
              </w:rPr>
            </w:pPr>
            <w:r w:rsidRPr="00FB39F8">
              <w:rPr>
                <w:sz w:val="20"/>
              </w:rPr>
              <w:t>Chronic Disease Management</w:t>
            </w:r>
          </w:p>
        </w:tc>
      </w:tr>
      <w:tr w:rsidR="00FB39F8" w:rsidRPr="00FB39F8" w14:paraId="7A5C3DFA" w14:textId="77777777" w:rsidTr="0093762F">
        <w:trPr>
          <w:trHeight w:val="323"/>
        </w:trPr>
        <w:tc>
          <w:tcPr>
            <w:tcW w:w="10800" w:type="dxa"/>
            <w:gridSpan w:val="2"/>
            <w:shd w:val="clear" w:color="auto" w:fill="1F497D" w:themeFill="text2"/>
          </w:tcPr>
          <w:p w14:paraId="0CBAEE7F" w14:textId="5BE4471A" w:rsidR="00FB39F8" w:rsidRPr="0093762F" w:rsidRDefault="00FB39F8" w:rsidP="0093762F">
            <w:pPr>
              <w:spacing w:after="0" w:line="240" w:lineRule="auto"/>
              <w:jc w:val="center"/>
              <w:rPr>
                <w:b/>
                <w:color w:val="FFFFFF" w:themeColor="background1"/>
                <w:sz w:val="24"/>
                <w:szCs w:val="24"/>
              </w:rPr>
            </w:pPr>
            <w:r w:rsidRPr="00FB39F8">
              <w:rPr>
                <w:b/>
                <w:color w:val="FFFFFF" w:themeColor="background1"/>
                <w:sz w:val="24"/>
                <w:szCs w:val="24"/>
              </w:rPr>
              <w:t>Cross Cutting Authorized Topics</w:t>
            </w:r>
          </w:p>
        </w:tc>
      </w:tr>
      <w:tr w:rsidR="0093762F" w:rsidRPr="00FB39F8" w14:paraId="302E4333" w14:textId="77777777" w:rsidTr="0093762F">
        <w:trPr>
          <w:trHeight w:val="413"/>
        </w:trPr>
        <w:tc>
          <w:tcPr>
            <w:tcW w:w="10800" w:type="dxa"/>
            <w:gridSpan w:val="2"/>
            <w:tcBorders>
              <w:bottom w:val="single" w:sz="2" w:space="0" w:color="000000"/>
            </w:tcBorders>
            <w:shd w:val="clear" w:color="auto" w:fill="FFFFFF" w:themeFill="background1"/>
          </w:tcPr>
          <w:p w14:paraId="79D4B704" w14:textId="77777777" w:rsidR="0093762F" w:rsidRPr="0093762F" w:rsidRDefault="0093762F" w:rsidP="0093762F">
            <w:pPr>
              <w:numPr>
                <w:ilvl w:val="0"/>
                <w:numId w:val="46"/>
              </w:numPr>
              <w:spacing w:after="0" w:line="240" w:lineRule="auto"/>
              <w:rPr>
                <w:sz w:val="20"/>
              </w:rPr>
            </w:pPr>
            <w:r w:rsidRPr="0093762F">
              <w:rPr>
                <w:sz w:val="20"/>
              </w:rPr>
              <w:t xml:space="preserve">Mentoring and School Counseling </w:t>
            </w:r>
          </w:p>
          <w:p w14:paraId="707E1D32" w14:textId="77777777" w:rsidR="0093762F" w:rsidRPr="0093762F" w:rsidRDefault="0093762F" w:rsidP="0093762F">
            <w:pPr>
              <w:numPr>
                <w:ilvl w:val="0"/>
                <w:numId w:val="46"/>
              </w:numPr>
              <w:spacing w:after="0" w:line="240" w:lineRule="auto"/>
              <w:rPr>
                <w:sz w:val="20"/>
              </w:rPr>
            </w:pPr>
            <w:r w:rsidRPr="0093762F">
              <w:rPr>
                <w:sz w:val="20"/>
              </w:rPr>
              <w:t>Schoolwide Positive Behavioral Interventions</w:t>
            </w:r>
          </w:p>
          <w:p w14:paraId="4333A847" w14:textId="77777777" w:rsidR="0093762F" w:rsidRPr="0093762F" w:rsidRDefault="0093762F" w:rsidP="0093762F">
            <w:pPr>
              <w:numPr>
                <w:ilvl w:val="0"/>
                <w:numId w:val="46"/>
              </w:numPr>
              <w:spacing w:after="0" w:line="240" w:lineRule="auto"/>
              <w:rPr>
                <w:b/>
                <w:sz w:val="24"/>
                <w:szCs w:val="24"/>
              </w:rPr>
            </w:pPr>
            <w:r w:rsidRPr="0093762F">
              <w:rPr>
                <w:sz w:val="20"/>
              </w:rPr>
              <w:t>Pay for Success Initiatives aligned with the purposes of Title IV</w:t>
            </w:r>
          </w:p>
          <w:p w14:paraId="564BACBA" w14:textId="3132F409" w:rsidR="0093762F" w:rsidRPr="0093762F" w:rsidRDefault="0093762F" w:rsidP="0093762F">
            <w:pPr>
              <w:spacing w:after="0" w:line="240" w:lineRule="auto"/>
              <w:ind w:left="796"/>
              <w:rPr>
                <w:b/>
                <w:sz w:val="14"/>
                <w:szCs w:val="16"/>
              </w:rPr>
            </w:pPr>
          </w:p>
        </w:tc>
      </w:tr>
    </w:tbl>
    <w:p w14:paraId="10E6876B" w14:textId="77777777" w:rsidR="00FB39F8" w:rsidRDefault="00FB39F8" w:rsidP="003C216E">
      <w:pPr>
        <w:spacing w:after="0" w:line="240" w:lineRule="auto"/>
        <w:rPr>
          <w:sz w:val="20"/>
        </w:rPr>
      </w:pPr>
    </w:p>
    <w:p w14:paraId="3A50A950" w14:textId="505168DC" w:rsidR="00411DA1" w:rsidRDefault="0093762F" w:rsidP="00FC6D6E">
      <w:pPr>
        <w:rPr>
          <w:b/>
          <w:color w:val="E36C0A" w:themeColor="accent6" w:themeShade="BF"/>
          <w:sz w:val="12"/>
          <w:szCs w:val="12"/>
        </w:rPr>
      </w:pPr>
      <w:r>
        <w:rPr>
          <w:b/>
          <w:i/>
          <w:sz w:val="20"/>
          <w:szCs w:val="20"/>
        </w:rPr>
        <w:t>*</w:t>
      </w:r>
      <w:r w:rsidR="00E314CC" w:rsidRPr="00433B43">
        <w:rPr>
          <w:b/>
          <w:i/>
          <w:sz w:val="20"/>
          <w:szCs w:val="20"/>
        </w:rPr>
        <w:t xml:space="preserve">Please note: This is not an exhaustive list. </w:t>
      </w:r>
      <w:hyperlink r:id="rId16" w:history="1">
        <w:r w:rsidR="00E314CC" w:rsidRPr="00433B43">
          <w:rPr>
            <w:rStyle w:val="Hyperlink"/>
            <w:rFonts w:cstheme="minorBidi"/>
            <w:b/>
            <w:i/>
            <w:sz w:val="20"/>
            <w:szCs w:val="20"/>
          </w:rPr>
          <w:t>Contact</w:t>
        </w:r>
      </w:hyperlink>
      <w:r w:rsidR="00E314CC" w:rsidRPr="00433B43">
        <w:rPr>
          <w:b/>
          <w:i/>
          <w:sz w:val="20"/>
          <w:szCs w:val="20"/>
        </w:rPr>
        <w:t xml:space="preserve"> our office for more specific, situational and fiscal guidance as needed.</w:t>
      </w:r>
      <w:r w:rsidR="00F54D0E">
        <w:rPr>
          <w:b/>
          <w:i/>
          <w:sz w:val="20"/>
          <w:szCs w:val="20"/>
        </w:rPr>
        <w:t xml:space="preserve"> This document is sourced directly from </w:t>
      </w:r>
      <w:r w:rsidR="003C1F1C">
        <w:rPr>
          <w:b/>
          <w:i/>
          <w:sz w:val="20"/>
          <w:szCs w:val="20"/>
        </w:rPr>
        <w:t xml:space="preserve">the </w:t>
      </w:r>
      <w:hyperlink r:id="rId17" w:history="1">
        <w:r w:rsidR="003C1F1C" w:rsidRPr="003C1F1C">
          <w:rPr>
            <w:rStyle w:val="Hyperlink"/>
            <w:rFonts w:cstheme="minorBidi"/>
            <w:b/>
            <w:i/>
            <w:sz w:val="20"/>
            <w:szCs w:val="20"/>
          </w:rPr>
          <w:t>US Department of Education’s Non-Regulatory Guidance for SSAE Grants</w:t>
        </w:r>
      </w:hyperlink>
      <w:r w:rsidR="003C1F1C">
        <w:rPr>
          <w:b/>
          <w:i/>
          <w:sz w:val="20"/>
          <w:szCs w:val="20"/>
        </w:rPr>
        <w:t>.</w:t>
      </w:r>
      <w:r w:rsidR="00FC6D6E" w:rsidRPr="00144928">
        <w:rPr>
          <w:b/>
          <w:color w:val="E36C0A" w:themeColor="accent6" w:themeShade="BF"/>
          <w:sz w:val="12"/>
          <w:szCs w:val="12"/>
        </w:rPr>
        <w:t xml:space="preserve"> </w:t>
      </w:r>
      <w:r w:rsidR="00E849D9">
        <w:rPr>
          <w:b/>
          <w:color w:val="E36C0A" w:themeColor="accent6" w:themeShade="BF"/>
          <w:sz w:val="12"/>
          <w:szCs w:val="12"/>
        </w:rPr>
        <w:br/>
      </w:r>
    </w:p>
    <w:p w14:paraId="157A8512" w14:textId="0B96B898" w:rsidR="00A57B71" w:rsidRDefault="0093762F" w:rsidP="00FC6D6E">
      <w:pPr>
        <w:rPr>
          <w:b/>
          <w:color w:val="E36C0A" w:themeColor="accent6" w:themeShade="BF"/>
          <w:sz w:val="12"/>
          <w:szCs w:val="12"/>
        </w:rPr>
      </w:pPr>
      <w:r>
        <w:rPr>
          <w:noProof/>
          <w:sz w:val="36"/>
          <w:szCs w:val="36"/>
        </w:rPr>
        <mc:AlternateContent>
          <mc:Choice Requires="wps">
            <w:drawing>
              <wp:anchor distT="0" distB="0" distL="114300" distR="114300" simplePos="0" relativeHeight="251660288" behindDoc="0" locked="0" layoutInCell="1" allowOverlap="1" wp14:anchorId="5EB75FE8" wp14:editId="1A6B028D">
                <wp:simplePos x="0" y="0"/>
                <wp:positionH relativeFrom="margin">
                  <wp:posOffset>3990975</wp:posOffset>
                </wp:positionH>
                <wp:positionV relativeFrom="paragraph">
                  <wp:posOffset>43815</wp:posOffset>
                </wp:positionV>
                <wp:extent cx="2705100" cy="2295525"/>
                <wp:effectExtent l="38100" t="38100" r="114300" b="123825"/>
                <wp:wrapNone/>
                <wp:docPr id="3"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295525"/>
                        </a:xfrm>
                        <a:prstGeom prst="rect">
                          <a:avLst/>
                        </a:prstGeom>
                        <a:solidFill>
                          <a:srgbClr val="FFFFFF"/>
                        </a:solidFill>
                        <a:ln w="3175">
                          <a:solidFill>
                            <a:schemeClr val="accent1">
                              <a:lumMod val="75000"/>
                              <a:lumOff val="0"/>
                            </a:schemeClr>
                          </a:solidFill>
                          <a:miter lim="800000"/>
                          <a:headEnd/>
                          <a:tailEnd/>
                        </a:ln>
                        <a:effectLst>
                          <a:outerShdw blurRad="50800" dist="38100" dir="2700000" algn="tl" rotWithShape="0">
                            <a:prstClr val="black">
                              <a:alpha val="40000"/>
                            </a:prstClr>
                          </a:outerShdw>
                        </a:effectLst>
                      </wps:spPr>
                      <wps:txbx>
                        <w:txbxContent>
                          <w:p w14:paraId="36A76994" w14:textId="5529F9A1" w:rsidR="00642434" w:rsidRPr="00596C87" w:rsidRDefault="00493B24" w:rsidP="00642434">
                            <w:pPr>
                              <w:spacing w:after="0"/>
                              <w:rPr>
                                <w:b/>
                                <w:color w:val="1F497D" w:themeColor="text2"/>
                                <w:sz w:val="24"/>
                                <w:szCs w:val="28"/>
                              </w:rPr>
                            </w:pPr>
                            <w:r>
                              <w:rPr>
                                <w:b/>
                                <w:color w:val="1F497D" w:themeColor="text2"/>
                                <w:sz w:val="24"/>
                                <w:szCs w:val="28"/>
                              </w:rPr>
                              <w:t>Supplement not Supplant</w:t>
                            </w:r>
                            <w:r w:rsidR="00FA36EE">
                              <w:rPr>
                                <w:b/>
                                <w:color w:val="1F497D" w:themeColor="text2"/>
                                <w:sz w:val="24"/>
                                <w:szCs w:val="28"/>
                              </w:rPr>
                              <w:t xml:space="preserve"> in Title IVA</w:t>
                            </w:r>
                          </w:p>
                          <w:p w14:paraId="10E49B7F" w14:textId="77777777" w:rsidR="009D0B5E" w:rsidRDefault="004C0C50" w:rsidP="00433B43">
                            <w:pPr>
                              <w:pStyle w:val="ListParagraph"/>
                              <w:numPr>
                                <w:ilvl w:val="0"/>
                                <w:numId w:val="34"/>
                              </w:numPr>
                              <w:spacing w:after="120" w:line="240" w:lineRule="auto"/>
                              <w:ind w:left="270" w:hanging="270"/>
                              <w:rPr>
                                <w:sz w:val="20"/>
                              </w:rPr>
                            </w:pPr>
                            <w:r w:rsidRPr="004C0C50">
                              <w:rPr>
                                <w:sz w:val="20"/>
                              </w:rPr>
                              <w:t xml:space="preserve">LEAs that receive </w:t>
                            </w:r>
                            <w:r w:rsidR="0056259C">
                              <w:rPr>
                                <w:sz w:val="20"/>
                              </w:rPr>
                              <w:t xml:space="preserve">Title </w:t>
                            </w:r>
                            <w:r w:rsidRPr="004C0C50">
                              <w:rPr>
                                <w:sz w:val="20"/>
                              </w:rPr>
                              <w:t xml:space="preserve">IVA funds must comply with a supplement not supplant requirement.  This means that </w:t>
                            </w:r>
                            <w:r w:rsidR="0056259C">
                              <w:rPr>
                                <w:sz w:val="20"/>
                              </w:rPr>
                              <w:t xml:space="preserve">Title </w:t>
                            </w:r>
                            <w:r w:rsidRPr="004C0C50">
                              <w:rPr>
                                <w:sz w:val="20"/>
                              </w:rPr>
                              <w:t>IVA funds should add to (supplement) and not replace (s</w:t>
                            </w:r>
                            <w:r>
                              <w:rPr>
                                <w:sz w:val="20"/>
                              </w:rPr>
                              <w:t xml:space="preserve">upplant) state and local funds. </w:t>
                            </w:r>
                          </w:p>
                          <w:p w14:paraId="36D52CB0" w14:textId="18F1D77D" w:rsidR="004C0C50" w:rsidRDefault="004C0C50" w:rsidP="00433B43">
                            <w:pPr>
                              <w:pStyle w:val="ListParagraph"/>
                              <w:numPr>
                                <w:ilvl w:val="0"/>
                                <w:numId w:val="34"/>
                              </w:numPr>
                              <w:spacing w:after="120" w:line="240" w:lineRule="auto"/>
                              <w:ind w:left="270" w:hanging="270"/>
                              <w:rPr>
                                <w:sz w:val="20"/>
                              </w:rPr>
                            </w:pPr>
                            <w:r w:rsidRPr="004C0C50">
                              <w:rPr>
                                <w:sz w:val="20"/>
                              </w:rPr>
                              <w:t xml:space="preserve">Supplanting is presumed when: </w:t>
                            </w:r>
                          </w:p>
                          <w:p w14:paraId="33318769" w14:textId="77777777" w:rsidR="004C0C50" w:rsidRDefault="004C0C50" w:rsidP="00433B43">
                            <w:pPr>
                              <w:pStyle w:val="ListParagraph"/>
                              <w:numPr>
                                <w:ilvl w:val="1"/>
                                <w:numId w:val="34"/>
                              </w:numPr>
                              <w:spacing w:after="120" w:line="240" w:lineRule="auto"/>
                              <w:ind w:left="630" w:hanging="270"/>
                              <w:rPr>
                                <w:sz w:val="20"/>
                              </w:rPr>
                            </w:pPr>
                            <w:r w:rsidRPr="004C0C50">
                              <w:rPr>
                                <w:sz w:val="20"/>
                              </w:rPr>
                              <w:t>A district uses IVA funds to pay for an activity that is required by federal, state or local la</w:t>
                            </w:r>
                            <w:r>
                              <w:rPr>
                                <w:sz w:val="20"/>
                              </w:rPr>
                              <w:t xml:space="preserve">w </w:t>
                            </w:r>
                          </w:p>
                          <w:p w14:paraId="19427D15" w14:textId="3B386124" w:rsidR="00D206F4" w:rsidRPr="00D206F4" w:rsidRDefault="004C0C50" w:rsidP="00D206F4">
                            <w:pPr>
                              <w:pStyle w:val="ListParagraph"/>
                              <w:numPr>
                                <w:ilvl w:val="1"/>
                                <w:numId w:val="34"/>
                              </w:numPr>
                              <w:spacing w:after="120" w:line="240" w:lineRule="auto"/>
                              <w:ind w:left="630" w:hanging="270"/>
                              <w:rPr>
                                <w:sz w:val="20"/>
                              </w:rPr>
                            </w:pPr>
                            <w:r w:rsidRPr="004C0C50">
                              <w:rPr>
                                <w:sz w:val="20"/>
                              </w:rPr>
                              <w:t xml:space="preserve"> A district uses SSAE funds to pay for an activity it supported with state or local funds the prior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75FE8" id="_x0000_t202" coordsize="21600,21600" o:spt="202" path="m,l,21600r21600,l21600,xe">
                <v:stroke joinstyle="miter"/>
                <v:path gradientshapeok="t" o:connecttype="rect"/>
              </v:shapetype>
              <v:shape id="Text Box 16" o:spid="_x0000_s1026" type="#_x0000_t202" alt="&quot;&quot;" style="position:absolute;margin-left:314.25pt;margin-top:3.45pt;width:213pt;height:18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" strokecolor="#365f91 [2404]" strokeweight=".25pt">
                <v:shadow on="t" color="black" opacity="26214f" origin="-.5,-.5" offset=".74836mm,.74836mm"/>
                <v:textbox>
                  <w:txbxContent>
                    <w:p w14:paraId="36A76994" w14:textId="5529F9A1" w:rsidR="00642434" w:rsidRPr="00596C87" w:rsidRDefault="00493B24" w:rsidP="00642434">
                      <w:pPr>
                        <w:spacing w:after="0"/>
                        <w:rPr>
                          <w:b/>
                          <w:color w:val="1F497D" w:themeColor="text2"/>
                          <w:sz w:val="24"/>
                          <w:szCs w:val="28"/>
                        </w:rPr>
                      </w:pPr>
                      <w:r>
                        <w:rPr>
                          <w:b/>
                          <w:color w:val="1F497D" w:themeColor="text2"/>
                          <w:sz w:val="24"/>
                          <w:szCs w:val="28"/>
                        </w:rPr>
                        <w:t>Supplement not Supplant</w:t>
                      </w:r>
                      <w:r w:rsidR="00FA36EE">
                        <w:rPr>
                          <w:b/>
                          <w:color w:val="1F497D" w:themeColor="text2"/>
                          <w:sz w:val="24"/>
                          <w:szCs w:val="28"/>
                        </w:rPr>
                        <w:t xml:space="preserve"> in Title IVA</w:t>
                      </w:r>
                    </w:p>
                    <w:p w14:paraId="10E49B7F" w14:textId="77777777" w:rsidR="009D0B5E" w:rsidRDefault="004C0C50" w:rsidP="00433B43">
                      <w:pPr>
                        <w:pStyle w:val="ListParagraph"/>
                        <w:numPr>
                          <w:ilvl w:val="0"/>
                          <w:numId w:val="34"/>
                        </w:numPr>
                        <w:spacing w:after="120" w:line="240" w:lineRule="auto"/>
                        <w:ind w:left="270" w:hanging="270"/>
                        <w:rPr>
                          <w:sz w:val="20"/>
                        </w:rPr>
                      </w:pPr>
                      <w:r w:rsidRPr="004C0C50">
                        <w:rPr>
                          <w:sz w:val="20"/>
                        </w:rPr>
                        <w:t xml:space="preserve">LEAs that receive </w:t>
                      </w:r>
                      <w:r w:rsidR="0056259C">
                        <w:rPr>
                          <w:sz w:val="20"/>
                        </w:rPr>
                        <w:t xml:space="preserve">Title </w:t>
                      </w:r>
                      <w:r w:rsidRPr="004C0C50">
                        <w:rPr>
                          <w:sz w:val="20"/>
                        </w:rPr>
                        <w:t xml:space="preserve">IVA funds must comply with a supplement not supplant requirement.  This means that </w:t>
                      </w:r>
                      <w:r w:rsidR="0056259C">
                        <w:rPr>
                          <w:sz w:val="20"/>
                        </w:rPr>
                        <w:t xml:space="preserve">Title </w:t>
                      </w:r>
                      <w:r w:rsidRPr="004C0C50">
                        <w:rPr>
                          <w:sz w:val="20"/>
                        </w:rPr>
                        <w:t>IVA funds should add to (supplement) and not replace (s</w:t>
                      </w:r>
                      <w:r>
                        <w:rPr>
                          <w:sz w:val="20"/>
                        </w:rPr>
                        <w:t xml:space="preserve">upplant) state and local funds. </w:t>
                      </w:r>
                    </w:p>
                    <w:p w14:paraId="36D52CB0" w14:textId="18F1D77D" w:rsidR="004C0C50" w:rsidRDefault="004C0C50" w:rsidP="00433B43">
                      <w:pPr>
                        <w:pStyle w:val="ListParagraph"/>
                        <w:numPr>
                          <w:ilvl w:val="0"/>
                          <w:numId w:val="34"/>
                        </w:numPr>
                        <w:spacing w:after="120" w:line="240" w:lineRule="auto"/>
                        <w:ind w:left="270" w:hanging="270"/>
                        <w:rPr>
                          <w:sz w:val="20"/>
                        </w:rPr>
                      </w:pPr>
                      <w:r w:rsidRPr="004C0C50">
                        <w:rPr>
                          <w:sz w:val="20"/>
                        </w:rPr>
                        <w:t xml:space="preserve">Supplanting is presumed when: </w:t>
                      </w:r>
                    </w:p>
                    <w:p w14:paraId="33318769" w14:textId="77777777" w:rsidR="004C0C50" w:rsidRDefault="004C0C50" w:rsidP="00433B43">
                      <w:pPr>
                        <w:pStyle w:val="ListParagraph"/>
                        <w:numPr>
                          <w:ilvl w:val="1"/>
                          <w:numId w:val="34"/>
                        </w:numPr>
                        <w:spacing w:after="120" w:line="240" w:lineRule="auto"/>
                        <w:ind w:left="630" w:hanging="270"/>
                        <w:rPr>
                          <w:sz w:val="20"/>
                        </w:rPr>
                      </w:pPr>
                      <w:r w:rsidRPr="004C0C50">
                        <w:rPr>
                          <w:sz w:val="20"/>
                        </w:rPr>
                        <w:t>A district uses IVA funds to pay for an activity that is required by federal, state or local la</w:t>
                      </w:r>
                      <w:r>
                        <w:rPr>
                          <w:sz w:val="20"/>
                        </w:rPr>
                        <w:t xml:space="preserve">w </w:t>
                      </w:r>
                    </w:p>
                    <w:p w14:paraId="19427D15" w14:textId="3B386124" w:rsidR="00D206F4" w:rsidRPr="00D206F4" w:rsidRDefault="004C0C50" w:rsidP="00D206F4">
                      <w:pPr>
                        <w:pStyle w:val="ListParagraph"/>
                        <w:numPr>
                          <w:ilvl w:val="1"/>
                          <w:numId w:val="34"/>
                        </w:numPr>
                        <w:spacing w:after="120" w:line="240" w:lineRule="auto"/>
                        <w:ind w:left="630" w:hanging="270"/>
                        <w:rPr>
                          <w:sz w:val="20"/>
                        </w:rPr>
                      </w:pPr>
                      <w:r w:rsidRPr="004C0C50">
                        <w:rPr>
                          <w:sz w:val="20"/>
                        </w:rPr>
                        <w:t xml:space="preserve"> A district uses SSAE funds to pay for an activity it supported with state or local funds the prior year</w:t>
                      </w:r>
                    </w:p>
                  </w:txbxContent>
                </v:textbox>
                <w10:wrap anchorx="margin"/>
              </v:shape>
            </w:pict>
          </mc:Fallback>
        </mc:AlternateContent>
      </w:r>
      <w:r>
        <w:rPr>
          <w:noProof/>
          <w:sz w:val="36"/>
          <w:szCs w:val="36"/>
        </w:rPr>
        <mc:AlternateContent>
          <mc:Choice Requires="wps">
            <w:drawing>
              <wp:anchor distT="0" distB="0" distL="114300" distR="114300" simplePos="0" relativeHeight="251661312" behindDoc="0" locked="0" layoutInCell="1" allowOverlap="1" wp14:anchorId="7852F782" wp14:editId="2AF2D9EF">
                <wp:simplePos x="0" y="0"/>
                <wp:positionH relativeFrom="margin">
                  <wp:align>left</wp:align>
                </wp:positionH>
                <wp:positionV relativeFrom="paragraph">
                  <wp:posOffset>43180</wp:posOffset>
                </wp:positionV>
                <wp:extent cx="3790950" cy="2790825"/>
                <wp:effectExtent l="38100" t="38100" r="114300" b="123825"/>
                <wp:wrapNone/>
                <wp:docPr id="4"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790825"/>
                        </a:xfrm>
                        <a:prstGeom prst="rect">
                          <a:avLst/>
                        </a:prstGeom>
                        <a:solidFill>
                          <a:srgbClr val="FFFFFF"/>
                        </a:solidFill>
                        <a:ln w="3175">
                          <a:solidFill>
                            <a:schemeClr val="accent1">
                              <a:lumMod val="75000"/>
                              <a:lumOff val="0"/>
                            </a:schemeClr>
                          </a:solidFill>
                          <a:miter lim="800000"/>
                          <a:headEnd/>
                          <a:tailEnd/>
                        </a:ln>
                        <a:effectLst>
                          <a:outerShdw blurRad="50800" dist="38100" dir="2700000" algn="tl" rotWithShape="0">
                            <a:prstClr val="black">
                              <a:alpha val="40000"/>
                            </a:prstClr>
                          </a:outerShdw>
                        </a:effectLst>
                      </wps:spPr>
                      <wps:txbx>
                        <w:txbxContent>
                          <w:p w14:paraId="01D08824" w14:textId="4BA666C5" w:rsidR="00D14842" w:rsidRDefault="00D14842" w:rsidP="00D14842">
                            <w:pPr>
                              <w:spacing w:after="0"/>
                              <w:rPr>
                                <w:b/>
                                <w:color w:val="1F497D" w:themeColor="text2"/>
                                <w:sz w:val="24"/>
                                <w:szCs w:val="28"/>
                              </w:rPr>
                            </w:pPr>
                            <w:r>
                              <w:rPr>
                                <w:b/>
                                <w:color w:val="1F497D" w:themeColor="text2"/>
                                <w:sz w:val="24"/>
                                <w:szCs w:val="28"/>
                              </w:rPr>
                              <w:t>Allocations</w:t>
                            </w:r>
                            <w:r w:rsidR="005906E1">
                              <w:rPr>
                                <w:b/>
                                <w:color w:val="1F497D" w:themeColor="text2"/>
                                <w:sz w:val="24"/>
                                <w:szCs w:val="28"/>
                              </w:rPr>
                              <w:t xml:space="preserve"> Reminder</w:t>
                            </w:r>
                          </w:p>
                          <w:p w14:paraId="5E661047" w14:textId="5F688DDE" w:rsidR="00D14842" w:rsidRPr="005C4DB3" w:rsidRDefault="00D14842" w:rsidP="00433B43">
                            <w:pPr>
                              <w:spacing w:after="0" w:line="240" w:lineRule="auto"/>
                              <w:rPr>
                                <w:b/>
                                <w:sz w:val="20"/>
                                <w:szCs w:val="20"/>
                              </w:rPr>
                            </w:pPr>
                            <w:r w:rsidRPr="005C4DB3">
                              <w:rPr>
                                <w:b/>
                                <w:sz w:val="20"/>
                                <w:szCs w:val="20"/>
                              </w:rPr>
                              <w:t xml:space="preserve">Districts </w:t>
                            </w:r>
                            <w:r w:rsidR="0056259C">
                              <w:rPr>
                                <w:b/>
                                <w:sz w:val="20"/>
                                <w:szCs w:val="20"/>
                              </w:rPr>
                              <w:t>that receive</w:t>
                            </w:r>
                            <w:r w:rsidRPr="005C4DB3">
                              <w:rPr>
                                <w:b/>
                                <w:sz w:val="20"/>
                                <w:szCs w:val="20"/>
                              </w:rPr>
                              <w:t xml:space="preserve"> less than $30,000</w:t>
                            </w:r>
                            <w:r w:rsidR="00474860" w:rsidRPr="005C4DB3">
                              <w:rPr>
                                <w:b/>
                                <w:sz w:val="20"/>
                                <w:szCs w:val="20"/>
                              </w:rPr>
                              <w:t xml:space="preserve"> must:</w:t>
                            </w:r>
                          </w:p>
                          <w:p w14:paraId="1F98FFB4" w14:textId="006E413B" w:rsidR="00474860" w:rsidRPr="005C4DB3" w:rsidRDefault="00360220" w:rsidP="00433B43">
                            <w:pPr>
                              <w:pStyle w:val="ListParagraph"/>
                              <w:numPr>
                                <w:ilvl w:val="0"/>
                                <w:numId w:val="27"/>
                              </w:numPr>
                              <w:spacing w:line="240" w:lineRule="auto"/>
                              <w:ind w:left="360" w:hanging="270"/>
                              <w:rPr>
                                <w:sz w:val="20"/>
                                <w:szCs w:val="20"/>
                              </w:rPr>
                            </w:pPr>
                            <w:r>
                              <w:rPr>
                                <w:sz w:val="20"/>
                                <w:szCs w:val="20"/>
                              </w:rPr>
                              <w:t>S</w:t>
                            </w:r>
                            <w:r w:rsidR="00D14842" w:rsidRPr="005C4DB3">
                              <w:rPr>
                                <w:sz w:val="20"/>
                                <w:szCs w:val="20"/>
                              </w:rPr>
                              <w:t>pend funds on one or more of</w:t>
                            </w:r>
                            <w:r>
                              <w:rPr>
                                <w:sz w:val="20"/>
                                <w:szCs w:val="20"/>
                              </w:rPr>
                              <w:t xml:space="preserve"> the</w:t>
                            </w:r>
                            <w:r w:rsidR="00D14842" w:rsidRPr="005C4DB3">
                              <w:rPr>
                                <w:sz w:val="20"/>
                                <w:szCs w:val="20"/>
                              </w:rPr>
                              <w:t xml:space="preserve"> </w:t>
                            </w:r>
                            <w:r w:rsidRPr="00474860">
                              <w:rPr>
                                <w:rFonts w:eastAsia="Times New Roman" w:cstheme="minorHAnsi"/>
                                <w:color w:val="000000"/>
                                <w:sz w:val="20"/>
                                <w:szCs w:val="20"/>
                              </w:rPr>
                              <w:t xml:space="preserve">Title IV, Part A priorities </w:t>
                            </w:r>
                            <w:r w:rsidR="00D14842" w:rsidRPr="005C4DB3">
                              <w:rPr>
                                <w:sz w:val="20"/>
                                <w:szCs w:val="20"/>
                              </w:rPr>
                              <w:t xml:space="preserve">listed </w:t>
                            </w:r>
                            <w:r w:rsidR="00FA36EE">
                              <w:rPr>
                                <w:sz w:val="20"/>
                                <w:szCs w:val="20"/>
                              </w:rPr>
                              <w:t>at the very top of this guide</w:t>
                            </w:r>
                            <w:r w:rsidR="00D14842" w:rsidRPr="005C4DB3">
                              <w:rPr>
                                <w:sz w:val="20"/>
                                <w:szCs w:val="20"/>
                              </w:rPr>
                              <w:t>.</w:t>
                            </w:r>
                          </w:p>
                          <w:p w14:paraId="648ABAE4" w14:textId="600D3D06" w:rsidR="00474860" w:rsidRPr="005C4DB3" w:rsidRDefault="00474860" w:rsidP="00433B43">
                            <w:pPr>
                              <w:pStyle w:val="ListParagraph"/>
                              <w:spacing w:after="0" w:line="240" w:lineRule="auto"/>
                              <w:ind w:left="0"/>
                              <w:rPr>
                                <w:b/>
                                <w:sz w:val="20"/>
                                <w:szCs w:val="20"/>
                              </w:rPr>
                            </w:pPr>
                            <w:r w:rsidRPr="005C4DB3">
                              <w:rPr>
                                <w:b/>
                                <w:sz w:val="20"/>
                                <w:szCs w:val="20"/>
                              </w:rPr>
                              <w:t xml:space="preserve">Districts </w:t>
                            </w:r>
                            <w:r w:rsidR="001A3E4F">
                              <w:rPr>
                                <w:b/>
                                <w:sz w:val="20"/>
                                <w:szCs w:val="20"/>
                              </w:rPr>
                              <w:t>that receive</w:t>
                            </w:r>
                            <w:r w:rsidR="00FA36EE">
                              <w:rPr>
                                <w:b/>
                                <w:sz w:val="20"/>
                                <w:szCs w:val="20"/>
                              </w:rPr>
                              <w:t xml:space="preserve"> </w:t>
                            </w:r>
                            <w:r w:rsidRPr="005C4DB3">
                              <w:rPr>
                                <w:b/>
                                <w:sz w:val="20"/>
                                <w:szCs w:val="20"/>
                              </w:rPr>
                              <w:t>$30,000</w:t>
                            </w:r>
                            <w:r w:rsidR="0056259C">
                              <w:rPr>
                                <w:b/>
                                <w:sz w:val="20"/>
                                <w:szCs w:val="20"/>
                              </w:rPr>
                              <w:t>*</w:t>
                            </w:r>
                            <w:r w:rsidRPr="005C4DB3">
                              <w:rPr>
                                <w:b/>
                                <w:sz w:val="20"/>
                                <w:szCs w:val="20"/>
                              </w:rPr>
                              <w:t xml:space="preserve"> </w:t>
                            </w:r>
                            <w:r w:rsidR="00FA36EE">
                              <w:rPr>
                                <w:b/>
                                <w:sz w:val="20"/>
                                <w:szCs w:val="20"/>
                              </w:rPr>
                              <w:t xml:space="preserve">or </w:t>
                            </w:r>
                            <w:r w:rsidR="00433B43">
                              <w:rPr>
                                <w:b/>
                                <w:sz w:val="20"/>
                                <w:szCs w:val="20"/>
                              </w:rPr>
                              <w:t>more</w:t>
                            </w:r>
                            <w:r w:rsidR="00FA36EE">
                              <w:rPr>
                                <w:b/>
                                <w:sz w:val="20"/>
                                <w:szCs w:val="20"/>
                              </w:rPr>
                              <w:t xml:space="preserve"> </w:t>
                            </w:r>
                            <w:r w:rsidRPr="005C4DB3">
                              <w:rPr>
                                <w:b/>
                                <w:sz w:val="20"/>
                                <w:szCs w:val="20"/>
                              </w:rPr>
                              <w:t>must:</w:t>
                            </w:r>
                          </w:p>
                          <w:p w14:paraId="6688DC7A" w14:textId="3107E7CE" w:rsidR="00474860" w:rsidRPr="00474860" w:rsidRDefault="00474860" w:rsidP="00433B43">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Conduct a comprehensive needs assessment that includ</w:t>
                            </w:r>
                            <w:r w:rsidR="0056259C">
                              <w:rPr>
                                <w:rFonts w:eastAsia="Times New Roman" w:cstheme="minorHAnsi"/>
                                <w:color w:val="000000"/>
                                <w:sz w:val="20"/>
                                <w:szCs w:val="20"/>
                              </w:rPr>
                              <w:t>es a focus on the Title IV</w:t>
                            </w:r>
                            <w:r w:rsidRPr="00474860">
                              <w:rPr>
                                <w:rFonts w:eastAsia="Times New Roman" w:cstheme="minorHAnsi"/>
                                <w:color w:val="000000"/>
                                <w:sz w:val="20"/>
                                <w:szCs w:val="20"/>
                              </w:rPr>
                              <w:t>A priorities</w:t>
                            </w:r>
                            <w:r w:rsidR="0056259C">
                              <w:rPr>
                                <w:rFonts w:eastAsia="Times New Roman" w:cstheme="minorHAnsi"/>
                                <w:color w:val="000000"/>
                                <w:sz w:val="20"/>
                                <w:szCs w:val="20"/>
                              </w:rPr>
                              <w:t xml:space="preserve"> (see </w:t>
                            </w:r>
                            <w:r w:rsidR="00360220">
                              <w:rPr>
                                <w:rFonts w:eastAsia="Times New Roman" w:cstheme="minorHAnsi"/>
                                <w:color w:val="000000"/>
                                <w:sz w:val="20"/>
                                <w:szCs w:val="20"/>
                              </w:rPr>
                              <w:t>above</w:t>
                            </w:r>
                            <w:r w:rsidR="0056259C">
                              <w:rPr>
                                <w:rFonts w:eastAsia="Times New Roman" w:cstheme="minorHAnsi"/>
                                <w:color w:val="000000"/>
                                <w:sz w:val="20"/>
                                <w:szCs w:val="20"/>
                              </w:rPr>
                              <w:t>)</w:t>
                            </w:r>
                            <w:r w:rsidR="00433B43">
                              <w:rPr>
                                <w:rFonts w:eastAsia="Times New Roman" w:cstheme="minorHAnsi"/>
                                <w:color w:val="000000"/>
                                <w:sz w:val="20"/>
                                <w:szCs w:val="20"/>
                              </w:rPr>
                              <w:t>.</w:t>
                            </w:r>
                            <w:r w:rsidRPr="00474860">
                              <w:rPr>
                                <w:rFonts w:eastAsia="Times New Roman" w:cstheme="minorHAnsi"/>
                                <w:color w:val="000000"/>
                                <w:sz w:val="20"/>
                                <w:szCs w:val="20"/>
                              </w:rPr>
                              <w:t xml:space="preserve"> </w:t>
                            </w:r>
                            <w:r w:rsidR="00360220">
                              <w:rPr>
                                <w:rFonts w:eastAsia="Times New Roman" w:cstheme="minorHAnsi"/>
                                <w:color w:val="000000"/>
                                <w:sz w:val="20"/>
                                <w:szCs w:val="20"/>
                              </w:rPr>
                              <w:br/>
                            </w:r>
                            <w:r w:rsidRPr="00474860">
                              <w:rPr>
                                <w:rFonts w:eastAsia="Times New Roman" w:cstheme="minorHAnsi"/>
                                <w:b/>
                                <w:bCs/>
                                <w:i/>
                                <w:iCs/>
                                <w:color w:val="000000"/>
                                <w:sz w:val="20"/>
                                <w:szCs w:val="20"/>
                              </w:rPr>
                              <w:t>Note:</w:t>
                            </w:r>
                            <w:r w:rsidRPr="00474860">
                              <w:rPr>
                                <w:rFonts w:eastAsia="Times New Roman" w:cstheme="minorHAnsi"/>
                                <w:i/>
                                <w:iCs/>
                                <w:color w:val="000000"/>
                                <w:sz w:val="20"/>
                                <w:szCs w:val="20"/>
                              </w:rPr>
                              <w:t xml:space="preserve"> Districts may fulfill (or </w:t>
                            </w:r>
                            <w:r w:rsidR="0056259C">
                              <w:rPr>
                                <w:rFonts w:eastAsia="Times New Roman" w:cstheme="minorHAnsi"/>
                                <w:i/>
                                <w:iCs/>
                                <w:color w:val="000000"/>
                                <w:sz w:val="20"/>
                                <w:szCs w:val="20"/>
                              </w:rPr>
                              <w:t xml:space="preserve">may </w:t>
                            </w:r>
                            <w:r w:rsidRPr="00474860">
                              <w:rPr>
                                <w:rFonts w:eastAsia="Times New Roman" w:cstheme="minorHAnsi"/>
                                <w:i/>
                                <w:iCs/>
                                <w:color w:val="000000"/>
                                <w:sz w:val="20"/>
                                <w:szCs w:val="20"/>
                              </w:rPr>
                              <w:t>have fulfilled) this requirement as part of the development of the districts' strategic plan, improvement plan, etc.</w:t>
                            </w:r>
                          </w:p>
                          <w:p w14:paraId="2B7F0F82" w14:textId="10C90071" w:rsidR="00474860" w:rsidRPr="00474860" w:rsidRDefault="00474860" w:rsidP="00433B43">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Spend at least 20% of the allocation on access to well-rounded educational opportunities</w:t>
                            </w:r>
                            <w:r w:rsidR="00360220">
                              <w:rPr>
                                <w:rFonts w:eastAsia="Times New Roman" w:cstheme="minorHAnsi"/>
                                <w:color w:val="000000"/>
                                <w:sz w:val="20"/>
                                <w:szCs w:val="20"/>
                              </w:rPr>
                              <w:t>.</w:t>
                            </w:r>
                          </w:p>
                          <w:p w14:paraId="4482CA3D" w14:textId="0A22BB08" w:rsidR="00474860" w:rsidRPr="00474860" w:rsidRDefault="00474860" w:rsidP="00433B43">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Spend at least 20% of the allocation on safe and healthy schools</w:t>
                            </w:r>
                            <w:r w:rsidR="00360220">
                              <w:rPr>
                                <w:rFonts w:eastAsia="Times New Roman" w:cstheme="minorHAnsi"/>
                                <w:color w:val="000000"/>
                                <w:sz w:val="20"/>
                                <w:szCs w:val="20"/>
                              </w:rPr>
                              <w:t>.</w:t>
                            </w:r>
                          </w:p>
                          <w:p w14:paraId="4ACD992A" w14:textId="77777777" w:rsidR="00782454" w:rsidRDefault="00474860" w:rsidP="00782454">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Spend some amount on improving the use of technology</w:t>
                            </w:r>
                            <w:r w:rsidR="00360220">
                              <w:rPr>
                                <w:rFonts w:eastAsia="Times New Roman" w:cstheme="minorHAnsi"/>
                                <w:color w:val="000000"/>
                                <w:sz w:val="20"/>
                                <w:szCs w:val="20"/>
                              </w:rPr>
                              <w:t>.</w:t>
                            </w:r>
                          </w:p>
                          <w:p w14:paraId="318D7363" w14:textId="77777777" w:rsidR="00782454" w:rsidRPr="00782454" w:rsidRDefault="00474860" w:rsidP="00782454">
                            <w:pPr>
                              <w:numPr>
                                <w:ilvl w:val="0"/>
                                <w:numId w:val="27"/>
                              </w:numPr>
                              <w:spacing w:after="0" w:line="240" w:lineRule="auto"/>
                              <w:ind w:left="360" w:hanging="270"/>
                              <w:rPr>
                                <w:rFonts w:eastAsia="Times New Roman" w:cstheme="minorHAnsi"/>
                                <w:color w:val="000000"/>
                                <w:sz w:val="20"/>
                                <w:szCs w:val="20"/>
                              </w:rPr>
                            </w:pPr>
                            <w:r w:rsidRPr="00782454">
                              <w:rPr>
                                <w:rFonts w:eastAsia="Times New Roman" w:cstheme="minorHAnsi"/>
                                <w:color w:val="000000"/>
                                <w:sz w:val="20"/>
                                <w:szCs w:val="20"/>
                              </w:rPr>
                              <w:t>Spend the remainder on activities that support any/all of the three priorities</w:t>
                            </w:r>
                            <w:r w:rsidR="00360220" w:rsidRPr="00782454">
                              <w:rPr>
                                <w:rFonts w:eastAsia="Times New Roman" w:cstheme="minorHAnsi"/>
                                <w:color w:val="000000"/>
                                <w:sz w:val="20"/>
                                <w:szCs w:val="20"/>
                              </w:rPr>
                              <w:t>.</w:t>
                            </w:r>
                            <w:r w:rsidR="00782454" w:rsidRPr="00782454">
                              <w:rPr>
                                <w:rFonts w:eastAsia="Times New Roman" w:cstheme="minorHAnsi"/>
                                <w:color w:val="000000"/>
                                <w:sz w:val="20"/>
                                <w:szCs w:val="20"/>
                              </w:rPr>
                              <w:br/>
                            </w:r>
                          </w:p>
                          <w:p w14:paraId="2E05D064" w14:textId="154FCD8E" w:rsidR="00D14842" w:rsidRPr="00782454" w:rsidRDefault="0056259C" w:rsidP="00782454">
                            <w:pPr>
                              <w:spacing w:after="0" w:line="240" w:lineRule="auto"/>
                              <w:ind w:left="90"/>
                              <w:rPr>
                                <w:rFonts w:eastAsia="Times New Roman" w:cstheme="minorHAnsi"/>
                                <w:color w:val="000000"/>
                                <w:sz w:val="20"/>
                                <w:szCs w:val="20"/>
                              </w:rPr>
                            </w:pPr>
                            <w:r w:rsidRPr="00782454">
                              <w:rPr>
                                <w:b/>
                                <w:sz w:val="20"/>
                                <w:szCs w:val="28"/>
                              </w:rPr>
                              <w:t>*</w:t>
                            </w:r>
                            <w:r w:rsidR="00782454" w:rsidRPr="00782454">
                              <w:rPr>
                                <w:b/>
                                <w:i/>
                                <w:sz w:val="20"/>
                                <w:szCs w:val="28"/>
                              </w:rPr>
                              <w:t>I</w:t>
                            </w:r>
                            <w:r w:rsidRPr="00782454">
                              <w:rPr>
                                <w:b/>
                                <w:i/>
                                <w:sz w:val="20"/>
                                <w:szCs w:val="28"/>
                              </w:rPr>
                              <w:t>ncluding funds that are “flexed” from Title IIA into Title IVA</w:t>
                            </w:r>
                          </w:p>
                          <w:p w14:paraId="7F8AC55A" w14:textId="4B4D5E3B" w:rsidR="00D14842" w:rsidRPr="00D14842" w:rsidRDefault="00D14842" w:rsidP="00D1484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F782" id="_x0000_s1027" type="#_x0000_t202" alt="&quot;&quot;" style="position:absolute;margin-left:0;margin-top:3.4pt;width:298.5pt;height:21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" strokecolor="#365f91 [2404]" strokeweight=".25pt">
                <v:shadow on="t" color="black" opacity="26214f" origin="-.5,-.5" offset=".74836mm,.74836mm"/>
                <v:textbox>
                  <w:txbxContent>
                    <w:p w14:paraId="01D08824" w14:textId="4BA666C5" w:rsidR="00D14842" w:rsidRDefault="00D14842" w:rsidP="00D14842">
                      <w:pPr>
                        <w:spacing w:after="0"/>
                        <w:rPr>
                          <w:b/>
                          <w:color w:val="1F497D" w:themeColor="text2"/>
                          <w:sz w:val="24"/>
                          <w:szCs w:val="28"/>
                        </w:rPr>
                      </w:pPr>
                      <w:r>
                        <w:rPr>
                          <w:b/>
                          <w:color w:val="1F497D" w:themeColor="text2"/>
                          <w:sz w:val="24"/>
                          <w:szCs w:val="28"/>
                        </w:rPr>
                        <w:t>Allocations</w:t>
                      </w:r>
                      <w:r w:rsidR="005906E1">
                        <w:rPr>
                          <w:b/>
                          <w:color w:val="1F497D" w:themeColor="text2"/>
                          <w:sz w:val="24"/>
                          <w:szCs w:val="28"/>
                        </w:rPr>
                        <w:t xml:space="preserve"> Reminder</w:t>
                      </w:r>
                    </w:p>
                    <w:p w14:paraId="5E661047" w14:textId="5F688DDE" w:rsidR="00D14842" w:rsidRPr="005C4DB3" w:rsidRDefault="00D14842" w:rsidP="00433B43">
                      <w:pPr>
                        <w:spacing w:after="0" w:line="240" w:lineRule="auto"/>
                        <w:rPr>
                          <w:b/>
                          <w:sz w:val="20"/>
                          <w:szCs w:val="20"/>
                        </w:rPr>
                      </w:pPr>
                      <w:r w:rsidRPr="005C4DB3">
                        <w:rPr>
                          <w:b/>
                          <w:sz w:val="20"/>
                          <w:szCs w:val="20"/>
                        </w:rPr>
                        <w:t xml:space="preserve">Districts </w:t>
                      </w:r>
                      <w:r w:rsidR="0056259C">
                        <w:rPr>
                          <w:b/>
                          <w:sz w:val="20"/>
                          <w:szCs w:val="20"/>
                        </w:rPr>
                        <w:t>that receive</w:t>
                      </w:r>
                      <w:r w:rsidRPr="005C4DB3">
                        <w:rPr>
                          <w:b/>
                          <w:sz w:val="20"/>
                          <w:szCs w:val="20"/>
                        </w:rPr>
                        <w:t xml:space="preserve"> less than $30,000</w:t>
                      </w:r>
                      <w:r w:rsidR="00474860" w:rsidRPr="005C4DB3">
                        <w:rPr>
                          <w:b/>
                          <w:sz w:val="20"/>
                          <w:szCs w:val="20"/>
                        </w:rPr>
                        <w:t xml:space="preserve"> must:</w:t>
                      </w:r>
                    </w:p>
                    <w:p w14:paraId="1F98FFB4" w14:textId="006E413B" w:rsidR="00474860" w:rsidRPr="005C4DB3" w:rsidRDefault="00360220" w:rsidP="00433B43">
                      <w:pPr>
                        <w:pStyle w:val="ListParagraph"/>
                        <w:numPr>
                          <w:ilvl w:val="0"/>
                          <w:numId w:val="27"/>
                        </w:numPr>
                        <w:spacing w:line="240" w:lineRule="auto"/>
                        <w:ind w:left="360" w:hanging="270"/>
                        <w:rPr>
                          <w:sz w:val="20"/>
                          <w:szCs w:val="20"/>
                        </w:rPr>
                      </w:pPr>
                      <w:r>
                        <w:rPr>
                          <w:sz w:val="20"/>
                          <w:szCs w:val="20"/>
                        </w:rPr>
                        <w:t>S</w:t>
                      </w:r>
                      <w:r w:rsidR="00D14842" w:rsidRPr="005C4DB3">
                        <w:rPr>
                          <w:sz w:val="20"/>
                          <w:szCs w:val="20"/>
                        </w:rPr>
                        <w:t>pend funds on one or more of</w:t>
                      </w:r>
                      <w:r>
                        <w:rPr>
                          <w:sz w:val="20"/>
                          <w:szCs w:val="20"/>
                        </w:rPr>
                        <w:t xml:space="preserve"> the</w:t>
                      </w:r>
                      <w:r w:rsidR="00D14842" w:rsidRPr="005C4DB3">
                        <w:rPr>
                          <w:sz w:val="20"/>
                          <w:szCs w:val="20"/>
                        </w:rPr>
                        <w:t xml:space="preserve"> </w:t>
                      </w:r>
                      <w:r w:rsidRPr="00474860">
                        <w:rPr>
                          <w:rFonts w:eastAsia="Times New Roman" w:cstheme="minorHAnsi"/>
                          <w:color w:val="000000"/>
                          <w:sz w:val="20"/>
                          <w:szCs w:val="20"/>
                        </w:rPr>
                        <w:t xml:space="preserve">Title IV, Part A priorities </w:t>
                      </w:r>
                      <w:r w:rsidR="00D14842" w:rsidRPr="005C4DB3">
                        <w:rPr>
                          <w:sz w:val="20"/>
                          <w:szCs w:val="20"/>
                        </w:rPr>
                        <w:t xml:space="preserve">listed </w:t>
                      </w:r>
                      <w:r w:rsidR="00FA36EE">
                        <w:rPr>
                          <w:sz w:val="20"/>
                          <w:szCs w:val="20"/>
                        </w:rPr>
                        <w:t>at the very top of this guide</w:t>
                      </w:r>
                      <w:r w:rsidR="00D14842" w:rsidRPr="005C4DB3">
                        <w:rPr>
                          <w:sz w:val="20"/>
                          <w:szCs w:val="20"/>
                        </w:rPr>
                        <w:t>.</w:t>
                      </w:r>
                    </w:p>
                    <w:p w14:paraId="648ABAE4" w14:textId="600D3D06" w:rsidR="00474860" w:rsidRPr="005C4DB3" w:rsidRDefault="00474860" w:rsidP="00433B43">
                      <w:pPr>
                        <w:pStyle w:val="ListParagraph"/>
                        <w:spacing w:after="0" w:line="240" w:lineRule="auto"/>
                        <w:ind w:left="0"/>
                        <w:rPr>
                          <w:b/>
                          <w:sz w:val="20"/>
                          <w:szCs w:val="20"/>
                        </w:rPr>
                      </w:pPr>
                      <w:r w:rsidRPr="005C4DB3">
                        <w:rPr>
                          <w:b/>
                          <w:sz w:val="20"/>
                          <w:szCs w:val="20"/>
                        </w:rPr>
                        <w:t xml:space="preserve">Districts </w:t>
                      </w:r>
                      <w:r w:rsidR="001A3E4F">
                        <w:rPr>
                          <w:b/>
                          <w:sz w:val="20"/>
                          <w:szCs w:val="20"/>
                        </w:rPr>
                        <w:t>that receive</w:t>
                      </w:r>
                      <w:r w:rsidR="00FA36EE">
                        <w:rPr>
                          <w:b/>
                          <w:sz w:val="20"/>
                          <w:szCs w:val="20"/>
                        </w:rPr>
                        <w:t xml:space="preserve"> </w:t>
                      </w:r>
                      <w:r w:rsidRPr="005C4DB3">
                        <w:rPr>
                          <w:b/>
                          <w:sz w:val="20"/>
                          <w:szCs w:val="20"/>
                        </w:rPr>
                        <w:t>$30,000</w:t>
                      </w:r>
                      <w:r w:rsidR="0056259C">
                        <w:rPr>
                          <w:b/>
                          <w:sz w:val="20"/>
                          <w:szCs w:val="20"/>
                        </w:rPr>
                        <w:t>*</w:t>
                      </w:r>
                      <w:r w:rsidRPr="005C4DB3">
                        <w:rPr>
                          <w:b/>
                          <w:sz w:val="20"/>
                          <w:szCs w:val="20"/>
                        </w:rPr>
                        <w:t xml:space="preserve"> </w:t>
                      </w:r>
                      <w:r w:rsidR="00FA36EE">
                        <w:rPr>
                          <w:b/>
                          <w:sz w:val="20"/>
                          <w:szCs w:val="20"/>
                        </w:rPr>
                        <w:t xml:space="preserve">or </w:t>
                      </w:r>
                      <w:r w:rsidR="00433B43">
                        <w:rPr>
                          <w:b/>
                          <w:sz w:val="20"/>
                          <w:szCs w:val="20"/>
                        </w:rPr>
                        <w:t>more</w:t>
                      </w:r>
                      <w:r w:rsidR="00FA36EE">
                        <w:rPr>
                          <w:b/>
                          <w:sz w:val="20"/>
                          <w:szCs w:val="20"/>
                        </w:rPr>
                        <w:t xml:space="preserve"> </w:t>
                      </w:r>
                      <w:r w:rsidRPr="005C4DB3">
                        <w:rPr>
                          <w:b/>
                          <w:sz w:val="20"/>
                          <w:szCs w:val="20"/>
                        </w:rPr>
                        <w:t>must:</w:t>
                      </w:r>
                    </w:p>
                    <w:p w14:paraId="6688DC7A" w14:textId="3107E7CE" w:rsidR="00474860" w:rsidRPr="00474860" w:rsidRDefault="00474860" w:rsidP="00433B43">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Conduct a comprehensive needs assessment that includ</w:t>
                      </w:r>
                      <w:r w:rsidR="0056259C">
                        <w:rPr>
                          <w:rFonts w:eastAsia="Times New Roman" w:cstheme="minorHAnsi"/>
                          <w:color w:val="000000"/>
                          <w:sz w:val="20"/>
                          <w:szCs w:val="20"/>
                        </w:rPr>
                        <w:t>es a focus on the Title IV</w:t>
                      </w:r>
                      <w:r w:rsidRPr="00474860">
                        <w:rPr>
                          <w:rFonts w:eastAsia="Times New Roman" w:cstheme="minorHAnsi"/>
                          <w:color w:val="000000"/>
                          <w:sz w:val="20"/>
                          <w:szCs w:val="20"/>
                        </w:rPr>
                        <w:t>A priorities</w:t>
                      </w:r>
                      <w:r w:rsidR="0056259C">
                        <w:rPr>
                          <w:rFonts w:eastAsia="Times New Roman" w:cstheme="minorHAnsi"/>
                          <w:color w:val="000000"/>
                          <w:sz w:val="20"/>
                          <w:szCs w:val="20"/>
                        </w:rPr>
                        <w:t xml:space="preserve"> (see </w:t>
                      </w:r>
                      <w:r w:rsidR="00360220">
                        <w:rPr>
                          <w:rFonts w:eastAsia="Times New Roman" w:cstheme="minorHAnsi"/>
                          <w:color w:val="000000"/>
                          <w:sz w:val="20"/>
                          <w:szCs w:val="20"/>
                        </w:rPr>
                        <w:t>above</w:t>
                      </w:r>
                      <w:r w:rsidR="0056259C">
                        <w:rPr>
                          <w:rFonts w:eastAsia="Times New Roman" w:cstheme="minorHAnsi"/>
                          <w:color w:val="000000"/>
                          <w:sz w:val="20"/>
                          <w:szCs w:val="20"/>
                        </w:rPr>
                        <w:t>)</w:t>
                      </w:r>
                      <w:r w:rsidR="00433B43">
                        <w:rPr>
                          <w:rFonts w:eastAsia="Times New Roman" w:cstheme="minorHAnsi"/>
                          <w:color w:val="000000"/>
                          <w:sz w:val="20"/>
                          <w:szCs w:val="20"/>
                        </w:rPr>
                        <w:t>.</w:t>
                      </w:r>
                      <w:r w:rsidRPr="00474860">
                        <w:rPr>
                          <w:rFonts w:eastAsia="Times New Roman" w:cstheme="minorHAnsi"/>
                          <w:color w:val="000000"/>
                          <w:sz w:val="20"/>
                          <w:szCs w:val="20"/>
                        </w:rPr>
                        <w:t xml:space="preserve"> </w:t>
                      </w:r>
                      <w:r w:rsidR="00360220">
                        <w:rPr>
                          <w:rFonts w:eastAsia="Times New Roman" w:cstheme="minorHAnsi"/>
                          <w:color w:val="000000"/>
                          <w:sz w:val="20"/>
                          <w:szCs w:val="20"/>
                        </w:rPr>
                        <w:br/>
                      </w:r>
                      <w:r w:rsidRPr="00474860">
                        <w:rPr>
                          <w:rFonts w:eastAsia="Times New Roman" w:cstheme="minorHAnsi"/>
                          <w:b/>
                          <w:bCs/>
                          <w:i/>
                          <w:iCs/>
                          <w:color w:val="000000"/>
                          <w:sz w:val="20"/>
                          <w:szCs w:val="20"/>
                        </w:rPr>
                        <w:t>Note:</w:t>
                      </w:r>
                      <w:r w:rsidRPr="00474860">
                        <w:rPr>
                          <w:rFonts w:eastAsia="Times New Roman" w:cstheme="minorHAnsi"/>
                          <w:i/>
                          <w:iCs/>
                          <w:color w:val="000000"/>
                          <w:sz w:val="20"/>
                          <w:szCs w:val="20"/>
                        </w:rPr>
                        <w:t xml:space="preserve"> Districts may fulfill (or </w:t>
                      </w:r>
                      <w:r w:rsidR="0056259C">
                        <w:rPr>
                          <w:rFonts w:eastAsia="Times New Roman" w:cstheme="minorHAnsi"/>
                          <w:i/>
                          <w:iCs/>
                          <w:color w:val="000000"/>
                          <w:sz w:val="20"/>
                          <w:szCs w:val="20"/>
                        </w:rPr>
                        <w:t xml:space="preserve">may </w:t>
                      </w:r>
                      <w:r w:rsidRPr="00474860">
                        <w:rPr>
                          <w:rFonts w:eastAsia="Times New Roman" w:cstheme="minorHAnsi"/>
                          <w:i/>
                          <w:iCs/>
                          <w:color w:val="000000"/>
                          <w:sz w:val="20"/>
                          <w:szCs w:val="20"/>
                        </w:rPr>
                        <w:t>have fulfilled) this requirement as part of the development of the districts' strategic plan, improvement plan, etc.</w:t>
                      </w:r>
                    </w:p>
                    <w:p w14:paraId="2B7F0F82" w14:textId="10C90071" w:rsidR="00474860" w:rsidRPr="00474860" w:rsidRDefault="00474860" w:rsidP="00433B43">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Spend at least 20% of the allocation on access to well-rounded educational opportunities</w:t>
                      </w:r>
                      <w:r w:rsidR="00360220">
                        <w:rPr>
                          <w:rFonts w:eastAsia="Times New Roman" w:cstheme="minorHAnsi"/>
                          <w:color w:val="000000"/>
                          <w:sz w:val="20"/>
                          <w:szCs w:val="20"/>
                        </w:rPr>
                        <w:t>.</w:t>
                      </w:r>
                    </w:p>
                    <w:p w14:paraId="4482CA3D" w14:textId="0A22BB08" w:rsidR="00474860" w:rsidRPr="00474860" w:rsidRDefault="00474860" w:rsidP="00433B43">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Spend at least 20% of the allocation on safe and healthy schools</w:t>
                      </w:r>
                      <w:r w:rsidR="00360220">
                        <w:rPr>
                          <w:rFonts w:eastAsia="Times New Roman" w:cstheme="minorHAnsi"/>
                          <w:color w:val="000000"/>
                          <w:sz w:val="20"/>
                          <w:szCs w:val="20"/>
                        </w:rPr>
                        <w:t>.</w:t>
                      </w:r>
                    </w:p>
                    <w:p w14:paraId="4ACD992A" w14:textId="77777777" w:rsidR="00782454" w:rsidRDefault="00474860" w:rsidP="00782454">
                      <w:pPr>
                        <w:numPr>
                          <w:ilvl w:val="0"/>
                          <w:numId w:val="27"/>
                        </w:numPr>
                        <w:spacing w:after="0" w:line="240" w:lineRule="auto"/>
                        <w:ind w:left="360" w:hanging="270"/>
                        <w:rPr>
                          <w:rFonts w:eastAsia="Times New Roman" w:cstheme="minorHAnsi"/>
                          <w:color w:val="000000"/>
                          <w:sz w:val="20"/>
                          <w:szCs w:val="20"/>
                        </w:rPr>
                      </w:pPr>
                      <w:r w:rsidRPr="00474860">
                        <w:rPr>
                          <w:rFonts w:eastAsia="Times New Roman" w:cstheme="minorHAnsi"/>
                          <w:color w:val="000000"/>
                          <w:sz w:val="20"/>
                          <w:szCs w:val="20"/>
                        </w:rPr>
                        <w:t>Spend some amount on improving the use of technology</w:t>
                      </w:r>
                      <w:r w:rsidR="00360220">
                        <w:rPr>
                          <w:rFonts w:eastAsia="Times New Roman" w:cstheme="minorHAnsi"/>
                          <w:color w:val="000000"/>
                          <w:sz w:val="20"/>
                          <w:szCs w:val="20"/>
                        </w:rPr>
                        <w:t>.</w:t>
                      </w:r>
                    </w:p>
                    <w:p w14:paraId="318D7363" w14:textId="77777777" w:rsidR="00782454" w:rsidRPr="00782454" w:rsidRDefault="00474860" w:rsidP="00782454">
                      <w:pPr>
                        <w:numPr>
                          <w:ilvl w:val="0"/>
                          <w:numId w:val="27"/>
                        </w:numPr>
                        <w:spacing w:after="0" w:line="240" w:lineRule="auto"/>
                        <w:ind w:left="360" w:hanging="270"/>
                        <w:rPr>
                          <w:rFonts w:eastAsia="Times New Roman" w:cstheme="minorHAnsi"/>
                          <w:color w:val="000000"/>
                          <w:sz w:val="20"/>
                          <w:szCs w:val="20"/>
                        </w:rPr>
                      </w:pPr>
                      <w:r w:rsidRPr="00782454">
                        <w:rPr>
                          <w:rFonts w:eastAsia="Times New Roman" w:cstheme="minorHAnsi"/>
                          <w:color w:val="000000"/>
                          <w:sz w:val="20"/>
                          <w:szCs w:val="20"/>
                        </w:rPr>
                        <w:t>Spend the remainder on activities that support any/all of the three priorities</w:t>
                      </w:r>
                      <w:r w:rsidR="00360220" w:rsidRPr="00782454">
                        <w:rPr>
                          <w:rFonts w:eastAsia="Times New Roman" w:cstheme="minorHAnsi"/>
                          <w:color w:val="000000"/>
                          <w:sz w:val="20"/>
                          <w:szCs w:val="20"/>
                        </w:rPr>
                        <w:t>.</w:t>
                      </w:r>
                      <w:r w:rsidR="00782454" w:rsidRPr="00782454">
                        <w:rPr>
                          <w:rFonts w:eastAsia="Times New Roman" w:cstheme="minorHAnsi"/>
                          <w:color w:val="000000"/>
                          <w:sz w:val="20"/>
                          <w:szCs w:val="20"/>
                        </w:rPr>
                        <w:br/>
                      </w:r>
                    </w:p>
                    <w:p w14:paraId="2E05D064" w14:textId="154FCD8E" w:rsidR="00D14842" w:rsidRPr="00782454" w:rsidRDefault="0056259C" w:rsidP="00782454">
                      <w:pPr>
                        <w:spacing w:after="0" w:line="240" w:lineRule="auto"/>
                        <w:ind w:left="90"/>
                        <w:rPr>
                          <w:rFonts w:eastAsia="Times New Roman" w:cstheme="minorHAnsi"/>
                          <w:color w:val="000000"/>
                          <w:sz w:val="20"/>
                          <w:szCs w:val="20"/>
                        </w:rPr>
                      </w:pPr>
                      <w:r w:rsidRPr="00782454">
                        <w:rPr>
                          <w:b/>
                          <w:sz w:val="20"/>
                          <w:szCs w:val="28"/>
                        </w:rPr>
                        <w:t>*</w:t>
                      </w:r>
                      <w:r w:rsidR="00782454" w:rsidRPr="00782454">
                        <w:rPr>
                          <w:b/>
                          <w:i/>
                          <w:sz w:val="20"/>
                          <w:szCs w:val="28"/>
                        </w:rPr>
                        <w:t>I</w:t>
                      </w:r>
                      <w:r w:rsidRPr="00782454">
                        <w:rPr>
                          <w:b/>
                          <w:i/>
                          <w:sz w:val="20"/>
                          <w:szCs w:val="28"/>
                        </w:rPr>
                        <w:t>ncluding funds that are “flexed” from Title IIA into Title IVA</w:t>
                      </w:r>
                    </w:p>
                    <w:p w14:paraId="7F8AC55A" w14:textId="4B4D5E3B" w:rsidR="00D14842" w:rsidRPr="00D14842" w:rsidRDefault="00D14842" w:rsidP="00D14842">
                      <w:pPr>
                        <w:rPr>
                          <w:sz w:val="20"/>
                        </w:rPr>
                      </w:pPr>
                    </w:p>
                  </w:txbxContent>
                </v:textbox>
                <w10:wrap anchorx="margin"/>
              </v:shape>
            </w:pict>
          </mc:Fallback>
        </mc:AlternateContent>
      </w:r>
    </w:p>
    <w:p w14:paraId="09C21BE3" w14:textId="707AD586" w:rsidR="00A57B71" w:rsidRPr="00144928" w:rsidRDefault="00A57B71" w:rsidP="00FC6D6E">
      <w:pPr>
        <w:rPr>
          <w:b/>
          <w:color w:val="E36C0A" w:themeColor="accent6" w:themeShade="BF"/>
          <w:sz w:val="12"/>
          <w:szCs w:val="12"/>
        </w:rPr>
      </w:pPr>
    </w:p>
    <w:p w14:paraId="17337781" w14:textId="2DC4605E" w:rsidR="00916080" w:rsidRDefault="00916080" w:rsidP="000D4A11">
      <w:pPr>
        <w:spacing w:after="0" w:line="240" w:lineRule="auto"/>
        <w:rPr>
          <w:sz w:val="8"/>
          <w:szCs w:val="8"/>
        </w:rPr>
      </w:pPr>
    </w:p>
    <w:p w14:paraId="386398EE" w14:textId="274657D6" w:rsidR="00916080" w:rsidRDefault="00916080" w:rsidP="000D4A11">
      <w:pPr>
        <w:spacing w:after="0" w:line="240" w:lineRule="auto"/>
        <w:rPr>
          <w:sz w:val="8"/>
          <w:szCs w:val="8"/>
        </w:rPr>
      </w:pPr>
    </w:p>
    <w:p w14:paraId="6458EC0A" w14:textId="7796A0C3" w:rsidR="00916080" w:rsidRDefault="00916080" w:rsidP="000D4A11">
      <w:pPr>
        <w:spacing w:after="0" w:line="240" w:lineRule="auto"/>
        <w:rPr>
          <w:sz w:val="8"/>
          <w:szCs w:val="8"/>
        </w:rPr>
      </w:pPr>
    </w:p>
    <w:p w14:paraId="18476A36" w14:textId="688E363F" w:rsidR="00916080" w:rsidRDefault="00916080" w:rsidP="000D4A11">
      <w:pPr>
        <w:spacing w:after="0" w:line="240" w:lineRule="auto"/>
        <w:rPr>
          <w:sz w:val="8"/>
          <w:szCs w:val="8"/>
        </w:rPr>
      </w:pPr>
    </w:p>
    <w:p w14:paraId="6B69F178" w14:textId="77777777" w:rsidR="00916080" w:rsidRDefault="00916080" w:rsidP="000D4A11">
      <w:pPr>
        <w:spacing w:after="0" w:line="240" w:lineRule="auto"/>
        <w:rPr>
          <w:sz w:val="8"/>
          <w:szCs w:val="8"/>
        </w:rPr>
      </w:pPr>
    </w:p>
    <w:p w14:paraId="680C6B69" w14:textId="528276CA" w:rsidR="00916080" w:rsidRDefault="00916080" w:rsidP="000D4A11">
      <w:pPr>
        <w:spacing w:after="0" w:line="240" w:lineRule="auto"/>
        <w:rPr>
          <w:sz w:val="8"/>
          <w:szCs w:val="8"/>
        </w:rPr>
      </w:pPr>
    </w:p>
    <w:p w14:paraId="66A24000" w14:textId="77777777" w:rsidR="00916080" w:rsidRDefault="00916080" w:rsidP="000D4A11">
      <w:pPr>
        <w:spacing w:after="0" w:line="240" w:lineRule="auto"/>
        <w:rPr>
          <w:sz w:val="8"/>
          <w:szCs w:val="8"/>
        </w:rPr>
      </w:pPr>
    </w:p>
    <w:p w14:paraId="75EE7C0F" w14:textId="77777777" w:rsidR="00916080" w:rsidRDefault="00916080" w:rsidP="000D4A11">
      <w:pPr>
        <w:spacing w:after="0" w:line="240" w:lineRule="auto"/>
        <w:rPr>
          <w:sz w:val="8"/>
          <w:szCs w:val="8"/>
        </w:rPr>
      </w:pPr>
    </w:p>
    <w:p w14:paraId="5F4E2900" w14:textId="0582DC00" w:rsidR="00916080" w:rsidRDefault="00916080" w:rsidP="000D4A11">
      <w:pPr>
        <w:spacing w:after="0" w:line="240" w:lineRule="auto"/>
        <w:rPr>
          <w:sz w:val="8"/>
          <w:szCs w:val="8"/>
        </w:rPr>
      </w:pPr>
    </w:p>
    <w:p w14:paraId="7B2BFC2C" w14:textId="71B22B26" w:rsidR="00916080" w:rsidRDefault="00916080" w:rsidP="000D4A11">
      <w:pPr>
        <w:spacing w:after="0" w:line="240" w:lineRule="auto"/>
        <w:rPr>
          <w:sz w:val="8"/>
          <w:szCs w:val="8"/>
        </w:rPr>
      </w:pPr>
    </w:p>
    <w:p w14:paraId="0D11EEB5" w14:textId="36D41B7B" w:rsidR="00916080" w:rsidRDefault="00916080" w:rsidP="000D4A11">
      <w:pPr>
        <w:spacing w:after="0" w:line="240" w:lineRule="auto"/>
        <w:rPr>
          <w:sz w:val="8"/>
          <w:szCs w:val="8"/>
        </w:rPr>
      </w:pPr>
    </w:p>
    <w:p w14:paraId="73B1CDB7" w14:textId="77777777" w:rsidR="00916080" w:rsidRDefault="00916080" w:rsidP="000D4A11">
      <w:pPr>
        <w:spacing w:after="0" w:line="240" w:lineRule="auto"/>
        <w:rPr>
          <w:sz w:val="8"/>
          <w:szCs w:val="8"/>
        </w:rPr>
      </w:pPr>
    </w:p>
    <w:p w14:paraId="04E5B25D" w14:textId="77777777" w:rsidR="00916080" w:rsidRDefault="00916080" w:rsidP="000D4A11">
      <w:pPr>
        <w:spacing w:after="0" w:line="240" w:lineRule="auto"/>
        <w:rPr>
          <w:sz w:val="8"/>
          <w:szCs w:val="8"/>
        </w:rPr>
      </w:pPr>
    </w:p>
    <w:p w14:paraId="24C6DD59" w14:textId="3C089A82" w:rsidR="00916080" w:rsidRDefault="00916080" w:rsidP="000D4A11">
      <w:pPr>
        <w:spacing w:after="0" w:line="240" w:lineRule="auto"/>
        <w:rPr>
          <w:sz w:val="8"/>
          <w:szCs w:val="8"/>
        </w:rPr>
      </w:pPr>
    </w:p>
    <w:p w14:paraId="672C4AE2" w14:textId="4EB75381" w:rsidR="00916080" w:rsidRDefault="00916080" w:rsidP="000D4A11">
      <w:pPr>
        <w:spacing w:after="0" w:line="240" w:lineRule="auto"/>
        <w:rPr>
          <w:sz w:val="8"/>
          <w:szCs w:val="8"/>
        </w:rPr>
      </w:pPr>
    </w:p>
    <w:p w14:paraId="58E8D41D" w14:textId="77777777" w:rsidR="00916080" w:rsidRDefault="00916080" w:rsidP="000D4A11">
      <w:pPr>
        <w:spacing w:after="0" w:line="240" w:lineRule="auto"/>
        <w:rPr>
          <w:sz w:val="8"/>
          <w:szCs w:val="8"/>
        </w:rPr>
      </w:pPr>
    </w:p>
    <w:p w14:paraId="5D4110BC" w14:textId="5377A8D1" w:rsidR="00916080" w:rsidRDefault="00916080" w:rsidP="000D4A11">
      <w:pPr>
        <w:spacing w:after="0" w:line="240" w:lineRule="auto"/>
        <w:rPr>
          <w:sz w:val="8"/>
          <w:szCs w:val="8"/>
        </w:rPr>
      </w:pPr>
    </w:p>
    <w:p w14:paraId="438BAE50" w14:textId="77777777" w:rsidR="00916080" w:rsidRDefault="00916080" w:rsidP="000D4A11">
      <w:pPr>
        <w:spacing w:after="0" w:line="240" w:lineRule="auto"/>
        <w:rPr>
          <w:sz w:val="8"/>
          <w:szCs w:val="8"/>
        </w:rPr>
      </w:pPr>
    </w:p>
    <w:p w14:paraId="1F1A7492" w14:textId="098442A9" w:rsidR="00916080" w:rsidRDefault="00916080" w:rsidP="000D4A11">
      <w:pPr>
        <w:spacing w:after="0" w:line="240" w:lineRule="auto"/>
        <w:rPr>
          <w:sz w:val="8"/>
          <w:szCs w:val="8"/>
        </w:rPr>
      </w:pPr>
    </w:p>
    <w:p w14:paraId="1D0DB835" w14:textId="77777777" w:rsidR="00916080" w:rsidRDefault="00916080" w:rsidP="000D4A11">
      <w:pPr>
        <w:spacing w:after="0" w:line="240" w:lineRule="auto"/>
        <w:rPr>
          <w:sz w:val="8"/>
          <w:szCs w:val="8"/>
        </w:rPr>
      </w:pPr>
    </w:p>
    <w:p w14:paraId="3C4D1035" w14:textId="77777777" w:rsidR="00916080" w:rsidRDefault="00916080" w:rsidP="000D4A11">
      <w:pPr>
        <w:spacing w:after="0" w:line="240" w:lineRule="auto"/>
        <w:rPr>
          <w:sz w:val="8"/>
          <w:szCs w:val="8"/>
        </w:rPr>
      </w:pPr>
    </w:p>
    <w:p w14:paraId="3459C1AB" w14:textId="77777777" w:rsidR="00916080" w:rsidRDefault="00916080" w:rsidP="000D4A11">
      <w:pPr>
        <w:spacing w:after="0" w:line="240" w:lineRule="auto"/>
        <w:rPr>
          <w:sz w:val="8"/>
          <w:szCs w:val="8"/>
        </w:rPr>
      </w:pPr>
    </w:p>
    <w:p w14:paraId="0A53B5D6" w14:textId="77777777" w:rsidR="00916080" w:rsidRDefault="00916080" w:rsidP="000D4A11">
      <w:pPr>
        <w:spacing w:after="0" w:line="240" w:lineRule="auto"/>
        <w:rPr>
          <w:sz w:val="8"/>
          <w:szCs w:val="8"/>
        </w:rPr>
      </w:pPr>
    </w:p>
    <w:p w14:paraId="14A5D05C" w14:textId="77777777" w:rsidR="00916080" w:rsidRDefault="00916080" w:rsidP="000D4A11">
      <w:pPr>
        <w:spacing w:after="0" w:line="240" w:lineRule="auto"/>
        <w:rPr>
          <w:sz w:val="8"/>
          <w:szCs w:val="8"/>
        </w:rPr>
      </w:pPr>
    </w:p>
    <w:p w14:paraId="36C23984" w14:textId="77777777" w:rsidR="00916080" w:rsidRDefault="00916080" w:rsidP="000D4A11">
      <w:pPr>
        <w:spacing w:after="0" w:line="240" w:lineRule="auto"/>
        <w:rPr>
          <w:sz w:val="8"/>
          <w:szCs w:val="8"/>
        </w:rPr>
      </w:pPr>
    </w:p>
    <w:p w14:paraId="35A810A1" w14:textId="77777777" w:rsidR="00916080" w:rsidRDefault="00916080" w:rsidP="000D4A11">
      <w:pPr>
        <w:spacing w:after="0" w:line="240" w:lineRule="auto"/>
        <w:rPr>
          <w:sz w:val="8"/>
          <w:szCs w:val="8"/>
        </w:rPr>
      </w:pPr>
    </w:p>
    <w:p w14:paraId="17242450" w14:textId="77777777" w:rsidR="00916080" w:rsidRDefault="00916080" w:rsidP="000D4A11">
      <w:pPr>
        <w:spacing w:after="0" w:line="240" w:lineRule="auto"/>
        <w:rPr>
          <w:sz w:val="8"/>
          <w:szCs w:val="8"/>
        </w:rPr>
      </w:pPr>
    </w:p>
    <w:p w14:paraId="57218648" w14:textId="77777777" w:rsidR="00916080" w:rsidRDefault="00916080" w:rsidP="000D4A11">
      <w:pPr>
        <w:spacing w:after="0" w:line="240" w:lineRule="auto"/>
        <w:rPr>
          <w:sz w:val="8"/>
          <w:szCs w:val="8"/>
        </w:rPr>
      </w:pPr>
    </w:p>
    <w:p w14:paraId="193E29AC" w14:textId="77777777" w:rsidR="00916080" w:rsidRDefault="00916080" w:rsidP="000D4A11">
      <w:pPr>
        <w:spacing w:after="0" w:line="240" w:lineRule="auto"/>
        <w:rPr>
          <w:sz w:val="8"/>
          <w:szCs w:val="8"/>
        </w:rPr>
      </w:pPr>
    </w:p>
    <w:p w14:paraId="7D0C3FD4" w14:textId="77777777" w:rsidR="00916080" w:rsidRDefault="00916080" w:rsidP="000D4A11">
      <w:pPr>
        <w:spacing w:after="0" w:line="240" w:lineRule="auto"/>
        <w:rPr>
          <w:sz w:val="8"/>
          <w:szCs w:val="8"/>
        </w:rPr>
      </w:pPr>
    </w:p>
    <w:p w14:paraId="5619B345" w14:textId="77777777" w:rsidR="00916080" w:rsidRDefault="00916080" w:rsidP="000D4A11">
      <w:pPr>
        <w:spacing w:after="0" w:line="240" w:lineRule="auto"/>
        <w:rPr>
          <w:sz w:val="8"/>
          <w:szCs w:val="8"/>
        </w:rPr>
      </w:pPr>
    </w:p>
    <w:p w14:paraId="08468076" w14:textId="77777777" w:rsidR="00916080" w:rsidRDefault="00916080" w:rsidP="000D4A11">
      <w:pPr>
        <w:spacing w:after="0" w:line="240" w:lineRule="auto"/>
        <w:rPr>
          <w:sz w:val="8"/>
          <w:szCs w:val="8"/>
        </w:rPr>
      </w:pPr>
    </w:p>
    <w:p w14:paraId="01D80F2C" w14:textId="77777777" w:rsidR="00916080" w:rsidRDefault="00916080" w:rsidP="000D4A11">
      <w:pPr>
        <w:spacing w:after="0" w:line="240" w:lineRule="auto"/>
        <w:rPr>
          <w:sz w:val="8"/>
          <w:szCs w:val="8"/>
        </w:rPr>
      </w:pPr>
    </w:p>
    <w:p w14:paraId="762D18B3" w14:textId="77777777" w:rsidR="00916080" w:rsidRDefault="00916080" w:rsidP="000D4A11">
      <w:pPr>
        <w:spacing w:after="0" w:line="240" w:lineRule="auto"/>
        <w:rPr>
          <w:sz w:val="8"/>
          <w:szCs w:val="8"/>
        </w:rPr>
      </w:pPr>
    </w:p>
    <w:p w14:paraId="5E8921F9" w14:textId="77777777" w:rsidR="00916080" w:rsidRDefault="00916080" w:rsidP="000D4A11">
      <w:pPr>
        <w:spacing w:after="0" w:line="240" w:lineRule="auto"/>
        <w:rPr>
          <w:sz w:val="8"/>
          <w:szCs w:val="8"/>
        </w:rPr>
      </w:pPr>
    </w:p>
    <w:p w14:paraId="04A97F61" w14:textId="77777777" w:rsidR="00916080" w:rsidRDefault="00916080" w:rsidP="000D4A11">
      <w:pPr>
        <w:spacing w:after="0" w:line="240" w:lineRule="auto"/>
        <w:rPr>
          <w:sz w:val="8"/>
          <w:szCs w:val="8"/>
        </w:rPr>
      </w:pPr>
    </w:p>
    <w:p w14:paraId="07B7235B" w14:textId="5AA592F1" w:rsidR="00916080" w:rsidRDefault="00916080" w:rsidP="000D4A11">
      <w:pPr>
        <w:spacing w:after="0" w:line="240" w:lineRule="auto"/>
        <w:rPr>
          <w:sz w:val="8"/>
          <w:szCs w:val="8"/>
        </w:rPr>
      </w:pPr>
    </w:p>
    <w:p w14:paraId="3D968CC0" w14:textId="77777777" w:rsidR="00916080" w:rsidRDefault="00916080" w:rsidP="000D4A11">
      <w:pPr>
        <w:spacing w:after="0" w:line="240" w:lineRule="auto"/>
        <w:rPr>
          <w:sz w:val="8"/>
          <w:szCs w:val="8"/>
        </w:rPr>
      </w:pPr>
    </w:p>
    <w:p w14:paraId="1CED5033" w14:textId="77777777" w:rsidR="00916080" w:rsidRDefault="00916080" w:rsidP="000D4A11">
      <w:pPr>
        <w:spacing w:after="0" w:line="240" w:lineRule="auto"/>
        <w:rPr>
          <w:sz w:val="8"/>
          <w:szCs w:val="8"/>
        </w:rPr>
      </w:pPr>
    </w:p>
    <w:p w14:paraId="144E98B9" w14:textId="77777777" w:rsidR="00916080" w:rsidRDefault="00916080" w:rsidP="000D4A11">
      <w:pPr>
        <w:spacing w:after="0" w:line="240" w:lineRule="auto"/>
        <w:rPr>
          <w:sz w:val="8"/>
          <w:szCs w:val="8"/>
        </w:rPr>
      </w:pPr>
    </w:p>
    <w:p w14:paraId="5AB44942" w14:textId="77777777" w:rsidR="00916080" w:rsidRDefault="00916080" w:rsidP="000D4A11">
      <w:pPr>
        <w:spacing w:after="0" w:line="240" w:lineRule="auto"/>
        <w:rPr>
          <w:sz w:val="8"/>
          <w:szCs w:val="8"/>
        </w:rPr>
      </w:pPr>
    </w:p>
    <w:p w14:paraId="1F1C6D7E" w14:textId="77777777" w:rsidR="00916080" w:rsidRDefault="00916080" w:rsidP="000D4A11">
      <w:pPr>
        <w:spacing w:after="0" w:line="240" w:lineRule="auto"/>
        <w:rPr>
          <w:sz w:val="8"/>
          <w:szCs w:val="8"/>
        </w:rPr>
      </w:pPr>
    </w:p>
    <w:p w14:paraId="62A05D1C" w14:textId="77777777" w:rsidR="00916080" w:rsidRDefault="00916080" w:rsidP="000D4A11">
      <w:pPr>
        <w:spacing w:after="0" w:line="240" w:lineRule="auto"/>
        <w:rPr>
          <w:sz w:val="8"/>
          <w:szCs w:val="8"/>
        </w:rPr>
      </w:pPr>
    </w:p>
    <w:p w14:paraId="437C237A" w14:textId="5C10C5E4" w:rsidR="008A468A" w:rsidRPr="000D4A11" w:rsidRDefault="008A468A" w:rsidP="000D4A11">
      <w:pPr>
        <w:spacing w:after="0" w:line="240" w:lineRule="auto"/>
        <w:rPr>
          <w:sz w:val="8"/>
          <w:szCs w:val="8"/>
        </w:rPr>
      </w:pPr>
    </w:p>
    <w:sectPr w:rsidR="008A468A" w:rsidRPr="000D4A11" w:rsidSect="004A7055">
      <w:footerReference w:type="default" r:id="rId18"/>
      <w:pgSz w:w="12240" w:h="15840"/>
      <w:pgMar w:top="432"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95F1" w14:textId="77777777" w:rsidR="00D12264" w:rsidRDefault="00D12264" w:rsidP="002123C2">
      <w:pPr>
        <w:spacing w:after="0" w:line="240" w:lineRule="auto"/>
      </w:pPr>
      <w:r>
        <w:separator/>
      </w:r>
    </w:p>
  </w:endnote>
  <w:endnote w:type="continuationSeparator" w:id="0">
    <w:p w14:paraId="4711548C" w14:textId="77777777" w:rsidR="00D12264" w:rsidRDefault="00D12264" w:rsidP="0021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BB5E1" w14:textId="15CC556C" w:rsidR="00DF4F96" w:rsidRDefault="00456B68" w:rsidP="00B83CC4">
    <w:pPr>
      <w:pStyle w:val="Footer"/>
      <w:rPr>
        <w:sz w:val="20"/>
        <w:szCs w:val="20"/>
      </w:rPr>
    </w:pPr>
    <w:r>
      <w:rPr>
        <w:sz w:val="20"/>
        <w:szCs w:val="20"/>
      </w:rPr>
      <w:tab/>
    </w:r>
    <w:r>
      <w:rPr>
        <w:sz w:val="20"/>
        <w:szCs w:val="20"/>
      </w:rPr>
      <w:tab/>
      <w:t xml:space="preserve">  </w:t>
    </w:r>
    <w:r w:rsidR="00B83CC4" w:rsidRPr="00B83CC4">
      <w:rPr>
        <w:sz w:val="20"/>
        <w:szCs w:val="20"/>
      </w:rPr>
      <w:t>Updated</w:t>
    </w:r>
    <w:r w:rsidR="00F246C3">
      <w:rPr>
        <w:sz w:val="20"/>
        <w:szCs w:val="20"/>
      </w:rPr>
      <w:t xml:space="preserve"> </w:t>
    </w:r>
    <w:r w:rsidR="00F54D0E">
      <w:rPr>
        <w:sz w:val="20"/>
        <w:szCs w:val="20"/>
      </w:rPr>
      <w:t>June 2024</w:t>
    </w:r>
  </w:p>
  <w:p w14:paraId="56069015" w14:textId="77777777" w:rsidR="002A391B" w:rsidRPr="002A391B" w:rsidRDefault="002A391B" w:rsidP="00B83CC4">
    <w:pPr>
      <w:pStyle w:val="Footer"/>
      <w:rPr>
        <w:sz w:val="10"/>
        <w:szCs w:val="10"/>
      </w:rPr>
    </w:pPr>
  </w:p>
  <w:p w14:paraId="2670F81E" w14:textId="7C9556C4" w:rsidR="000C7763" w:rsidRDefault="000C7763" w:rsidP="000C7763">
    <w:pPr>
      <w:pStyle w:val="Footer"/>
      <w:rPr>
        <w:sz w:val="20"/>
        <w:szCs w:val="20"/>
      </w:rPr>
    </w:pPr>
    <w:r w:rsidRPr="00706A3C">
      <w:rPr>
        <w:rFonts w:cstheme="minorHAnsi"/>
        <w:i/>
        <w:iCs/>
        <w:color w:val="595959" w:themeColor="text1" w:themeTint="A6"/>
        <w:sz w:val="18"/>
        <w:szCs w:val="18"/>
        <w:shd w:val="clear" w:color="auto" w:fill="FFFFFF"/>
      </w:rPr>
      <w:t>The contents of this document do not have the force and effect of law and are not meant to bind the public in any way; they are intended only to provide clarity to the public regarding existing requirements under the law or agency policies.</w:t>
    </w:r>
  </w:p>
  <w:p w14:paraId="459E5DA2" w14:textId="77777777" w:rsidR="000C7763" w:rsidRPr="00B83CC4" w:rsidRDefault="000C7763" w:rsidP="00B83CC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18A45" w14:textId="77777777" w:rsidR="00D12264" w:rsidRDefault="00D12264" w:rsidP="002123C2">
      <w:pPr>
        <w:spacing w:after="0" w:line="240" w:lineRule="auto"/>
      </w:pPr>
      <w:r>
        <w:separator/>
      </w:r>
    </w:p>
  </w:footnote>
  <w:footnote w:type="continuationSeparator" w:id="0">
    <w:p w14:paraId="65A44A0E" w14:textId="77777777" w:rsidR="00D12264" w:rsidRDefault="00D12264" w:rsidP="0021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37A"/>
    <w:multiLevelType w:val="hybridMultilevel"/>
    <w:tmpl w:val="6030654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6D84844"/>
    <w:multiLevelType w:val="hybridMultilevel"/>
    <w:tmpl w:val="21AA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63E1F"/>
    <w:multiLevelType w:val="hybridMultilevel"/>
    <w:tmpl w:val="5608EC0E"/>
    <w:lvl w:ilvl="0" w:tplc="AF70F6EA">
      <w:start w:val="1"/>
      <w:numFmt w:val="bullet"/>
      <w:pStyle w:val="Bullet1"/>
      <w:lvlText w:val=""/>
      <w:lvlJc w:val="left"/>
      <w:pPr>
        <w:ind w:left="720" w:hanging="360"/>
      </w:pPr>
      <w:rPr>
        <w:rFonts w:ascii="Wingdings" w:hAnsi="Wingdings" w:hint="default"/>
        <w:b w:val="0"/>
        <w:i w:val="0"/>
        <w:color w:val="E15D15"/>
        <w:sz w:val="24"/>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6AE2"/>
    <w:multiLevelType w:val="hybridMultilevel"/>
    <w:tmpl w:val="4D34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F3D5F"/>
    <w:multiLevelType w:val="hybridMultilevel"/>
    <w:tmpl w:val="67743B12"/>
    <w:lvl w:ilvl="0" w:tplc="B9520C9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C243D"/>
    <w:multiLevelType w:val="hybridMultilevel"/>
    <w:tmpl w:val="C6064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0A5"/>
    <w:multiLevelType w:val="hybridMultilevel"/>
    <w:tmpl w:val="FAD8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E5ED0"/>
    <w:multiLevelType w:val="hybridMultilevel"/>
    <w:tmpl w:val="4F0E43EC"/>
    <w:lvl w:ilvl="0" w:tplc="04090001">
      <w:start w:val="1"/>
      <w:numFmt w:val="bullet"/>
      <w:lvlText w:val=""/>
      <w:lvlJc w:val="left"/>
      <w:pPr>
        <w:ind w:left="2178" w:hanging="360"/>
      </w:pPr>
      <w:rPr>
        <w:rFonts w:ascii="Symbol" w:hAnsi="Symbol"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8" w15:restartNumberingAfterBreak="0">
    <w:nsid w:val="168D4638"/>
    <w:multiLevelType w:val="hybridMultilevel"/>
    <w:tmpl w:val="66ECF216"/>
    <w:lvl w:ilvl="0" w:tplc="DF66DFC0">
      <w:start w:val="1"/>
      <w:numFmt w:val="bullet"/>
      <w:pStyle w:val="Bullet"/>
      <w:lvlText w:val=""/>
      <w:lvlJc w:val="left"/>
      <w:pPr>
        <w:ind w:left="360" w:hanging="360"/>
      </w:pPr>
      <w:rPr>
        <w:rFonts w:ascii="Wingdings" w:hAnsi="Wingdings" w:hint="default"/>
        <w:color w:val="E28521"/>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B14AA2"/>
    <w:multiLevelType w:val="hybridMultilevel"/>
    <w:tmpl w:val="C1C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74415"/>
    <w:multiLevelType w:val="hybridMultilevel"/>
    <w:tmpl w:val="2C2E3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A91EE4"/>
    <w:multiLevelType w:val="hybridMultilevel"/>
    <w:tmpl w:val="9094131C"/>
    <w:lvl w:ilvl="0" w:tplc="AF70F6EA">
      <w:start w:val="1"/>
      <w:numFmt w:val="bullet"/>
      <w:lvlText w:val=""/>
      <w:lvlJc w:val="left"/>
      <w:pPr>
        <w:ind w:left="720" w:hanging="360"/>
      </w:pPr>
      <w:rPr>
        <w:rFonts w:ascii="Wingdings" w:hAnsi="Wingdings" w:hint="default"/>
        <w:b w:val="0"/>
        <w:i w:val="0"/>
        <w:color w:val="E15D15"/>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17FDA"/>
    <w:multiLevelType w:val="hybridMultilevel"/>
    <w:tmpl w:val="39D4C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0874B8"/>
    <w:multiLevelType w:val="hybridMultilevel"/>
    <w:tmpl w:val="19B23924"/>
    <w:lvl w:ilvl="0" w:tplc="AF70F6EA">
      <w:start w:val="1"/>
      <w:numFmt w:val="bullet"/>
      <w:lvlText w:val=""/>
      <w:lvlJc w:val="left"/>
      <w:pPr>
        <w:ind w:left="720" w:hanging="360"/>
      </w:pPr>
      <w:rPr>
        <w:rFonts w:ascii="Wingdings" w:hAnsi="Wingdings" w:hint="default"/>
        <w:b w:val="0"/>
        <w:i w:val="0"/>
        <w:color w:val="E15D15"/>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A0940"/>
    <w:multiLevelType w:val="hybridMultilevel"/>
    <w:tmpl w:val="E6E47F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434182D"/>
    <w:multiLevelType w:val="hybridMultilevel"/>
    <w:tmpl w:val="5DE6A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63EFF"/>
    <w:multiLevelType w:val="hybridMultilevel"/>
    <w:tmpl w:val="ABBCCE4A"/>
    <w:lvl w:ilvl="0" w:tplc="9E105FC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A5708"/>
    <w:multiLevelType w:val="hybridMultilevel"/>
    <w:tmpl w:val="8D3CB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1C1B67"/>
    <w:multiLevelType w:val="hybridMultilevel"/>
    <w:tmpl w:val="F3EE86AC"/>
    <w:lvl w:ilvl="0" w:tplc="B9520C9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D5147"/>
    <w:multiLevelType w:val="hybridMultilevel"/>
    <w:tmpl w:val="B386B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106B9"/>
    <w:multiLevelType w:val="hybridMultilevel"/>
    <w:tmpl w:val="0D3E5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D970F0"/>
    <w:multiLevelType w:val="hybridMultilevel"/>
    <w:tmpl w:val="DC74D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2010D7"/>
    <w:multiLevelType w:val="hybridMultilevel"/>
    <w:tmpl w:val="9AE6E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1E5BAF"/>
    <w:multiLevelType w:val="hybridMultilevel"/>
    <w:tmpl w:val="F0FC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04637"/>
    <w:multiLevelType w:val="multilevel"/>
    <w:tmpl w:val="FA2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554E6B"/>
    <w:multiLevelType w:val="hybridMultilevel"/>
    <w:tmpl w:val="56EAE746"/>
    <w:lvl w:ilvl="0" w:tplc="296EC5A2">
      <w:start w:val="1"/>
      <w:numFmt w:val="decimal"/>
      <w:lvlText w:val="%1."/>
      <w:lvlJc w:val="left"/>
      <w:pPr>
        <w:ind w:left="360" w:hanging="360"/>
      </w:pPr>
      <w:rPr>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C16A4D"/>
    <w:multiLevelType w:val="hybridMultilevel"/>
    <w:tmpl w:val="CE3A13CE"/>
    <w:lvl w:ilvl="0" w:tplc="45EA9288">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333A2"/>
    <w:multiLevelType w:val="hybridMultilevel"/>
    <w:tmpl w:val="C4A8D814"/>
    <w:lvl w:ilvl="0" w:tplc="B674F03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96614B5"/>
    <w:multiLevelType w:val="hybridMultilevel"/>
    <w:tmpl w:val="39C80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C8196A"/>
    <w:multiLevelType w:val="hybridMultilevel"/>
    <w:tmpl w:val="3DCAD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E63041"/>
    <w:multiLevelType w:val="hybridMultilevel"/>
    <w:tmpl w:val="CCC6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E27578"/>
    <w:multiLevelType w:val="hybridMultilevel"/>
    <w:tmpl w:val="8ED4CDF2"/>
    <w:lvl w:ilvl="0" w:tplc="436AA5AA">
      <w:numFmt w:val="bullet"/>
      <w:lvlText w:val=""/>
      <w:lvlJc w:val="left"/>
      <w:pPr>
        <w:ind w:left="796" w:hanging="360"/>
      </w:pPr>
      <w:rPr>
        <w:rFonts w:ascii="Symbol" w:eastAsia="Symbol" w:hAnsi="Symbol" w:cs="Symbol" w:hint="default"/>
        <w:b w:val="0"/>
        <w:bCs w:val="0"/>
        <w:i w:val="0"/>
        <w:iCs w:val="0"/>
        <w:spacing w:val="0"/>
        <w:w w:val="99"/>
        <w:sz w:val="16"/>
        <w:szCs w:val="16"/>
        <w:lang w:val="en-US" w:eastAsia="en-US" w:bidi="ar-SA"/>
      </w:rPr>
    </w:lvl>
    <w:lvl w:ilvl="1" w:tplc="04E6443E">
      <w:numFmt w:val="bullet"/>
      <w:lvlText w:val="•"/>
      <w:lvlJc w:val="left"/>
      <w:pPr>
        <w:ind w:left="1157" w:hanging="360"/>
      </w:pPr>
      <w:rPr>
        <w:rFonts w:hint="default"/>
        <w:lang w:val="en-US" w:eastAsia="en-US" w:bidi="ar-SA"/>
      </w:rPr>
    </w:lvl>
    <w:lvl w:ilvl="2" w:tplc="4EB03C3A">
      <w:numFmt w:val="bullet"/>
      <w:lvlText w:val="•"/>
      <w:lvlJc w:val="left"/>
      <w:pPr>
        <w:ind w:left="1514" w:hanging="360"/>
      </w:pPr>
      <w:rPr>
        <w:rFonts w:hint="default"/>
        <w:lang w:val="en-US" w:eastAsia="en-US" w:bidi="ar-SA"/>
      </w:rPr>
    </w:lvl>
    <w:lvl w:ilvl="3" w:tplc="E176080C">
      <w:numFmt w:val="bullet"/>
      <w:lvlText w:val="•"/>
      <w:lvlJc w:val="left"/>
      <w:pPr>
        <w:ind w:left="1871" w:hanging="360"/>
      </w:pPr>
      <w:rPr>
        <w:rFonts w:hint="default"/>
        <w:lang w:val="en-US" w:eastAsia="en-US" w:bidi="ar-SA"/>
      </w:rPr>
    </w:lvl>
    <w:lvl w:ilvl="4" w:tplc="010A2F8E">
      <w:numFmt w:val="bullet"/>
      <w:lvlText w:val="•"/>
      <w:lvlJc w:val="left"/>
      <w:pPr>
        <w:ind w:left="2228" w:hanging="360"/>
      </w:pPr>
      <w:rPr>
        <w:rFonts w:hint="default"/>
        <w:lang w:val="en-US" w:eastAsia="en-US" w:bidi="ar-SA"/>
      </w:rPr>
    </w:lvl>
    <w:lvl w:ilvl="5" w:tplc="D0F86A8E">
      <w:numFmt w:val="bullet"/>
      <w:lvlText w:val="•"/>
      <w:lvlJc w:val="left"/>
      <w:pPr>
        <w:ind w:left="2586" w:hanging="360"/>
      </w:pPr>
      <w:rPr>
        <w:rFonts w:hint="default"/>
        <w:lang w:val="en-US" w:eastAsia="en-US" w:bidi="ar-SA"/>
      </w:rPr>
    </w:lvl>
    <w:lvl w:ilvl="6" w:tplc="591E4384">
      <w:numFmt w:val="bullet"/>
      <w:lvlText w:val="•"/>
      <w:lvlJc w:val="left"/>
      <w:pPr>
        <w:ind w:left="2943" w:hanging="360"/>
      </w:pPr>
      <w:rPr>
        <w:rFonts w:hint="default"/>
        <w:lang w:val="en-US" w:eastAsia="en-US" w:bidi="ar-SA"/>
      </w:rPr>
    </w:lvl>
    <w:lvl w:ilvl="7" w:tplc="9FE48F78">
      <w:numFmt w:val="bullet"/>
      <w:lvlText w:val="•"/>
      <w:lvlJc w:val="left"/>
      <w:pPr>
        <w:ind w:left="3300" w:hanging="360"/>
      </w:pPr>
      <w:rPr>
        <w:rFonts w:hint="default"/>
        <w:lang w:val="en-US" w:eastAsia="en-US" w:bidi="ar-SA"/>
      </w:rPr>
    </w:lvl>
    <w:lvl w:ilvl="8" w:tplc="5EF68462">
      <w:numFmt w:val="bullet"/>
      <w:lvlText w:val="•"/>
      <w:lvlJc w:val="left"/>
      <w:pPr>
        <w:ind w:left="3657" w:hanging="360"/>
      </w:pPr>
      <w:rPr>
        <w:rFonts w:hint="default"/>
        <w:lang w:val="en-US" w:eastAsia="en-US" w:bidi="ar-SA"/>
      </w:rPr>
    </w:lvl>
  </w:abstractNum>
  <w:abstractNum w:abstractNumId="32" w15:restartNumberingAfterBreak="0">
    <w:nsid w:val="54CA0DFA"/>
    <w:multiLevelType w:val="hybridMultilevel"/>
    <w:tmpl w:val="C912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D35FB"/>
    <w:multiLevelType w:val="hybridMultilevel"/>
    <w:tmpl w:val="5F46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B47F4"/>
    <w:multiLevelType w:val="hybridMultilevel"/>
    <w:tmpl w:val="6678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6961E3"/>
    <w:multiLevelType w:val="multilevel"/>
    <w:tmpl w:val="285001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8F008C1"/>
    <w:multiLevelType w:val="hybridMultilevel"/>
    <w:tmpl w:val="7440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67A28"/>
    <w:multiLevelType w:val="hybridMultilevel"/>
    <w:tmpl w:val="2E528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5033B2"/>
    <w:multiLevelType w:val="hybridMultilevel"/>
    <w:tmpl w:val="2054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414DB"/>
    <w:multiLevelType w:val="hybridMultilevel"/>
    <w:tmpl w:val="95AED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6584C"/>
    <w:multiLevelType w:val="hybridMultilevel"/>
    <w:tmpl w:val="502CF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882BA6"/>
    <w:multiLevelType w:val="hybridMultilevel"/>
    <w:tmpl w:val="C60EBE3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7035E"/>
    <w:multiLevelType w:val="hybridMultilevel"/>
    <w:tmpl w:val="ADE6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D55F5"/>
    <w:multiLevelType w:val="hybridMultilevel"/>
    <w:tmpl w:val="B250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24663"/>
    <w:multiLevelType w:val="hybridMultilevel"/>
    <w:tmpl w:val="092AD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67B84"/>
    <w:multiLevelType w:val="hybridMultilevel"/>
    <w:tmpl w:val="932A56AE"/>
    <w:lvl w:ilvl="0" w:tplc="E110E410">
      <w:numFmt w:val="bullet"/>
      <w:lvlText w:val=""/>
      <w:lvlJc w:val="left"/>
      <w:pPr>
        <w:ind w:left="797" w:hanging="360"/>
      </w:pPr>
      <w:rPr>
        <w:rFonts w:ascii="Symbol" w:eastAsia="Symbol" w:hAnsi="Symbol" w:cs="Symbol" w:hint="default"/>
        <w:b w:val="0"/>
        <w:bCs w:val="0"/>
        <w:i w:val="0"/>
        <w:iCs w:val="0"/>
        <w:spacing w:val="0"/>
        <w:w w:val="99"/>
        <w:sz w:val="16"/>
        <w:szCs w:val="16"/>
        <w:lang w:val="en-US" w:eastAsia="en-US" w:bidi="ar-SA"/>
      </w:rPr>
    </w:lvl>
    <w:lvl w:ilvl="1" w:tplc="FFA040C0">
      <w:numFmt w:val="bullet"/>
      <w:lvlText w:val="•"/>
      <w:lvlJc w:val="left"/>
      <w:pPr>
        <w:ind w:left="1139" w:hanging="360"/>
      </w:pPr>
      <w:rPr>
        <w:rFonts w:hint="default"/>
        <w:lang w:val="en-US" w:eastAsia="en-US" w:bidi="ar-SA"/>
      </w:rPr>
    </w:lvl>
    <w:lvl w:ilvl="2" w:tplc="72BC37D0">
      <w:numFmt w:val="bullet"/>
      <w:lvlText w:val="•"/>
      <w:lvlJc w:val="left"/>
      <w:pPr>
        <w:ind w:left="1479" w:hanging="360"/>
      </w:pPr>
      <w:rPr>
        <w:rFonts w:hint="default"/>
        <w:lang w:val="en-US" w:eastAsia="en-US" w:bidi="ar-SA"/>
      </w:rPr>
    </w:lvl>
    <w:lvl w:ilvl="3" w:tplc="75EEBE5E">
      <w:numFmt w:val="bullet"/>
      <w:lvlText w:val="•"/>
      <w:lvlJc w:val="left"/>
      <w:pPr>
        <w:ind w:left="1819" w:hanging="360"/>
      </w:pPr>
      <w:rPr>
        <w:rFonts w:hint="default"/>
        <w:lang w:val="en-US" w:eastAsia="en-US" w:bidi="ar-SA"/>
      </w:rPr>
    </w:lvl>
    <w:lvl w:ilvl="4" w:tplc="D14E35BC">
      <w:numFmt w:val="bullet"/>
      <w:lvlText w:val="•"/>
      <w:lvlJc w:val="left"/>
      <w:pPr>
        <w:ind w:left="2159" w:hanging="360"/>
      </w:pPr>
      <w:rPr>
        <w:rFonts w:hint="default"/>
        <w:lang w:val="en-US" w:eastAsia="en-US" w:bidi="ar-SA"/>
      </w:rPr>
    </w:lvl>
    <w:lvl w:ilvl="5" w:tplc="B9A0B312">
      <w:numFmt w:val="bullet"/>
      <w:lvlText w:val="•"/>
      <w:lvlJc w:val="left"/>
      <w:pPr>
        <w:ind w:left="2499" w:hanging="360"/>
      </w:pPr>
      <w:rPr>
        <w:rFonts w:hint="default"/>
        <w:lang w:val="en-US" w:eastAsia="en-US" w:bidi="ar-SA"/>
      </w:rPr>
    </w:lvl>
    <w:lvl w:ilvl="6" w:tplc="35124528">
      <w:numFmt w:val="bullet"/>
      <w:lvlText w:val="•"/>
      <w:lvlJc w:val="left"/>
      <w:pPr>
        <w:ind w:left="2839" w:hanging="360"/>
      </w:pPr>
      <w:rPr>
        <w:rFonts w:hint="default"/>
        <w:lang w:val="en-US" w:eastAsia="en-US" w:bidi="ar-SA"/>
      </w:rPr>
    </w:lvl>
    <w:lvl w:ilvl="7" w:tplc="5E72BC3E">
      <w:numFmt w:val="bullet"/>
      <w:lvlText w:val="•"/>
      <w:lvlJc w:val="left"/>
      <w:pPr>
        <w:ind w:left="3179" w:hanging="360"/>
      </w:pPr>
      <w:rPr>
        <w:rFonts w:hint="default"/>
        <w:lang w:val="en-US" w:eastAsia="en-US" w:bidi="ar-SA"/>
      </w:rPr>
    </w:lvl>
    <w:lvl w:ilvl="8" w:tplc="266ED254">
      <w:numFmt w:val="bullet"/>
      <w:lvlText w:val="•"/>
      <w:lvlJc w:val="left"/>
      <w:pPr>
        <w:ind w:left="3519" w:hanging="360"/>
      </w:pPr>
      <w:rPr>
        <w:rFonts w:hint="default"/>
        <w:lang w:val="en-US" w:eastAsia="en-US" w:bidi="ar-SA"/>
      </w:rPr>
    </w:lvl>
  </w:abstractNum>
  <w:abstractNum w:abstractNumId="46" w15:restartNumberingAfterBreak="0">
    <w:nsid w:val="7EF14874"/>
    <w:multiLevelType w:val="hybridMultilevel"/>
    <w:tmpl w:val="1E980218"/>
    <w:lvl w:ilvl="0" w:tplc="C6A2C3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613141">
    <w:abstractNumId w:val="27"/>
  </w:num>
  <w:num w:numId="2" w16cid:durableId="44720757">
    <w:abstractNumId w:val="11"/>
  </w:num>
  <w:num w:numId="3" w16cid:durableId="1358577722">
    <w:abstractNumId w:val="8"/>
  </w:num>
  <w:num w:numId="4" w16cid:durableId="2117944672">
    <w:abstractNumId w:val="26"/>
  </w:num>
  <w:num w:numId="5" w16cid:durableId="1925144977">
    <w:abstractNumId w:val="13"/>
  </w:num>
  <w:num w:numId="6" w16cid:durableId="286468376">
    <w:abstractNumId w:val="20"/>
  </w:num>
  <w:num w:numId="7" w16cid:durableId="2056732027">
    <w:abstractNumId w:val="22"/>
  </w:num>
  <w:num w:numId="8" w16cid:durableId="708578255">
    <w:abstractNumId w:val="21"/>
  </w:num>
  <w:num w:numId="9" w16cid:durableId="1559196627">
    <w:abstractNumId w:val="12"/>
  </w:num>
  <w:num w:numId="10" w16cid:durableId="298656064">
    <w:abstractNumId w:val="29"/>
  </w:num>
  <w:num w:numId="11" w16cid:durableId="1259633926">
    <w:abstractNumId w:val="30"/>
  </w:num>
  <w:num w:numId="12" w16cid:durableId="2033218351">
    <w:abstractNumId w:val="40"/>
  </w:num>
  <w:num w:numId="13" w16cid:durableId="1851337302">
    <w:abstractNumId w:val="2"/>
  </w:num>
  <w:num w:numId="14" w16cid:durableId="1038702048">
    <w:abstractNumId w:val="6"/>
  </w:num>
  <w:num w:numId="15" w16cid:durableId="1007172810">
    <w:abstractNumId w:val="46"/>
  </w:num>
  <w:num w:numId="16" w16cid:durableId="1285229223">
    <w:abstractNumId w:val="41"/>
  </w:num>
  <w:num w:numId="17" w16cid:durableId="2019768343">
    <w:abstractNumId w:val="14"/>
  </w:num>
  <w:num w:numId="18" w16cid:durableId="6911674">
    <w:abstractNumId w:val="38"/>
  </w:num>
  <w:num w:numId="19" w16cid:durableId="1054813858">
    <w:abstractNumId w:val="23"/>
  </w:num>
  <w:num w:numId="20" w16cid:durableId="397753257">
    <w:abstractNumId w:val="19"/>
  </w:num>
  <w:num w:numId="21" w16cid:durableId="1251429145">
    <w:abstractNumId w:val="1"/>
  </w:num>
  <w:num w:numId="22" w16cid:durableId="1796947607">
    <w:abstractNumId w:val="36"/>
  </w:num>
  <w:num w:numId="23" w16cid:durableId="150415677">
    <w:abstractNumId w:val="42"/>
  </w:num>
  <w:num w:numId="24" w16cid:durableId="142624941">
    <w:abstractNumId w:val="18"/>
  </w:num>
  <w:num w:numId="25" w16cid:durableId="259217055">
    <w:abstractNumId w:val="4"/>
  </w:num>
  <w:num w:numId="26" w16cid:durableId="1635519634">
    <w:abstractNumId w:val="33"/>
  </w:num>
  <w:num w:numId="27" w16cid:durableId="1980646615">
    <w:abstractNumId w:val="0"/>
  </w:num>
  <w:num w:numId="28" w16cid:durableId="1611425257">
    <w:abstractNumId w:val="3"/>
  </w:num>
  <w:num w:numId="29" w16cid:durableId="1163668662">
    <w:abstractNumId w:val="16"/>
  </w:num>
  <w:num w:numId="30" w16cid:durableId="1705716223">
    <w:abstractNumId w:val="5"/>
  </w:num>
  <w:num w:numId="31" w16cid:durableId="479343934">
    <w:abstractNumId w:val="25"/>
  </w:num>
  <w:num w:numId="32" w16cid:durableId="1711418271">
    <w:abstractNumId w:val="10"/>
  </w:num>
  <w:num w:numId="33" w16cid:durableId="823470730">
    <w:abstractNumId w:val="37"/>
  </w:num>
  <w:num w:numId="34" w16cid:durableId="1454596504">
    <w:abstractNumId w:val="44"/>
  </w:num>
  <w:num w:numId="35" w16cid:durableId="1654213961">
    <w:abstractNumId w:val="28"/>
  </w:num>
  <w:num w:numId="36" w16cid:durableId="1222136755">
    <w:abstractNumId w:val="32"/>
  </w:num>
  <w:num w:numId="37" w16cid:durableId="41567076">
    <w:abstractNumId w:val="7"/>
  </w:num>
  <w:num w:numId="38" w16cid:durableId="626080922">
    <w:abstractNumId w:val="17"/>
  </w:num>
  <w:num w:numId="39" w16cid:durableId="843591416">
    <w:abstractNumId w:val="34"/>
  </w:num>
  <w:num w:numId="40" w16cid:durableId="306477249">
    <w:abstractNumId w:val="24"/>
  </w:num>
  <w:num w:numId="41" w16cid:durableId="1415281956">
    <w:abstractNumId w:val="15"/>
  </w:num>
  <w:num w:numId="42" w16cid:durableId="1718554423">
    <w:abstractNumId w:val="39"/>
  </w:num>
  <w:num w:numId="43" w16cid:durableId="2028169324">
    <w:abstractNumId w:val="35"/>
  </w:num>
  <w:num w:numId="44" w16cid:durableId="1931962190">
    <w:abstractNumId w:val="43"/>
  </w:num>
  <w:num w:numId="45" w16cid:durableId="830029482">
    <w:abstractNumId w:val="45"/>
  </w:num>
  <w:num w:numId="46" w16cid:durableId="183861105">
    <w:abstractNumId w:val="31"/>
  </w:num>
  <w:num w:numId="47" w16cid:durableId="191242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C2"/>
    <w:rsid w:val="00006B02"/>
    <w:rsid w:val="00007BDE"/>
    <w:rsid w:val="000125F3"/>
    <w:rsid w:val="00014D5A"/>
    <w:rsid w:val="0002190C"/>
    <w:rsid w:val="000231C6"/>
    <w:rsid w:val="000309D7"/>
    <w:rsid w:val="00032390"/>
    <w:rsid w:val="00043D42"/>
    <w:rsid w:val="000538CC"/>
    <w:rsid w:val="00056E07"/>
    <w:rsid w:val="00056FFB"/>
    <w:rsid w:val="00076146"/>
    <w:rsid w:val="0007624F"/>
    <w:rsid w:val="0007729A"/>
    <w:rsid w:val="000808F3"/>
    <w:rsid w:val="0008207E"/>
    <w:rsid w:val="0008376A"/>
    <w:rsid w:val="00083870"/>
    <w:rsid w:val="00084041"/>
    <w:rsid w:val="00086F4E"/>
    <w:rsid w:val="000A1148"/>
    <w:rsid w:val="000A5D6C"/>
    <w:rsid w:val="000A6682"/>
    <w:rsid w:val="000A6A4C"/>
    <w:rsid w:val="000A74D7"/>
    <w:rsid w:val="000B0022"/>
    <w:rsid w:val="000C7763"/>
    <w:rsid w:val="000D13F0"/>
    <w:rsid w:val="000D1DAA"/>
    <w:rsid w:val="000D3FCB"/>
    <w:rsid w:val="000D4A11"/>
    <w:rsid w:val="000D4A78"/>
    <w:rsid w:val="000D70A9"/>
    <w:rsid w:val="000E648A"/>
    <w:rsid w:val="000E7E50"/>
    <w:rsid w:val="000F210C"/>
    <w:rsid w:val="000F6D88"/>
    <w:rsid w:val="001123C5"/>
    <w:rsid w:val="0012247C"/>
    <w:rsid w:val="001257AF"/>
    <w:rsid w:val="00142559"/>
    <w:rsid w:val="00142DB2"/>
    <w:rsid w:val="00144928"/>
    <w:rsid w:val="001513A6"/>
    <w:rsid w:val="00155472"/>
    <w:rsid w:val="001574D3"/>
    <w:rsid w:val="00161728"/>
    <w:rsid w:val="00161B0B"/>
    <w:rsid w:val="00166240"/>
    <w:rsid w:val="00174313"/>
    <w:rsid w:val="00174E70"/>
    <w:rsid w:val="00175467"/>
    <w:rsid w:val="00175C62"/>
    <w:rsid w:val="001806F2"/>
    <w:rsid w:val="00180CBD"/>
    <w:rsid w:val="001860A8"/>
    <w:rsid w:val="00186E2D"/>
    <w:rsid w:val="001A1F17"/>
    <w:rsid w:val="001A2855"/>
    <w:rsid w:val="001A3E4F"/>
    <w:rsid w:val="001B111D"/>
    <w:rsid w:val="001B26DA"/>
    <w:rsid w:val="001C5770"/>
    <w:rsid w:val="001E3706"/>
    <w:rsid w:val="001E4A3B"/>
    <w:rsid w:val="001E7BAA"/>
    <w:rsid w:val="001E7E32"/>
    <w:rsid w:val="001F0C9A"/>
    <w:rsid w:val="001F3649"/>
    <w:rsid w:val="001F3EC7"/>
    <w:rsid w:val="00200FAC"/>
    <w:rsid w:val="0020151F"/>
    <w:rsid w:val="00205019"/>
    <w:rsid w:val="0020643D"/>
    <w:rsid w:val="002123C2"/>
    <w:rsid w:val="00224236"/>
    <w:rsid w:val="00224C54"/>
    <w:rsid w:val="002251D1"/>
    <w:rsid w:val="002259FC"/>
    <w:rsid w:val="00231D56"/>
    <w:rsid w:val="00231DDF"/>
    <w:rsid w:val="00234CC9"/>
    <w:rsid w:val="0024029E"/>
    <w:rsid w:val="00241D86"/>
    <w:rsid w:val="002433E6"/>
    <w:rsid w:val="0024610A"/>
    <w:rsid w:val="00247627"/>
    <w:rsid w:val="0025225D"/>
    <w:rsid w:val="002636CA"/>
    <w:rsid w:val="00264A25"/>
    <w:rsid w:val="002653BB"/>
    <w:rsid w:val="00267B36"/>
    <w:rsid w:val="00270A58"/>
    <w:rsid w:val="00271597"/>
    <w:rsid w:val="0028324E"/>
    <w:rsid w:val="002840A6"/>
    <w:rsid w:val="00290CE8"/>
    <w:rsid w:val="00294558"/>
    <w:rsid w:val="002A0D06"/>
    <w:rsid w:val="002A391B"/>
    <w:rsid w:val="002B51CD"/>
    <w:rsid w:val="002D39D2"/>
    <w:rsid w:val="002E041D"/>
    <w:rsid w:val="002E6CE8"/>
    <w:rsid w:val="002E7223"/>
    <w:rsid w:val="002F2850"/>
    <w:rsid w:val="002F2AC5"/>
    <w:rsid w:val="00301353"/>
    <w:rsid w:val="003049E7"/>
    <w:rsid w:val="003102F2"/>
    <w:rsid w:val="003135AE"/>
    <w:rsid w:val="0031692E"/>
    <w:rsid w:val="003178E1"/>
    <w:rsid w:val="003250D3"/>
    <w:rsid w:val="0033200D"/>
    <w:rsid w:val="00333555"/>
    <w:rsid w:val="003376AA"/>
    <w:rsid w:val="0034241C"/>
    <w:rsid w:val="00342FD0"/>
    <w:rsid w:val="003461A7"/>
    <w:rsid w:val="003511BC"/>
    <w:rsid w:val="00356B3D"/>
    <w:rsid w:val="00360220"/>
    <w:rsid w:val="00361670"/>
    <w:rsid w:val="00363D9D"/>
    <w:rsid w:val="0036578E"/>
    <w:rsid w:val="003660A3"/>
    <w:rsid w:val="00367689"/>
    <w:rsid w:val="00382625"/>
    <w:rsid w:val="00385FE5"/>
    <w:rsid w:val="00395B82"/>
    <w:rsid w:val="00397260"/>
    <w:rsid w:val="003A4FB0"/>
    <w:rsid w:val="003A6BCA"/>
    <w:rsid w:val="003A7938"/>
    <w:rsid w:val="003B2F2B"/>
    <w:rsid w:val="003B5760"/>
    <w:rsid w:val="003B6176"/>
    <w:rsid w:val="003C1F1C"/>
    <w:rsid w:val="003C216E"/>
    <w:rsid w:val="003D31F2"/>
    <w:rsid w:val="003E05D0"/>
    <w:rsid w:val="003E22B6"/>
    <w:rsid w:val="003F5B64"/>
    <w:rsid w:val="003F66FA"/>
    <w:rsid w:val="004019BB"/>
    <w:rsid w:val="0040256A"/>
    <w:rsid w:val="004075DC"/>
    <w:rsid w:val="00407BE0"/>
    <w:rsid w:val="00411DA1"/>
    <w:rsid w:val="0041775D"/>
    <w:rsid w:val="0042016C"/>
    <w:rsid w:val="0042470F"/>
    <w:rsid w:val="00425B4F"/>
    <w:rsid w:val="004305CE"/>
    <w:rsid w:val="00433B43"/>
    <w:rsid w:val="0043728A"/>
    <w:rsid w:val="00451061"/>
    <w:rsid w:val="00453C71"/>
    <w:rsid w:val="00454167"/>
    <w:rsid w:val="00456B68"/>
    <w:rsid w:val="004727F3"/>
    <w:rsid w:val="00474860"/>
    <w:rsid w:val="00477072"/>
    <w:rsid w:val="00477D32"/>
    <w:rsid w:val="00482610"/>
    <w:rsid w:val="00485676"/>
    <w:rsid w:val="00493B24"/>
    <w:rsid w:val="004A3319"/>
    <w:rsid w:val="004A4AB3"/>
    <w:rsid w:val="004A7055"/>
    <w:rsid w:val="004B0C48"/>
    <w:rsid w:val="004B6498"/>
    <w:rsid w:val="004C0C50"/>
    <w:rsid w:val="004C7ED5"/>
    <w:rsid w:val="004D1423"/>
    <w:rsid w:val="004D69ED"/>
    <w:rsid w:val="004E0E81"/>
    <w:rsid w:val="004E1065"/>
    <w:rsid w:val="004E6EAE"/>
    <w:rsid w:val="004F29A0"/>
    <w:rsid w:val="00501A0A"/>
    <w:rsid w:val="00510B91"/>
    <w:rsid w:val="00510D00"/>
    <w:rsid w:val="0051373C"/>
    <w:rsid w:val="0051680F"/>
    <w:rsid w:val="005206E9"/>
    <w:rsid w:val="00524F75"/>
    <w:rsid w:val="00532791"/>
    <w:rsid w:val="00532892"/>
    <w:rsid w:val="00533551"/>
    <w:rsid w:val="00537211"/>
    <w:rsid w:val="00541E4B"/>
    <w:rsid w:val="00544235"/>
    <w:rsid w:val="00546B72"/>
    <w:rsid w:val="00547FDF"/>
    <w:rsid w:val="00551669"/>
    <w:rsid w:val="00555745"/>
    <w:rsid w:val="0056190B"/>
    <w:rsid w:val="0056259C"/>
    <w:rsid w:val="00562F87"/>
    <w:rsid w:val="00564973"/>
    <w:rsid w:val="00570588"/>
    <w:rsid w:val="00577430"/>
    <w:rsid w:val="005857BC"/>
    <w:rsid w:val="005863A1"/>
    <w:rsid w:val="005906E1"/>
    <w:rsid w:val="00590813"/>
    <w:rsid w:val="00592B55"/>
    <w:rsid w:val="00596C87"/>
    <w:rsid w:val="005A63EC"/>
    <w:rsid w:val="005C23CD"/>
    <w:rsid w:val="005C4DB3"/>
    <w:rsid w:val="005C6C1D"/>
    <w:rsid w:val="005C7CC9"/>
    <w:rsid w:val="005C7D9C"/>
    <w:rsid w:val="005D29B4"/>
    <w:rsid w:val="005D31FE"/>
    <w:rsid w:val="005D3963"/>
    <w:rsid w:val="005D7D15"/>
    <w:rsid w:val="005F47A6"/>
    <w:rsid w:val="00601487"/>
    <w:rsid w:val="00601532"/>
    <w:rsid w:val="006068D1"/>
    <w:rsid w:val="00621434"/>
    <w:rsid w:val="00622BB1"/>
    <w:rsid w:val="00623E03"/>
    <w:rsid w:val="00624057"/>
    <w:rsid w:val="00631AA7"/>
    <w:rsid w:val="0063603F"/>
    <w:rsid w:val="00642434"/>
    <w:rsid w:val="00643D1F"/>
    <w:rsid w:val="006460A3"/>
    <w:rsid w:val="00646944"/>
    <w:rsid w:val="00652161"/>
    <w:rsid w:val="006527EF"/>
    <w:rsid w:val="00657BC3"/>
    <w:rsid w:val="00663D92"/>
    <w:rsid w:val="006754A9"/>
    <w:rsid w:val="006819E3"/>
    <w:rsid w:val="0068601C"/>
    <w:rsid w:val="00687361"/>
    <w:rsid w:val="00687763"/>
    <w:rsid w:val="00696BCE"/>
    <w:rsid w:val="00697918"/>
    <w:rsid w:val="006A67EF"/>
    <w:rsid w:val="006B5E18"/>
    <w:rsid w:val="006C066D"/>
    <w:rsid w:val="006C09C0"/>
    <w:rsid w:val="006C0AFF"/>
    <w:rsid w:val="006E13B5"/>
    <w:rsid w:val="006E781A"/>
    <w:rsid w:val="006F2BB5"/>
    <w:rsid w:val="006F56FA"/>
    <w:rsid w:val="007025F1"/>
    <w:rsid w:val="00704FE4"/>
    <w:rsid w:val="00706A3C"/>
    <w:rsid w:val="007131B9"/>
    <w:rsid w:val="00723B1C"/>
    <w:rsid w:val="00733320"/>
    <w:rsid w:val="007338F6"/>
    <w:rsid w:val="0073467C"/>
    <w:rsid w:val="00735A72"/>
    <w:rsid w:val="00735F66"/>
    <w:rsid w:val="00742674"/>
    <w:rsid w:val="00743F65"/>
    <w:rsid w:val="00744CE8"/>
    <w:rsid w:val="00746829"/>
    <w:rsid w:val="007470EB"/>
    <w:rsid w:val="00747AF9"/>
    <w:rsid w:val="00764F5A"/>
    <w:rsid w:val="00765CD4"/>
    <w:rsid w:val="00774EB2"/>
    <w:rsid w:val="0078079D"/>
    <w:rsid w:val="00782454"/>
    <w:rsid w:val="00783E7A"/>
    <w:rsid w:val="00785DAE"/>
    <w:rsid w:val="007944D2"/>
    <w:rsid w:val="007B2E02"/>
    <w:rsid w:val="007B48A1"/>
    <w:rsid w:val="007B48F3"/>
    <w:rsid w:val="007C058D"/>
    <w:rsid w:val="007C1605"/>
    <w:rsid w:val="007C559C"/>
    <w:rsid w:val="007D3ACA"/>
    <w:rsid w:val="007E36A4"/>
    <w:rsid w:val="007E638A"/>
    <w:rsid w:val="007F7E77"/>
    <w:rsid w:val="00806391"/>
    <w:rsid w:val="00811F57"/>
    <w:rsid w:val="008135CE"/>
    <w:rsid w:val="0082270C"/>
    <w:rsid w:val="008236A1"/>
    <w:rsid w:val="008256D5"/>
    <w:rsid w:val="00833F0F"/>
    <w:rsid w:val="00837EF2"/>
    <w:rsid w:val="00844745"/>
    <w:rsid w:val="00845120"/>
    <w:rsid w:val="008530BF"/>
    <w:rsid w:val="0085767A"/>
    <w:rsid w:val="008652AD"/>
    <w:rsid w:val="00870464"/>
    <w:rsid w:val="0087528C"/>
    <w:rsid w:val="008A197C"/>
    <w:rsid w:val="008A316B"/>
    <w:rsid w:val="008A468A"/>
    <w:rsid w:val="008A4FB9"/>
    <w:rsid w:val="008B52EE"/>
    <w:rsid w:val="008B70FD"/>
    <w:rsid w:val="008C0CF9"/>
    <w:rsid w:val="008D1003"/>
    <w:rsid w:val="008D5EF6"/>
    <w:rsid w:val="008D6D24"/>
    <w:rsid w:val="008D7359"/>
    <w:rsid w:val="008E0075"/>
    <w:rsid w:val="008E048E"/>
    <w:rsid w:val="008F0504"/>
    <w:rsid w:val="00900869"/>
    <w:rsid w:val="00903340"/>
    <w:rsid w:val="00906CC8"/>
    <w:rsid w:val="00907F9D"/>
    <w:rsid w:val="00910ACA"/>
    <w:rsid w:val="00916080"/>
    <w:rsid w:val="0092051A"/>
    <w:rsid w:val="009219D7"/>
    <w:rsid w:val="0093452A"/>
    <w:rsid w:val="009363EF"/>
    <w:rsid w:val="0093762F"/>
    <w:rsid w:val="00937CCC"/>
    <w:rsid w:val="00940535"/>
    <w:rsid w:val="009421C4"/>
    <w:rsid w:val="009568F9"/>
    <w:rsid w:val="009569DD"/>
    <w:rsid w:val="00965002"/>
    <w:rsid w:val="00966D4C"/>
    <w:rsid w:val="00971A94"/>
    <w:rsid w:val="00972D90"/>
    <w:rsid w:val="0097445C"/>
    <w:rsid w:val="0099059B"/>
    <w:rsid w:val="0099300D"/>
    <w:rsid w:val="0099504F"/>
    <w:rsid w:val="009975EC"/>
    <w:rsid w:val="009A0CB7"/>
    <w:rsid w:val="009B412E"/>
    <w:rsid w:val="009B741F"/>
    <w:rsid w:val="009C6608"/>
    <w:rsid w:val="009D072A"/>
    <w:rsid w:val="009D0B5E"/>
    <w:rsid w:val="009D2D48"/>
    <w:rsid w:val="009D5F80"/>
    <w:rsid w:val="009D7A8A"/>
    <w:rsid w:val="009E251A"/>
    <w:rsid w:val="009E493C"/>
    <w:rsid w:val="009F29B9"/>
    <w:rsid w:val="009F4B90"/>
    <w:rsid w:val="009F512A"/>
    <w:rsid w:val="00A16A10"/>
    <w:rsid w:val="00A225A7"/>
    <w:rsid w:val="00A26FCC"/>
    <w:rsid w:val="00A30D9E"/>
    <w:rsid w:val="00A362B4"/>
    <w:rsid w:val="00A366EB"/>
    <w:rsid w:val="00A41387"/>
    <w:rsid w:val="00A4263C"/>
    <w:rsid w:val="00A44FFF"/>
    <w:rsid w:val="00A47EA9"/>
    <w:rsid w:val="00A50401"/>
    <w:rsid w:val="00A50D93"/>
    <w:rsid w:val="00A51EDC"/>
    <w:rsid w:val="00A57B71"/>
    <w:rsid w:val="00A70F30"/>
    <w:rsid w:val="00A759BC"/>
    <w:rsid w:val="00A7758B"/>
    <w:rsid w:val="00A8194D"/>
    <w:rsid w:val="00A82842"/>
    <w:rsid w:val="00A94E43"/>
    <w:rsid w:val="00AB05E3"/>
    <w:rsid w:val="00AC17AA"/>
    <w:rsid w:val="00AD1C20"/>
    <w:rsid w:val="00AD5EB7"/>
    <w:rsid w:val="00AF11A7"/>
    <w:rsid w:val="00AF6B90"/>
    <w:rsid w:val="00B00277"/>
    <w:rsid w:val="00B12A87"/>
    <w:rsid w:val="00B13EB9"/>
    <w:rsid w:val="00B16149"/>
    <w:rsid w:val="00B230DE"/>
    <w:rsid w:val="00B34B51"/>
    <w:rsid w:val="00B40191"/>
    <w:rsid w:val="00B4519C"/>
    <w:rsid w:val="00B5042F"/>
    <w:rsid w:val="00B5196C"/>
    <w:rsid w:val="00B554F9"/>
    <w:rsid w:val="00B570C5"/>
    <w:rsid w:val="00B63218"/>
    <w:rsid w:val="00B7057E"/>
    <w:rsid w:val="00B73CEB"/>
    <w:rsid w:val="00B7702D"/>
    <w:rsid w:val="00B77C97"/>
    <w:rsid w:val="00B8160B"/>
    <w:rsid w:val="00B83CC4"/>
    <w:rsid w:val="00B83F27"/>
    <w:rsid w:val="00B96B60"/>
    <w:rsid w:val="00BA2867"/>
    <w:rsid w:val="00BA5EA3"/>
    <w:rsid w:val="00BB2195"/>
    <w:rsid w:val="00BB21A0"/>
    <w:rsid w:val="00BB2F67"/>
    <w:rsid w:val="00BC54D4"/>
    <w:rsid w:val="00BC58CE"/>
    <w:rsid w:val="00BD0357"/>
    <w:rsid w:val="00BD0978"/>
    <w:rsid w:val="00BD4EAA"/>
    <w:rsid w:val="00BD669B"/>
    <w:rsid w:val="00BD6FD3"/>
    <w:rsid w:val="00BE0F8F"/>
    <w:rsid w:val="00BE26C7"/>
    <w:rsid w:val="00BE66B5"/>
    <w:rsid w:val="00BF2AFB"/>
    <w:rsid w:val="00BF4166"/>
    <w:rsid w:val="00BF797F"/>
    <w:rsid w:val="00C004F4"/>
    <w:rsid w:val="00C02FD1"/>
    <w:rsid w:val="00C11075"/>
    <w:rsid w:val="00C117FB"/>
    <w:rsid w:val="00C2154C"/>
    <w:rsid w:val="00C26AE4"/>
    <w:rsid w:val="00C31011"/>
    <w:rsid w:val="00C35712"/>
    <w:rsid w:val="00C42B9B"/>
    <w:rsid w:val="00C47140"/>
    <w:rsid w:val="00C472DE"/>
    <w:rsid w:val="00C56E6F"/>
    <w:rsid w:val="00C64A67"/>
    <w:rsid w:val="00C672AE"/>
    <w:rsid w:val="00C80D4D"/>
    <w:rsid w:val="00C83AE6"/>
    <w:rsid w:val="00C85076"/>
    <w:rsid w:val="00C85DEB"/>
    <w:rsid w:val="00C91EAE"/>
    <w:rsid w:val="00C944A9"/>
    <w:rsid w:val="00C94931"/>
    <w:rsid w:val="00CA1899"/>
    <w:rsid w:val="00CA3513"/>
    <w:rsid w:val="00CA4D14"/>
    <w:rsid w:val="00CA7096"/>
    <w:rsid w:val="00CB2B87"/>
    <w:rsid w:val="00CB7E1E"/>
    <w:rsid w:val="00CC71BF"/>
    <w:rsid w:val="00CD049D"/>
    <w:rsid w:val="00CD216B"/>
    <w:rsid w:val="00CE405C"/>
    <w:rsid w:val="00CE6144"/>
    <w:rsid w:val="00CF48CE"/>
    <w:rsid w:val="00CF4C60"/>
    <w:rsid w:val="00CF5678"/>
    <w:rsid w:val="00D0630D"/>
    <w:rsid w:val="00D12264"/>
    <w:rsid w:val="00D130A8"/>
    <w:rsid w:val="00D14842"/>
    <w:rsid w:val="00D20433"/>
    <w:rsid w:val="00D206F4"/>
    <w:rsid w:val="00D22302"/>
    <w:rsid w:val="00D279FB"/>
    <w:rsid w:val="00D30875"/>
    <w:rsid w:val="00D44A9D"/>
    <w:rsid w:val="00D462B0"/>
    <w:rsid w:val="00D53271"/>
    <w:rsid w:val="00D54287"/>
    <w:rsid w:val="00D659A6"/>
    <w:rsid w:val="00D70A20"/>
    <w:rsid w:val="00D81055"/>
    <w:rsid w:val="00D86719"/>
    <w:rsid w:val="00D905A0"/>
    <w:rsid w:val="00D91D1C"/>
    <w:rsid w:val="00DA4E55"/>
    <w:rsid w:val="00DA63D3"/>
    <w:rsid w:val="00DA670D"/>
    <w:rsid w:val="00DB2DE4"/>
    <w:rsid w:val="00DB4504"/>
    <w:rsid w:val="00DB4B83"/>
    <w:rsid w:val="00DB72D3"/>
    <w:rsid w:val="00DC63FB"/>
    <w:rsid w:val="00DD1032"/>
    <w:rsid w:val="00DD1272"/>
    <w:rsid w:val="00DD1CB5"/>
    <w:rsid w:val="00DD44A2"/>
    <w:rsid w:val="00DD5E81"/>
    <w:rsid w:val="00DD7467"/>
    <w:rsid w:val="00DE2279"/>
    <w:rsid w:val="00DE35E2"/>
    <w:rsid w:val="00DF4F96"/>
    <w:rsid w:val="00DF551B"/>
    <w:rsid w:val="00E02476"/>
    <w:rsid w:val="00E250E1"/>
    <w:rsid w:val="00E26698"/>
    <w:rsid w:val="00E314CC"/>
    <w:rsid w:val="00E4044E"/>
    <w:rsid w:val="00E4096A"/>
    <w:rsid w:val="00E47503"/>
    <w:rsid w:val="00E6496A"/>
    <w:rsid w:val="00E6581A"/>
    <w:rsid w:val="00E703ED"/>
    <w:rsid w:val="00E70C1D"/>
    <w:rsid w:val="00E7306A"/>
    <w:rsid w:val="00E768BF"/>
    <w:rsid w:val="00E849D9"/>
    <w:rsid w:val="00E9020C"/>
    <w:rsid w:val="00EB3A99"/>
    <w:rsid w:val="00EC1B8B"/>
    <w:rsid w:val="00EC25E8"/>
    <w:rsid w:val="00EC2EAA"/>
    <w:rsid w:val="00EC342F"/>
    <w:rsid w:val="00EC3CCE"/>
    <w:rsid w:val="00EC5D47"/>
    <w:rsid w:val="00EC7F66"/>
    <w:rsid w:val="00ED00FB"/>
    <w:rsid w:val="00ED57EC"/>
    <w:rsid w:val="00EE3C17"/>
    <w:rsid w:val="00EF11BB"/>
    <w:rsid w:val="00EF550F"/>
    <w:rsid w:val="00EF56DE"/>
    <w:rsid w:val="00EF5AA2"/>
    <w:rsid w:val="00F02FD1"/>
    <w:rsid w:val="00F05108"/>
    <w:rsid w:val="00F114D6"/>
    <w:rsid w:val="00F1496E"/>
    <w:rsid w:val="00F2205F"/>
    <w:rsid w:val="00F246C3"/>
    <w:rsid w:val="00F2601C"/>
    <w:rsid w:val="00F2754F"/>
    <w:rsid w:val="00F31FB8"/>
    <w:rsid w:val="00F35002"/>
    <w:rsid w:val="00F416E7"/>
    <w:rsid w:val="00F46E12"/>
    <w:rsid w:val="00F53E9D"/>
    <w:rsid w:val="00F54D0E"/>
    <w:rsid w:val="00F55B02"/>
    <w:rsid w:val="00F673C1"/>
    <w:rsid w:val="00F71E79"/>
    <w:rsid w:val="00F7421B"/>
    <w:rsid w:val="00F82D1B"/>
    <w:rsid w:val="00F95AB8"/>
    <w:rsid w:val="00FA2E43"/>
    <w:rsid w:val="00FA34A8"/>
    <w:rsid w:val="00FA36EE"/>
    <w:rsid w:val="00FA3939"/>
    <w:rsid w:val="00FB0D62"/>
    <w:rsid w:val="00FB39F8"/>
    <w:rsid w:val="00FC6D6E"/>
    <w:rsid w:val="00FD2069"/>
    <w:rsid w:val="00FE7B57"/>
    <w:rsid w:val="00FF1214"/>
    <w:rsid w:val="00FF5467"/>
    <w:rsid w:val="00FF7605"/>
    <w:rsid w:val="00FF7A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9BB8"/>
  <w15:docId w15:val="{2562C06F-CB82-4242-B87D-B4AB3A2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66"/>
  </w:style>
  <w:style w:type="paragraph" w:styleId="Heading1">
    <w:name w:val="heading 1"/>
    <w:basedOn w:val="Normal"/>
    <w:next w:val="Normal"/>
    <w:link w:val="Heading1Char"/>
    <w:qFormat/>
    <w:rsid w:val="002123C2"/>
    <w:pPr>
      <w:keepNext/>
      <w:keepLines/>
      <w:spacing w:before="160" w:after="160"/>
      <w:outlineLvl w:val="0"/>
    </w:pPr>
    <w:rPr>
      <w:rFonts w:ascii="Arial" w:eastAsiaTheme="majorEastAsia" w:hAnsi="Arial" w:cstheme="majorBidi"/>
      <w:b/>
      <w:bCs/>
      <w:color w:val="365F91" w:themeColor="accent1" w:themeShade="BF"/>
      <w:sz w:val="32"/>
      <w:szCs w:val="28"/>
    </w:rPr>
  </w:style>
  <w:style w:type="paragraph" w:styleId="Heading3">
    <w:name w:val="heading 3"/>
    <w:basedOn w:val="Normal"/>
    <w:next w:val="Normal"/>
    <w:link w:val="Heading3Char"/>
    <w:unhideWhenUsed/>
    <w:qFormat/>
    <w:rsid w:val="002123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3C2"/>
    <w:pPr>
      <w:spacing w:after="0" w:line="240" w:lineRule="auto"/>
    </w:pPr>
  </w:style>
  <w:style w:type="paragraph" w:styleId="Caption">
    <w:name w:val="caption"/>
    <w:basedOn w:val="Normal"/>
    <w:next w:val="Normal"/>
    <w:uiPriority w:val="35"/>
    <w:unhideWhenUsed/>
    <w:qFormat/>
    <w:rsid w:val="002123C2"/>
    <w:pPr>
      <w:spacing w:line="240" w:lineRule="auto"/>
    </w:pPr>
    <w:rPr>
      <w:b/>
      <w:bCs/>
      <w:color w:val="4F81BD" w:themeColor="accent1"/>
      <w:sz w:val="18"/>
      <w:szCs w:val="18"/>
    </w:rPr>
  </w:style>
  <w:style w:type="paragraph" w:styleId="Header">
    <w:name w:val="header"/>
    <w:basedOn w:val="Normal"/>
    <w:link w:val="HeaderChar"/>
    <w:uiPriority w:val="99"/>
    <w:unhideWhenUsed/>
    <w:rsid w:val="0021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C2"/>
  </w:style>
  <w:style w:type="paragraph" w:styleId="Footer">
    <w:name w:val="footer"/>
    <w:basedOn w:val="Normal"/>
    <w:link w:val="FooterChar"/>
    <w:uiPriority w:val="99"/>
    <w:unhideWhenUsed/>
    <w:rsid w:val="0021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C2"/>
  </w:style>
  <w:style w:type="character" w:customStyle="1" w:styleId="Heading1Char">
    <w:name w:val="Heading 1 Char"/>
    <w:basedOn w:val="DefaultParagraphFont"/>
    <w:link w:val="Heading1"/>
    <w:rsid w:val="002123C2"/>
    <w:rPr>
      <w:rFonts w:ascii="Arial" w:eastAsiaTheme="majorEastAsia" w:hAnsi="Arial" w:cstheme="majorBidi"/>
      <w:b/>
      <w:bCs/>
      <w:color w:val="365F91" w:themeColor="accent1" w:themeShade="BF"/>
      <w:sz w:val="32"/>
      <w:szCs w:val="28"/>
    </w:rPr>
  </w:style>
  <w:style w:type="character" w:customStyle="1" w:styleId="Heading3Char">
    <w:name w:val="Heading 3 Char"/>
    <w:basedOn w:val="DefaultParagraphFont"/>
    <w:link w:val="Heading3"/>
    <w:rsid w:val="002123C2"/>
    <w:rPr>
      <w:rFonts w:asciiTheme="majorHAnsi" w:eastAsiaTheme="majorEastAsia" w:hAnsiTheme="majorHAnsi" w:cstheme="majorBidi"/>
      <w:b/>
      <w:bCs/>
      <w:color w:val="4F81BD" w:themeColor="accent1"/>
    </w:rPr>
  </w:style>
  <w:style w:type="character" w:styleId="Hyperlink">
    <w:name w:val="Hyperlink"/>
    <w:uiPriority w:val="99"/>
    <w:rsid w:val="002123C2"/>
    <w:rPr>
      <w:rFonts w:cs="Times New Roman"/>
      <w:color w:val="0000FF"/>
      <w:u w:val="single"/>
    </w:rPr>
  </w:style>
  <w:style w:type="paragraph" w:styleId="BalloonText">
    <w:name w:val="Balloon Text"/>
    <w:basedOn w:val="Normal"/>
    <w:link w:val="BalloonTextChar"/>
    <w:uiPriority w:val="99"/>
    <w:semiHidden/>
    <w:unhideWhenUsed/>
    <w:rsid w:val="00212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3C2"/>
    <w:rPr>
      <w:rFonts w:ascii="Tahoma" w:hAnsi="Tahoma" w:cs="Tahoma"/>
      <w:sz w:val="16"/>
      <w:szCs w:val="16"/>
    </w:rPr>
  </w:style>
  <w:style w:type="paragraph" w:styleId="NormalWeb">
    <w:name w:val="Normal (Web)"/>
    <w:basedOn w:val="Normal"/>
    <w:link w:val="NormalWebChar"/>
    <w:uiPriority w:val="99"/>
    <w:rsid w:val="00CB2B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CB2B87"/>
    <w:rPr>
      <w:rFonts w:ascii="Times New Roman" w:eastAsia="Times New Roman" w:hAnsi="Times New Roman" w:cs="Times New Roman"/>
      <w:sz w:val="24"/>
      <w:szCs w:val="24"/>
    </w:rPr>
  </w:style>
  <w:style w:type="paragraph" w:styleId="ListParagraph">
    <w:name w:val="List Paragraph"/>
    <w:basedOn w:val="Normal"/>
    <w:uiPriority w:val="34"/>
    <w:qFormat/>
    <w:rsid w:val="00CB2B87"/>
    <w:pPr>
      <w:ind w:left="720"/>
      <w:contextualSpacing/>
    </w:pPr>
  </w:style>
  <w:style w:type="character" w:styleId="FollowedHyperlink">
    <w:name w:val="FollowedHyperlink"/>
    <w:basedOn w:val="DefaultParagraphFont"/>
    <w:uiPriority w:val="99"/>
    <w:semiHidden/>
    <w:unhideWhenUsed/>
    <w:rsid w:val="00CB2B87"/>
    <w:rPr>
      <w:color w:val="800080" w:themeColor="followedHyperlink"/>
      <w:u w:val="single"/>
    </w:rPr>
  </w:style>
  <w:style w:type="paragraph" w:customStyle="1" w:styleId="Bullet">
    <w:name w:val="Bullet"/>
    <w:basedOn w:val="NormalWeb"/>
    <w:link w:val="BulletChar"/>
    <w:qFormat/>
    <w:rsid w:val="006E781A"/>
    <w:pPr>
      <w:numPr>
        <w:numId w:val="3"/>
      </w:numPr>
      <w:spacing w:before="160" w:beforeAutospacing="0" w:after="160" w:afterAutospacing="0" w:line="276" w:lineRule="auto"/>
      <w:jc w:val="both"/>
    </w:pPr>
    <w:rPr>
      <w:rFonts w:ascii="Arial" w:hAnsi="Arial" w:cs="Arial"/>
      <w:sz w:val="20"/>
      <w:szCs w:val="20"/>
    </w:rPr>
  </w:style>
  <w:style w:type="character" w:customStyle="1" w:styleId="BulletChar">
    <w:name w:val="Bullet Char"/>
    <w:basedOn w:val="NormalWebChar"/>
    <w:link w:val="Bullet"/>
    <w:rsid w:val="006E781A"/>
    <w:rPr>
      <w:rFonts w:ascii="Arial" w:eastAsia="Times New Roman" w:hAnsi="Arial" w:cs="Arial"/>
      <w:sz w:val="20"/>
      <w:szCs w:val="20"/>
    </w:rPr>
  </w:style>
  <w:style w:type="table" w:styleId="TableGrid">
    <w:name w:val="Table Grid"/>
    <w:basedOn w:val="TableNormal"/>
    <w:rsid w:val="00C944A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nhideWhenUsed/>
    <w:rsid w:val="00B4519C"/>
    <w:rPr>
      <w:sz w:val="16"/>
      <w:szCs w:val="16"/>
    </w:rPr>
  </w:style>
  <w:style w:type="paragraph" w:styleId="CommentText">
    <w:name w:val="annotation text"/>
    <w:basedOn w:val="Normal"/>
    <w:link w:val="CommentTextChar"/>
    <w:unhideWhenUsed/>
    <w:rsid w:val="00B4519C"/>
    <w:pPr>
      <w:spacing w:line="240" w:lineRule="auto"/>
    </w:pPr>
    <w:rPr>
      <w:sz w:val="20"/>
      <w:szCs w:val="20"/>
    </w:rPr>
  </w:style>
  <w:style w:type="character" w:customStyle="1" w:styleId="CommentTextChar">
    <w:name w:val="Comment Text Char"/>
    <w:basedOn w:val="DefaultParagraphFont"/>
    <w:link w:val="CommentText"/>
    <w:rsid w:val="00B4519C"/>
    <w:rPr>
      <w:sz w:val="20"/>
      <w:szCs w:val="20"/>
    </w:rPr>
  </w:style>
  <w:style w:type="paragraph" w:styleId="CommentSubject">
    <w:name w:val="annotation subject"/>
    <w:basedOn w:val="CommentText"/>
    <w:next w:val="CommentText"/>
    <w:link w:val="CommentSubjectChar"/>
    <w:uiPriority w:val="99"/>
    <w:semiHidden/>
    <w:unhideWhenUsed/>
    <w:rsid w:val="00B4519C"/>
    <w:rPr>
      <w:b/>
      <w:bCs/>
    </w:rPr>
  </w:style>
  <w:style w:type="character" w:customStyle="1" w:styleId="CommentSubjectChar">
    <w:name w:val="Comment Subject Char"/>
    <w:basedOn w:val="CommentTextChar"/>
    <w:link w:val="CommentSubject"/>
    <w:uiPriority w:val="99"/>
    <w:semiHidden/>
    <w:rsid w:val="00B4519C"/>
    <w:rPr>
      <w:b/>
      <w:bCs/>
      <w:sz w:val="20"/>
      <w:szCs w:val="20"/>
    </w:rPr>
  </w:style>
  <w:style w:type="paragraph" w:customStyle="1" w:styleId="Bullet1">
    <w:name w:val="Bullet 1"/>
    <w:basedOn w:val="Normal"/>
    <w:qFormat/>
    <w:rsid w:val="007131B9"/>
    <w:pPr>
      <w:numPr>
        <w:numId w:val="13"/>
      </w:numPr>
      <w:spacing w:before="160" w:after="160"/>
    </w:pPr>
    <w:rPr>
      <w:rFonts w:ascii="Arial" w:eastAsia="Calibri" w:hAnsi="Arial" w:cs="Arial"/>
      <w:sz w:val="20"/>
    </w:rPr>
  </w:style>
  <w:style w:type="paragraph" w:styleId="FootnoteText">
    <w:name w:val="footnote text"/>
    <w:basedOn w:val="Normal"/>
    <w:link w:val="FootnoteTextChar"/>
    <w:uiPriority w:val="99"/>
    <w:semiHidden/>
    <w:unhideWhenUsed/>
    <w:rsid w:val="00E70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3ED"/>
    <w:rPr>
      <w:sz w:val="20"/>
      <w:szCs w:val="20"/>
    </w:rPr>
  </w:style>
  <w:style w:type="character" w:styleId="FootnoteReference">
    <w:name w:val="footnote reference"/>
    <w:rsid w:val="00E703ED"/>
    <w:rPr>
      <w:rFonts w:cs="Times New Roman"/>
      <w:vertAlign w:val="superscript"/>
    </w:rPr>
  </w:style>
  <w:style w:type="paragraph" w:styleId="Revision">
    <w:name w:val="Revision"/>
    <w:hidden/>
    <w:uiPriority w:val="99"/>
    <w:semiHidden/>
    <w:rsid w:val="00E250E1"/>
    <w:pPr>
      <w:spacing w:after="0" w:line="240" w:lineRule="auto"/>
    </w:pPr>
  </w:style>
  <w:style w:type="table" w:styleId="LightList-Accent6">
    <w:name w:val="Light List Accent 6"/>
    <w:basedOn w:val="TableNormal"/>
    <w:uiPriority w:val="61"/>
    <w:rsid w:val="008A46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8A468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8A46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5">
    <w:name w:val="Light List Accent 5"/>
    <w:basedOn w:val="TableNormal"/>
    <w:uiPriority w:val="61"/>
    <w:rsid w:val="001513A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14492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14492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C91EAE"/>
    <w:pPr>
      <w:autoSpaceDE w:val="0"/>
      <w:autoSpaceDN w:val="0"/>
      <w:adjustRightInd w:val="0"/>
      <w:spacing w:after="0" w:line="240" w:lineRule="auto"/>
    </w:pPr>
    <w:rPr>
      <w:rFonts w:ascii="Calibri" w:hAnsi="Calibri" w:cs="Calibri"/>
      <w:color w:val="000000"/>
      <w:sz w:val="24"/>
      <w:szCs w:val="24"/>
    </w:rPr>
  </w:style>
  <w:style w:type="table" w:styleId="MediumShading1-Accent1">
    <w:name w:val="Medium Shading 1 Accent 1"/>
    <w:basedOn w:val="TableNormal"/>
    <w:uiPriority w:val="63"/>
    <w:rsid w:val="009B41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m">
    <w:name w:val="em"/>
    <w:basedOn w:val="DefaultParagraphFont"/>
    <w:rsid w:val="00474860"/>
  </w:style>
  <w:style w:type="character" w:customStyle="1" w:styleId="bold">
    <w:name w:val="bold"/>
    <w:basedOn w:val="DefaultParagraphFont"/>
    <w:rsid w:val="00474860"/>
  </w:style>
  <w:style w:type="character" w:styleId="UnresolvedMention">
    <w:name w:val="Unresolved Mention"/>
    <w:basedOn w:val="DefaultParagraphFont"/>
    <w:uiPriority w:val="99"/>
    <w:semiHidden/>
    <w:unhideWhenUsed/>
    <w:rsid w:val="00BE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758645">
      <w:bodyDiv w:val="1"/>
      <w:marLeft w:val="0"/>
      <w:marRight w:val="0"/>
      <w:marTop w:val="0"/>
      <w:marBottom w:val="0"/>
      <w:divBdr>
        <w:top w:val="none" w:sz="0" w:space="0" w:color="auto"/>
        <w:left w:val="none" w:sz="0" w:space="0" w:color="auto"/>
        <w:bottom w:val="none" w:sz="0" w:space="0" w:color="auto"/>
        <w:right w:val="none" w:sz="0" w:space="0" w:color="auto"/>
      </w:divBdr>
    </w:div>
    <w:div w:id="1518079753">
      <w:bodyDiv w:val="1"/>
      <w:marLeft w:val="0"/>
      <w:marRight w:val="0"/>
      <w:marTop w:val="0"/>
      <w:marBottom w:val="0"/>
      <w:divBdr>
        <w:top w:val="none" w:sz="0" w:space="0" w:color="auto"/>
        <w:left w:val="none" w:sz="0" w:space="0" w:color="auto"/>
        <w:bottom w:val="none" w:sz="0" w:space="0" w:color="auto"/>
        <w:right w:val="none" w:sz="0" w:space="0" w:color="auto"/>
      </w:divBdr>
    </w:div>
    <w:div w:id="2071682960">
      <w:bodyDiv w:val="1"/>
      <w:marLeft w:val="0"/>
      <w:marRight w:val="0"/>
      <w:marTop w:val="0"/>
      <w:marBottom w:val="0"/>
      <w:divBdr>
        <w:top w:val="none" w:sz="0" w:space="0" w:color="auto"/>
        <w:left w:val="none" w:sz="0" w:space="0" w:color="auto"/>
        <w:bottom w:val="none" w:sz="0" w:space="0" w:color="auto"/>
        <w:right w:val="none" w:sz="0" w:space="0" w:color="auto"/>
      </w:divBdr>
    </w:div>
    <w:div w:id="20844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ncs.ed.gov/reentrye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2.ed.gov/policy/elsec/leg/essa/essassaegrantguid10212016.pdf" TargetMode="External"/><Relationship Id="rId2" Type="http://schemas.openxmlformats.org/officeDocument/2006/relationships/customXml" Target="../customXml/item2.xml"/><Relationship Id="rId16" Type="http://schemas.openxmlformats.org/officeDocument/2006/relationships/hyperlink" Target="mailto:federalgrantprograms@doe.mass.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gov/policy/gen/guid/school-discipline/index.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ncs.ed.gov/reentr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DESE-231-72031</_dlc_DocId>
    <_dlc_DocIdUrl xmlns="733efe1c-5bbe-4968-87dc-d400e65c879f">
      <Url>https://sharepoint.doemass.org/ese/webteam/cps/_layouts/DocIdRedir.aspx?ID=DESE-231-72031</Url>
      <Description>DESE-231-72031</Description>
    </_dlc_DocIdUrl>
  </documentManagement>
</p:properties>
</file>

<file path=customXml/itemProps1.xml><?xml version="1.0" encoding="utf-8"?>
<ds:datastoreItem xmlns:ds="http://schemas.openxmlformats.org/officeDocument/2006/customXml" ds:itemID="{77442160-AC46-4652-90C6-9FEE0491CA2A}">
  <ds:schemaRefs>
    <ds:schemaRef ds:uri="http://schemas.microsoft.com/sharepoint/events"/>
  </ds:schemaRefs>
</ds:datastoreItem>
</file>

<file path=customXml/itemProps2.xml><?xml version="1.0" encoding="utf-8"?>
<ds:datastoreItem xmlns:ds="http://schemas.openxmlformats.org/officeDocument/2006/customXml" ds:itemID="{7B92EF44-4F1A-4103-865D-02093DD69255}">
  <ds:schemaRefs>
    <ds:schemaRef ds:uri="http://schemas.microsoft.com/sharepoint/v3/contenttype/forms"/>
  </ds:schemaRefs>
</ds:datastoreItem>
</file>

<file path=customXml/itemProps3.xml><?xml version="1.0" encoding="utf-8"?>
<ds:datastoreItem xmlns:ds="http://schemas.openxmlformats.org/officeDocument/2006/customXml" ds:itemID="{DC542F95-2A3A-4E86-AC12-B9093127A840}">
  <ds:schemaRefs>
    <ds:schemaRef ds:uri="http://schemas.openxmlformats.org/officeDocument/2006/bibliography"/>
  </ds:schemaRefs>
</ds:datastoreItem>
</file>

<file path=customXml/itemProps4.xml><?xml version="1.0" encoding="utf-8"?>
<ds:datastoreItem xmlns:ds="http://schemas.openxmlformats.org/officeDocument/2006/customXml" ds:itemID="{F5502670-7DC7-4049-955F-5424BF7C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A348AF-F464-4617-9151-3A8F4DA679C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IVA Quick Reference Guide on Effective Use of Technology</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Healthy Schools Quick Reference Guide</dc:title>
  <dc:subject/>
  <dc:creator>DESE</dc:creator>
  <cp:keywords/>
  <cp:lastModifiedBy>Zou, Dong (EOE)</cp:lastModifiedBy>
  <cp:revision>25</cp:revision>
  <cp:lastPrinted>2018-04-24T21:35:00Z</cp:lastPrinted>
  <dcterms:created xsi:type="dcterms:W3CDTF">2024-06-05T16:32:00Z</dcterms:created>
  <dcterms:modified xsi:type="dcterms:W3CDTF">2024-06-24T19:45:00Z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24 2024 12:00AM</vt:lpwstr>
  </property>
</Properties>
</file>