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BB5C" w14:textId="2D02DF87" w:rsidR="00723B1C" w:rsidRDefault="00FF1214" w:rsidP="00C004F4">
      <w:pPr>
        <w:spacing w:after="0" w:line="240" w:lineRule="auto"/>
        <w:rPr>
          <w:b/>
          <w:color w:val="1F497D" w:themeColor="text2"/>
          <w:sz w:val="32"/>
          <w:szCs w:val="32"/>
        </w:rPr>
      </w:pPr>
      <w:r w:rsidRPr="00C237D0">
        <w:rPr>
          <w:noProof/>
          <w:color w:val="1F497D" w:themeColor="text2"/>
          <w:sz w:val="32"/>
          <w:szCs w:val="32"/>
        </w:rPr>
        <w:drawing>
          <wp:anchor distT="0" distB="0" distL="114300" distR="114300" simplePos="0" relativeHeight="251663360" behindDoc="0" locked="0" layoutInCell="1" allowOverlap="1" wp14:anchorId="6F745933" wp14:editId="746E40E6">
            <wp:simplePos x="0" y="0"/>
            <wp:positionH relativeFrom="margin">
              <wp:posOffset>5767705</wp:posOffset>
            </wp:positionH>
            <wp:positionV relativeFrom="paragraph">
              <wp:posOffset>-4445</wp:posOffset>
            </wp:positionV>
            <wp:extent cx="1278074" cy="76327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8074"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E42E39" w14:textId="36318939" w:rsidR="00811F57" w:rsidRPr="009B412E" w:rsidRDefault="00D53271" w:rsidP="00C004F4">
      <w:pPr>
        <w:spacing w:after="0" w:line="240" w:lineRule="auto"/>
        <w:rPr>
          <w:b/>
          <w:color w:val="1F497D" w:themeColor="text2"/>
          <w:sz w:val="32"/>
          <w:szCs w:val="32"/>
        </w:rPr>
      </w:pPr>
      <w:r>
        <w:rPr>
          <w:b/>
          <w:color w:val="1F497D" w:themeColor="text2"/>
          <w:sz w:val="32"/>
          <w:szCs w:val="32"/>
        </w:rPr>
        <w:t>Title IV</w:t>
      </w:r>
      <w:r w:rsidR="000309D7">
        <w:rPr>
          <w:b/>
          <w:color w:val="1F497D" w:themeColor="text2"/>
          <w:sz w:val="32"/>
          <w:szCs w:val="32"/>
        </w:rPr>
        <w:t xml:space="preserve">, Part </w:t>
      </w:r>
      <w:r w:rsidR="00972D90" w:rsidRPr="009B412E">
        <w:rPr>
          <w:b/>
          <w:color w:val="1F497D" w:themeColor="text2"/>
          <w:sz w:val="32"/>
          <w:szCs w:val="32"/>
        </w:rPr>
        <w:t>A</w:t>
      </w:r>
      <w:r w:rsidR="00056E07">
        <w:rPr>
          <w:b/>
          <w:color w:val="1F497D" w:themeColor="text2"/>
          <w:sz w:val="32"/>
          <w:szCs w:val="32"/>
        </w:rPr>
        <w:t>:</w:t>
      </w:r>
      <w:r w:rsidR="00972D90" w:rsidRPr="009B412E">
        <w:rPr>
          <w:b/>
          <w:color w:val="1F497D" w:themeColor="text2"/>
          <w:sz w:val="32"/>
          <w:szCs w:val="32"/>
        </w:rPr>
        <w:t xml:space="preserve"> Quick Reference Guide </w:t>
      </w:r>
      <w:r w:rsidR="004B0C48">
        <w:rPr>
          <w:b/>
          <w:color w:val="1F497D" w:themeColor="text2"/>
          <w:sz w:val="32"/>
          <w:szCs w:val="32"/>
        </w:rPr>
        <w:t>– F</w:t>
      </w:r>
      <w:r w:rsidR="0031692E">
        <w:rPr>
          <w:b/>
          <w:color w:val="1F497D" w:themeColor="text2"/>
          <w:sz w:val="32"/>
          <w:szCs w:val="32"/>
        </w:rPr>
        <w:t xml:space="preserve">und </w:t>
      </w:r>
      <w:r w:rsidR="004B0C48">
        <w:rPr>
          <w:b/>
          <w:color w:val="1F497D" w:themeColor="text2"/>
          <w:sz w:val="32"/>
          <w:szCs w:val="32"/>
        </w:rPr>
        <w:t>C</w:t>
      </w:r>
      <w:r w:rsidR="0031692E">
        <w:rPr>
          <w:b/>
          <w:color w:val="1F497D" w:themeColor="text2"/>
          <w:sz w:val="32"/>
          <w:szCs w:val="32"/>
        </w:rPr>
        <w:t>ode</w:t>
      </w:r>
      <w:r w:rsidR="004B0C48">
        <w:rPr>
          <w:b/>
          <w:color w:val="1F497D" w:themeColor="text2"/>
          <w:sz w:val="32"/>
          <w:szCs w:val="32"/>
        </w:rPr>
        <w:t xml:space="preserve"> 30</w:t>
      </w:r>
      <w:r w:rsidR="006460A3">
        <w:rPr>
          <w:b/>
          <w:color w:val="1F497D" w:themeColor="text2"/>
          <w:sz w:val="32"/>
          <w:szCs w:val="32"/>
        </w:rPr>
        <w:t>9</w:t>
      </w:r>
    </w:p>
    <w:p w14:paraId="15CE2C15" w14:textId="4F27EB6F" w:rsidR="00965002" w:rsidRDefault="001B26DA" w:rsidP="00C004F4">
      <w:pPr>
        <w:spacing w:after="0" w:line="240" w:lineRule="auto"/>
        <w:rPr>
          <w:b/>
          <w:color w:val="E36C0A" w:themeColor="accent6" w:themeShade="BF"/>
          <w:sz w:val="28"/>
          <w:szCs w:val="32"/>
        </w:rPr>
      </w:pPr>
      <w:r>
        <w:rPr>
          <w:b/>
          <w:color w:val="E36C0A" w:themeColor="accent6" w:themeShade="BF"/>
          <w:sz w:val="28"/>
          <w:szCs w:val="32"/>
        </w:rPr>
        <w:t xml:space="preserve">Allowable </w:t>
      </w:r>
      <w:r w:rsidR="001806F2">
        <w:rPr>
          <w:b/>
          <w:color w:val="E36C0A" w:themeColor="accent6" w:themeShade="BF"/>
          <w:sz w:val="28"/>
          <w:szCs w:val="32"/>
        </w:rPr>
        <w:t>Uses to Support Access to a Well-Rounded Education</w:t>
      </w:r>
    </w:p>
    <w:p w14:paraId="217DE045" w14:textId="41DF4264" w:rsidR="00D53271" w:rsidRPr="00E5002A" w:rsidRDefault="00D53271" w:rsidP="00C004F4">
      <w:pPr>
        <w:spacing w:after="0" w:line="240" w:lineRule="auto"/>
        <w:rPr>
          <w:b/>
          <w:color w:val="E36C0A" w:themeColor="accent6" w:themeShade="BF"/>
          <w:sz w:val="16"/>
          <w:szCs w:val="16"/>
        </w:rPr>
      </w:pPr>
    </w:p>
    <w:p w14:paraId="75118B35" w14:textId="4505F77D" w:rsidR="00056E07" w:rsidRDefault="00D53271" w:rsidP="00056E07">
      <w:pPr>
        <w:shd w:val="clear" w:color="auto" w:fill="FFFFFF" w:themeFill="background1"/>
        <w:spacing w:after="0" w:line="240" w:lineRule="auto"/>
        <w:rPr>
          <w:color w:val="1F497D" w:themeColor="text2"/>
          <w:sz w:val="24"/>
          <w:szCs w:val="20"/>
        </w:rPr>
      </w:pPr>
      <w:r>
        <w:rPr>
          <w:b/>
          <w:color w:val="1F497D" w:themeColor="text2"/>
          <w:sz w:val="24"/>
          <w:szCs w:val="20"/>
        </w:rPr>
        <w:t>Priorities of Title IV</w:t>
      </w:r>
      <w:r w:rsidR="004B0C48">
        <w:rPr>
          <w:b/>
          <w:color w:val="1F497D" w:themeColor="text2"/>
          <w:sz w:val="24"/>
          <w:szCs w:val="20"/>
        </w:rPr>
        <w:t xml:space="preserve">, Part </w:t>
      </w:r>
      <w:r w:rsidR="009B412E" w:rsidRPr="00056E07">
        <w:rPr>
          <w:b/>
          <w:color w:val="1F497D" w:themeColor="text2"/>
          <w:sz w:val="24"/>
          <w:szCs w:val="20"/>
        </w:rPr>
        <w:t>A</w:t>
      </w:r>
      <w:r w:rsidR="004B0C48">
        <w:rPr>
          <w:b/>
          <w:color w:val="1F497D" w:themeColor="text2"/>
          <w:sz w:val="24"/>
          <w:szCs w:val="20"/>
        </w:rPr>
        <w:t xml:space="preserve"> – Student Support and Academic Enrichment (SSAE)</w:t>
      </w:r>
      <w:r w:rsidR="009B412E" w:rsidRPr="00056E07">
        <w:rPr>
          <w:b/>
          <w:color w:val="1F497D" w:themeColor="text2"/>
          <w:sz w:val="24"/>
          <w:szCs w:val="20"/>
        </w:rPr>
        <w:t>:</w:t>
      </w:r>
      <w:r w:rsidR="009B412E" w:rsidRPr="00056E07">
        <w:rPr>
          <w:color w:val="1F497D" w:themeColor="text2"/>
          <w:sz w:val="24"/>
          <w:szCs w:val="20"/>
        </w:rPr>
        <w:t xml:space="preserve"> </w:t>
      </w:r>
    </w:p>
    <w:p w14:paraId="3D166FC8" w14:textId="77777777" w:rsidR="00056E07" w:rsidRPr="00056E07" w:rsidRDefault="00D53271" w:rsidP="00056E07">
      <w:pPr>
        <w:pStyle w:val="ListParagraph"/>
        <w:numPr>
          <w:ilvl w:val="0"/>
          <w:numId w:val="31"/>
        </w:numPr>
        <w:shd w:val="clear" w:color="auto" w:fill="FFFFFF" w:themeFill="background1"/>
        <w:spacing w:line="240" w:lineRule="auto"/>
        <w:rPr>
          <w:color w:val="1F497D" w:themeColor="text2"/>
          <w:sz w:val="24"/>
          <w:szCs w:val="20"/>
        </w:rPr>
      </w:pPr>
      <w:r>
        <w:rPr>
          <w:sz w:val="20"/>
          <w:szCs w:val="20"/>
        </w:rPr>
        <w:t>Provide all students with access to a well-rounded education;</w:t>
      </w:r>
    </w:p>
    <w:p w14:paraId="20CB2B7E" w14:textId="47529BB4" w:rsidR="00056E07" w:rsidRPr="00D53271" w:rsidRDefault="009B412E" w:rsidP="00056E07">
      <w:pPr>
        <w:pStyle w:val="ListParagraph"/>
        <w:numPr>
          <w:ilvl w:val="0"/>
          <w:numId w:val="31"/>
        </w:numPr>
        <w:shd w:val="clear" w:color="auto" w:fill="FFFFFF" w:themeFill="background1"/>
        <w:spacing w:line="240" w:lineRule="auto"/>
        <w:rPr>
          <w:color w:val="1F497D" w:themeColor="text2"/>
          <w:sz w:val="24"/>
          <w:szCs w:val="20"/>
        </w:rPr>
      </w:pPr>
      <w:r w:rsidRPr="00056E07">
        <w:rPr>
          <w:sz w:val="20"/>
          <w:szCs w:val="20"/>
        </w:rPr>
        <w:t>Improve</w:t>
      </w:r>
      <w:r w:rsidR="00D53271" w:rsidRPr="00561265">
        <w:rPr>
          <w:i/>
          <w:sz w:val="20"/>
        </w:rPr>
        <w:t xml:space="preserve"> </w:t>
      </w:r>
      <w:r w:rsidR="00D53271" w:rsidRPr="00D53271">
        <w:rPr>
          <w:sz w:val="20"/>
        </w:rPr>
        <w:t>s</w:t>
      </w:r>
      <w:r w:rsidR="00D53271" w:rsidRPr="00D53271">
        <w:rPr>
          <w:bCs/>
          <w:sz w:val="20"/>
        </w:rPr>
        <w:t>chool conditions for learning to</w:t>
      </w:r>
      <w:r w:rsidR="00D53271" w:rsidRPr="00D53271">
        <w:rPr>
          <w:sz w:val="20"/>
        </w:rPr>
        <w:t xml:space="preserve"> ensure safe and healthy students</w:t>
      </w:r>
      <w:r w:rsidR="00D53271">
        <w:rPr>
          <w:sz w:val="20"/>
        </w:rPr>
        <w:t>;</w:t>
      </w:r>
      <w:r w:rsidR="0031692E">
        <w:rPr>
          <w:sz w:val="20"/>
        </w:rPr>
        <w:t xml:space="preserve"> and</w:t>
      </w:r>
    </w:p>
    <w:p w14:paraId="2D504077" w14:textId="4B2C322D" w:rsidR="00AD1C20" w:rsidRPr="00F246C3" w:rsidRDefault="00D53271" w:rsidP="00F246C3">
      <w:pPr>
        <w:pStyle w:val="ListParagraph"/>
        <w:numPr>
          <w:ilvl w:val="0"/>
          <w:numId w:val="31"/>
        </w:numPr>
        <w:shd w:val="clear" w:color="auto" w:fill="FFFFFF" w:themeFill="background1"/>
        <w:spacing w:after="0" w:line="240" w:lineRule="auto"/>
        <w:rPr>
          <w:color w:val="1F497D" w:themeColor="text2"/>
          <w:sz w:val="24"/>
          <w:szCs w:val="20"/>
        </w:rPr>
      </w:pPr>
      <w:r w:rsidRPr="00D53271">
        <w:rPr>
          <w:sz w:val="20"/>
        </w:rPr>
        <w:t>Improve the u</w:t>
      </w:r>
      <w:r w:rsidRPr="00D53271">
        <w:rPr>
          <w:bCs/>
          <w:sz w:val="20"/>
        </w:rPr>
        <w:t xml:space="preserve">se of technology </w:t>
      </w:r>
      <w:r w:rsidRPr="00D53271">
        <w:rPr>
          <w:sz w:val="20"/>
        </w:rPr>
        <w:t>to improve academic achievement</w:t>
      </w:r>
      <w:r w:rsidR="0031692E">
        <w:rPr>
          <w:sz w:val="20"/>
        </w:rPr>
        <w:t>.</w:t>
      </w:r>
      <w:r w:rsidRPr="00D53271">
        <w:rPr>
          <w:sz w:val="20"/>
          <w:szCs w:val="20"/>
        </w:rPr>
        <w:t xml:space="preserve"> </w:t>
      </w:r>
    </w:p>
    <w:p w14:paraId="419C06CD" w14:textId="5A4FC44C" w:rsidR="00F246C3" w:rsidRDefault="00F246C3" w:rsidP="00F246C3">
      <w:pPr>
        <w:numPr>
          <w:ilvl w:val="0"/>
          <w:numId w:val="31"/>
        </w:numPr>
        <w:spacing w:before="100" w:beforeAutospacing="1" w:line="240" w:lineRule="auto"/>
        <w:rPr>
          <w:sz w:val="20"/>
        </w:rPr>
      </w:pPr>
      <w:r>
        <w:rPr>
          <w:sz w:val="20"/>
        </w:rPr>
        <w:t xml:space="preserve">Support key district and school improvement initiatives </w:t>
      </w:r>
      <w:r w:rsidRPr="00C94BDC">
        <w:rPr>
          <w:b/>
          <w:bCs/>
          <w:sz w:val="20"/>
        </w:rPr>
        <w:t>in coordination with</w:t>
      </w:r>
      <w:r>
        <w:rPr>
          <w:sz w:val="20"/>
        </w:rPr>
        <w:t xml:space="preserve"> other federal grant funds and state and local resources so initiatives and their impact </w:t>
      </w:r>
      <w:r w:rsidRPr="00C94BDC">
        <w:rPr>
          <w:b/>
          <w:bCs/>
          <w:sz w:val="20"/>
        </w:rPr>
        <w:t>are sustained</w:t>
      </w:r>
      <w:r>
        <w:rPr>
          <w:sz w:val="20"/>
        </w:rPr>
        <w:t xml:space="preserve"> beyond the life of individual sources of funding.</w:t>
      </w:r>
    </w:p>
    <w:p w14:paraId="2E85B66F" w14:textId="58755894" w:rsidR="001806F2" w:rsidRDefault="001806F2" w:rsidP="00A8194D">
      <w:pPr>
        <w:spacing w:after="0" w:line="240" w:lineRule="auto"/>
        <w:rPr>
          <w:b/>
          <w:color w:val="1F497D" w:themeColor="text2"/>
          <w:sz w:val="24"/>
          <w:szCs w:val="20"/>
        </w:rPr>
      </w:pPr>
      <w:r>
        <w:rPr>
          <w:b/>
          <w:color w:val="1F497D" w:themeColor="text2"/>
          <w:sz w:val="24"/>
          <w:szCs w:val="20"/>
        </w:rPr>
        <w:t xml:space="preserve">Allowable SSAE </w:t>
      </w:r>
      <w:r w:rsidRPr="001806F2">
        <w:rPr>
          <w:b/>
          <w:color w:val="1F497D" w:themeColor="text2"/>
          <w:sz w:val="24"/>
          <w:szCs w:val="20"/>
        </w:rPr>
        <w:t>Activities to Support Well-Rounded Educational Opportunities</w:t>
      </w:r>
    </w:p>
    <w:p w14:paraId="572E60A6" w14:textId="040E2A9F" w:rsidR="00BE66B5" w:rsidRPr="00BE66B5" w:rsidRDefault="00BE66B5" w:rsidP="00A8194D">
      <w:pPr>
        <w:spacing w:after="0" w:line="240" w:lineRule="auto"/>
        <w:rPr>
          <w:sz w:val="20"/>
        </w:rPr>
      </w:pPr>
      <w:r w:rsidRPr="00BE66B5">
        <w:rPr>
          <w:sz w:val="20"/>
        </w:rPr>
        <w:t xml:space="preserve">Consistent with section 4106(e)(2)(C) of the ESEA, </w:t>
      </w:r>
      <w:r w:rsidRPr="00161B0B">
        <w:rPr>
          <w:b/>
          <w:bCs/>
          <w:sz w:val="20"/>
        </w:rPr>
        <w:t>an LEA or consortium of LEAs receiving an SSAE program allocation of at least $30,000 must use at least 20 percent of the SSAE program funds for activities under section 4107 that support student access to a well-rounded education.</w:t>
      </w:r>
      <w:r w:rsidRPr="00BE66B5">
        <w:rPr>
          <w:sz w:val="20"/>
        </w:rPr>
        <w:t xml:space="preserve"> Programs and activities carried out under this section must be coordinated with other schools and community-based services and may be conducted in partnership with IHEs and other entities. (ESEA section 4107(a)(1)-(2)) The purpose of a well-rounded education is to provide an enriched curriculum and education experiences to all students. It includes programs and activities in the subjects discussed in more detail below as well as other activities, including those that integrate multiple academic disciplines. In general, an LEA may use funds under section 4107 for any program or activity that supports student access to and success in well-rounded educational experiences.</w:t>
      </w:r>
    </w:p>
    <w:p w14:paraId="26DCBFD0" w14:textId="77777777" w:rsidR="00A8194D" w:rsidRPr="00B63218" w:rsidRDefault="00A8194D" w:rsidP="00A8194D">
      <w:pPr>
        <w:spacing w:after="0" w:line="240" w:lineRule="auto"/>
        <w:rPr>
          <w:sz w:val="14"/>
          <w:szCs w:val="16"/>
        </w:rPr>
      </w:pPr>
    </w:p>
    <w:p w14:paraId="293EAF6D" w14:textId="1598ED85" w:rsidR="00BE66B5" w:rsidRPr="00BE66B5" w:rsidRDefault="00BE66B5" w:rsidP="00A8194D">
      <w:pPr>
        <w:spacing w:after="0" w:line="240" w:lineRule="auto"/>
        <w:rPr>
          <w:sz w:val="20"/>
        </w:rPr>
      </w:pPr>
      <w:r w:rsidRPr="00BE66B5">
        <w:rPr>
          <w:sz w:val="20"/>
        </w:rPr>
        <w:t>A well-rounded education starts with early learning opportunities that make time for exploration and continues with K-12 education that helps students make important connections among their studies, their curiosities, their passions, and the skills they need to become critical thinkers and productive members of society. In addition, a well-rounded education promotes a diverse set of learning experiences that engages students across a variety of courses, activities, and programs in subjects such as English, reading/language arts, writing, science, technology, engineering, mathematics, foreign languages, civics and government, economics, arts, history, geography, computer science, music, career and technical education, health, and physical education.</w:t>
      </w:r>
    </w:p>
    <w:p w14:paraId="7FEDCBEE" w14:textId="77777777" w:rsidR="00A8194D" w:rsidRPr="00B63218" w:rsidRDefault="00A8194D" w:rsidP="00A8194D">
      <w:pPr>
        <w:spacing w:after="0" w:line="240" w:lineRule="auto"/>
        <w:rPr>
          <w:sz w:val="14"/>
          <w:szCs w:val="16"/>
        </w:rPr>
      </w:pPr>
    </w:p>
    <w:p w14:paraId="64DCAA62" w14:textId="500AA5AF" w:rsidR="00BE66B5" w:rsidRPr="00B63218" w:rsidRDefault="00BE66B5" w:rsidP="00A8194D">
      <w:pPr>
        <w:spacing w:after="0" w:line="240" w:lineRule="auto"/>
        <w:rPr>
          <w:sz w:val="12"/>
          <w:szCs w:val="14"/>
        </w:rPr>
      </w:pPr>
      <w:r w:rsidRPr="00BE66B5">
        <w:rPr>
          <w:sz w:val="20"/>
        </w:rPr>
        <w:t>Research supports the benefits of a well-rounded education. For example, students are better able to understand a text when they have had exposure to the knowledge and experiences referenced in that text. Experience shows that students who have been exposed to the language and vocabulary of the natural world, the sciences, and social studies are better readers. Research also shows that students who have strong experiences in the arts often perform better in math.</w:t>
      </w:r>
      <w:r w:rsidR="00B848C3">
        <w:rPr>
          <w:sz w:val="20"/>
        </w:rPr>
        <w:t xml:space="preserve"> </w:t>
      </w:r>
      <w:r w:rsidR="00B63218">
        <w:rPr>
          <w:sz w:val="20"/>
        </w:rPr>
        <w:br/>
      </w:r>
    </w:p>
    <w:p w14:paraId="7EEE92E5" w14:textId="5048ACFE" w:rsidR="00BE66B5" w:rsidRPr="00BE66B5" w:rsidRDefault="00BE66B5" w:rsidP="00B63218">
      <w:pPr>
        <w:spacing w:line="240" w:lineRule="auto"/>
        <w:rPr>
          <w:sz w:val="20"/>
        </w:rPr>
      </w:pPr>
      <w:r w:rsidRPr="00BE66B5">
        <w:rPr>
          <w:sz w:val="20"/>
        </w:rPr>
        <w:t>Programs and activities that support a well-rounded education may include</w:t>
      </w:r>
      <w:r w:rsidR="00687361">
        <w:rPr>
          <w:sz w:val="20"/>
        </w:rPr>
        <w:t>:</w:t>
      </w:r>
    </w:p>
    <w:tbl>
      <w:tblPr>
        <w:tblStyle w:val="MediumShading1-Accent1"/>
        <w:tblW w:w="10610" w:type="dxa"/>
        <w:tblLayout w:type="fixed"/>
        <w:tblLook w:val="04A0" w:firstRow="1" w:lastRow="0" w:firstColumn="1" w:lastColumn="0" w:noHBand="0" w:noVBand="1"/>
        <w:tblCaption w:val="Table of Allowable and Unallowable Costs"/>
      </w:tblPr>
      <w:tblGrid>
        <w:gridCol w:w="2330"/>
        <w:gridCol w:w="8280"/>
      </w:tblGrid>
      <w:tr w:rsidR="00BE66B5" w:rsidRPr="008A468A" w14:paraId="443DD818" w14:textId="77777777" w:rsidTr="00A400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0" w:type="dxa"/>
            <w:shd w:val="clear" w:color="auto" w:fill="1F497D" w:themeFill="text2"/>
          </w:tcPr>
          <w:p w14:paraId="7AC5D7D7" w14:textId="792897D7" w:rsidR="00BE66B5" w:rsidRPr="0092051A" w:rsidRDefault="00B81DE8" w:rsidP="00B63218">
            <w:pPr>
              <w:spacing w:before="40" w:after="40"/>
              <w:jc w:val="center"/>
              <w:rPr>
                <w:sz w:val="24"/>
                <w:szCs w:val="24"/>
              </w:rPr>
            </w:pPr>
            <w:r>
              <w:rPr>
                <w:sz w:val="24"/>
                <w:szCs w:val="24"/>
              </w:rPr>
              <w:t>Allowable Activity</w:t>
            </w:r>
          </w:p>
        </w:tc>
        <w:tc>
          <w:tcPr>
            <w:tcW w:w="8280" w:type="dxa"/>
            <w:shd w:val="clear" w:color="auto" w:fill="1F497D" w:themeFill="text2"/>
          </w:tcPr>
          <w:p w14:paraId="12F63F4E" w14:textId="31588ECB" w:rsidR="00BE66B5" w:rsidRPr="0092051A" w:rsidRDefault="00B81DE8" w:rsidP="009B412E">
            <w:pPr>
              <w:spacing w:before="40" w:after="40"/>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Overview</w:t>
            </w:r>
          </w:p>
        </w:tc>
      </w:tr>
      <w:tr w:rsidR="00BE66B5" w:rsidRPr="008A468A" w14:paraId="71010991" w14:textId="77777777" w:rsidTr="00A40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1D273462" w14:textId="6088E692" w:rsidR="00EC3593" w:rsidRDefault="0040256A" w:rsidP="00BE66B5">
            <w:pPr>
              <w:pStyle w:val="ListParagraph"/>
              <w:tabs>
                <w:tab w:val="left" w:pos="540"/>
                <w:tab w:val="left" w:pos="630"/>
              </w:tabs>
              <w:ind w:left="360"/>
              <w:rPr>
                <w:b w:val="0"/>
                <w:bCs w:val="0"/>
                <w:sz w:val="24"/>
                <w:szCs w:val="20"/>
              </w:rPr>
            </w:pPr>
            <w:r w:rsidRPr="0040256A">
              <w:rPr>
                <w:sz w:val="24"/>
                <w:szCs w:val="20"/>
              </w:rPr>
              <w:t>Science, technology, engineering, and mathematics</w:t>
            </w:r>
            <w:r w:rsidR="00EC3593">
              <w:rPr>
                <w:sz w:val="24"/>
                <w:szCs w:val="20"/>
              </w:rPr>
              <w:t xml:space="preserve"> </w:t>
            </w:r>
            <w:r w:rsidR="00ED496E">
              <w:rPr>
                <w:sz w:val="24"/>
                <w:szCs w:val="20"/>
              </w:rPr>
              <w:t xml:space="preserve">(STEM) </w:t>
            </w:r>
          </w:p>
          <w:p w14:paraId="1397EE02" w14:textId="064B9887" w:rsidR="00BE66B5" w:rsidRPr="00596C87" w:rsidRDefault="00EC3593" w:rsidP="00BE66B5">
            <w:pPr>
              <w:pStyle w:val="ListParagraph"/>
              <w:tabs>
                <w:tab w:val="left" w:pos="540"/>
                <w:tab w:val="left" w:pos="630"/>
              </w:tabs>
              <w:ind w:left="360"/>
              <w:rPr>
                <w:sz w:val="24"/>
                <w:szCs w:val="20"/>
              </w:rPr>
            </w:pPr>
            <w:r w:rsidRPr="00EC3593">
              <w:rPr>
                <w:b w:val="0"/>
                <w:bCs w:val="0"/>
                <w:i/>
                <w:iCs/>
                <w:sz w:val="18"/>
                <w:szCs w:val="14"/>
              </w:rPr>
              <w:t>(ESEA section 4107(a)(3)(C))</w:t>
            </w:r>
          </w:p>
        </w:tc>
        <w:tc>
          <w:tcPr>
            <w:tcW w:w="8280" w:type="dxa"/>
          </w:tcPr>
          <w:p w14:paraId="0A7883D3" w14:textId="77777777" w:rsidR="0040256A" w:rsidRDefault="0040256A" w:rsidP="0040256A">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An LEA may use funds for programming and activities to improve instruction and student engagement in STEM subjects. STEM activities may include: </w:t>
            </w:r>
          </w:p>
          <w:p w14:paraId="2C210220" w14:textId="77777777" w:rsidR="0040256A" w:rsidRDefault="0040256A" w:rsidP="0040256A">
            <w:pPr>
              <w:pStyle w:val="ListParagraph"/>
              <w:numPr>
                <w:ilvl w:val="1"/>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increasing access for groups of underrepresented students to high-quality courses; </w:t>
            </w:r>
          </w:p>
          <w:p w14:paraId="0ED227C8" w14:textId="77777777" w:rsidR="0040256A" w:rsidRDefault="0040256A" w:rsidP="0040256A">
            <w:pPr>
              <w:pStyle w:val="ListParagraph"/>
              <w:numPr>
                <w:ilvl w:val="1"/>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supporting participation in nonprofit competitions (e.g. robotics, math competitions, computer programming); </w:t>
            </w:r>
          </w:p>
          <w:p w14:paraId="30C3B216" w14:textId="77777777" w:rsidR="0040256A" w:rsidRDefault="0040256A" w:rsidP="0040256A">
            <w:pPr>
              <w:pStyle w:val="ListParagraph"/>
              <w:numPr>
                <w:ilvl w:val="1"/>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providing students hands-on learning and exposure to STEM, including through field-based and service learning; </w:t>
            </w:r>
          </w:p>
          <w:p w14:paraId="66AA5AC8" w14:textId="77777777" w:rsidR="0040256A" w:rsidRDefault="0040256A" w:rsidP="0040256A">
            <w:pPr>
              <w:pStyle w:val="ListParagraph"/>
              <w:numPr>
                <w:ilvl w:val="1"/>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supporting the creation and enhancement of STEM-focused specialty schools; </w:t>
            </w:r>
          </w:p>
          <w:p w14:paraId="603FB1EE" w14:textId="77777777" w:rsidR="0040256A" w:rsidRDefault="0040256A" w:rsidP="0040256A">
            <w:pPr>
              <w:pStyle w:val="ListParagraph"/>
              <w:numPr>
                <w:ilvl w:val="1"/>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facilitating collaboration among programs that take place during the school day and those that take place during out-of-school time to improve the integration of STEM instruction in those programs; </w:t>
            </w:r>
          </w:p>
          <w:p w14:paraId="01657726" w14:textId="77777777" w:rsidR="00522C15" w:rsidRDefault="0040256A" w:rsidP="00522C15">
            <w:pPr>
              <w:pStyle w:val="ListParagraph"/>
              <w:numPr>
                <w:ilvl w:val="1"/>
                <w:numId w:val="16"/>
              </w:numPr>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 xml:space="preserve">and integrating other academic subjects such as the arts into STEM curricula. </w:t>
            </w:r>
          </w:p>
          <w:p w14:paraId="7C9F511E" w14:textId="298C2B4A" w:rsidR="00BE66B5" w:rsidRPr="002B51CD" w:rsidRDefault="0040256A" w:rsidP="00522C15">
            <w:pPr>
              <w:pStyle w:val="ListParagraph"/>
              <w:cnfStyle w:val="000000100000" w:firstRow="0" w:lastRow="0" w:firstColumn="0" w:lastColumn="0" w:oddVBand="0" w:evenVBand="0" w:oddHBand="1" w:evenHBand="0" w:firstRowFirstColumn="0" w:firstRowLastColumn="0" w:lastRowFirstColumn="0" w:lastRowLastColumn="0"/>
              <w:rPr>
                <w:sz w:val="20"/>
                <w:szCs w:val="20"/>
              </w:rPr>
            </w:pPr>
            <w:r w:rsidRPr="0040256A">
              <w:rPr>
                <w:sz w:val="20"/>
                <w:szCs w:val="20"/>
              </w:rPr>
              <w:t>In a high-quality STEM opportunity, STEM skills and content knowledge are integrated and learned through exploration, inquiry, problem solving, and often involve real-world contexts or applications.</w:t>
            </w:r>
          </w:p>
        </w:tc>
      </w:tr>
      <w:tr w:rsidR="00BE66B5" w:rsidRPr="008A468A" w14:paraId="04596347" w14:textId="77777777" w:rsidTr="00A400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5DEFFDE8" w14:textId="77777777" w:rsidR="00BE66B5" w:rsidRDefault="006C0AFF" w:rsidP="00BE66B5">
            <w:pPr>
              <w:pStyle w:val="ListParagraph"/>
              <w:tabs>
                <w:tab w:val="left" w:pos="540"/>
                <w:tab w:val="left" w:pos="630"/>
              </w:tabs>
              <w:ind w:left="360"/>
              <w:rPr>
                <w:b w:val="0"/>
                <w:bCs w:val="0"/>
                <w:sz w:val="24"/>
                <w:szCs w:val="20"/>
              </w:rPr>
            </w:pPr>
            <w:r w:rsidRPr="006C0AFF">
              <w:rPr>
                <w:sz w:val="24"/>
                <w:szCs w:val="20"/>
              </w:rPr>
              <w:t>Music and arts</w:t>
            </w:r>
          </w:p>
          <w:p w14:paraId="4FD8E4D4" w14:textId="7628A505" w:rsidR="0097702D" w:rsidRPr="00596C87" w:rsidRDefault="0097702D" w:rsidP="00BE66B5">
            <w:pPr>
              <w:pStyle w:val="ListParagraph"/>
              <w:tabs>
                <w:tab w:val="left" w:pos="540"/>
                <w:tab w:val="left" w:pos="630"/>
              </w:tabs>
              <w:ind w:left="360"/>
              <w:rPr>
                <w:sz w:val="24"/>
                <w:szCs w:val="20"/>
              </w:rPr>
            </w:pPr>
            <w:r w:rsidRPr="0097702D">
              <w:rPr>
                <w:b w:val="0"/>
                <w:bCs w:val="0"/>
                <w:i/>
                <w:iCs/>
                <w:sz w:val="18"/>
                <w:szCs w:val="14"/>
              </w:rPr>
              <w:t>(ESEA section 4107(a)(3)(B))</w:t>
            </w:r>
          </w:p>
        </w:tc>
        <w:tc>
          <w:tcPr>
            <w:tcW w:w="8280" w:type="dxa"/>
          </w:tcPr>
          <w:p w14:paraId="51D9A896" w14:textId="0E1FCC5C" w:rsidR="00BE66B5" w:rsidRPr="00161B0B" w:rsidRDefault="00687361" w:rsidP="00161B0B">
            <w:pPr>
              <w:pStyle w:val="ListParagraph"/>
              <w:numPr>
                <w:ilvl w:val="0"/>
                <w:numId w:val="16"/>
              </w:numPr>
              <w:cnfStyle w:val="000000010000" w:firstRow="0" w:lastRow="0" w:firstColumn="0" w:lastColumn="0" w:oddVBand="0" w:evenVBand="0" w:oddHBand="0" w:evenHBand="1" w:firstRowFirstColumn="0" w:firstRowLastColumn="0" w:lastRowFirstColumn="0" w:lastRowLastColumn="0"/>
              <w:rPr>
                <w:sz w:val="20"/>
                <w:szCs w:val="20"/>
              </w:rPr>
            </w:pPr>
            <w:r w:rsidRPr="00687361">
              <w:rPr>
                <w:sz w:val="20"/>
                <w:szCs w:val="20"/>
              </w:rPr>
              <w:t>An LEA may use funds for programs and activities that use music and the arts, which may include dance, media arts, theater, and visual arts, as tools to support student success through the promotion of constructive student engagement, problem solving, and conflict resolution.</w:t>
            </w:r>
          </w:p>
        </w:tc>
      </w:tr>
      <w:tr w:rsidR="00BE66B5" w:rsidRPr="008A468A" w14:paraId="5C6DE6DB" w14:textId="77777777" w:rsidTr="00A40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150ADFA6" w14:textId="77777777" w:rsidR="00B848C3" w:rsidRDefault="007E36A4" w:rsidP="00BE66B5">
            <w:pPr>
              <w:pStyle w:val="ListParagraph"/>
              <w:tabs>
                <w:tab w:val="left" w:pos="540"/>
                <w:tab w:val="left" w:pos="630"/>
              </w:tabs>
              <w:ind w:left="360"/>
              <w:rPr>
                <w:i/>
                <w:iCs/>
                <w:sz w:val="18"/>
                <w:szCs w:val="14"/>
              </w:rPr>
            </w:pPr>
            <w:r w:rsidRPr="00A0773E">
              <w:rPr>
                <w:sz w:val="24"/>
                <w:szCs w:val="20"/>
              </w:rPr>
              <w:t>Foreign language</w:t>
            </w:r>
            <w:r w:rsidRPr="00E42844">
              <w:rPr>
                <w:b w:val="0"/>
                <w:bCs w:val="0"/>
                <w:i/>
                <w:iCs/>
                <w:sz w:val="18"/>
                <w:szCs w:val="14"/>
              </w:rPr>
              <w:t xml:space="preserve"> </w:t>
            </w:r>
            <w:r w:rsidRPr="00E5002A">
              <w:rPr>
                <w:sz w:val="24"/>
                <w:szCs w:val="20"/>
              </w:rPr>
              <w:t>instructio</w:t>
            </w:r>
            <w:r w:rsidR="00E5002A">
              <w:rPr>
                <w:sz w:val="24"/>
                <w:szCs w:val="20"/>
              </w:rPr>
              <w:t>n</w:t>
            </w:r>
            <w:r w:rsidR="00E42844" w:rsidRPr="00E42844">
              <w:rPr>
                <w:b w:val="0"/>
                <w:bCs w:val="0"/>
                <w:i/>
                <w:iCs/>
                <w:sz w:val="18"/>
                <w:szCs w:val="14"/>
              </w:rPr>
              <w:t xml:space="preserve"> </w:t>
            </w:r>
          </w:p>
          <w:p w14:paraId="744240EE" w14:textId="4383095C" w:rsidR="00BE66B5" w:rsidRPr="00E42844" w:rsidRDefault="00E42844" w:rsidP="00BE66B5">
            <w:pPr>
              <w:pStyle w:val="ListParagraph"/>
              <w:tabs>
                <w:tab w:val="left" w:pos="540"/>
                <w:tab w:val="left" w:pos="630"/>
              </w:tabs>
              <w:ind w:left="360"/>
              <w:rPr>
                <w:b w:val="0"/>
                <w:bCs w:val="0"/>
                <w:i/>
                <w:iCs/>
                <w:sz w:val="18"/>
                <w:szCs w:val="14"/>
              </w:rPr>
            </w:pPr>
            <w:r w:rsidRPr="00E42844">
              <w:rPr>
                <w:b w:val="0"/>
                <w:bCs w:val="0"/>
                <w:i/>
                <w:iCs/>
                <w:sz w:val="18"/>
                <w:szCs w:val="14"/>
              </w:rPr>
              <w:t>(ESEA section 4107(a)(3)(F))</w:t>
            </w:r>
          </w:p>
        </w:tc>
        <w:tc>
          <w:tcPr>
            <w:tcW w:w="8280" w:type="dxa"/>
          </w:tcPr>
          <w:p w14:paraId="14219E63" w14:textId="77777777" w:rsidR="00185BFC" w:rsidRDefault="007E36A4" w:rsidP="0031692E">
            <w:pPr>
              <w:pStyle w:val="ListParagraph"/>
              <w:numPr>
                <w:ilvl w:val="0"/>
                <w:numId w:val="17"/>
              </w:numPr>
              <w:ind w:left="342" w:right="-105" w:hanging="270"/>
              <w:cnfStyle w:val="000000100000" w:firstRow="0" w:lastRow="0" w:firstColumn="0" w:lastColumn="0" w:oddVBand="0" w:evenVBand="0" w:oddHBand="1" w:evenHBand="0" w:firstRowFirstColumn="0" w:firstRowLastColumn="0" w:lastRowFirstColumn="0" w:lastRowLastColumn="0"/>
              <w:rPr>
                <w:sz w:val="20"/>
                <w:szCs w:val="20"/>
              </w:rPr>
            </w:pPr>
            <w:r w:rsidRPr="007E36A4">
              <w:rPr>
                <w:sz w:val="20"/>
                <w:szCs w:val="20"/>
              </w:rPr>
              <w:t>An LEA may use funds to support instruction in foreign languages, which is essential for students to fully participate in today’s global economy and increasingly diverse communities</w:t>
            </w:r>
            <w:r w:rsidR="004D05FF">
              <w:rPr>
                <w:sz w:val="20"/>
                <w:szCs w:val="20"/>
              </w:rPr>
              <w:t xml:space="preserve"> </w:t>
            </w:r>
          </w:p>
          <w:p w14:paraId="012BE97D" w14:textId="1C160745" w:rsidR="00B63218" w:rsidRPr="00415F90" w:rsidRDefault="00B848C3" w:rsidP="00185BFC">
            <w:pPr>
              <w:pStyle w:val="ListParagraph"/>
              <w:ind w:left="342" w:right="-105"/>
              <w:cnfStyle w:val="000000100000" w:firstRow="0" w:lastRow="0" w:firstColumn="0" w:lastColumn="0" w:oddVBand="0" w:evenVBand="0" w:oddHBand="1" w:evenHBand="0" w:firstRowFirstColumn="0" w:firstRowLastColumn="0" w:lastRowFirstColumn="0" w:lastRowLastColumn="0"/>
              <w:rPr>
                <w:i/>
                <w:iCs/>
                <w:sz w:val="20"/>
                <w:szCs w:val="20"/>
              </w:rPr>
            </w:pPr>
            <w:r w:rsidRPr="00415F90">
              <w:rPr>
                <w:i/>
                <w:iCs/>
                <w:sz w:val="20"/>
                <w:szCs w:val="20"/>
              </w:rPr>
              <w:t>(</w:t>
            </w:r>
            <w:r w:rsidRPr="00415F90">
              <w:rPr>
                <w:b/>
                <w:bCs/>
                <w:i/>
                <w:iCs/>
                <w:sz w:val="20"/>
                <w:szCs w:val="20"/>
              </w:rPr>
              <w:t>NOTE:</w:t>
            </w:r>
            <w:r w:rsidRPr="00415F90">
              <w:rPr>
                <w:i/>
                <w:iCs/>
                <w:sz w:val="20"/>
                <w:szCs w:val="20"/>
              </w:rPr>
              <w:t xml:space="preserve"> </w:t>
            </w:r>
            <w:r w:rsidR="004D05FF" w:rsidRPr="00415F90">
              <w:rPr>
                <w:i/>
                <w:iCs/>
                <w:sz w:val="20"/>
                <w:szCs w:val="20"/>
              </w:rPr>
              <w:t>English language instruction is not allowable under this activity).</w:t>
            </w:r>
          </w:p>
          <w:p w14:paraId="2CC1D5C2" w14:textId="34ECF2D0" w:rsidR="00BE66B5" w:rsidRPr="009B412E" w:rsidRDefault="007E36A4" w:rsidP="00B63218">
            <w:pPr>
              <w:pStyle w:val="ListParagraph"/>
              <w:ind w:left="342" w:right="-105"/>
              <w:cnfStyle w:val="000000100000" w:firstRow="0" w:lastRow="0" w:firstColumn="0" w:lastColumn="0" w:oddVBand="0" w:evenVBand="0" w:oddHBand="1" w:evenHBand="0" w:firstRowFirstColumn="0" w:firstRowLastColumn="0" w:lastRowFirstColumn="0" w:lastRowLastColumn="0"/>
              <w:rPr>
                <w:sz w:val="20"/>
                <w:szCs w:val="20"/>
              </w:rPr>
            </w:pPr>
            <w:r w:rsidRPr="007E36A4">
              <w:rPr>
                <w:sz w:val="20"/>
                <w:szCs w:val="20"/>
              </w:rPr>
              <w:t xml:space="preserve"> </w:t>
            </w:r>
          </w:p>
        </w:tc>
      </w:tr>
      <w:tr w:rsidR="00BE66B5" w:rsidRPr="008A468A" w14:paraId="163E42B7" w14:textId="77777777" w:rsidTr="00A40042">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330" w:type="dxa"/>
          </w:tcPr>
          <w:p w14:paraId="2C86CC07" w14:textId="77777777" w:rsidR="00BE66B5" w:rsidRDefault="00142559" w:rsidP="00BE66B5">
            <w:pPr>
              <w:pStyle w:val="ListParagraph"/>
              <w:tabs>
                <w:tab w:val="left" w:pos="540"/>
                <w:tab w:val="left" w:pos="630"/>
              </w:tabs>
              <w:ind w:left="360"/>
              <w:rPr>
                <w:b w:val="0"/>
                <w:bCs w:val="0"/>
                <w:sz w:val="24"/>
                <w:szCs w:val="20"/>
              </w:rPr>
            </w:pPr>
            <w:r w:rsidRPr="00142559">
              <w:rPr>
                <w:sz w:val="24"/>
                <w:szCs w:val="20"/>
              </w:rPr>
              <w:lastRenderedPageBreak/>
              <w:t>Accelerated learning programs</w:t>
            </w:r>
          </w:p>
          <w:p w14:paraId="7F3E3858" w14:textId="3E9A0A5A" w:rsidR="00275C42" w:rsidRPr="00596C87" w:rsidRDefault="00275C42" w:rsidP="00BE66B5">
            <w:pPr>
              <w:pStyle w:val="ListParagraph"/>
              <w:tabs>
                <w:tab w:val="left" w:pos="540"/>
                <w:tab w:val="left" w:pos="630"/>
              </w:tabs>
              <w:ind w:left="360"/>
              <w:rPr>
                <w:sz w:val="24"/>
                <w:szCs w:val="20"/>
              </w:rPr>
            </w:pPr>
            <w:r w:rsidRPr="00275C42">
              <w:rPr>
                <w:b w:val="0"/>
                <w:bCs w:val="0"/>
                <w:i/>
                <w:iCs/>
                <w:sz w:val="18"/>
                <w:szCs w:val="14"/>
              </w:rPr>
              <w:t>(ESEA section 4107(a)(3)(D))</w:t>
            </w:r>
          </w:p>
        </w:tc>
        <w:tc>
          <w:tcPr>
            <w:tcW w:w="8280" w:type="dxa"/>
          </w:tcPr>
          <w:p w14:paraId="3FE2A077" w14:textId="77777777" w:rsidR="00142559" w:rsidRPr="00687361" w:rsidRDefault="00142559" w:rsidP="00687361">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sz w:val="20"/>
                <w:szCs w:val="20"/>
              </w:rPr>
            </w:pPr>
            <w:r w:rsidRPr="00687361">
              <w:rPr>
                <w:sz w:val="20"/>
                <w:szCs w:val="20"/>
              </w:rPr>
              <w:t xml:space="preserve">An LEA may use funds for efforts to raise student academic achievement through accelerated learning programs, including by: </w:t>
            </w:r>
          </w:p>
          <w:p w14:paraId="7E8E61E8" w14:textId="77777777" w:rsidR="003376AA" w:rsidRDefault="00142559" w:rsidP="00142559">
            <w:pPr>
              <w:pStyle w:val="ListParagraph"/>
              <w:numPr>
                <w:ilvl w:val="1"/>
                <w:numId w:val="41"/>
              </w:numPr>
              <w:cnfStyle w:val="000000010000" w:firstRow="0" w:lastRow="0" w:firstColumn="0" w:lastColumn="0" w:oddVBand="0" w:evenVBand="0" w:oddHBand="0" w:evenHBand="1" w:firstRowFirstColumn="0" w:firstRowLastColumn="0" w:lastRowFirstColumn="0" w:lastRowLastColumn="0"/>
              <w:rPr>
                <w:sz w:val="20"/>
                <w:szCs w:val="20"/>
              </w:rPr>
            </w:pPr>
            <w:r w:rsidRPr="00142559">
              <w:rPr>
                <w:sz w:val="20"/>
                <w:szCs w:val="20"/>
              </w:rPr>
              <w:t xml:space="preserve">reimbursing low-income students to cover all or part of the costs of AP, IB, or other accelerated learning program examinations; </w:t>
            </w:r>
          </w:p>
          <w:p w14:paraId="4FE0177C" w14:textId="762D3E1B" w:rsidR="00BE66B5" w:rsidRPr="003376AA" w:rsidRDefault="00142559" w:rsidP="003376AA">
            <w:pPr>
              <w:pStyle w:val="ListParagraph"/>
              <w:numPr>
                <w:ilvl w:val="1"/>
                <w:numId w:val="41"/>
              </w:numPr>
              <w:cnfStyle w:val="000000010000" w:firstRow="0" w:lastRow="0" w:firstColumn="0" w:lastColumn="0" w:oddVBand="0" w:evenVBand="0" w:oddHBand="0" w:evenHBand="1" w:firstRowFirstColumn="0" w:firstRowLastColumn="0" w:lastRowFirstColumn="0" w:lastRowLastColumn="0"/>
              <w:rPr>
                <w:sz w:val="20"/>
                <w:szCs w:val="20"/>
              </w:rPr>
            </w:pPr>
            <w:r w:rsidRPr="00142559">
              <w:rPr>
                <w:sz w:val="20"/>
                <w:szCs w:val="20"/>
              </w:rPr>
              <w:t xml:space="preserve">increasing the availability of, and enrollment in, AP or IB programs, dual or concurrent enrollment programs, early college high schools, and other accelerated learning options. </w:t>
            </w:r>
          </w:p>
        </w:tc>
      </w:tr>
      <w:tr w:rsidR="00BE66B5" w:rsidRPr="008A468A" w14:paraId="67EC40B9" w14:textId="77777777" w:rsidTr="00A40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1AB7907A" w14:textId="4735EEB3" w:rsidR="00BE66B5" w:rsidRPr="003C1359" w:rsidRDefault="003376AA" w:rsidP="003376AA">
            <w:pPr>
              <w:pStyle w:val="ListParagraph"/>
              <w:tabs>
                <w:tab w:val="left" w:pos="540"/>
                <w:tab w:val="left" w:pos="630"/>
              </w:tabs>
              <w:ind w:left="360"/>
              <w:rPr>
                <w:b w:val="0"/>
                <w:bCs w:val="0"/>
                <w:sz w:val="24"/>
                <w:szCs w:val="24"/>
              </w:rPr>
            </w:pPr>
            <w:r w:rsidRPr="003C1359">
              <w:rPr>
                <w:sz w:val="24"/>
                <w:szCs w:val="24"/>
              </w:rPr>
              <w:t xml:space="preserve">High school redesign </w:t>
            </w:r>
            <w:r w:rsidR="009F0FD8" w:rsidRPr="003C1359">
              <w:rPr>
                <w:sz w:val="24"/>
                <w:szCs w:val="24"/>
              </w:rPr>
              <w:t>and</w:t>
            </w:r>
            <w:r w:rsidRPr="003C1359">
              <w:rPr>
                <w:sz w:val="24"/>
                <w:szCs w:val="24"/>
              </w:rPr>
              <w:t xml:space="preserve"> early college high schools</w:t>
            </w:r>
          </w:p>
          <w:p w14:paraId="6D9229D7" w14:textId="03A6EDE6" w:rsidR="00FC6897" w:rsidRPr="00596C87" w:rsidRDefault="00FC6897" w:rsidP="003376AA">
            <w:pPr>
              <w:pStyle w:val="ListParagraph"/>
              <w:tabs>
                <w:tab w:val="left" w:pos="540"/>
                <w:tab w:val="left" w:pos="630"/>
              </w:tabs>
              <w:ind w:left="360"/>
              <w:rPr>
                <w:sz w:val="24"/>
                <w:szCs w:val="20"/>
              </w:rPr>
            </w:pPr>
            <w:r w:rsidRPr="00FC6897">
              <w:rPr>
                <w:b w:val="0"/>
                <w:bCs w:val="0"/>
                <w:i/>
                <w:iCs/>
                <w:sz w:val="18"/>
                <w:szCs w:val="14"/>
              </w:rPr>
              <w:t>(ESEA section 4107(a)(3)(D)(ii))</w:t>
            </w:r>
          </w:p>
        </w:tc>
        <w:tc>
          <w:tcPr>
            <w:tcW w:w="8280" w:type="dxa"/>
          </w:tcPr>
          <w:p w14:paraId="26C6207D" w14:textId="6C528567" w:rsidR="00BE66B5" w:rsidRDefault="003376AA" w:rsidP="0031692E">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3376AA">
              <w:rPr>
                <w:sz w:val="20"/>
                <w:szCs w:val="20"/>
              </w:rPr>
              <w:t>An LEA or consortium of LEAs may use funds to support strategies designed to decrease high school drop-out rates, and to increase high school graduation rates and college-entrance rates and to redesign what the high school experience can be</w:t>
            </w:r>
            <w:r w:rsidR="00C96375">
              <w:rPr>
                <w:sz w:val="20"/>
                <w:szCs w:val="20"/>
              </w:rPr>
              <w:t>.</w:t>
            </w:r>
          </w:p>
          <w:p w14:paraId="5D0EB233" w14:textId="29F3661C" w:rsidR="00C96375" w:rsidRDefault="00C96375" w:rsidP="0031692E">
            <w:pPr>
              <w:pStyle w:val="ListParagraph"/>
              <w:numPr>
                <w:ilvl w:val="0"/>
                <w:numId w:val="17"/>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LEAs may consider</w:t>
            </w:r>
            <w:r w:rsidR="00522C15">
              <w:rPr>
                <w:sz w:val="20"/>
                <w:szCs w:val="20"/>
              </w:rPr>
              <w:t xml:space="preserve"> implementing:</w:t>
            </w:r>
          </w:p>
          <w:p w14:paraId="5B6D6731" w14:textId="378A5378" w:rsidR="00FC6F40" w:rsidRDefault="00FC6F40" w:rsidP="00FC6F40">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sz w:val="20"/>
                <w:szCs w:val="20"/>
              </w:rPr>
            </w:pPr>
            <w:r w:rsidRPr="00FC6F40">
              <w:rPr>
                <w:sz w:val="20"/>
                <w:szCs w:val="20"/>
              </w:rPr>
              <w:t>High school redesign with dual or concurrent enrollment</w:t>
            </w:r>
            <w:r>
              <w:rPr>
                <w:sz w:val="20"/>
                <w:szCs w:val="20"/>
              </w:rPr>
              <w:t>,</w:t>
            </w:r>
          </w:p>
          <w:p w14:paraId="33CF8035" w14:textId="16AB97D8" w:rsidR="004D310F" w:rsidRPr="009B412E" w:rsidRDefault="00FC6F40" w:rsidP="00FC6F40">
            <w:pPr>
              <w:pStyle w:val="ListParagraph"/>
              <w:numPr>
                <w:ilvl w:val="1"/>
                <w:numId w:val="17"/>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w:t>
            </w:r>
            <w:r w:rsidRPr="00FC6F40">
              <w:rPr>
                <w:sz w:val="20"/>
                <w:szCs w:val="20"/>
              </w:rPr>
              <w:t>arly college high schools</w:t>
            </w:r>
            <w:r>
              <w:rPr>
                <w:sz w:val="20"/>
                <w:szCs w:val="20"/>
              </w:rPr>
              <w:t>.</w:t>
            </w:r>
          </w:p>
        </w:tc>
      </w:tr>
      <w:tr w:rsidR="00BE66B5" w:rsidRPr="008A468A" w14:paraId="042980B7" w14:textId="77777777" w:rsidTr="00A400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6546CCEB" w14:textId="77777777" w:rsidR="00BE66B5" w:rsidRDefault="003376AA" w:rsidP="003376AA">
            <w:pPr>
              <w:pStyle w:val="ListParagraph"/>
              <w:tabs>
                <w:tab w:val="left" w:pos="540"/>
                <w:tab w:val="left" w:pos="630"/>
              </w:tabs>
              <w:ind w:left="360"/>
              <w:rPr>
                <w:b w:val="0"/>
                <w:bCs w:val="0"/>
                <w:sz w:val="24"/>
                <w:szCs w:val="20"/>
              </w:rPr>
            </w:pPr>
            <w:r w:rsidRPr="003376AA">
              <w:rPr>
                <w:sz w:val="24"/>
                <w:szCs w:val="20"/>
              </w:rPr>
              <w:t xml:space="preserve">College and career counseling </w:t>
            </w:r>
          </w:p>
          <w:p w14:paraId="16F0BACF" w14:textId="62BD3F62" w:rsidR="008E110F" w:rsidRPr="008E110F" w:rsidRDefault="008E110F" w:rsidP="003376AA">
            <w:pPr>
              <w:pStyle w:val="ListParagraph"/>
              <w:tabs>
                <w:tab w:val="left" w:pos="540"/>
                <w:tab w:val="left" w:pos="630"/>
              </w:tabs>
              <w:ind w:left="360"/>
              <w:rPr>
                <w:b w:val="0"/>
                <w:bCs w:val="0"/>
                <w:i/>
                <w:iCs/>
                <w:sz w:val="18"/>
                <w:szCs w:val="14"/>
              </w:rPr>
            </w:pPr>
            <w:r w:rsidRPr="008E110F">
              <w:rPr>
                <w:b w:val="0"/>
                <w:bCs w:val="0"/>
                <w:i/>
                <w:iCs/>
                <w:sz w:val="18"/>
                <w:szCs w:val="14"/>
              </w:rPr>
              <w:t>(ESEA section 4107(a)(3)(A))</w:t>
            </w:r>
          </w:p>
          <w:p w14:paraId="4EE88E59" w14:textId="2F99A290" w:rsidR="00FC6897" w:rsidRPr="00A70F30" w:rsidRDefault="00FC6897" w:rsidP="003376AA">
            <w:pPr>
              <w:pStyle w:val="ListParagraph"/>
              <w:tabs>
                <w:tab w:val="left" w:pos="540"/>
                <w:tab w:val="left" w:pos="630"/>
              </w:tabs>
              <w:ind w:left="360"/>
            </w:pPr>
          </w:p>
        </w:tc>
        <w:tc>
          <w:tcPr>
            <w:tcW w:w="8280" w:type="dxa"/>
          </w:tcPr>
          <w:p w14:paraId="77BA08C5" w14:textId="77777777" w:rsidR="003376AA" w:rsidRPr="003376AA" w:rsidRDefault="003376AA" w:rsidP="003376AA">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3376AA">
              <w:rPr>
                <w:sz w:val="20"/>
                <w:szCs w:val="20"/>
              </w:rPr>
              <w:t xml:space="preserve">An LEA may use funds for college and career counseling programs and services. </w:t>
            </w:r>
          </w:p>
          <w:p w14:paraId="73B2700B" w14:textId="1730F453" w:rsidR="00BE66B5" w:rsidRPr="00510B91" w:rsidRDefault="003376AA" w:rsidP="003376AA">
            <w:pPr>
              <w:pStyle w:val="ListParagraph"/>
              <w:numPr>
                <w:ilvl w:val="0"/>
                <w:numId w:val="42"/>
              </w:num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sz w:val="20"/>
                <w:szCs w:val="20"/>
              </w:rPr>
            </w:pPr>
            <w:r w:rsidRPr="003376AA">
              <w:rPr>
                <w:sz w:val="20"/>
                <w:szCs w:val="20"/>
              </w:rPr>
              <w:t>Programs often offer students information starting in middle school about how to prepare for college, including the importance of choosing rigorous high school course offerings, how to choose from among career options, how to enroll in and receive federal financial aid through the FAFSA, and how to pursue academic and occupational training needed to succeed in the workplace</w:t>
            </w:r>
            <w:r>
              <w:rPr>
                <w:sz w:val="20"/>
                <w:szCs w:val="20"/>
              </w:rPr>
              <w:t>.</w:t>
            </w:r>
          </w:p>
        </w:tc>
      </w:tr>
      <w:tr w:rsidR="00BE66B5" w:rsidRPr="008A468A" w14:paraId="2E53EFE3" w14:textId="77777777" w:rsidTr="00A40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2768C4FB" w14:textId="77777777" w:rsidR="00BE66B5" w:rsidRPr="00765B76" w:rsidRDefault="003376AA" w:rsidP="003376AA">
            <w:pPr>
              <w:pStyle w:val="ListParagraph"/>
              <w:tabs>
                <w:tab w:val="left" w:pos="540"/>
                <w:tab w:val="left" w:pos="630"/>
              </w:tabs>
              <w:ind w:left="360"/>
              <w:rPr>
                <w:sz w:val="24"/>
                <w:szCs w:val="20"/>
              </w:rPr>
            </w:pPr>
            <w:r w:rsidRPr="00765B76">
              <w:rPr>
                <w:sz w:val="24"/>
                <w:szCs w:val="20"/>
              </w:rPr>
              <w:t>Civics instruction</w:t>
            </w:r>
          </w:p>
          <w:p w14:paraId="561B042C" w14:textId="06197083" w:rsidR="00765B76" w:rsidRPr="00765B76" w:rsidRDefault="00765B76" w:rsidP="003376AA">
            <w:pPr>
              <w:pStyle w:val="ListParagraph"/>
              <w:tabs>
                <w:tab w:val="left" w:pos="540"/>
                <w:tab w:val="left" w:pos="630"/>
              </w:tabs>
              <w:ind w:left="360"/>
              <w:rPr>
                <w:b w:val="0"/>
                <w:bCs w:val="0"/>
                <w:i/>
                <w:iCs/>
                <w:sz w:val="18"/>
                <w:szCs w:val="14"/>
              </w:rPr>
            </w:pPr>
            <w:r w:rsidRPr="00765B76">
              <w:rPr>
                <w:b w:val="0"/>
                <w:bCs w:val="0"/>
                <w:i/>
                <w:iCs/>
                <w:sz w:val="18"/>
                <w:szCs w:val="14"/>
              </w:rPr>
              <w:t>(ESEA section 4104(b)(3)(A)(i)(V))</w:t>
            </w:r>
          </w:p>
        </w:tc>
        <w:tc>
          <w:tcPr>
            <w:tcW w:w="8280" w:type="dxa"/>
          </w:tcPr>
          <w:p w14:paraId="294FC591" w14:textId="77777777" w:rsidR="003376AA" w:rsidRDefault="003376AA" w:rsidP="00433B43">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3376AA">
              <w:rPr>
                <w:sz w:val="20"/>
                <w:szCs w:val="20"/>
              </w:rPr>
              <w:t xml:space="preserve">An LEA may use funds to promote the development, implementation, and strengthening of instructional programs in civics. </w:t>
            </w:r>
          </w:p>
          <w:p w14:paraId="65E95F93" w14:textId="77777777" w:rsidR="003376AA" w:rsidRDefault="003376AA" w:rsidP="00433B43">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3376AA">
              <w:rPr>
                <w:sz w:val="20"/>
                <w:szCs w:val="20"/>
              </w:rPr>
              <w:t xml:space="preserve">Civics is generally understood to mean the content of what citizens should know about politics and government, including the foundations of the American political system. </w:t>
            </w:r>
          </w:p>
          <w:p w14:paraId="36EE441F" w14:textId="53CB1DF6" w:rsidR="00BE66B5" w:rsidRPr="009B412E" w:rsidRDefault="003376AA" w:rsidP="00433B43">
            <w:pPr>
              <w:pStyle w:val="ListParagraph"/>
              <w:numPr>
                <w:ilvl w:val="0"/>
                <w:numId w:val="19"/>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3376AA">
              <w:rPr>
                <w:sz w:val="20"/>
                <w:szCs w:val="20"/>
              </w:rPr>
              <w:t>Schools can provide civics instruction through both formal and informal education beginning in the early years of the education process.</w:t>
            </w:r>
          </w:p>
        </w:tc>
      </w:tr>
      <w:tr w:rsidR="00BE66B5" w:rsidRPr="008A468A" w14:paraId="3F09219C" w14:textId="77777777" w:rsidTr="00A4004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4CC9A6EA" w14:textId="77777777" w:rsidR="00EF6DDA" w:rsidRDefault="00EC1B8B" w:rsidP="003376AA">
            <w:pPr>
              <w:pStyle w:val="ListParagraph"/>
              <w:tabs>
                <w:tab w:val="left" w:pos="540"/>
                <w:tab w:val="left" w:pos="630"/>
              </w:tabs>
              <w:ind w:left="360"/>
              <w:rPr>
                <w:b w:val="0"/>
                <w:bCs w:val="0"/>
                <w:sz w:val="24"/>
                <w:szCs w:val="20"/>
              </w:rPr>
            </w:pPr>
            <w:r w:rsidRPr="00EC1B8B">
              <w:rPr>
                <w:sz w:val="24"/>
                <w:szCs w:val="20"/>
              </w:rPr>
              <w:t>Social emotional learning (SEL)</w:t>
            </w:r>
            <w:r w:rsidR="00EF6DDA">
              <w:rPr>
                <w:sz w:val="24"/>
                <w:szCs w:val="20"/>
              </w:rPr>
              <w:t xml:space="preserve"> </w:t>
            </w:r>
          </w:p>
          <w:p w14:paraId="65269488" w14:textId="3A4B7BE8" w:rsidR="00BE66B5" w:rsidRPr="00596C87" w:rsidRDefault="00EF6DDA" w:rsidP="003376AA">
            <w:pPr>
              <w:pStyle w:val="ListParagraph"/>
              <w:tabs>
                <w:tab w:val="left" w:pos="540"/>
                <w:tab w:val="left" w:pos="630"/>
              </w:tabs>
              <w:ind w:left="360"/>
              <w:rPr>
                <w:sz w:val="24"/>
                <w:szCs w:val="20"/>
              </w:rPr>
            </w:pPr>
            <w:r w:rsidRPr="00EF6DDA">
              <w:rPr>
                <w:b w:val="0"/>
                <w:bCs w:val="0"/>
                <w:i/>
                <w:iCs/>
                <w:sz w:val="18"/>
                <w:szCs w:val="14"/>
              </w:rPr>
              <w:t>(ESEA section 4107(a)(3)(J))</w:t>
            </w:r>
          </w:p>
        </w:tc>
        <w:tc>
          <w:tcPr>
            <w:tcW w:w="8280" w:type="dxa"/>
          </w:tcPr>
          <w:p w14:paraId="7C3CB11F" w14:textId="0132BC30" w:rsidR="00E4044E" w:rsidRDefault="00EC1B8B" w:rsidP="00433B43">
            <w:pPr>
              <w:pStyle w:val="ListParagraph"/>
              <w:numPr>
                <w:ilvl w:val="0"/>
                <w:numId w:val="20"/>
              </w:numPr>
              <w:ind w:left="315" w:hanging="270"/>
              <w:cnfStyle w:val="000000010000" w:firstRow="0" w:lastRow="0" w:firstColumn="0" w:lastColumn="0" w:oddVBand="0" w:evenVBand="0" w:oddHBand="0" w:evenHBand="1" w:firstRowFirstColumn="0" w:firstRowLastColumn="0" w:lastRowFirstColumn="0" w:lastRowLastColumn="0"/>
              <w:rPr>
                <w:sz w:val="20"/>
                <w:szCs w:val="20"/>
              </w:rPr>
            </w:pPr>
            <w:r w:rsidRPr="00EC1B8B">
              <w:rPr>
                <w:sz w:val="20"/>
                <w:szCs w:val="20"/>
              </w:rPr>
              <w:t xml:space="preserve">An LEA may use funds for activities in social emotional learning, including </w:t>
            </w:r>
          </w:p>
          <w:p w14:paraId="3B4F3C00" w14:textId="681E32BA" w:rsidR="00E4044E" w:rsidRDefault="00EC1B8B" w:rsidP="00E4044E">
            <w:pPr>
              <w:pStyle w:val="ListParagraph"/>
              <w:numPr>
                <w:ilvl w:val="1"/>
                <w:numId w:val="20"/>
              </w:numPr>
              <w:cnfStyle w:val="000000010000" w:firstRow="0" w:lastRow="0" w:firstColumn="0" w:lastColumn="0" w:oddVBand="0" w:evenVBand="0" w:oddHBand="0" w:evenHBand="1" w:firstRowFirstColumn="0" w:firstRowLastColumn="0" w:lastRowFirstColumn="0" w:lastRowLastColumn="0"/>
              <w:rPr>
                <w:sz w:val="20"/>
                <w:szCs w:val="20"/>
              </w:rPr>
            </w:pPr>
            <w:r w:rsidRPr="00EC1B8B">
              <w:rPr>
                <w:sz w:val="20"/>
                <w:szCs w:val="20"/>
              </w:rPr>
              <w:t xml:space="preserve">interventions that build resilience, </w:t>
            </w:r>
            <w:r w:rsidRPr="00E4044E">
              <w:rPr>
                <w:sz w:val="20"/>
                <w:szCs w:val="20"/>
              </w:rPr>
              <w:t>self-control, empathy, persistence, and other social and behavioral skills</w:t>
            </w:r>
            <w:r w:rsidR="00E4044E">
              <w:rPr>
                <w:sz w:val="20"/>
                <w:szCs w:val="20"/>
              </w:rPr>
              <w:t>, and</w:t>
            </w:r>
          </w:p>
          <w:p w14:paraId="230F7DB4" w14:textId="28B19438" w:rsidR="00BE66B5" w:rsidRPr="00E4044E" w:rsidRDefault="00EC1B8B" w:rsidP="00E4044E">
            <w:pPr>
              <w:pStyle w:val="ListParagraph"/>
              <w:numPr>
                <w:ilvl w:val="1"/>
                <w:numId w:val="20"/>
              </w:numPr>
              <w:cnfStyle w:val="000000010000" w:firstRow="0" w:lastRow="0" w:firstColumn="0" w:lastColumn="0" w:oddVBand="0" w:evenVBand="0" w:oddHBand="0" w:evenHBand="1" w:firstRowFirstColumn="0" w:firstRowLastColumn="0" w:lastRowFirstColumn="0" w:lastRowLastColumn="0"/>
              <w:rPr>
                <w:sz w:val="20"/>
                <w:szCs w:val="20"/>
              </w:rPr>
            </w:pPr>
            <w:r w:rsidRPr="00E4044E">
              <w:rPr>
                <w:sz w:val="20"/>
                <w:szCs w:val="20"/>
              </w:rPr>
              <w:t>implementing practices that support students’ sense of belonging and value.</w:t>
            </w:r>
          </w:p>
        </w:tc>
      </w:tr>
      <w:tr w:rsidR="00BE66B5" w:rsidRPr="008A468A" w14:paraId="57CFE999" w14:textId="77777777" w:rsidTr="00E763D9">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2330" w:type="dxa"/>
          </w:tcPr>
          <w:p w14:paraId="4414BF16" w14:textId="2AAB1896" w:rsidR="00BE66B5" w:rsidRDefault="00175C62" w:rsidP="003376AA">
            <w:pPr>
              <w:pStyle w:val="ListParagraph"/>
              <w:tabs>
                <w:tab w:val="left" w:pos="540"/>
                <w:tab w:val="left" w:pos="630"/>
              </w:tabs>
              <w:ind w:left="360"/>
              <w:rPr>
                <w:b w:val="0"/>
                <w:bCs w:val="0"/>
                <w:sz w:val="24"/>
                <w:szCs w:val="20"/>
              </w:rPr>
            </w:pPr>
            <w:r w:rsidRPr="00175C62">
              <w:rPr>
                <w:sz w:val="24"/>
                <w:szCs w:val="20"/>
              </w:rPr>
              <w:t>Environmental education</w:t>
            </w:r>
          </w:p>
          <w:p w14:paraId="5C5B3A35" w14:textId="1793CF83" w:rsidR="00B525B4" w:rsidRPr="00596C87" w:rsidRDefault="00B525B4" w:rsidP="003376AA">
            <w:pPr>
              <w:pStyle w:val="ListParagraph"/>
              <w:tabs>
                <w:tab w:val="left" w:pos="540"/>
                <w:tab w:val="left" w:pos="630"/>
              </w:tabs>
              <w:ind w:left="360"/>
              <w:rPr>
                <w:sz w:val="24"/>
                <w:szCs w:val="20"/>
              </w:rPr>
            </w:pPr>
            <w:r w:rsidRPr="00B525B4">
              <w:rPr>
                <w:b w:val="0"/>
                <w:bCs w:val="0"/>
                <w:i/>
                <w:iCs/>
                <w:sz w:val="18"/>
                <w:szCs w:val="14"/>
              </w:rPr>
              <w:t>(ESEA section 4107(a)(3)(G))</w:t>
            </w:r>
          </w:p>
        </w:tc>
        <w:tc>
          <w:tcPr>
            <w:tcW w:w="8280" w:type="dxa"/>
          </w:tcPr>
          <w:p w14:paraId="22A09EEF" w14:textId="04020B43" w:rsidR="00BE66B5" w:rsidRPr="00E314CC" w:rsidRDefault="00175C62" w:rsidP="00433B43">
            <w:pPr>
              <w:pStyle w:val="ListParagraph"/>
              <w:numPr>
                <w:ilvl w:val="0"/>
                <w:numId w:val="20"/>
              </w:numPr>
              <w:ind w:left="315" w:hanging="270"/>
              <w:cnfStyle w:val="000000100000" w:firstRow="0" w:lastRow="0" w:firstColumn="0" w:lastColumn="0" w:oddVBand="0" w:evenVBand="0" w:oddHBand="1" w:evenHBand="0" w:firstRowFirstColumn="0" w:firstRowLastColumn="0" w:lastRowFirstColumn="0" w:lastRowLastColumn="0"/>
              <w:rPr>
                <w:sz w:val="20"/>
                <w:szCs w:val="20"/>
              </w:rPr>
            </w:pPr>
            <w:r w:rsidRPr="00175C62">
              <w:rPr>
                <w:sz w:val="20"/>
                <w:szCs w:val="20"/>
              </w:rPr>
              <w:t xml:space="preserve">An LEA may use funds for activities in environmental education, which is generally understood as instruction that encourages students to develop knowledge, intellectual skills, attitudes, experiences, and motivation to make and act upon responsible environmental decisions. </w:t>
            </w:r>
          </w:p>
        </w:tc>
      </w:tr>
    </w:tbl>
    <w:p w14:paraId="3A50A950" w14:textId="5309227E" w:rsidR="00411DA1" w:rsidRPr="00144928" w:rsidRDefault="00E763D9" w:rsidP="00FC6D6E">
      <w:pPr>
        <w:rPr>
          <w:b/>
          <w:color w:val="E36C0A" w:themeColor="accent6" w:themeShade="BF"/>
          <w:sz w:val="12"/>
          <w:szCs w:val="12"/>
        </w:rPr>
      </w:pPr>
      <w:r>
        <w:rPr>
          <w:noProof/>
          <w:sz w:val="36"/>
          <w:szCs w:val="36"/>
        </w:rPr>
        <mc:AlternateContent>
          <mc:Choice Requires="wps">
            <w:drawing>
              <wp:anchor distT="0" distB="0" distL="114300" distR="114300" simplePos="0" relativeHeight="251660288" behindDoc="0" locked="0" layoutInCell="1" allowOverlap="1" wp14:anchorId="5EB75FE8" wp14:editId="41B83E37">
                <wp:simplePos x="0" y="0"/>
                <wp:positionH relativeFrom="margin">
                  <wp:posOffset>4362450</wp:posOffset>
                </wp:positionH>
                <wp:positionV relativeFrom="paragraph">
                  <wp:posOffset>483235</wp:posOffset>
                </wp:positionV>
                <wp:extent cx="2581275" cy="2295525"/>
                <wp:effectExtent l="38100" t="38100" r="123825" b="123825"/>
                <wp:wrapNone/>
                <wp:docPr id="3"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295525"/>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36A76994" w14:textId="5529F9A1" w:rsidR="00642434" w:rsidRPr="00596C87" w:rsidRDefault="00493B24" w:rsidP="00642434">
                            <w:pPr>
                              <w:spacing w:after="0"/>
                              <w:rPr>
                                <w:b/>
                                <w:color w:val="1F497D" w:themeColor="text2"/>
                                <w:sz w:val="24"/>
                                <w:szCs w:val="28"/>
                              </w:rPr>
                            </w:pPr>
                            <w:r>
                              <w:rPr>
                                <w:b/>
                                <w:color w:val="1F497D" w:themeColor="text2"/>
                                <w:sz w:val="24"/>
                                <w:szCs w:val="28"/>
                              </w:rPr>
                              <w:t>Supplement not Supplant</w:t>
                            </w:r>
                            <w:r w:rsidR="00FA36EE">
                              <w:rPr>
                                <w:b/>
                                <w:color w:val="1F497D" w:themeColor="text2"/>
                                <w:sz w:val="24"/>
                                <w:szCs w:val="28"/>
                              </w:rPr>
                              <w:t xml:space="preserve"> in Title IVA</w:t>
                            </w:r>
                          </w:p>
                          <w:p w14:paraId="5AA41A5E" w14:textId="77777777" w:rsidR="00275945" w:rsidRDefault="004C0C50" w:rsidP="00433B43">
                            <w:pPr>
                              <w:pStyle w:val="ListParagraph"/>
                              <w:numPr>
                                <w:ilvl w:val="0"/>
                                <w:numId w:val="34"/>
                              </w:numPr>
                              <w:spacing w:after="120" w:line="240" w:lineRule="auto"/>
                              <w:ind w:left="270" w:hanging="270"/>
                              <w:rPr>
                                <w:sz w:val="20"/>
                              </w:rPr>
                            </w:pPr>
                            <w:r w:rsidRPr="004C0C50">
                              <w:rPr>
                                <w:sz w:val="20"/>
                              </w:rPr>
                              <w:t xml:space="preserve">LEAs that receive </w:t>
                            </w:r>
                            <w:r w:rsidR="0056259C">
                              <w:rPr>
                                <w:sz w:val="20"/>
                              </w:rPr>
                              <w:t xml:space="preserve">Title </w:t>
                            </w:r>
                            <w:r w:rsidRPr="004C0C50">
                              <w:rPr>
                                <w:sz w:val="20"/>
                              </w:rPr>
                              <w:t xml:space="preserve">IVA funds must comply with a supplement not supplant requirement.  This means that </w:t>
                            </w:r>
                            <w:r w:rsidR="0056259C">
                              <w:rPr>
                                <w:sz w:val="20"/>
                              </w:rPr>
                              <w:t xml:space="preserve">Title </w:t>
                            </w:r>
                            <w:r w:rsidRPr="004C0C50">
                              <w:rPr>
                                <w:sz w:val="20"/>
                              </w:rPr>
                              <w:t>IVA funds should add to (supplement) and not replace (s</w:t>
                            </w:r>
                            <w:r>
                              <w:rPr>
                                <w:sz w:val="20"/>
                              </w:rPr>
                              <w:t xml:space="preserve">upplant) state and local funds. </w:t>
                            </w:r>
                          </w:p>
                          <w:p w14:paraId="36D52CB0" w14:textId="74DCEE05" w:rsidR="004C0C50" w:rsidRDefault="004C0C50" w:rsidP="00433B43">
                            <w:pPr>
                              <w:pStyle w:val="ListParagraph"/>
                              <w:numPr>
                                <w:ilvl w:val="0"/>
                                <w:numId w:val="34"/>
                              </w:numPr>
                              <w:spacing w:after="120" w:line="240" w:lineRule="auto"/>
                              <w:ind w:left="270" w:hanging="270"/>
                              <w:rPr>
                                <w:sz w:val="20"/>
                              </w:rPr>
                            </w:pPr>
                            <w:r w:rsidRPr="004C0C50">
                              <w:rPr>
                                <w:sz w:val="20"/>
                              </w:rPr>
                              <w:t xml:space="preserve">Supplanting is presumed when: </w:t>
                            </w:r>
                          </w:p>
                          <w:p w14:paraId="33318769" w14:textId="77777777" w:rsidR="004C0C50" w:rsidRDefault="004C0C50" w:rsidP="00433B43">
                            <w:pPr>
                              <w:pStyle w:val="ListParagraph"/>
                              <w:numPr>
                                <w:ilvl w:val="1"/>
                                <w:numId w:val="34"/>
                              </w:numPr>
                              <w:spacing w:after="120" w:line="240" w:lineRule="auto"/>
                              <w:ind w:left="630" w:hanging="270"/>
                              <w:rPr>
                                <w:sz w:val="20"/>
                              </w:rPr>
                            </w:pPr>
                            <w:r w:rsidRPr="004C0C50">
                              <w:rPr>
                                <w:sz w:val="20"/>
                              </w:rPr>
                              <w:t>A district uses IVA funds to pay for an activity that is required by federal, state or local la</w:t>
                            </w:r>
                            <w:r>
                              <w:rPr>
                                <w:sz w:val="20"/>
                              </w:rPr>
                              <w:t xml:space="preserve">w </w:t>
                            </w:r>
                          </w:p>
                          <w:p w14:paraId="21EC29B8" w14:textId="205C8E17" w:rsidR="00493B24" w:rsidRPr="005C4DB3" w:rsidRDefault="004C0C50" w:rsidP="00433B43">
                            <w:pPr>
                              <w:pStyle w:val="ListParagraph"/>
                              <w:numPr>
                                <w:ilvl w:val="1"/>
                                <w:numId w:val="34"/>
                              </w:numPr>
                              <w:spacing w:after="120" w:line="240" w:lineRule="auto"/>
                              <w:ind w:left="630" w:hanging="270"/>
                              <w:rPr>
                                <w:sz w:val="20"/>
                              </w:rPr>
                            </w:pPr>
                            <w:r w:rsidRPr="004C0C50">
                              <w:rPr>
                                <w:sz w:val="20"/>
                              </w:rPr>
                              <w:t xml:space="preserve"> A district uses SSAE funds to pay for an activity it supported with state or local funds the prior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75FE8" id="_x0000_t202" coordsize="21600,21600" o:spt="202" path="m,l,21600r21600,l21600,xe">
                <v:stroke joinstyle="miter"/>
                <v:path gradientshapeok="t" o:connecttype="rect"/>
              </v:shapetype>
              <v:shape id="Text Box 16" o:spid="_x0000_s1026" type="#_x0000_t202" alt="&quot;&quot;" style="position:absolute;margin-left:343.5pt;margin-top:38.05pt;width:203.25pt;height:18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" strokecolor="#365f91 [2404]" strokeweight=".25pt">
                <v:shadow on="t" color="black" opacity="26214f" origin="-.5,-.5" offset=".74836mm,.74836mm"/>
                <v:textbox>
                  <w:txbxContent>
                    <w:p w14:paraId="36A76994" w14:textId="5529F9A1" w:rsidR="00642434" w:rsidRPr="00596C87" w:rsidRDefault="00493B24" w:rsidP="00642434">
                      <w:pPr>
                        <w:spacing w:after="0"/>
                        <w:rPr>
                          <w:b/>
                          <w:color w:val="1F497D" w:themeColor="text2"/>
                          <w:sz w:val="24"/>
                          <w:szCs w:val="28"/>
                        </w:rPr>
                      </w:pPr>
                      <w:r>
                        <w:rPr>
                          <w:b/>
                          <w:color w:val="1F497D" w:themeColor="text2"/>
                          <w:sz w:val="24"/>
                          <w:szCs w:val="28"/>
                        </w:rPr>
                        <w:t>Supplement not Supplant</w:t>
                      </w:r>
                      <w:r w:rsidR="00FA36EE">
                        <w:rPr>
                          <w:b/>
                          <w:color w:val="1F497D" w:themeColor="text2"/>
                          <w:sz w:val="24"/>
                          <w:szCs w:val="28"/>
                        </w:rPr>
                        <w:t xml:space="preserve"> in Title IVA</w:t>
                      </w:r>
                    </w:p>
                    <w:p w14:paraId="5AA41A5E" w14:textId="77777777" w:rsidR="00275945" w:rsidRDefault="004C0C50" w:rsidP="00433B43">
                      <w:pPr>
                        <w:pStyle w:val="ListParagraph"/>
                        <w:numPr>
                          <w:ilvl w:val="0"/>
                          <w:numId w:val="34"/>
                        </w:numPr>
                        <w:spacing w:after="120" w:line="240" w:lineRule="auto"/>
                        <w:ind w:left="270" w:hanging="270"/>
                        <w:rPr>
                          <w:sz w:val="20"/>
                        </w:rPr>
                      </w:pPr>
                      <w:r w:rsidRPr="004C0C50">
                        <w:rPr>
                          <w:sz w:val="20"/>
                        </w:rPr>
                        <w:t xml:space="preserve">LEAs that receive </w:t>
                      </w:r>
                      <w:r w:rsidR="0056259C">
                        <w:rPr>
                          <w:sz w:val="20"/>
                        </w:rPr>
                        <w:t xml:space="preserve">Title </w:t>
                      </w:r>
                      <w:r w:rsidRPr="004C0C50">
                        <w:rPr>
                          <w:sz w:val="20"/>
                        </w:rPr>
                        <w:t xml:space="preserve">IVA funds must comply with a supplement not supplant requirement.  This means that </w:t>
                      </w:r>
                      <w:r w:rsidR="0056259C">
                        <w:rPr>
                          <w:sz w:val="20"/>
                        </w:rPr>
                        <w:t xml:space="preserve">Title </w:t>
                      </w:r>
                      <w:r w:rsidRPr="004C0C50">
                        <w:rPr>
                          <w:sz w:val="20"/>
                        </w:rPr>
                        <w:t>IVA funds should add to (supplement) and not replace (s</w:t>
                      </w:r>
                      <w:r>
                        <w:rPr>
                          <w:sz w:val="20"/>
                        </w:rPr>
                        <w:t xml:space="preserve">upplant) state and local funds. </w:t>
                      </w:r>
                    </w:p>
                    <w:p w14:paraId="36D52CB0" w14:textId="74DCEE05" w:rsidR="004C0C50" w:rsidRDefault="004C0C50" w:rsidP="00433B43">
                      <w:pPr>
                        <w:pStyle w:val="ListParagraph"/>
                        <w:numPr>
                          <w:ilvl w:val="0"/>
                          <w:numId w:val="34"/>
                        </w:numPr>
                        <w:spacing w:after="120" w:line="240" w:lineRule="auto"/>
                        <w:ind w:left="270" w:hanging="270"/>
                        <w:rPr>
                          <w:sz w:val="20"/>
                        </w:rPr>
                      </w:pPr>
                      <w:r w:rsidRPr="004C0C50">
                        <w:rPr>
                          <w:sz w:val="20"/>
                        </w:rPr>
                        <w:t xml:space="preserve">Supplanting is presumed when: </w:t>
                      </w:r>
                    </w:p>
                    <w:p w14:paraId="33318769" w14:textId="77777777" w:rsidR="004C0C50" w:rsidRDefault="004C0C50" w:rsidP="00433B43">
                      <w:pPr>
                        <w:pStyle w:val="ListParagraph"/>
                        <w:numPr>
                          <w:ilvl w:val="1"/>
                          <w:numId w:val="34"/>
                        </w:numPr>
                        <w:spacing w:after="120" w:line="240" w:lineRule="auto"/>
                        <w:ind w:left="630" w:hanging="270"/>
                        <w:rPr>
                          <w:sz w:val="20"/>
                        </w:rPr>
                      </w:pPr>
                      <w:r w:rsidRPr="004C0C50">
                        <w:rPr>
                          <w:sz w:val="20"/>
                        </w:rPr>
                        <w:t>A district uses IVA funds to pay for an activity that is required by federal, state or local la</w:t>
                      </w:r>
                      <w:r>
                        <w:rPr>
                          <w:sz w:val="20"/>
                        </w:rPr>
                        <w:t xml:space="preserve">w </w:t>
                      </w:r>
                    </w:p>
                    <w:p w14:paraId="21EC29B8" w14:textId="205C8E17" w:rsidR="00493B24" w:rsidRPr="005C4DB3" w:rsidRDefault="004C0C50" w:rsidP="00433B43">
                      <w:pPr>
                        <w:pStyle w:val="ListParagraph"/>
                        <w:numPr>
                          <w:ilvl w:val="1"/>
                          <w:numId w:val="34"/>
                        </w:numPr>
                        <w:spacing w:after="120" w:line="240" w:lineRule="auto"/>
                        <w:ind w:left="630" w:hanging="270"/>
                        <w:rPr>
                          <w:sz w:val="20"/>
                        </w:rPr>
                      </w:pPr>
                      <w:r w:rsidRPr="004C0C50">
                        <w:rPr>
                          <w:sz w:val="20"/>
                        </w:rPr>
                        <w:t xml:space="preserve"> A district uses SSAE funds to pay for an activity it supported with state or local funds the prior year</w:t>
                      </w:r>
                    </w:p>
                  </w:txbxContent>
                </v:textbox>
                <w10:wrap anchorx="margin"/>
              </v:shape>
            </w:pict>
          </mc:Fallback>
        </mc:AlternateContent>
      </w:r>
      <w:r>
        <w:rPr>
          <w:noProof/>
          <w:sz w:val="36"/>
          <w:szCs w:val="36"/>
        </w:rPr>
        <mc:AlternateContent>
          <mc:Choice Requires="wps">
            <w:drawing>
              <wp:anchor distT="0" distB="0" distL="114300" distR="114300" simplePos="0" relativeHeight="251661312" behindDoc="0" locked="0" layoutInCell="1" allowOverlap="1" wp14:anchorId="7852F782" wp14:editId="362954A5">
                <wp:simplePos x="0" y="0"/>
                <wp:positionH relativeFrom="margin">
                  <wp:posOffset>38100</wp:posOffset>
                </wp:positionH>
                <wp:positionV relativeFrom="paragraph">
                  <wp:posOffset>472440</wp:posOffset>
                </wp:positionV>
                <wp:extent cx="4067175" cy="2686050"/>
                <wp:effectExtent l="38100" t="38100" r="123825" b="114300"/>
                <wp:wrapNone/>
                <wp:docPr id="4"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686050"/>
                        </a:xfrm>
                        <a:prstGeom prst="rect">
                          <a:avLst/>
                        </a:prstGeom>
                        <a:solidFill>
                          <a:srgbClr val="FFFFFF"/>
                        </a:solidFill>
                        <a:ln w="3175">
                          <a:solidFill>
                            <a:schemeClr val="accent1">
                              <a:lumMod val="75000"/>
                              <a:lumOff val="0"/>
                            </a:schemeClr>
                          </a:solidFill>
                          <a:miter lim="800000"/>
                          <a:headEnd/>
                          <a:tailEnd/>
                        </a:ln>
                        <a:effectLst>
                          <a:outerShdw blurRad="50800" dist="38100" dir="2700000" algn="tl" rotWithShape="0">
                            <a:prstClr val="black">
                              <a:alpha val="40000"/>
                            </a:prstClr>
                          </a:outerShdw>
                        </a:effectLst>
                      </wps:spPr>
                      <wps:txbx>
                        <w:txbxContent>
                          <w:p w14:paraId="01D08824" w14:textId="2FC8BFA6" w:rsidR="00D14842" w:rsidRDefault="00D14842" w:rsidP="00D14842">
                            <w:pPr>
                              <w:spacing w:after="0"/>
                              <w:rPr>
                                <w:b/>
                                <w:color w:val="1F497D" w:themeColor="text2"/>
                                <w:sz w:val="24"/>
                                <w:szCs w:val="28"/>
                              </w:rPr>
                            </w:pPr>
                            <w:r>
                              <w:rPr>
                                <w:b/>
                                <w:color w:val="1F497D" w:themeColor="text2"/>
                                <w:sz w:val="24"/>
                                <w:szCs w:val="28"/>
                              </w:rPr>
                              <w:t>Allocations</w:t>
                            </w:r>
                            <w:r w:rsidR="00175BED">
                              <w:rPr>
                                <w:b/>
                                <w:color w:val="1F497D" w:themeColor="text2"/>
                                <w:sz w:val="24"/>
                                <w:szCs w:val="28"/>
                              </w:rPr>
                              <w:t xml:space="preserve"> Reminder</w:t>
                            </w:r>
                          </w:p>
                          <w:p w14:paraId="5E661047" w14:textId="5F688DDE" w:rsidR="00D14842" w:rsidRPr="005C4DB3" w:rsidRDefault="00D14842" w:rsidP="00433B43">
                            <w:pPr>
                              <w:spacing w:after="0" w:line="240" w:lineRule="auto"/>
                              <w:rPr>
                                <w:b/>
                                <w:sz w:val="20"/>
                                <w:szCs w:val="20"/>
                              </w:rPr>
                            </w:pPr>
                            <w:r w:rsidRPr="005C4DB3">
                              <w:rPr>
                                <w:b/>
                                <w:sz w:val="20"/>
                                <w:szCs w:val="20"/>
                              </w:rPr>
                              <w:t xml:space="preserve">Districts </w:t>
                            </w:r>
                            <w:r w:rsidR="0056259C">
                              <w:rPr>
                                <w:b/>
                                <w:sz w:val="20"/>
                                <w:szCs w:val="20"/>
                              </w:rPr>
                              <w:t>that receive</w:t>
                            </w:r>
                            <w:r w:rsidRPr="005C4DB3">
                              <w:rPr>
                                <w:b/>
                                <w:sz w:val="20"/>
                                <w:szCs w:val="20"/>
                              </w:rPr>
                              <w:t xml:space="preserve"> less than $30,000</w:t>
                            </w:r>
                            <w:r w:rsidR="00474860" w:rsidRPr="005C4DB3">
                              <w:rPr>
                                <w:b/>
                                <w:sz w:val="20"/>
                                <w:szCs w:val="20"/>
                              </w:rPr>
                              <w:t xml:space="preserve"> must:</w:t>
                            </w:r>
                          </w:p>
                          <w:p w14:paraId="1F98FFB4" w14:textId="006E413B" w:rsidR="00474860" w:rsidRPr="005C4DB3" w:rsidRDefault="00360220" w:rsidP="00433B43">
                            <w:pPr>
                              <w:pStyle w:val="ListParagraph"/>
                              <w:numPr>
                                <w:ilvl w:val="0"/>
                                <w:numId w:val="27"/>
                              </w:numPr>
                              <w:spacing w:line="240" w:lineRule="auto"/>
                              <w:ind w:left="360" w:hanging="270"/>
                              <w:rPr>
                                <w:sz w:val="20"/>
                                <w:szCs w:val="20"/>
                              </w:rPr>
                            </w:pPr>
                            <w:r>
                              <w:rPr>
                                <w:sz w:val="20"/>
                                <w:szCs w:val="20"/>
                              </w:rPr>
                              <w:t>S</w:t>
                            </w:r>
                            <w:r w:rsidR="00D14842" w:rsidRPr="005C4DB3">
                              <w:rPr>
                                <w:sz w:val="20"/>
                                <w:szCs w:val="20"/>
                              </w:rPr>
                              <w:t>pend funds on one or more of</w:t>
                            </w:r>
                            <w:r>
                              <w:rPr>
                                <w:sz w:val="20"/>
                                <w:szCs w:val="20"/>
                              </w:rPr>
                              <w:t xml:space="preserve"> the</w:t>
                            </w:r>
                            <w:r w:rsidR="00D14842" w:rsidRPr="005C4DB3">
                              <w:rPr>
                                <w:sz w:val="20"/>
                                <w:szCs w:val="20"/>
                              </w:rPr>
                              <w:t xml:space="preserve"> </w:t>
                            </w:r>
                            <w:r w:rsidRPr="00474860">
                              <w:rPr>
                                <w:rFonts w:eastAsia="Times New Roman" w:cstheme="minorHAnsi"/>
                                <w:color w:val="000000"/>
                                <w:sz w:val="20"/>
                                <w:szCs w:val="20"/>
                              </w:rPr>
                              <w:t xml:space="preserve">Title IV, Part A priorities </w:t>
                            </w:r>
                            <w:r w:rsidR="00D14842" w:rsidRPr="005C4DB3">
                              <w:rPr>
                                <w:sz w:val="20"/>
                                <w:szCs w:val="20"/>
                              </w:rPr>
                              <w:t xml:space="preserve">listed </w:t>
                            </w:r>
                            <w:r w:rsidR="00FA36EE">
                              <w:rPr>
                                <w:sz w:val="20"/>
                                <w:szCs w:val="20"/>
                              </w:rPr>
                              <w:t>at the very top of this guide</w:t>
                            </w:r>
                            <w:r w:rsidR="00D14842" w:rsidRPr="005C4DB3">
                              <w:rPr>
                                <w:sz w:val="20"/>
                                <w:szCs w:val="20"/>
                              </w:rPr>
                              <w:t>.</w:t>
                            </w:r>
                          </w:p>
                          <w:p w14:paraId="648ABAE4" w14:textId="45A65724" w:rsidR="00474860" w:rsidRPr="005C4DB3" w:rsidRDefault="00474860" w:rsidP="00433B43">
                            <w:pPr>
                              <w:pStyle w:val="ListParagraph"/>
                              <w:spacing w:after="0" w:line="240" w:lineRule="auto"/>
                              <w:ind w:left="0"/>
                              <w:rPr>
                                <w:b/>
                                <w:sz w:val="20"/>
                                <w:szCs w:val="20"/>
                              </w:rPr>
                            </w:pPr>
                            <w:r w:rsidRPr="005C4DB3">
                              <w:rPr>
                                <w:b/>
                                <w:sz w:val="20"/>
                                <w:szCs w:val="20"/>
                              </w:rPr>
                              <w:t xml:space="preserve">Districts </w:t>
                            </w:r>
                            <w:r w:rsidR="001A3E4F">
                              <w:rPr>
                                <w:b/>
                                <w:sz w:val="20"/>
                                <w:szCs w:val="20"/>
                              </w:rPr>
                              <w:t>that receive</w:t>
                            </w:r>
                            <w:r w:rsidR="00FA36EE">
                              <w:rPr>
                                <w:b/>
                                <w:sz w:val="20"/>
                                <w:szCs w:val="20"/>
                              </w:rPr>
                              <w:t xml:space="preserve"> </w:t>
                            </w:r>
                            <w:r w:rsidRPr="005C4DB3">
                              <w:rPr>
                                <w:b/>
                                <w:sz w:val="20"/>
                                <w:szCs w:val="20"/>
                              </w:rPr>
                              <w:t>$30,00</w:t>
                            </w:r>
                            <w:r w:rsidR="003C1359">
                              <w:rPr>
                                <w:b/>
                                <w:sz w:val="20"/>
                                <w:szCs w:val="20"/>
                              </w:rPr>
                              <w:t xml:space="preserve"> (</w:t>
                            </w:r>
                            <w:r w:rsidR="00471624">
                              <w:rPr>
                                <w:b/>
                                <w:i/>
                                <w:sz w:val="20"/>
                                <w:szCs w:val="28"/>
                              </w:rPr>
                              <w:t>i</w:t>
                            </w:r>
                            <w:r w:rsidR="003C1359" w:rsidRPr="00782454">
                              <w:rPr>
                                <w:b/>
                                <w:i/>
                                <w:sz w:val="20"/>
                                <w:szCs w:val="28"/>
                              </w:rPr>
                              <w:t>ncluding funds that are “flexed” from Title IIA into Title IVA</w:t>
                            </w:r>
                            <w:r w:rsidR="00471624">
                              <w:rPr>
                                <w:b/>
                                <w:sz w:val="20"/>
                                <w:szCs w:val="20"/>
                              </w:rPr>
                              <w:t>)</w:t>
                            </w:r>
                            <w:r w:rsidRPr="005C4DB3">
                              <w:rPr>
                                <w:b/>
                                <w:sz w:val="20"/>
                                <w:szCs w:val="20"/>
                              </w:rPr>
                              <w:t xml:space="preserve"> </w:t>
                            </w:r>
                            <w:r w:rsidR="00FA36EE">
                              <w:rPr>
                                <w:b/>
                                <w:sz w:val="20"/>
                                <w:szCs w:val="20"/>
                              </w:rPr>
                              <w:t xml:space="preserve">or </w:t>
                            </w:r>
                            <w:r w:rsidR="00433B43">
                              <w:rPr>
                                <w:b/>
                                <w:sz w:val="20"/>
                                <w:szCs w:val="20"/>
                              </w:rPr>
                              <w:t>more</w:t>
                            </w:r>
                            <w:r w:rsidR="00FA36EE">
                              <w:rPr>
                                <w:b/>
                                <w:sz w:val="20"/>
                                <w:szCs w:val="20"/>
                              </w:rPr>
                              <w:t xml:space="preserve"> </w:t>
                            </w:r>
                            <w:r w:rsidRPr="005C4DB3">
                              <w:rPr>
                                <w:b/>
                                <w:sz w:val="20"/>
                                <w:szCs w:val="20"/>
                              </w:rPr>
                              <w:t>must:</w:t>
                            </w:r>
                          </w:p>
                          <w:p w14:paraId="6688DC7A" w14:textId="3107E7CE"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Conduct a comprehensive needs assessment that includ</w:t>
                            </w:r>
                            <w:r w:rsidR="0056259C">
                              <w:rPr>
                                <w:rFonts w:eastAsia="Times New Roman" w:cstheme="minorHAnsi"/>
                                <w:color w:val="000000"/>
                                <w:sz w:val="20"/>
                                <w:szCs w:val="20"/>
                              </w:rPr>
                              <w:t>es a focus on the Title IV</w:t>
                            </w:r>
                            <w:r w:rsidRPr="00474860">
                              <w:rPr>
                                <w:rFonts w:eastAsia="Times New Roman" w:cstheme="minorHAnsi"/>
                                <w:color w:val="000000"/>
                                <w:sz w:val="20"/>
                                <w:szCs w:val="20"/>
                              </w:rPr>
                              <w:t>A priorities</w:t>
                            </w:r>
                            <w:r w:rsidR="0056259C">
                              <w:rPr>
                                <w:rFonts w:eastAsia="Times New Roman" w:cstheme="minorHAnsi"/>
                                <w:color w:val="000000"/>
                                <w:sz w:val="20"/>
                                <w:szCs w:val="20"/>
                              </w:rPr>
                              <w:t xml:space="preserve"> (see </w:t>
                            </w:r>
                            <w:r w:rsidR="00360220">
                              <w:rPr>
                                <w:rFonts w:eastAsia="Times New Roman" w:cstheme="minorHAnsi"/>
                                <w:color w:val="000000"/>
                                <w:sz w:val="20"/>
                                <w:szCs w:val="20"/>
                              </w:rPr>
                              <w:t>above</w:t>
                            </w:r>
                            <w:r w:rsidR="0056259C">
                              <w:rPr>
                                <w:rFonts w:eastAsia="Times New Roman" w:cstheme="minorHAnsi"/>
                                <w:color w:val="000000"/>
                                <w:sz w:val="20"/>
                                <w:szCs w:val="20"/>
                              </w:rPr>
                              <w:t>)</w:t>
                            </w:r>
                            <w:r w:rsidR="00433B43">
                              <w:rPr>
                                <w:rFonts w:eastAsia="Times New Roman" w:cstheme="minorHAnsi"/>
                                <w:color w:val="000000"/>
                                <w:sz w:val="20"/>
                                <w:szCs w:val="20"/>
                              </w:rPr>
                              <w:t>.</w:t>
                            </w:r>
                            <w:r w:rsidRPr="00474860">
                              <w:rPr>
                                <w:rFonts w:eastAsia="Times New Roman" w:cstheme="minorHAnsi"/>
                                <w:color w:val="000000"/>
                                <w:sz w:val="20"/>
                                <w:szCs w:val="20"/>
                              </w:rPr>
                              <w:t xml:space="preserve"> </w:t>
                            </w:r>
                            <w:r w:rsidR="00360220">
                              <w:rPr>
                                <w:rFonts w:eastAsia="Times New Roman" w:cstheme="minorHAnsi"/>
                                <w:color w:val="000000"/>
                                <w:sz w:val="20"/>
                                <w:szCs w:val="20"/>
                              </w:rPr>
                              <w:br/>
                            </w:r>
                            <w:r w:rsidRPr="006D6B7A">
                              <w:rPr>
                                <w:rFonts w:eastAsia="Times New Roman" w:cstheme="minorHAnsi"/>
                                <w:b/>
                                <w:bCs/>
                                <w:i/>
                                <w:iCs/>
                                <w:color w:val="000000"/>
                                <w:sz w:val="18"/>
                                <w:szCs w:val="18"/>
                              </w:rPr>
                              <w:t>Note:</w:t>
                            </w:r>
                            <w:r w:rsidRPr="006D6B7A">
                              <w:rPr>
                                <w:rFonts w:eastAsia="Times New Roman" w:cstheme="minorHAnsi"/>
                                <w:i/>
                                <w:iCs/>
                                <w:color w:val="000000"/>
                                <w:sz w:val="18"/>
                                <w:szCs w:val="18"/>
                              </w:rPr>
                              <w:t xml:space="preserve"> Districts may fulfill (or </w:t>
                            </w:r>
                            <w:r w:rsidR="0056259C" w:rsidRPr="006D6B7A">
                              <w:rPr>
                                <w:rFonts w:eastAsia="Times New Roman" w:cstheme="minorHAnsi"/>
                                <w:i/>
                                <w:iCs/>
                                <w:color w:val="000000"/>
                                <w:sz w:val="18"/>
                                <w:szCs w:val="18"/>
                              </w:rPr>
                              <w:t xml:space="preserve">may </w:t>
                            </w:r>
                            <w:r w:rsidRPr="006D6B7A">
                              <w:rPr>
                                <w:rFonts w:eastAsia="Times New Roman" w:cstheme="minorHAnsi"/>
                                <w:i/>
                                <w:iCs/>
                                <w:color w:val="000000"/>
                                <w:sz w:val="18"/>
                                <w:szCs w:val="18"/>
                              </w:rPr>
                              <w:t>have fulfilled) this requirement as part of the development of the districts' strategic plan, improvement plan, etc.</w:t>
                            </w:r>
                          </w:p>
                          <w:p w14:paraId="4482CA3D" w14:textId="0A656550" w:rsidR="00474860" w:rsidRPr="006D6B7A" w:rsidRDefault="00474860" w:rsidP="006D6B7A">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 xml:space="preserve">Spend at least 20% of the allocation on access to well-rounded educational </w:t>
                            </w:r>
                            <w:r w:rsidR="00EC5E2F" w:rsidRPr="00474860">
                              <w:rPr>
                                <w:rFonts w:eastAsia="Times New Roman" w:cstheme="minorHAnsi"/>
                                <w:color w:val="000000"/>
                                <w:sz w:val="20"/>
                                <w:szCs w:val="20"/>
                              </w:rPr>
                              <w:t>opportunities</w:t>
                            </w:r>
                            <w:r w:rsidR="00EC5E2F">
                              <w:rPr>
                                <w:rFonts w:eastAsia="Times New Roman" w:cstheme="minorHAnsi"/>
                                <w:color w:val="000000"/>
                                <w:sz w:val="20"/>
                                <w:szCs w:val="20"/>
                              </w:rPr>
                              <w:t xml:space="preserve"> and</w:t>
                            </w:r>
                            <w:r w:rsidR="006D6B7A">
                              <w:rPr>
                                <w:rFonts w:eastAsia="Times New Roman" w:cstheme="minorHAnsi"/>
                                <w:color w:val="000000"/>
                                <w:sz w:val="20"/>
                                <w:szCs w:val="20"/>
                              </w:rPr>
                              <w:t xml:space="preserve"> s</w:t>
                            </w:r>
                            <w:r w:rsidRPr="006D6B7A">
                              <w:rPr>
                                <w:rFonts w:eastAsia="Times New Roman" w:cstheme="minorHAnsi"/>
                                <w:color w:val="000000"/>
                                <w:sz w:val="20"/>
                                <w:szCs w:val="20"/>
                              </w:rPr>
                              <w:t>pend at least 20% of the allocation on safe and healthy schools</w:t>
                            </w:r>
                            <w:r w:rsidR="00360220" w:rsidRPr="006D6B7A">
                              <w:rPr>
                                <w:rFonts w:eastAsia="Times New Roman" w:cstheme="minorHAnsi"/>
                                <w:color w:val="000000"/>
                                <w:sz w:val="20"/>
                                <w:szCs w:val="20"/>
                              </w:rPr>
                              <w:t>.</w:t>
                            </w:r>
                          </w:p>
                          <w:p w14:paraId="4ACD992A" w14:textId="77777777" w:rsidR="00782454" w:rsidRDefault="00474860" w:rsidP="00782454">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some amount on improving the use of technology</w:t>
                            </w:r>
                            <w:r w:rsidR="00360220">
                              <w:rPr>
                                <w:rFonts w:eastAsia="Times New Roman" w:cstheme="minorHAnsi"/>
                                <w:color w:val="000000"/>
                                <w:sz w:val="20"/>
                                <w:szCs w:val="20"/>
                              </w:rPr>
                              <w:t>.</w:t>
                            </w:r>
                          </w:p>
                          <w:p w14:paraId="7F8AC55A" w14:textId="31D3A4B7" w:rsidR="00D14842" w:rsidRPr="00471624" w:rsidRDefault="00474860" w:rsidP="00012662">
                            <w:pPr>
                              <w:numPr>
                                <w:ilvl w:val="0"/>
                                <w:numId w:val="27"/>
                              </w:numPr>
                              <w:spacing w:after="0" w:line="240" w:lineRule="auto"/>
                              <w:ind w:left="360" w:hanging="270"/>
                              <w:rPr>
                                <w:sz w:val="20"/>
                              </w:rPr>
                            </w:pPr>
                            <w:r w:rsidRPr="00471624">
                              <w:rPr>
                                <w:rFonts w:eastAsia="Times New Roman" w:cstheme="minorHAnsi"/>
                                <w:color w:val="000000"/>
                                <w:sz w:val="20"/>
                                <w:szCs w:val="20"/>
                              </w:rPr>
                              <w:t>Spend the remainder on activities that support any/all of the three priorities</w:t>
                            </w:r>
                            <w:r w:rsidR="00360220" w:rsidRPr="00471624">
                              <w:rPr>
                                <w:rFonts w:eastAsia="Times New Roman" w:cstheme="minorHAnsi"/>
                                <w:color w:val="00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F782" id="_x0000_s1027" type="#_x0000_t202" alt="&quot;&quot;" style="position:absolute;margin-left:3pt;margin-top:37.2pt;width:320.25pt;height:2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" strokecolor="#365f91 [2404]" strokeweight=".25pt">
                <v:shadow on="t" color="black" opacity="26214f" origin="-.5,-.5" offset=".74836mm,.74836mm"/>
                <v:textbox>
                  <w:txbxContent>
                    <w:p w14:paraId="01D08824" w14:textId="2FC8BFA6" w:rsidR="00D14842" w:rsidRDefault="00D14842" w:rsidP="00D14842">
                      <w:pPr>
                        <w:spacing w:after="0"/>
                        <w:rPr>
                          <w:b/>
                          <w:color w:val="1F497D" w:themeColor="text2"/>
                          <w:sz w:val="24"/>
                          <w:szCs w:val="28"/>
                        </w:rPr>
                      </w:pPr>
                      <w:r>
                        <w:rPr>
                          <w:b/>
                          <w:color w:val="1F497D" w:themeColor="text2"/>
                          <w:sz w:val="24"/>
                          <w:szCs w:val="28"/>
                        </w:rPr>
                        <w:t>Allocations</w:t>
                      </w:r>
                      <w:r w:rsidR="00175BED">
                        <w:rPr>
                          <w:b/>
                          <w:color w:val="1F497D" w:themeColor="text2"/>
                          <w:sz w:val="24"/>
                          <w:szCs w:val="28"/>
                        </w:rPr>
                        <w:t xml:space="preserve"> Reminder</w:t>
                      </w:r>
                    </w:p>
                    <w:p w14:paraId="5E661047" w14:textId="5F688DDE" w:rsidR="00D14842" w:rsidRPr="005C4DB3" w:rsidRDefault="00D14842" w:rsidP="00433B43">
                      <w:pPr>
                        <w:spacing w:after="0" w:line="240" w:lineRule="auto"/>
                        <w:rPr>
                          <w:b/>
                          <w:sz w:val="20"/>
                          <w:szCs w:val="20"/>
                        </w:rPr>
                      </w:pPr>
                      <w:r w:rsidRPr="005C4DB3">
                        <w:rPr>
                          <w:b/>
                          <w:sz w:val="20"/>
                          <w:szCs w:val="20"/>
                        </w:rPr>
                        <w:t xml:space="preserve">Districts </w:t>
                      </w:r>
                      <w:r w:rsidR="0056259C">
                        <w:rPr>
                          <w:b/>
                          <w:sz w:val="20"/>
                          <w:szCs w:val="20"/>
                        </w:rPr>
                        <w:t>that receive</w:t>
                      </w:r>
                      <w:r w:rsidRPr="005C4DB3">
                        <w:rPr>
                          <w:b/>
                          <w:sz w:val="20"/>
                          <w:szCs w:val="20"/>
                        </w:rPr>
                        <w:t xml:space="preserve"> less than $30,000</w:t>
                      </w:r>
                      <w:r w:rsidR="00474860" w:rsidRPr="005C4DB3">
                        <w:rPr>
                          <w:b/>
                          <w:sz w:val="20"/>
                          <w:szCs w:val="20"/>
                        </w:rPr>
                        <w:t xml:space="preserve"> must:</w:t>
                      </w:r>
                    </w:p>
                    <w:p w14:paraId="1F98FFB4" w14:textId="006E413B" w:rsidR="00474860" w:rsidRPr="005C4DB3" w:rsidRDefault="00360220" w:rsidP="00433B43">
                      <w:pPr>
                        <w:pStyle w:val="ListParagraph"/>
                        <w:numPr>
                          <w:ilvl w:val="0"/>
                          <w:numId w:val="27"/>
                        </w:numPr>
                        <w:spacing w:line="240" w:lineRule="auto"/>
                        <w:ind w:left="360" w:hanging="270"/>
                        <w:rPr>
                          <w:sz w:val="20"/>
                          <w:szCs w:val="20"/>
                        </w:rPr>
                      </w:pPr>
                      <w:r>
                        <w:rPr>
                          <w:sz w:val="20"/>
                          <w:szCs w:val="20"/>
                        </w:rPr>
                        <w:t>S</w:t>
                      </w:r>
                      <w:r w:rsidR="00D14842" w:rsidRPr="005C4DB3">
                        <w:rPr>
                          <w:sz w:val="20"/>
                          <w:szCs w:val="20"/>
                        </w:rPr>
                        <w:t>pend funds on one or more of</w:t>
                      </w:r>
                      <w:r>
                        <w:rPr>
                          <w:sz w:val="20"/>
                          <w:szCs w:val="20"/>
                        </w:rPr>
                        <w:t xml:space="preserve"> the</w:t>
                      </w:r>
                      <w:r w:rsidR="00D14842" w:rsidRPr="005C4DB3">
                        <w:rPr>
                          <w:sz w:val="20"/>
                          <w:szCs w:val="20"/>
                        </w:rPr>
                        <w:t xml:space="preserve"> </w:t>
                      </w:r>
                      <w:r w:rsidRPr="00474860">
                        <w:rPr>
                          <w:rFonts w:eastAsia="Times New Roman" w:cstheme="minorHAnsi"/>
                          <w:color w:val="000000"/>
                          <w:sz w:val="20"/>
                          <w:szCs w:val="20"/>
                        </w:rPr>
                        <w:t xml:space="preserve">Title IV, Part A priorities </w:t>
                      </w:r>
                      <w:r w:rsidR="00D14842" w:rsidRPr="005C4DB3">
                        <w:rPr>
                          <w:sz w:val="20"/>
                          <w:szCs w:val="20"/>
                        </w:rPr>
                        <w:t xml:space="preserve">listed </w:t>
                      </w:r>
                      <w:r w:rsidR="00FA36EE">
                        <w:rPr>
                          <w:sz w:val="20"/>
                          <w:szCs w:val="20"/>
                        </w:rPr>
                        <w:t>at the very top of this guide</w:t>
                      </w:r>
                      <w:r w:rsidR="00D14842" w:rsidRPr="005C4DB3">
                        <w:rPr>
                          <w:sz w:val="20"/>
                          <w:szCs w:val="20"/>
                        </w:rPr>
                        <w:t>.</w:t>
                      </w:r>
                    </w:p>
                    <w:p w14:paraId="648ABAE4" w14:textId="45A65724" w:rsidR="00474860" w:rsidRPr="005C4DB3" w:rsidRDefault="00474860" w:rsidP="00433B43">
                      <w:pPr>
                        <w:pStyle w:val="ListParagraph"/>
                        <w:spacing w:after="0" w:line="240" w:lineRule="auto"/>
                        <w:ind w:left="0"/>
                        <w:rPr>
                          <w:b/>
                          <w:sz w:val="20"/>
                          <w:szCs w:val="20"/>
                        </w:rPr>
                      </w:pPr>
                      <w:r w:rsidRPr="005C4DB3">
                        <w:rPr>
                          <w:b/>
                          <w:sz w:val="20"/>
                          <w:szCs w:val="20"/>
                        </w:rPr>
                        <w:t xml:space="preserve">Districts </w:t>
                      </w:r>
                      <w:r w:rsidR="001A3E4F">
                        <w:rPr>
                          <w:b/>
                          <w:sz w:val="20"/>
                          <w:szCs w:val="20"/>
                        </w:rPr>
                        <w:t>that receive</w:t>
                      </w:r>
                      <w:r w:rsidR="00FA36EE">
                        <w:rPr>
                          <w:b/>
                          <w:sz w:val="20"/>
                          <w:szCs w:val="20"/>
                        </w:rPr>
                        <w:t xml:space="preserve"> </w:t>
                      </w:r>
                      <w:r w:rsidRPr="005C4DB3">
                        <w:rPr>
                          <w:b/>
                          <w:sz w:val="20"/>
                          <w:szCs w:val="20"/>
                        </w:rPr>
                        <w:t>$30,00</w:t>
                      </w:r>
                      <w:r w:rsidR="003C1359">
                        <w:rPr>
                          <w:b/>
                          <w:sz w:val="20"/>
                          <w:szCs w:val="20"/>
                        </w:rPr>
                        <w:t xml:space="preserve"> (</w:t>
                      </w:r>
                      <w:r w:rsidR="00471624">
                        <w:rPr>
                          <w:b/>
                          <w:i/>
                          <w:sz w:val="20"/>
                          <w:szCs w:val="28"/>
                        </w:rPr>
                        <w:t>i</w:t>
                      </w:r>
                      <w:r w:rsidR="003C1359" w:rsidRPr="00782454">
                        <w:rPr>
                          <w:b/>
                          <w:i/>
                          <w:sz w:val="20"/>
                          <w:szCs w:val="28"/>
                        </w:rPr>
                        <w:t>ncluding funds that are “flexed” from Title IIA into Title IVA</w:t>
                      </w:r>
                      <w:r w:rsidR="00471624">
                        <w:rPr>
                          <w:b/>
                          <w:sz w:val="20"/>
                          <w:szCs w:val="20"/>
                        </w:rPr>
                        <w:t>)</w:t>
                      </w:r>
                      <w:r w:rsidRPr="005C4DB3">
                        <w:rPr>
                          <w:b/>
                          <w:sz w:val="20"/>
                          <w:szCs w:val="20"/>
                        </w:rPr>
                        <w:t xml:space="preserve"> </w:t>
                      </w:r>
                      <w:r w:rsidR="00FA36EE">
                        <w:rPr>
                          <w:b/>
                          <w:sz w:val="20"/>
                          <w:szCs w:val="20"/>
                        </w:rPr>
                        <w:t xml:space="preserve">or </w:t>
                      </w:r>
                      <w:r w:rsidR="00433B43">
                        <w:rPr>
                          <w:b/>
                          <w:sz w:val="20"/>
                          <w:szCs w:val="20"/>
                        </w:rPr>
                        <w:t>more</w:t>
                      </w:r>
                      <w:r w:rsidR="00FA36EE">
                        <w:rPr>
                          <w:b/>
                          <w:sz w:val="20"/>
                          <w:szCs w:val="20"/>
                        </w:rPr>
                        <w:t xml:space="preserve"> </w:t>
                      </w:r>
                      <w:r w:rsidRPr="005C4DB3">
                        <w:rPr>
                          <w:b/>
                          <w:sz w:val="20"/>
                          <w:szCs w:val="20"/>
                        </w:rPr>
                        <w:t>must:</w:t>
                      </w:r>
                    </w:p>
                    <w:p w14:paraId="6688DC7A" w14:textId="3107E7CE" w:rsidR="00474860" w:rsidRPr="00474860" w:rsidRDefault="00474860" w:rsidP="00433B43">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Conduct a comprehensive needs assessment that includ</w:t>
                      </w:r>
                      <w:r w:rsidR="0056259C">
                        <w:rPr>
                          <w:rFonts w:eastAsia="Times New Roman" w:cstheme="minorHAnsi"/>
                          <w:color w:val="000000"/>
                          <w:sz w:val="20"/>
                          <w:szCs w:val="20"/>
                        </w:rPr>
                        <w:t>es a focus on the Title IV</w:t>
                      </w:r>
                      <w:r w:rsidRPr="00474860">
                        <w:rPr>
                          <w:rFonts w:eastAsia="Times New Roman" w:cstheme="minorHAnsi"/>
                          <w:color w:val="000000"/>
                          <w:sz w:val="20"/>
                          <w:szCs w:val="20"/>
                        </w:rPr>
                        <w:t>A priorities</w:t>
                      </w:r>
                      <w:r w:rsidR="0056259C">
                        <w:rPr>
                          <w:rFonts w:eastAsia="Times New Roman" w:cstheme="minorHAnsi"/>
                          <w:color w:val="000000"/>
                          <w:sz w:val="20"/>
                          <w:szCs w:val="20"/>
                        </w:rPr>
                        <w:t xml:space="preserve"> (see </w:t>
                      </w:r>
                      <w:r w:rsidR="00360220">
                        <w:rPr>
                          <w:rFonts w:eastAsia="Times New Roman" w:cstheme="minorHAnsi"/>
                          <w:color w:val="000000"/>
                          <w:sz w:val="20"/>
                          <w:szCs w:val="20"/>
                        </w:rPr>
                        <w:t>above</w:t>
                      </w:r>
                      <w:r w:rsidR="0056259C">
                        <w:rPr>
                          <w:rFonts w:eastAsia="Times New Roman" w:cstheme="minorHAnsi"/>
                          <w:color w:val="000000"/>
                          <w:sz w:val="20"/>
                          <w:szCs w:val="20"/>
                        </w:rPr>
                        <w:t>)</w:t>
                      </w:r>
                      <w:r w:rsidR="00433B43">
                        <w:rPr>
                          <w:rFonts w:eastAsia="Times New Roman" w:cstheme="minorHAnsi"/>
                          <w:color w:val="000000"/>
                          <w:sz w:val="20"/>
                          <w:szCs w:val="20"/>
                        </w:rPr>
                        <w:t>.</w:t>
                      </w:r>
                      <w:r w:rsidRPr="00474860">
                        <w:rPr>
                          <w:rFonts w:eastAsia="Times New Roman" w:cstheme="minorHAnsi"/>
                          <w:color w:val="000000"/>
                          <w:sz w:val="20"/>
                          <w:szCs w:val="20"/>
                        </w:rPr>
                        <w:t xml:space="preserve"> </w:t>
                      </w:r>
                      <w:r w:rsidR="00360220">
                        <w:rPr>
                          <w:rFonts w:eastAsia="Times New Roman" w:cstheme="minorHAnsi"/>
                          <w:color w:val="000000"/>
                          <w:sz w:val="20"/>
                          <w:szCs w:val="20"/>
                        </w:rPr>
                        <w:br/>
                      </w:r>
                      <w:r w:rsidRPr="006D6B7A">
                        <w:rPr>
                          <w:rFonts w:eastAsia="Times New Roman" w:cstheme="minorHAnsi"/>
                          <w:b/>
                          <w:bCs/>
                          <w:i/>
                          <w:iCs/>
                          <w:color w:val="000000"/>
                          <w:sz w:val="18"/>
                          <w:szCs w:val="18"/>
                        </w:rPr>
                        <w:t>Note:</w:t>
                      </w:r>
                      <w:r w:rsidRPr="006D6B7A">
                        <w:rPr>
                          <w:rFonts w:eastAsia="Times New Roman" w:cstheme="minorHAnsi"/>
                          <w:i/>
                          <w:iCs/>
                          <w:color w:val="000000"/>
                          <w:sz w:val="18"/>
                          <w:szCs w:val="18"/>
                        </w:rPr>
                        <w:t xml:space="preserve"> Districts may fulfill (or </w:t>
                      </w:r>
                      <w:r w:rsidR="0056259C" w:rsidRPr="006D6B7A">
                        <w:rPr>
                          <w:rFonts w:eastAsia="Times New Roman" w:cstheme="minorHAnsi"/>
                          <w:i/>
                          <w:iCs/>
                          <w:color w:val="000000"/>
                          <w:sz w:val="18"/>
                          <w:szCs w:val="18"/>
                        </w:rPr>
                        <w:t xml:space="preserve">may </w:t>
                      </w:r>
                      <w:r w:rsidRPr="006D6B7A">
                        <w:rPr>
                          <w:rFonts w:eastAsia="Times New Roman" w:cstheme="minorHAnsi"/>
                          <w:i/>
                          <w:iCs/>
                          <w:color w:val="000000"/>
                          <w:sz w:val="18"/>
                          <w:szCs w:val="18"/>
                        </w:rPr>
                        <w:t>have fulfilled) this requirement as part of the development of the districts' strategic plan, improvement plan, etc.</w:t>
                      </w:r>
                    </w:p>
                    <w:p w14:paraId="4482CA3D" w14:textId="0A656550" w:rsidR="00474860" w:rsidRPr="006D6B7A" w:rsidRDefault="00474860" w:rsidP="006D6B7A">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 xml:space="preserve">Spend at least 20% of the allocation on access to well-rounded educational </w:t>
                      </w:r>
                      <w:r w:rsidR="00EC5E2F" w:rsidRPr="00474860">
                        <w:rPr>
                          <w:rFonts w:eastAsia="Times New Roman" w:cstheme="minorHAnsi"/>
                          <w:color w:val="000000"/>
                          <w:sz w:val="20"/>
                          <w:szCs w:val="20"/>
                        </w:rPr>
                        <w:t>opportunities</w:t>
                      </w:r>
                      <w:r w:rsidR="00EC5E2F">
                        <w:rPr>
                          <w:rFonts w:eastAsia="Times New Roman" w:cstheme="minorHAnsi"/>
                          <w:color w:val="000000"/>
                          <w:sz w:val="20"/>
                          <w:szCs w:val="20"/>
                        </w:rPr>
                        <w:t xml:space="preserve"> and</w:t>
                      </w:r>
                      <w:r w:rsidR="006D6B7A">
                        <w:rPr>
                          <w:rFonts w:eastAsia="Times New Roman" w:cstheme="minorHAnsi"/>
                          <w:color w:val="000000"/>
                          <w:sz w:val="20"/>
                          <w:szCs w:val="20"/>
                        </w:rPr>
                        <w:t xml:space="preserve"> s</w:t>
                      </w:r>
                      <w:r w:rsidRPr="006D6B7A">
                        <w:rPr>
                          <w:rFonts w:eastAsia="Times New Roman" w:cstheme="minorHAnsi"/>
                          <w:color w:val="000000"/>
                          <w:sz w:val="20"/>
                          <w:szCs w:val="20"/>
                        </w:rPr>
                        <w:t>pend at least 20% of the allocation on safe and healthy schools</w:t>
                      </w:r>
                      <w:r w:rsidR="00360220" w:rsidRPr="006D6B7A">
                        <w:rPr>
                          <w:rFonts w:eastAsia="Times New Roman" w:cstheme="minorHAnsi"/>
                          <w:color w:val="000000"/>
                          <w:sz w:val="20"/>
                          <w:szCs w:val="20"/>
                        </w:rPr>
                        <w:t>.</w:t>
                      </w:r>
                    </w:p>
                    <w:p w14:paraId="4ACD992A" w14:textId="77777777" w:rsidR="00782454" w:rsidRDefault="00474860" w:rsidP="00782454">
                      <w:pPr>
                        <w:numPr>
                          <w:ilvl w:val="0"/>
                          <w:numId w:val="27"/>
                        </w:numPr>
                        <w:spacing w:after="0" w:line="240" w:lineRule="auto"/>
                        <w:ind w:left="360" w:hanging="270"/>
                        <w:rPr>
                          <w:rFonts w:eastAsia="Times New Roman" w:cstheme="minorHAnsi"/>
                          <w:color w:val="000000"/>
                          <w:sz w:val="20"/>
                          <w:szCs w:val="20"/>
                        </w:rPr>
                      </w:pPr>
                      <w:r w:rsidRPr="00474860">
                        <w:rPr>
                          <w:rFonts w:eastAsia="Times New Roman" w:cstheme="minorHAnsi"/>
                          <w:color w:val="000000"/>
                          <w:sz w:val="20"/>
                          <w:szCs w:val="20"/>
                        </w:rPr>
                        <w:t>Spend some amount on improving the use of technology</w:t>
                      </w:r>
                      <w:r w:rsidR="00360220">
                        <w:rPr>
                          <w:rFonts w:eastAsia="Times New Roman" w:cstheme="minorHAnsi"/>
                          <w:color w:val="000000"/>
                          <w:sz w:val="20"/>
                          <w:szCs w:val="20"/>
                        </w:rPr>
                        <w:t>.</w:t>
                      </w:r>
                    </w:p>
                    <w:p w14:paraId="7F8AC55A" w14:textId="31D3A4B7" w:rsidR="00D14842" w:rsidRPr="00471624" w:rsidRDefault="00474860" w:rsidP="00012662">
                      <w:pPr>
                        <w:numPr>
                          <w:ilvl w:val="0"/>
                          <w:numId w:val="27"/>
                        </w:numPr>
                        <w:spacing w:after="0" w:line="240" w:lineRule="auto"/>
                        <w:ind w:left="360" w:hanging="270"/>
                        <w:rPr>
                          <w:sz w:val="20"/>
                        </w:rPr>
                      </w:pPr>
                      <w:r w:rsidRPr="00471624">
                        <w:rPr>
                          <w:rFonts w:eastAsia="Times New Roman" w:cstheme="minorHAnsi"/>
                          <w:color w:val="000000"/>
                          <w:sz w:val="20"/>
                          <w:szCs w:val="20"/>
                        </w:rPr>
                        <w:t>Spend the remainder on activities that support any/all of the three priorities</w:t>
                      </w:r>
                      <w:r w:rsidR="00360220" w:rsidRPr="00471624">
                        <w:rPr>
                          <w:rFonts w:eastAsia="Times New Roman" w:cstheme="minorHAnsi"/>
                          <w:color w:val="000000"/>
                          <w:sz w:val="20"/>
                          <w:szCs w:val="20"/>
                        </w:rPr>
                        <w:t>.</w:t>
                      </w:r>
                    </w:p>
                  </w:txbxContent>
                </v:textbox>
                <w10:wrap anchorx="margin"/>
              </v:shape>
            </w:pict>
          </mc:Fallback>
        </mc:AlternateContent>
      </w:r>
      <w:r w:rsidR="000A6682">
        <w:rPr>
          <w:b/>
          <w:i/>
          <w:sz w:val="4"/>
          <w:szCs w:val="4"/>
        </w:rPr>
        <w:br/>
      </w:r>
      <w:r w:rsidR="00E314CC" w:rsidRPr="00433B43">
        <w:rPr>
          <w:b/>
          <w:i/>
          <w:sz w:val="20"/>
          <w:szCs w:val="20"/>
        </w:rPr>
        <w:t xml:space="preserve">Please note: This is not an exhaustive list. </w:t>
      </w:r>
      <w:hyperlink r:id="rId13" w:history="1">
        <w:r w:rsidR="00E314CC" w:rsidRPr="00433B43">
          <w:rPr>
            <w:rStyle w:val="Hyperlink"/>
            <w:rFonts w:cstheme="minorBidi"/>
            <w:b/>
            <w:i/>
            <w:sz w:val="20"/>
            <w:szCs w:val="20"/>
          </w:rPr>
          <w:t>Contact</w:t>
        </w:r>
      </w:hyperlink>
      <w:r w:rsidR="00E314CC" w:rsidRPr="00433B43">
        <w:rPr>
          <w:b/>
          <w:i/>
          <w:sz w:val="20"/>
          <w:szCs w:val="20"/>
        </w:rPr>
        <w:t xml:space="preserve"> our office for more specific, situational and fiscal guidance as needed.</w:t>
      </w:r>
      <w:r w:rsidR="00FC6D6E" w:rsidRPr="00144928">
        <w:rPr>
          <w:b/>
          <w:color w:val="E36C0A" w:themeColor="accent6" w:themeShade="BF"/>
          <w:sz w:val="12"/>
          <w:szCs w:val="12"/>
        </w:rPr>
        <w:t xml:space="preserve"> </w:t>
      </w:r>
      <w:r w:rsidR="00DD5E07">
        <w:rPr>
          <w:b/>
          <w:i/>
          <w:sz w:val="20"/>
          <w:szCs w:val="20"/>
        </w:rPr>
        <w:t xml:space="preserve">This document is sourced directly from the </w:t>
      </w:r>
      <w:hyperlink r:id="rId14" w:history="1">
        <w:r w:rsidR="00DD5E07" w:rsidRPr="003C1F1C">
          <w:rPr>
            <w:rStyle w:val="Hyperlink"/>
            <w:rFonts w:cstheme="minorBidi"/>
            <w:b/>
            <w:i/>
            <w:sz w:val="20"/>
            <w:szCs w:val="20"/>
          </w:rPr>
          <w:t>US Department of Education’s Non-Regulatory Guidance for SSAE Grants</w:t>
        </w:r>
      </w:hyperlink>
      <w:r w:rsidR="00DD5E07">
        <w:rPr>
          <w:b/>
          <w:i/>
          <w:sz w:val="20"/>
          <w:szCs w:val="20"/>
        </w:rPr>
        <w:t>.</w:t>
      </w:r>
    </w:p>
    <w:p w14:paraId="17337781" w14:textId="2EECF509" w:rsidR="00916080" w:rsidRDefault="00916080" w:rsidP="000D4A11">
      <w:pPr>
        <w:spacing w:after="0" w:line="240" w:lineRule="auto"/>
        <w:rPr>
          <w:sz w:val="8"/>
          <w:szCs w:val="8"/>
        </w:rPr>
      </w:pPr>
    </w:p>
    <w:p w14:paraId="386398EE" w14:textId="274657D6" w:rsidR="00916080" w:rsidRDefault="00916080" w:rsidP="000D4A11">
      <w:pPr>
        <w:spacing w:after="0" w:line="240" w:lineRule="auto"/>
        <w:rPr>
          <w:sz w:val="8"/>
          <w:szCs w:val="8"/>
        </w:rPr>
      </w:pPr>
    </w:p>
    <w:p w14:paraId="6458EC0A" w14:textId="7796A0C3" w:rsidR="00916080" w:rsidRDefault="00916080" w:rsidP="000D4A11">
      <w:pPr>
        <w:spacing w:after="0" w:line="240" w:lineRule="auto"/>
        <w:rPr>
          <w:sz w:val="8"/>
          <w:szCs w:val="8"/>
        </w:rPr>
      </w:pPr>
    </w:p>
    <w:p w14:paraId="18476A36" w14:textId="688E363F" w:rsidR="00916080" w:rsidRDefault="00916080" w:rsidP="000D4A11">
      <w:pPr>
        <w:spacing w:after="0" w:line="240" w:lineRule="auto"/>
        <w:rPr>
          <w:sz w:val="8"/>
          <w:szCs w:val="8"/>
        </w:rPr>
      </w:pPr>
    </w:p>
    <w:p w14:paraId="6B69F178" w14:textId="77777777" w:rsidR="00916080" w:rsidRDefault="00916080" w:rsidP="000D4A11">
      <w:pPr>
        <w:spacing w:after="0" w:line="240" w:lineRule="auto"/>
        <w:rPr>
          <w:sz w:val="8"/>
          <w:szCs w:val="8"/>
        </w:rPr>
      </w:pPr>
    </w:p>
    <w:p w14:paraId="680C6B69" w14:textId="528276CA" w:rsidR="00916080" w:rsidRDefault="00916080" w:rsidP="000D4A11">
      <w:pPr>
        <w:spacing w:after="0" w:line="240" w:lineRule="auto"/>
        <w:rPr>
          <w:sz w:val="8"/>
          <w:szCs w:val="8"/>
        </w:rPr>
      </w:pPr>
    </w:p>
    <w:p w14:paraId="66A24000" w14:textId="77777777" w:rsidR="00916080" w:rsidRDefault="00916080" w:rsidP="000D4A11">
      <w:pPr>
        <w:spacing w:after="0" w:line="240" w:lineRule="auto"/>
        <w:rPr>
          <w:sz w:val="8"/>
          <w:szCs w:val="8"/>
        </w:rPr>
      </w:pPr>
    </w:p>
    <w:p w14:paraId="75EE7C0F" w14:textId="77777777" w:rsidR="00916080" w:rsidRDefault="00916080" w:rsidP="000D4A11">
      <w:pPr>
        <w:spacing w:after="0" w:line="240" w:lineRule="auto"/>
        <w:rPr>
          <w:sz w:val="8"/>
          <w:szCs w:val="8"/>
        </w:rPr>
      </w:pPr>
    </w:p>
    <w:p w14:paraId="5F4E2900" w14:textId="0582DC00" w:rsidR="00916080" w:rsidRDefault="00916080" w:rsidP="000D4A11">
      <w:pPr>
        <w:spacing w:after="0" w:line="240" w:lineRule="auto"/>
        <w:rPr>
          <w:sz w:val="8"/>
          <w:szCs w:val="8"/>
        </w:rPr>
      </w:pPr>
    </w:p>
    <w:p w14:paraId="7B2BFC2C" w14:textId="71B22B26" w:rsidR="00916080" w:rsidRDefault="00916080" w:rsidP="000D4A11">
      <w:pPr>
        <w:spacing w:after="0" w:line="240" w:lineRule="auto"/>
        <w:rPr>
          <w:sz w:val="8"/>
          <w:szCs w:val="8"/>
        </w:rPr>
      </w:pPr>
    </w:p>
    <w:p w14:paraId="0D11EEB5" w14:textId="36D41B7B" w:rsidR="00916080" w:rsidRDefault="00916080" w:rsidP="000D4A11">
      <w:pPr>
        <w:spacing w:after="0" w:line="240" w:lineRule="auto"/>
        <w:rPr>
          <w:sz w:val="8"/>
          <w:szCs w:val="8"/>
        </w:rPr>
      </w:pPr>
    </w:p>
    <w:p w14:paraId="73B1CDB7" w14:textId="77777777" w:rsidR="00916080" w:rsidRDefault="00916080" w:rsidP="000D4A11">
      <w:pPr>
        <w:spacing w:after="0" w:line="240" w:lineRule="auto"/>
        <w:rPr>
          <w:sz w:val="8"/>
          <w:szCs w:val="8"/>
        </w:rPr>
      </w:pPr>
    </w:p>
    <w:p w14:paraId="04E5B25D" w14:textId="77777777" w:rsidR="00916080" w:rsidRDefault="00916080" w:rsidP="000D4A11">
      <w:pPr>
        <w:spacing w:after="0" w:line="240" w:lineRule="auto"/>
        <w:rPr>
          <w:sz w:val="8"/>
          <w:szCs w:val="8"/>
        </w:rPr>
      </w:pPr>
    </w:p>
    <w:p w14:paraId="24C6DD59" w14:textId="3C089A82" w:rsidR="00916080" w:rsidRDefault="00916080" w:rsidP="000D4A11">
      <w:pPr>
        <w:spacing w:after="0" w:line="240" w:lineRule="auto"/>
        <w:rPr>
          <w:sz w:val="8"/>
          <w:szCs w:val="8"/>
        </w:rPr>
      </w:pPr>
    </w:p>
    <w:p w14:paraId="672C4AE2" w14:textId="4EB75381" w:rsidR="00916080" w:rsidRDefault="00916080" w:rsidP="000D4A11">
      <w:pPr>
        <w:spacing w:after="0" w:line="240" w:lineRule="auto"/>
        <w:rPr>
          <w:sz w:val="8"/>
          <w:szCs w:val="8"/>
        </w:rPr>
      </w:pPr>
    </w:p>
    <w:p w14:paraId="58E8D41D" w14:textId="77777777" w:rsidR="00916080" w:rsidRDefault="00916080" w:rsidP="000D4A11">
      <w:pPr>
        <w:spacing w:after="0" w:line="240" w:lineRule="auto"/>
        <w:rPr>
          <w:sz w:val="8"/>
          <w:szCs w:val="8"/>
        </w:rPr>
      </w:pPr>
    </w:p>
    <w:p w14:paraId="5D4110BC" w14:textId="5377A8D1" w:rsidR="00916080" w:rsidRDefault="00916080" w:rsidP="000D4A11">
      <w:pPr>
        <w:spacing w:after="0" w:line="240" w:lineRule="auto"/>
        <w:rPr>
          <w:sz w:val="8"/>
          <w:szCs w:val="8"/>
        </w:rPr>
      </w:pPr>
    </w:p>
    <w:p w14:paraId="438BAE50" w14:textId="77777777" w:rsidR="00916080" w:rsidRDefault="00916080" w:rsidP="000D4A11">
      <w:pPr>
        <w:spacing w:after="0" w:line="240" w:lineRule="auto"/>
        <w:rPr>
          <w:sz w:val="8"/>
          <w:szCs w:val="8"/>
        </w:rPr>
      </w:pPr>
    </w:p>
    <w:p w14:paraId="1F1A7492" w14:textId="098442A9" w:rsidR="00916080" w:rsidRDefault="00916080" w:rsidP="000D4A11">
      <w:pPr>
        <w:spacing w:after="0" w:line="240" w:lineRule="auto"/>
        <w:rPr>
          <w:sz w:val="8"/>
          <w:szCs w:val="8"/>
        </w:rPr>
      </w:pPr>
    </w:p>
    <w:p w14:paraId="1D0DB835" w14:textId="77777777" w:rsidR="00916080" w:rsidRDefault="00916080" w:rsidP="000D4A11">
      <w:pPr>
        <w:spacing w:after="0" w:line="240" w:lineRule="auto"/>
        <w:rPr>
          <w:sz w:val="8"/>
          <w:szCs w:val="8"/>
        </w:rPr>
      </w:pPr>
    </w:p>
    <w:p w14:paraId="3C4D1035" w14:textId="77777777" w:rsidR="00916080" w:rsidRDefault="00916080" w:rsidP="000D4A11">
      <w:pPr>
        <w:spacing w:after="0" w:line="240" w:lineRule="auto"/>
        <w:rPr>
          <w:sz w:val="8"/>
          <w:szCs w:val="8"/>
        </w:rPr>
      </w:pPr>
    </w:p>
    <w:p w14:paraId="3459C1AB" w14:textId="77777777" w:rsidR="00916080" w:rsidRDefault="00916080" w:rsidP="000D4A11">
      <w:pPr>
        <w:spacing w:after="0" w:line="240" w:lineRule="auto"/>
        <w:rPr>
          <w:sz w:val="8"/>
          <w:szCs w:val="8"/>
        </w:rPr>
      </w:pPr>
    </w:p>
    <w:p w14:paraId="0A53B5D6" w14:textId="77777777" w:rsidR="00916080" w:rsidRDefault="00916080" w:rsidP="000D4A11">
      <w:pPr>
        <w:spacing w:after="0" w:line="240" w:lineRule="auto"/>
        <w:rPr>
          <w:sz w:val="8"/>
          <w:szCs w:val="8"/>
        </w:rPr>
      </w:pPr>
    </w:p>
    <w:p w14:paraId="14A5D05C" w14:textId="77777777" w:rsidR="00916080" w:rsidRDefault="00916080" w:rsidP="000D4A11">
      <w:pPr>
        <w:spacing w:after="0" w:line="240" w:lineRule="auto"/>
        <w:rPr>
          <w:sz w:val="8"/>
          <w:szCs w:val="8"/>
        </w:rPr>
      </w:pPr>
    </w:p>
    <w:p w14:paraId="36C23984" w14:textId="77777777" w:rsidR="00916080" w:rsidRDefault="00916080" w:rsidP="000D4A11">
      <w:pPr>
        <w:spacing w:after="0" w:line="240" w:lineRule="auto"/>
        <w:rPr>
          <w:sz w:val="8"/>
          <w:szCs w:val="8"/>
        </w:rPr>
      </w:pPr>
    </w:p>
    <w:p w14:paraId="35A810A1" w14:textId="77777777" w:rsidR="00916080" w:rsidRDefault="00916080" w:rsidP="000D4A11">
      <w:pPr>
        <w:spacing w:after="0" w:line="240" w:lineRule="auto"/>
        <w:rPr>
          <w:sz w:val="8"/>
          <w:szCs w:val="8"/>
        </w:rPr>
      </w:pPr>
    </w:p>
    <w:p w14:paraId="17242450" w14:textId="77777777" w:rsidR="00916080" w:rsidRDefault="00916080" w:rsidP="000D4A11">
      <w:pPr>
        <w:spacing w:after="0" w:line="240" w:lineRule="auto"/>
        <w:rPr>
          <w:sz w:val="8"/>
          <w:szCs w:val="8"/>
        </w:rPr>
      </w:pPr>
    </w:p>
    <w:p w14:paraId="57218648" w14:textId="77777777" w:rsidR="00916080" w:rsidRDefault="00916080" w:rsidP="000D4A11">
      <w:pPr>
        <w:spacing w:after="0" w:line="240" w:lineRule="auto"/>
        <w:rPr>
          <w:sz w:val="8"/>
          <w:szCs w:val="8"/>
        </w:rPr>
      </w:pPr>
    </w:p>
    <w:p w14:paraId="193E29AC" w14:textId="77777777" w:rsidR="00916080" w:rsidRDefault="00916080" w:rsidP="000D4A11">
      <w:pPr>
        <w:spacing w:after="0" w:line="240" w:lineRule="auto"/>
        <w:rPr>
          <w:sz w:val="8"/>
          <w:szCs w:val="8"/>
        </w:rPr>
      </w:pPr>
    </w:p>
    <w:p w14:paraId="7D0C3FD4" w14:textId="77777777" w:rsidR="00916080" w:rsidRDefault="00916080" w:rsidP="000D4A11">
      <w:pPr>
        <w:spacing w:after="0" w:line="240" w:lineRule="auto"/>
        <w:rPr>
          <w:sz w:val="8"/>
          <w:szCs w:val="8"/>
        </w:rPr>
      </w:pPr>
    </w:p>
    <w:p w14:paraId="5619B345" w14:textId="77777777" w:rsidR="00916080" w:rsidRDefault="00916080" w:rsidP="000D4A11">
      <w:pPr>
        <w:spacing w:after="0" w:line="240" w:lineRule="auto"/>
        <w:rPr>
          <w:sz w:val="8"/>
          <w:szCs w:val="8"/>
        </w:rPr>
      </w:pPr>
    </w:p>
    <w:p w14:paraId="08468076" w14:textId="77777777" w:rsidR="00916080" w:rsidRDefault="00916080" w:rsidP="000D4A11">
      <w:pPr>
        <w:spacing w:after="0" w:line="240" w:lineRule="auto"/>
        <w:rPr>
          <w:sz w:val="8"/>
          <w:szCs w:val="8"/>
        </w:rPr>
      </w:pPr>
    </w:p>
    <w:p w14:paraId="01D80F2C" w14:textId="77777777" w:rsidR="00916080" w:rsidRDefault="00916080" w:rsidP="000D4A11">
      <w:pPr>
        <w:spacing w:after="0" w:line="240" w:lineRule="auto"/>
        <w:rPr>
          <w:sz w:val="8"/>
          <w:szCs w:val="8"/>
        </w:rPr>
      </w:pPr>
    </w:p>
    <w:p w14:paraId="762D18B3" w14:textId="77777777" w:rsidR="00916080" w:rsidRDefault="00916080" w:rsidP="000D4A11">
      <w:pPr>
        <w:spacing w:after="0" w:line="240" w:lineRule="auto"/>
        <w:rPr>
          <w:sz w:val="8"/>
          <w:szCs w:val="8"/>
        </w:rPr>
      </w:pPr>
    </w:p>
    <w:p w14:paraId="5E8921F9" w14:textId="77777777" w:rsidR="00916080" w:rsidRDefault="00916080" w:rsidP="000D4A11">
      <w:pPr>
        <w:spacing w:after="0" w:line="240" w:lineRule="auto"/>
        <w:rPr>
          <w:sz w:val="8"/>
          <w:szCs w:val="8"/>
        </w:rPr>
      </w:pPr>
    </w:p>
    <w:p w14:paraId="04A97F61" w14:textId="77777777" w:rsidR="00916080" w:rsidRDefault="00916080" w:rsidP="000D4A11">
      <w:pPr>
        <w:spacing w:after="0" w:line="240" w:lineRule="auto"/>
        <w:rPr>
          <w:sz w:val="8"/>
          <w:szCs w:val="8"/>
        </w:rPr>
      </w:pPr>
    </w:p>
    <w:p w14:paraId="07B7235B" w14:textId="5AA592F1" w:rsidR="00916080" w:rsidRDefault="00916080" w:rsidP="000D4A11">
      <w:pPr>
        <w:spacing w:after="0" w:line="240" w:lineRule="auto"/>
        <w:rPr>
          <w:sz w:val="8"/>
          <w:szCs w:val="8"/>
        </w:rPr>
      </w:pPr>
    </w:p>
    <w:p w14:paraId="3D968CC0" w14:textId="77777777" w:rsidR="00916080" w:rsidRDefault="00916080" w:rsidP="000D4A11">
      <w:pPr>
        <w:spacing w:after="0" w:line="240" w:lineRule="auto"/>
        <w:rPr>
          <w:sz w:val="8"/>
          <w:szCs w:val="8"/>
        </w:rPr>
      </w:pPr>
    </w:p>
    <w:p w14:paraId="1CED5033" w14:textId="77777777" w:rsidR="00916080" w:rsidRDefault="00916080" w:rsidP="000D4A11">
      <w:pPr>
        <w:spacing w:after="0" w:line="240" w:lineRule="auto"/>
        <w:rPr>
          <w:sz w:val="8"/>
          <w:szCs w:val="8"/>
        </w:rPr>
      </w:pPr>
    </w:p>
    <w:p w14:paraId="144E98B9" w14:textId="77777777" w:rsidR="00916080" w:rsidRDefault="00916080" w:rsidP="000D4A11">
      <w:pPr>
        <w:spacing w:after="0" w:line="240" w:lineRule="auto"/>
        <w:rPr>
          <w:sz w:val="8"/>
          <w:szCs w:val="8"/>
        </w:rPr>
      </w:pPr>
    </w:p>
    <w:p w14:paraId="437C237A" w14:textId="5C10C5E4" w:rsidR="008A468A" w:rsidRPr="000D4A11" w:rsidRDefault="008A468A" w:rsidP="000D4A11">
      <w:pPr>
        <w:spacing w:after="0" w:line="240" w:lineRule="auto"/>
        <w:rPr>
          <w:sz w:val="8"/>
          <w:szCs w:val="8"/>
        </w:rPr>
      </w:pPr>
    </w:p>
    <w:sectPr w:rsidR="008A468A" w:rsidRPr="000D4A11" w:rsidSect="000C7763">
      <w:headerReference w:type="default" r:id="rId15"/>
      <w:footerReference w:type="default" r:id="rId16"/>
      <w:pgSz w:w="12240" w:h="15840"/>
      <w:pgMar w:top="288" w:right="720" w:bottom="288"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AE869" w14:textId="77777777" w:rsidR="008E3404" w:rsidRDefault="008E3404" w:rsidP="002123C2">
      <w:pPr>
        <w:spacing w:after="0" w:line="240" w:lineRule="auto"/>
      </w:pPr>
      <w:r>
        <w:separator/>
      </w:r>
    </w:p>
  </w:endnote>
  <w:endnote w:type="continuationSeparator" w:id="0">
    <w:p w14:paraId="5D3DB3AF" w14:textId="77777777" w:rsidR="008E3404" w:rsidRDefault="008E3404" w:rsidP="0021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BB5E1" w14:textId="74753738" w:rsidR="00DF4F96" w:rsidRDefault="00456B68" w:rsidP="00B83CC4">
    <w:pPr>
      <w:pStyle w:val="Footer"/>
      <w:rPr>
        <w:sz w:val="20"/>
        <w:szCs w:val="20"/>
      </w:rPr>
    </w:pPr>
    <w:r>
      <w:rPr>
        <w:sz w:val="20"/>
        <w:szCs w:val="20"/>
      </w:rPr>
      <w:tab/>
    </w:r>
    <w:r>
      <w:rPr>
        <w:sz w:val="20"/>
        <w:szCs w:val="20"/>
      </w:rPr>
      <w:tab/>
      <w:t xml:space="preserve">  </w:t>
    </w:r>
    <w:r w:rsidR="00B83CC4" w:rsidRPr="00B83CC4">
      <w:rPr>
        <w:sz w:val="20"/>
        <w:szCs w:val="20"/>
      </w:rPr>
      <w:t>Updated</w:t>
    </w:r>
    <w:r w:rsidR="00F246C3">
      <w:rPr>
        <w:sz w:val="20"/>
        <w:szCs w:val="20"/>
      </w:rPr>
      <w:t xml:space="preserve"> </w:t>
    </w:r>
    <w:r w:rsidR="006821D5">
      <w:rPr>
        <w:sz w:val="20"/>
        <w:szCs w:val="20"/>
      </w:rPr>
      <w:t>June 2024</w:t>
    </w:r>
  </w:p>
  <w:p w14:paraId="2670F81E" w14:textId="7C9556C4" w:rsidR="000C7763" w:rsidRDefault="000C7763" w:rsidP="000C7763">
    <w:pPr>
      <w:pStyle w:val="Footer"/>
      <w:rPr>
        <w:sz w:val="20"/>
        <w:szCs w:val="20"/>
      </w:rPr>
    </w:pPr>
    <w:r w:rsidRPr="00706A3C">
      <w:rPr>
        <w:rFonts w:cstheme="minorHAnsi"/>
        <w:i/>
        <w:iCs/>
        <w:color w:val="595959" w:themeColor="text1" w:themeTint="A6"/>
        <w:sz w:val="18"/>
        <w:szCs w:val="18"/>
        <w:shd w:val="clear" w:color="auto" w:fill="FFFFFF"/>
      </w:rPr>
      <w:t>The contents of this document do not have the force and effect of law and are not meant to bind the public in any way; they are intended only to provide clarity to the public regarding existing requirements under the law or agency policies.</w:t>
    </w:r>
  </w:p>
  <w:p w14:paraId="459E5DA2" w14:textId="77777777" w:rsidR="000C7763" w:rsidRPr="00B83CC4" w:rsidRDefault="000C7763" w:rsidP="00B83CC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1A159" w14:textId="77777777" w:rsidR="008E3404" w:rsidRDefault="008E3404" w:rsidP="002123C2">
      <w:pPr>
        <w:spacing w:after="0" w:line="240" w:lineRule="auto"/>
      </w:pPr>
      <w:r>
        <w:separator/>
      </w:r>
    </w:p>
  </w:footnote>
  <w:footnote w:type="continuationSeparator" w:id="0">
    <w:p w14:paraId="18467BAD" w14:textId="77777777" w:rsidR="008E3404" w:rsidRDefault="008E3404" w:rsidP="0021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16A8" w14:textId="77777777" w:rsidR="00DF4F96" w:rsidRPr="00F71E79" w:rsidRDefault="00DF4F96" w:rsidP="002E041D">
    <w:pPr>
      <w:pStyle w:val="Heading1"/>
      <w:tabs>
        <w:tab w:val="left" w:pos="337"/>
        <w:tab w:val="center" w:pos="5112"/>
      </w:tabs>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37A"/>
    <w:multiLevelType w:val="hybridMultilevel"/>
    <w:tmpl w:val="60306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1" w15:restartNumberingAfterBreak="0">
    <w:nsid w:val="06D84844"/>
    <w:multiLevelType w:val="hybridMultilevel"/>
    <w:tmpl w:val="21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63E1F"/>
    <w:multiLevelType w:val="hybridMultilevel"/>
    <w:tmpl w:val="5608EC0E"/>
    <w:lvl w:ilvl="0" w:tplc="AF70F6EA">
      <w:start w:val="1"/>
      <w:numFmt w:val="bullet"/>
      <w:pStyle w:val="Bullet1"/>
      <w:lvlText w:val=""/>
      <w:lvlJc w:val="left"/>
      <w:pPr>
        <w:ind w:left="720" w:hanging="360"/>
      </w:pPr>
      <w:rPr>
        <w:rFonts w:ascii="Wingdings" w:hAnsi="Wingdings" w:hint="default"/>
        <w:b w:val="0"/>
        <w:i w:val="0"/>
        <w:color w:val="E15D15"/>
        <w:sz w:val="24"/>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F6AE2"/>
    <w:multiLevelType w:val="hybridMultilevel"/>
    <w:tmpl w:val="4D34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F3D5F"/>
    <w:multiLevelType w:val="hybridMultilevel"/>
    <w:tmpl w:val="67743B12"/>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C243D"/>
    <w:multiLevelType w:val="hybridMultilevel"/>
    <w:tmpl w:val="C60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450A5"/>
    <w:multiLevelType w:val="hybridMultilevel"/>
    <w:tmpl w:val="FAD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E5ED0"/>
    <w:multiLevelType w:val="hybridMultilevel"/>
    <w:tmpl w:val="4F0E43EC"/>
    <w:lvl w:ilvl="0" w:tplc="04090001">
      <w:start w:val="1"/>
      <w:numFmt w:val="bullet"/>
      <w:lvlText w:val=""/>
      <w:lvlJc w:val="left"/>
      <w:pPr>
        <w:ind w:left="2178" w:hanging="360"/>
      </w:pPr>
      <w:rPr>
        <w:rFonts w:ascii="Symbol" w:hAnsi="Symbol"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8" w15:restartNumberingAfterBreak="0">
    <w:nsid w:val="168D4638"/>
    <w:multiLevelType w:val="hybridMultilevel"/>
    <w:tmpl w:val="66ECF216"/>
    <w:lvl w:ilvl="0" w:tplc="DF66DFC0">
      <w:start w:val="1"/>
      <w:numFmt w:val="bullet"/>
      <w:pStyle w:val="Bullet"/>
      <w:lvlText w:val=""/>
      <w:lvlJc w:val="left"/>
      <w:pPr>
        <w:ind w:left="360" w:hanging="360"/>
      </w:pPr>
      <w:rPr>
        <w:rFonts w:ascii="Wingdings" w:hAnsi="Wingdings" w:hint="default"/>
        <w:color w:val="E2852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974415"/>
    <w:multiLevelType w:val="hybridMultilevel"/>
    <w:tmpl w:val="2C2E3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A91EE4"/>
    <w:multiLevelType w:val="hybridMultilevel"/>
    <w:tmpl w:val="9094131C"/>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17FDA"/>
    <w:multiLevelType w:val="hybridMultilevel"/>
    <w:tmpl w:val="39D4C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0874B8"/>
    <w:multiLevelType w:val="hybridMultilevel"/>
    <w:tmpl w:val="19B23924"/>
    <w:lvl w:ilvl="0" w:tplc="AF70F6EA">
      <w:start w:val="1"/>
      <w:numFmt w:val="bullet"/>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A0940"/>
    <w:multiLevelType w:val="hybridMultilevel"/>
    <w:tmpl w:val="E6E47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434182D"/>
    <w:multiLevelType w:val="hybridMultilevel"/>
    <w:tmpl w:val="5DE6A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63EFF"/>
    <w:multiLevelType w:val="hybridMultilevel"/>
    <w:tmpl w:val="ABBCCE4A"/>
    <w:lvl w:ilvl="0" w:tplc="9E105FC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A5708"/>
    <w:multiLevelType w:val="hybridMultilevel"/>
    <w:tmpl w:val="8D3CB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1C1B67"/>
    <w:multiLevelType w:val="hybridMultilevel"/>
    <w:tmpl w:val="F3EE86AC"/>
    <w:lvl w:ilvl="0" w:tplc="B9520C9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D5147"/>
    <w:multiLevelType w:val="hybridMultilevel"/>
    <w:tmpl w:val="B386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106B9"/>
    <w:multiLevelType w:val="hybridMultilevel"/>
    <w:tmpl w:val="0D3E5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D970F0"/>
    <w:multiLevelType w:val="hybridMultilevel"/>
    <w:tmpl w:val="DC74D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2010D7"/>
    <w:multiLevelType w:val="hybridMultilevel"/>
    <w:tmpl w:val="9AE6E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1E5BAF"/>
    <w:multiLevelType w:val="hybridMultilevel"/>
    <w:tmpl w:val="F0FC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04637"/>
    <w:multiLevelType w:val="multilevel"/>
    <w:tmpl w:val="FA22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554E6B"/>
    <w:multiLevelType w:val="hybridMultilevel"/>
    <w:tmpl w:val="56EAE746"/>
    <w:lvl w:ilvl="0" w:tplc="296EC5A2">
      <w:start w:val="1"/>
      <w:numFmt w:val="decimal"/>
      <w:lvlText w:val="%1."/>
      <w:lvlJc w:val="left"/>
      <w:pPr>
        <w:ind w:left="360" w:hanging="360"/>
      </w:pPr>
      <w:rPr>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C16A4D"/>
    <w:multiLevelType w:val="hybridMultilevel"/>
    <w:tmpl w:val="CE3A13CE"/>
    <w:lvl w:ilvl="0" w:tplc="45EA928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333A2"/>
    <w:multiLevelType w:val="hybridMultilevel"/>
    <w:tmpl w:val="C4A8D814"/>
    <w:lvl w:ilvl="0" w:tplc="B674F034">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96614B5"/>
    <w:multiLevelType w:val="hybridMultilevel"/>
    <w:tmpl w:val="39C80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AC8196A"/>
    <w:multiLevelType w:val="hybridMultilevel"/>
    <w:tmpl w:val="3DCAD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E63041"/>
    <w:multiLevelType w:val="hybridMultilevel"/>
    <w:tmpl w:val="CCC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CA0DFA"/>
    <w:multiLevelType w:val="hybridMultilevel"/>
    <w:tmpl w:val="C912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D35FB"/>
    <w:multiLevelType w:val="hybridMultilevel"/>
    <w:tmpl w:val="5F46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B47F4"/>
    <w:multiLevelType w:val="hybridMultilevel"/>
    <w:tmpl w:val="6678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6961E3"/>
    <w:multiLevelType w:val="multilevel"/>
    <w:tmpl w:val="28500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8F008C1"/>
    <w:multiLevelType w:val="hybridMultilevel"/>
    <w:tmpl w:val="7440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67A28"/>
    <w:multiLevelType w:val="hybridMultilevel"/>
    <w:tmpl w:val="2E528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5033B2"/>
    <w:multiLevelType w:val="hybridMultilevel"/>
    <w:tmpl w:val="2054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C414DB"/>
    <w:multiLevelType w:val="hybridMultilevel"/>
    <w:tmpl w:val="95AED9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6584C"/>
    <w:multiLevelType w:val="hybridMultilevel"/>
    <w:tmpl w:val="502CF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1882BA6"/>
    <w:multiLevelType w:val="hybridMultilevel"/>
    <w:tmpl w:val="C60EBE3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7035E"/>
    <w:multiLevelType w:val="hybridMultilevel"/>
    <w:tmpl w:val="ADE6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24663"/>
    <w:multiLevelType w:val="hybridMultilevel"/>
    <w:tmpl w:val="092A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14874"/>
    <w:multiLevelType w:val="hybridMultilevel"/>
    <w:tmpl w:val="1E980218"/>
    <w:lvl w:ilvl="0" w:tplc="C6A2C34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613141">
    <w:abstractNumId w:val="26"/>
  </w:num>
  <w:num w:numId="2" w16cid:durableId="44720757">
    <w:abstractNumId w:val="10"/>
  </w:num>
  <w:num w:numId="3" w16cid:durableId="1358577722">
    <w:abstractNumId w:val="8"/>
  </w:num>
  <w:num w:numId="4" w16cid:durableId="2117944672">
    <w:abstractNumId w:val="25"/>
  </w:num>
  <w:num w:numId="5" w16cid:durableId="1925144977">
    <w:abstractNumId w:val="12"/>
  </w:num>
  <w:num w:numId="6" w16cid:durableId="286468376">
    <w:abstractNumId w:val="19"/>
  </w:num>
  <w:num w:numId="7" w16cid:durableId="2056732027">
    <w:abstractNumId w:val="21"/>
  </w:num>
  <w:num w:numId="8" w16cid:durableId="708578255">
    <w:abstractNumId w:val="20"/>
  </w:num>
  <w:num w:numId="9" w16cid:durableId="1559196627">
    <w:abstractNumId w:val="11"/>
  </w:num>
  <w:num w:numId="10" w16cid:durableId="298656064">
    <w:abstractNumId w:val="28"/>
  </w:num>
  <w:num w:numId="11" w16cid:durableId="1259633926">
    <w:abstractNumId w:val="29"/>
  </w:num>
  <w:num w:numId="12" w16cid:durableId="2033218351">
    <w:abstractNumId w:val="38"/>
  </w:num>
  <w:num w:numId="13" w16cid:durableId="1851337302">
    <w:abstractNumId w:val="2"/>
  </w:num>
  <w:num w:numId="14" w16cid:durableId="1038702048">
    <w:abstractNumId w:val="6"/>
  </w:num>
  <w:num w:numId="15" w16cid:durableId="1007172810">
    <w:abstractNumId w:val="42"/>
  </w:num>
  <w:num w:numId="16" w16cid:durableId="1285229223">
    <w:abstractNumId w:val="39"/>
  </w:num>
  <w:num w:numId="17" w16cid:durableId="2019768343">
    <w:abstractNumId w:val="13"/>
  </w:num>
  <w:num w:numId="18" w16cid:durableId="6911674">
    <w:abstractNumId w:val="36"/>
  </w:num>
  <w:num w:numId="19" w16cid:durableId="1054813858">
    <w:abstractNumId w:val="22"/>
  </w:num>
  <w:num w:numId="20" w16cid:durableId="397753257">
    <w:abstractNumId w:val="18"/>
  </w:num>
  <w:num w:numId="21" w16cid:durableId="1251429145">
    <w:abstractNumId w:val="1"/>
  </w:num>
  <w:num w:numId="22" w16cid:durableId="1796947607">
    <w:abstractNumId w:val="34"/>
  </w:num>
  <w:num w:numId="23" w16cid:durableId="150415677">
    <w:abstractNumId w:val="40"/>
  </w:num>
  <w:num w:numId="24" w16cid:durableId="142624941">
    <w:abstractNumId w:val="17"/>
  </w:num>
  <w:num w:numId="25" w16cid:durableId="259217055">
    <w:abstractNumId w:val="4"/>
  </w:num>
  <w:num w:numId="26" w16cid:durableId="1635519634">
    <w:abstractNumId w:val="31"/>
  </w:num>
  <w:num w:numId="27" w16cid:durableId="1980646615">
    <w:abstractNumId w:val="0"/>
  </w:num>
  <w:num w:numId="28" w16cid:durableId="1611425257">
    <w:abstractNumId w:val="3"/>
  </w:num>
  <w:num w:numId="29" w16cid:durableId="1163668662">
    <w:abstractNumId w:val="15"/>
  </w:num>
  <w:num w:numId="30" w16cid:durableId="1705716223">
    <w:abstractNumId w:val="5"/>
  </w:num>
  <w:num w:numId="31" w16cid:durableId="479343934">
    <w:abstractNumId w:val="24"/>
  </w:num>
  <w:num w:numId="32" w16cid:durableId="1711418271">
    <w:abstractNumId w:val="9"/>
  </w:num>
  <w:num w:numId="33" w16cid:durableId="823470730">
    <w:abstractNumId w:val="35"/>
  </w:num>
  <w:num w:numId="34" w16cid:durableId="1454596504">
    <w:abstractNumId w:val="41"/>
  </w:num>
  <w:num w:numId="35" w16cid:durableId="1654213961">
    <w:abstractNumId w:val="27"/>
  </w:num>
  <w:num w:numId="36" w16cid:durableId="1222136755">
    <w:abstractNumId w:val="30"/>
  </w:num>
  <w:num w:numId="37" w16cid:durableId="41567076">
    <w:abstractNumId w:val="7"/>
  </w:num>
  <w:num w:numId="38" w16cid:durableId="626080922">
    <w:abstractNumId w:val="16"/>
  </w:num>
  <w:num w:numId="39" w16cid:durableId="843591416">
    <w:abstractNumId w:val="32"/>
  </w:num>
  <w:num w:numId="40" w16cid:durableId="306477249">
    <w:abstractNumId w:val="23"/>
  </w:num>
  <w:num w:numId="41" w16cid:durableId="1415281956">
    <w:abstractNumId w:val="14"/>
  </w:num>
  <w:num w:numId="42" w16cid:durableId="1718554423">
    <w:abstractNumId w:val="37"/>
  </w:num>
  <w:num w:numId="43" w16cid:durableId="20281693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C2"/>
    <w:rsid w:val="00006B02"/>
    <w:rsid w:val="00007BDE"/>
    <w:rsid w:val="000125F3"/>
    <w:rsid w:val="00014D5A"/>
    <w:rsid w:val="0002190C"/>
    <w:rsid w:val="000231C6"/>
    <w:rsid w:val="000309D7"/>
    <w:rsid w:val="00032390"/>
    <w:rsid w:val="00043D42"/>
    <w:rsid w:val="000538CC"/>
    <w:rsid w:val="00056E07"/>
    <w:rsid w:val="00056FFB"/>
    <w:rsid w:val="00066524"/>
    <w:rsid w:val="00076146"/>
    <w:rsid w:val="0007624F"/>
    <w:rsid w:val="0007729A"/>
    <w:rsid w:val="000808F3"/>
    <w:rsid w:val="0008207E"/>
    <w:rsid w:val="00083870"/>
    <w:rsid w:val="00084041"/>
    <w:rsid w:val="00086F4E"/>
    <w:rsid w:val="000A1148"/>
    <w:rsid w:val="000A5D6C"/>
    <w:rsid w:val="000A6682"/>
    <w:rsid w:val="000A6A4C"/>
    <w:rsid w:val="000A74D7"/>
    <w:rsid w:val="000C7763"/>
    <w:rsid w:val="000D13F0"/>
    <w:rsid w:val="000D1DAA"/>
    <w:rsid w:val="000D3FCB"/>
    <w:rsid w:val="000D4A11"/>
    <w:rsid w:val="000D4A78"/>
    <w:rsid w:val="000D70A9"/>
    <w:rsid w:val="000F210C"/>
    <w:rsid w:val="000F6D88"/>
    <w:rsid w:val="0012247C"/>
    <w:rsid w:val="001257AF"/>
    <w:rsid w:val="00142559"/>
    <w:rsid w:val="00142DB2"/>
    <w:rsid w:val="00144928"/>
    <w:rsid w:val="001513A6"/>
    <w:rsid w:val="001574D3"/>
    <w:rsid w:val="00161728"/>
    <w:rsid w:val="00161B0B"/>
    <w:rsid w:val="00166240"/>
    <w:rsid w:val="00174313"/>
    <w:rsid w:val="00174E70"/>
    <w:rsid w:val="00175467"/>
    <w:rsid w:val="00175BED"/>
    <w:rsid w:val="00175C62"/>
    <w:rsid w:val="001806F2"/>
    <w:rsid w:val="00180CBD"/>
    <w:rsid w:val="00185BFC"/>
    <w:rsid w:val="001860A8"/>
    <w:rsid w:val="00186E2D"/>
    <w:rsid w:val="001A2855"/>
    <w:rsid w:val="001A3E4F"/>
    <w:rsid w:val="001B111D"/>
    <w:rsid w:val="001B26DA"/>
    <w:rsid w:val="001C5770"/>
    <w:rsid w:val="001E3706"/>
    <w:rsid w:val="001E4A3B"/>
    <w:rsid w:val="001E7BAA"/>
    <w:rsid w:val="001E7E32"/>
    <w:rsid w:val="001F0C9A"/>
    <w:rsid w:val="001F3649"/>
    <w:rsid w:val="001F3EC7"/>
    <w:rsid w:val="00200FAC"/>
    <w:rsid w:val="0020151F"/>
    <w:rsid w:val="00205019"/>
    <w:rsid w:val="0020643D"/>
    <w:rsid w:val="002123C2"/>
    <w:rsid w:val="0021587E"/>
    <w:rsid w:val="00224236"/>
    <w:rsid w:val="002251D1"/>
    <w:rsid w:val="002259FC"/>
    <w:rsid w:val="00231D56"/>
    <w:rsid w:val="00231DDF"/>
    <w:rsid w:val="00234CC9"/>
    <w:rsid w:val="002433E6"/>
    <w:rsid w:val="0024610A"/>
    <w:rsid w:val="00247627"/>
    <w:rsid w:val="002636CA"/>
    <w:rsid w:val="00264A25"/>
    <w:rsid w:val="00267B36"/>
    <w:rsid w:val="00270A58"/>
    <w:rsid w:val="00271597"/>
    <w:rsid w:val="00275945"/>
    <w:rsid w:val="00275C42"/>
    <w:rsid w:val="0028324E"/>
    <w:rsid w:val="00294558"/>
    <w:rsid w:val="002A0D06"/>
    <w:rsid w:val="002B51CD"/>
    <w:rsid w:val="002D39D2"/>
    <w:rsid w:val="002E041D"/>
    <w:rsid w:val="002E6CE8"/>
    <w:rsid w:val="002E7223"/>
    <w:rsid w:val="002F2AC5"/>
    <w:rsid w:val="00301353"/>
    <w:rsid w:val="003049E7"/>
    <w:rsid w:val="003102F2"/>
    <w:rsid w:val="003135AE"/>
    <w:rsid w:val="0031692E"/>
    <w:rsid w:val="003178E1"/>
    <w:rsid w:val="003250D3"/>
    <w:rsid w:val="0033200D"/>
    <w:rsid w:val="00333555"/>
    <w:rsid w:val="00335A80"/>
    <w:rsid w:val="003376AA"/>
    <w:rsid w:val="0034241C"/>
    <w:rsid w:val="00342FD0"/>
    <w:rsid w:val="003461A7"/>
    <w:rsid w:val="003511BC"/>
    <w:rsid w:val="00356B3D"/>
    <w:rsid w:val="00360220"/>
    <w:rsid w:val="0036578E"/>
    <w:rsid w:val="003660A3"/>
    <w:rsid w:val="00382625"/>
    <w:rsid w:val="00385FE5"/>
    <w:rsid w:val="00397260"/>
    <w:rsid w:val="003A4FB0"/>
    <w:rsid w:val="003A6BCA"/>
    <w:rsid w:val="003A7938"/>
    <w:rsid w:val="003B2F2B"/>
    <w:rsid w:val="003B5760"/>
    <w:rsid w:val="003B6176"/>
    <w:rsid w:val="003C1359"/>
    <w:rsid w:val="003D31F2"/>
    <w:rsid w:val="003E05D0"/>
    <w:rsid w:val="003E22B6"/>
    <w:rsid w:val="003F5B64"/>
    <w:rsid w:val="003F66FA"/>
    <w:rsid w:val="004019BB"/>
    <w:rsid w:val="0040256A"/>
    <w:rsid w:val="004075DC"/>
    <w:rsid w:val="00407BE0"/>
    <w:rsid w:val="00411DA1"/>
    <w:rsid w:val="00415F90"/>
    <w:rsid w:val="0041775D"/>
    <w:rsid w:val="0042016C"/>
    <w:rsid w:val="0042470F"/>
    <w:rsid w:val="00425B4F"/>
    <w:rsid w:val="004305CE"/>
    <w:rsid w:val="00433B43"/>
    <w:rsid w:val="0043728A"/>
    <w:rsid w:val="00451061"/>
    <w:rsid w:val="00453C71"/>
    <w:rsid w:val="00454167"/>
    <w:rsid w:val="00456B68"/>
    <w:rsid w:val="00471624"/>
    <w:rsid w:val="004727F3"/>
    <w:rsid w:val="00474860"/>
    <w:rsid w:val="00477D32"/>
    <w:rsid w:val="00482610"/>
    <w:rsid w:val="00485676"/>
    <w:rsid w:val="00493B24"/>
    <w:rsid w:val="004A3319"/>
    <w:rsid w:val="004A4AB3"/>
    <w:rsid w:val="004B0C48"/>
    <w:rsid w:val="004B6498"/>
    <w:rsid w:val="004C0C50"/>
    <w:rsid w:val="004C7ED5"/>
    <w:rsid w:val="004D0297"/>
    <w:rsid w:val="004D05FF"/>
    <w:rsid w:val="004D1423"/>
    <w:rsid w:val="004D310F"/>
    <w:rsid w:val="004D69ED"/>
    <w:rsid w:val="004E0E81"/>
    <w:rsid w:val="004E1065"/>
    <w:rsid w:val="004E6EAE"/>
    <w:rsid w:val="004F29A0"/>
    <w:rsid w:val="00510B91"/>
    <w:rsid w:val="00510D00"/>
    <w:rsid w:val="0051680F"/>
    <w:rsid w:val="005206E9"/>
    <w:rsid w:val="00522C15"/>
    <w:rsid w:val="00532791"/>
    <w:rsid w:val="00533551"/>
    <w:rsid w:val="00537211"/>
    <w:rsid w:val="00541E4B"/>
    <w:rsid w:val="00544235"/>
    <w:rsid w:val="00546B72"/>
    <w:rsid w:val="00547FDF"/>
    <w:rsid w:val="00551669"/>
    <w:rsid w:val="00555745"/>
    <w:rsid w:val="0056259C"/>
    <w:rsid w:val="00562F87"/>
    <w:rsid w:val="00564973"/>
    <w:rsid w:val="00570588"/>
    <w:rsid w:val="00577430"/>
    <w:rsid w:val="005857BC"/>
    <w:rsid w:val="005863A1"/>
    <w:rsid w:val="00592B55"/>
    <w:rsid w:val="00596C87"/>
    <w:rsid w:val="005A63EC"/>
    <w:rsid w:val="005C23CD"/>
    <w:rsid w:val="005C4DB3"/>
    <w:rsid w:val="005C6C1D"/>
    <w:rsid w:val="005C7CC9"/>
    <w:rsid w:val="005C7D9C"/>
    <w:rsid w:val="005D29B4"/>
    <w:rsid w:val="005D31FE"/>
    <w:rsid w:val="005D7D15"/>
    <w:rsid w:val="00601487"/>
    <w:rsid w:val="00601532"/>
    <w:rsid w:val="006068D1"/>
    <w:rsid w:val="00621434"/>
    <w:rsid w:val="00622BB1"/>
    <w:rsid w:val="00623E03"/>
    <w:rsid w:val="00624057"/>
    <w:rsid w:val="00631AA7"/>
    <w:rsid w:val="0063603F"/>
    <w:rsid w:val="00642434"/>
    <w:rsid w:val="00643D1F"/>
    <w:rsid w:val="006460A3"/>
    <w:rsid w:val="00652161"/>
    <w:rsid w:val="006527EF"/>
    <w:rsid w:val="006754A9"/>
    <w:rsid w:val="006819E3"/>
    <w:rsid w:val="006821D5"/>
    <w:rsid w:val="0068601C"/>
    <w:rsid w:val="00687361"/>
    <w:rsid w:val="00696BCE"/>
    <w:rsid w:val="00697918"/>
    <w:rsid w:val="006A67EF"/>
    <w:rsid w:val="006B5E18"/>
    <w:rsid w:val="006C066D"/>
    <w:rsid w:val="006C09C0"/>
    <w:rsid w:val="006C0AFF"/>
    <w:rsid w:val="006D6B7A"/>
    <w:rsid w:val="006E13B5"/>
    <w:rsid w:val="006E781A"/>
    <w:rsid w:val="006F2BB5"/>
    <w:rsid w:val="007025F1"/>
    <w:rsid w:val="00704FE4"/>
    <w:rsid w:val="00706A3C"/>
    <w:rsid w:val="0071061E"/>
    <w:rsid w:val="007131B9"/>
    <w:rsid w:val="00723B1C"/>
    <w:rsid w:val="00730F87"/>
    <w:rsid w:val="00733320"/>
    <w:rsid w:val="007338F6"/>
    <w:rsid w:val="00735A72"/>
    <w:rsid w:val="00742674"/>
    <w:rsid w:val="00743F65"/>
    <w:rsid w:val="00744CE8"/>
    <w:rsid w:val="00746829"/>
    <w:rsid w:val="007470EB"/>
    <w:rsid w:val="00747AF9"/>
    <w:rsid w:val="00751DC6"/>
    <w:rsid w:val="00761415"/>
    <w:rsid w:val="00765B76"/>
    <w:rsid w:val="00774EB2"/>
    <w:rsid w:val="0078079D"/>
    <w:rsid w:val="00781863"/>
    <w:rsid w:val="00782454"/>
    <w:rsid w:val="00783E7A"/>
    <w:rsid w:val="00785DAE"/>
    <w:rsid w:val="007944D2"/>
    <w:rsid w:val="007A5006"/>
    <w:rsid w:val="007B2E02"/>
    <w:rsid w:val="007B48A1"/>
    <w:rsid w:val="007C058D"/>
    <w:rsid w:val="007C1605"/>
    <w:rsid w:val="007C559C"/>
    <w:rsid w:val="007D3ACA"/>
    <w:rsid w:val="007E36A4"/>
    <w:rsid w:val="007E638A"/>
    <w:rsid w:val="007F7E77"/>
    <w:rsid w:val="00806391"/>
    <w:rsid w:val="00811F57"/>
    <w:rsid w:val="008135CE"/>
    <w:rsid w:val="0082270C"/>
    <w:rsid w:val="008236A1"/>
    <w:rsid w:val="00833F0F"/>
    <w:rsid w:val="00837EF2"/>
    <w:rsid w:val="00844745"/>
    <w:rsid w:val="00845120"/>
    <w:rsid w:val="008530BF"/>
    <w:rsid w:val="0085767A"/>
    <w:rsid w:val="008652AD"/>
    <w:rsid w:val="00870464"/>
    <w:rsid w:val="0087528C"/>
    <w:rsid w:val="008811FB"/>
    <w:rsid w:val="008A197C"/>
    <w:rsid w:val="008A316B"/>
    <w:rsid w:val="008A468A"/>
    <w:rsid w:val="008A4FB9"/>
    <w:rsid w:val="008B52EE"/>
    <w:rsid w:val="008C0CF9"/>
    <w:rsid w:val="008D1003"/>
    <w:rsid w:val="008D5EF6"/>
    <w:rsid w:val="008D6D24"/>
    <w:rsid w:val="008D7359"/>
    <w:rsid w:val="008E0075"/>
    <w:rsid w:val="008E048E"/>
    <w:rsid w:val="008E110F"/>
    <w:rsid w:val="008E3404"/>
    <w:rsid w:val="00900869"/>
    <w:rsid w:val="00903340"/>
    <w:rsid w:val="00906CC8"/>
    <w:rsid w:val="00907F9D"/>
    <w:rsid w:val="00910ACA"/>
    <w:rsid w:val="00916080"/>
    <w:rsid w:val="0092051A"/>
    <w:rsid w:val="009219D7"/>
    <w:rsid w:val="0093452A"/>
    <w:rsid w:val="009363EF"/>
    <w:rsid w:val="00940535"/>
    <w:rsid w:val="009421C4"/>
    <w:rsid w:val="00965002"/>
    <w:rsid w:val="00966D4C"/>
    <w:rsid w:val="00971A94"/>
    <w:rsid w:val="00972D90"/>
    <w:rsid w:val="0097445C"/>
    <w:rsid w:val="0097702D"/>
    <w:rsid w:val="0099059B"/>
    <w:rsid w:val="0099300D"/>
    <w:rsid w:val="0099504F"/>
    <w:rsid w:val="009A0CB7"/>
    <w:rsid w:val="009B412E"/>
    <w:rsid w:val="009B741F"/>
    <w:rsid w:val="009D072A"/>
    <w:rsid w:val="009D07E5"/>
    <w:rsid w:val="009D2D48"/>
    <w:rsid w:val="009D5F80"/>
    <w:rsid w:val="009D7A8A"/>
    <w:rsid w:val="009E251A"/>
    <w:rsid w:val="009E493C"/>
    <w:rsid w:val="009E52AB"/>
    <w:rsid w:val="009F0FD8"/>
    <w:rsid w:val="009F29B9"/>
    <w:rsid w:val="009F4B90"/>
    <w:rsid w:val="009F512A"/>
    <w:rsid w:val="00A0773E"/>
    <w:rsid w:val="00A15542"/>
    <w:rsid w:val="00A16A10"/>
    <w:rsid w:val="00A225A7"/>
    <w:rsid w:val="00A26FCC"/>
    <w:rsid w:val="00A30D9E"/>
    <w:rsid w:val="00A362B4"/>
    <w:rsid w:val="00A366EB"/>
    <w:rsid w:val="00A40042"/>
    <w:rsid w:val="00A4263C"/>
    <w:rsid w:val="00A44FFF"/>
    <w:rsid w:val="00A50401"/>
    <w:rsid w:val="00A50D93"/>
    <w:rsid w:val="00A51EDC"/>
    <w:rsid w:val="00A70F30"/>
    <w:rsid w:val="00A759BC"/>
    <w:rsid w:val="00A7758B"/>
    <w:rsid w:val="00A8194D"/>
    <w:rsid w:val="00A94E43"/>
    <w:rsid w:val="00AB05E3"/>
    <w:rsid w:val="00AC17AA"/>
    <w:rsid w:val="00AD1C20"/>
    <w:rsid w:val="00AD5EB7"/>
    <w:rsid w:val="00AF11A7"/>
    <w:rsid w:val="00B00277"/>
    <w:rsid w:val="00B12A87"/>
    <w:rsid w:val="00B13EB9"/>
    <w:rsid w:val="00B16149"/>
    <w:rsid w:val="00B230DE"/>
    <w:rsid w:val="00B34B51"/>
    <w:rsid w:val="00B40191"/>
    <w:rsid w:val="00B4519C"/>
    <w:rsid w:val="00B5042F"/>
    <w:rsid w:val="00B5196C"/>
    <w:rsid w:val="00B525B4"/>
    <w:rsid w:val="00B554F9"/>
    <w:rsid w:val="00B570C5"/>
    <w:rsid w:val="00B63218"/>
    <w:rsid w:val="00B7057E"/>
    <w:rsid w:val="00B73CEB"/>
    <w:rsid w:val="00B7702D"/>
    <w:rsid w:val="00B77C97"/>
    <w:rsid w:val="00B8160B"/>
    <w:rsid w:val="00B81DE8"/>
    <w:rsid w:val="00B83CC4"/>
    <w:rsid w:val="00B83F27"/>
    <w:rsid w:val="00B848C3"/>
    <w:rsid w:val="00B96B60"/>
    <w:rsid w:val="00BA5EA3"/>
    <w:rsid w:val="00BB2195"/>
    <w:rsid w:val="00BB21A0"/>
    <w:rsid w:val="00BB2F67"/>
    <w:rsid w:val="00BC54D4"/>
    <w:rsid w:val="00BC58CE"/>
    <w:rsid w:val="00BD0357"/>
    <w:rsid w:val="00BD0978"/>
    <w:rsid w:val="00BD4EAA"/>
    <w:rsid w:val="00BD6FD3"/>
    <w:rsid w:val="00BE26C7"/>
    <w:rsid w:val="00BE66B5"/>
    <w:rsid w:val="00BF2AFB"/>
    <w:rsid w:val="00BF4166"/>
    <w:rsid w:val="00C004F4"/>
    <w:rsid w:val="00C02FD1"/>
    <w:rsid w:val="00C11075"/>
    <w:rsid w:val="00C117FB"/>
    <w:rsid w:val="00C2154C"/>
    <w:rsid w:val="00C26AE4"/>
    <w:rsid w:val="00C31011"/>
    <w:rsid w:val="00C42B9B"/>
    <w:rsid w:val="00C47140"/>
    <w:rsid w:val="00C56E6F"/>
    <w:rsid w:val="00C64A67"/>
    <w:rsid w:val="00C672AE"/>
    <w:rsid w:val="00C80D4D"/>
    <w:rsid w:val="00C83AE6"/>
    <w:rsid w:val="00C85076"/>
    <w:rsid w:val="00C85DEB"/>
    <w:rsid w:val="00C91EAE"/>
    <w:rsid w:val="00C944A9"/>
    <w:rsid w:val="00C94931"/>
    <w:rsid w:val="00C96375"/>
    <w:rsid w:val="00CA1899"/>
    <w:rsid w:val="00CA3513"/>
    <w:rsid w:val="00CA4D14"/>
    <w:rsid w:val="00CB2B87"/>
    <w:rsid w:val="00CB7E1E"/>
    <w:rsid w:val="00CC71BF"/>
    <w:rsid w:val="00CD049D"/>
    <w:rsid w:val="00CD216B"/>
    <w:rsid w:val="00CE405C"/>
    <w:rsid w:val="00CE6144"/>
    <w:rsid w:val="00CF1B0A"/>
    <w:rsid w:val="00CF48CE"/>
    <w:rsid w:val="00CF4C60"/>
    <w:rsid w:val="00CF5678"/>
    <w:rsid w:val="00D0630D"/>
    <w:rsid w:val="00D130A8"/>
    <w:rsid w:val="00D14842"/>
    <w:rsid w:val="00D20433"/>
    <w:rsid w:val="00D22302"/>
    <w:rsid w:val="00D279FB"/>
    <w:rsid w:val="00D30875"/>
    <w:rsid w:val="00D44A9D"/>
    <w:rsid w:val="00D462B0"/>
    <w:rsid w:val="00D53271"/>
    <w:rsid w:val="00D54287"/>
    <w:rsid w:val="00D659A6"/>
    <w:rsid w:val="00D81055"/>
    <w:rsid w:val="00D86719"/>
    <w:rsid w:val="00D905A0"/>
    <w:rsid w:val="00DA4E55"/>
    <w:rsid w:val="00DA670D"/>
    <w:rsid w:val="00DB2DE4"/>
    <w:rsid w:val="00DB4504"/>
    <w:rsid w:val="00DB4B83"/>
    <w:rsid w:val="00DB72D3"/>
    <w:rsid w:val="00DC63FB"/>
    <w:rsid w:val="00DD1032"/>
    <w:rsid w:val="00DD1CB5"/>
    <w:rsid w:val="00DD44A2"/>
    <w:rsid w:val="00DD5E07"/>
    <w:rsid w:val="00DD5E81"/>
    <w:rsid w:val="00DD7467"/>
    <w:rsid w:val="00DE2279"/>
    <w:rsid w:val="00DE35E2"/>
    <w:rsid w:val="00DF4F96"/>
    <w:rsid w:val="00DF551B"/>
    <w:rsid w:val="00E02476"/>
    <w:rsid w:val="00E250E1"/>
    <w:rsid w:val="00E26698"/>
    <w:rsid w:val="00E314CC"/>
    <w:rsid w:val="00E4044E"/>
    <w:rsid w:val="00E4096A"/>
    <w:rsid w:val="00E42844"/>
    <w:rsid w:val="00E47503"/>
    <w:rsid w:val="00E5002A"/>
    <w:rsid w:val="00E6496A"/>
    <w:rsid w:val="00E6581A"/>
    <w:rsid w:val="00E703ED"/>
    <w:rsid w:val="00E70C1D"/>
    <w:rsid w:val="00E7306A"/>
    <w:rsid w:val="00E763D9"/>
    <w:rsid w:val="00E768BF"/>
    <w:rsid w:val="00E9020C"/>
    <w:rsid w:val="00EB3A99"/>
    <w:rsid w:val="00EC1B8B"/>
    <w:rsid w:val="00EC25E8"/>
    <w:rsid w:val="00EC2EAA"/>
    <w:rsid w:val="00EC342F"/>
    <w:rsid w:val="00EC3593"/>
    <w:rsid w:val="00EC3CCE"/>
    <w:rsid w:val="00EC5D47"/>
    <w:rsid w:val="00EC5E2F"/>
    <w:rsid w:val="00EC7F66"/>
    <w:rsid w:val="00ED00FB"/>
    <w:rsid w:val="00ED496E"/>
    <w:rsid w:val="00ED57EC"/>
    <w:rsid w:val="00EE3C17"/>
    <w:rsid w:val="00EF11BB"/>
    <w:rsid w:val="00EF550F"/>
    <w:rsid w:val="00EF56DE"/>
    <w:rsid w:val="00EF5AA2"/>
    <w:rsid w:val="00EF6DDA"/>
    <w:rsid w:val="00F02FD1"/>
    <w:rsid w:val="00F05108"/>
    <w:rsid w:val="00F114D6"/>
    <w:rsid w:val="00F1496E"/>
    <w:rsid w:val="00F2205F"/>
    <w:rsid w:val="00F246C3"/>
    <w:rsid w:val="00F2601C"/>
    <w:rsid w:val="00F2754F"/>
    <w:rsid w:val="00F31FB8"/>
    <w:rsid w:val="00F416E7"/>
    <w:rsid w:val="00F53E9D"/>
    <w:rsid w:val="00F55B02"/>
    <w:rsid w:val="00F673C1"/>
    <w:rsid w:val="00F71E79"/>
    <w:rsid w:val="00F7421B"/>
    <w:rsid w:val="00F82D1B"/>
    <w:rsid w:val="00F95AB8"/>
    <w:rsid w:val="00FA2E43"/>
    <w:rsid w:val="00FA34A8"/>
    <w:rsid w:val="00FA36EE"/>
    <w:rsid w:val="00FA3939"/>
    <w:rsid w:val="00FB0D62"/>
    <w:rsid w:val="00FC6897"/>
    <w:rsid w:val="00FC6D6E"/>
    <w:rsid w:val="00FC6F40"/>
    <w:rsid w:val="00FD2069"/>
    <w:rsid w:val="00FE7B57"/>
    <w:rsid w:val="00FF1214"/>
    <w:rsid w:val="00FF5467"/>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19BB8"/>
  <w15:docId w15:val="{2562C06F-CB82-4242-B87D-B4AB3A24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166"/>
  </w:style>
  <w:style w:type="paragraph" w:styleId="Heading1">
    <w:name w:val="heading 1"/>
    <w:basedOn w:val="Normal"/>
    <w:next w:val="Normal"/>
    <w:link w:val="Heading1Char"/>
    <w:qFormat/>
    <w:rsid w:val="002123C2"/>
    <w:pPr>
      <w:keepNext/>
      <w:keepLines/>
      <w:spacing w:before="160" w:after="160"/>
      <w:outlineLvl w:val="0"/>
    </w:pPr>
    <w:rPr>
      <w:rFonts w:ascii="Arial" w:eastAsiaTheme="majorEastAsia" w:hAnsi="Arial" w:cstheme="majorBidi"/>
      <w:b/>
      <w:bCs/>
      <w:color w:val="365F91" w:themeColor="accent1" w:themeShade="BF"/>
      <w:sz w:val="32"/>
      <w:szCs w:val="28"/>
    </w:rPr>
  </w:style>
  <w:style w:type="paragraph" w:styleId="Heading3">
    <w:name w:val="heading 3"/>
    <w:basedOn w:val="Normal"/>
    <w:next w:val="Normal"/>
    <w:link w:val="Heading3Char"/>
    <w:unhideWhenUsed/>
    <w:qFormat/>
    <w:rsid w:val="002123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3C2"/>
    <w:pPr>
      <w:spacing w:after="0" w:line="240" w:lineRule="auto"/>
    </w:pPr>
  </w:style>
  <w:style w:type="paragraph" w:styleId="Caption">
    <w:name w:val="caption"/>
    <w:basedOn w:val="Normal"/>
    <w:next w:val="Normal"/>
    <w:uiPriority w:val="35"/>
    <w:unhideWhenUsed/>
    <w:qFormat/>
    <w:rsid w:val="002123C2"/>
    <w:pPr>
      <w:spacing w:line="240" w:lineRule="auto"/>
    </w:pPr>
    <w:rPr>
      <w:b/>
      <w:bCs/>
      <w:color w:val="4F81BD" w:themeColor="accent1"/>
      <w:sz w:val="18"/>
      <w:szCs w:val="18"/>
    </w:rPr>
  </w:style>
  <w:style w:type="paragraph" w:styleId="Header">
    <w:name w:val="header"/>
    <w:basedOn w:val="Normal"/>
    <w:link w:val="HeaderChar"/>
    <w:uiPriority w:val="99"/>
    <w:unhideWhenUsed/>
    <w:rsid w:val="00212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3C2"/>
  </w:style>
  <w:style w:type="paragraph" w:styleId="Footer">
    <w:name w:val="footer"/>
    <w:basedOn w:val="Normal"/>
    <w:link w:val="FooterChar"/>
    <w:uiPriority w:val="99"/>
    <w:unhideWhenUsed/>
    <w:rsid w:val="00212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3C2"/>
  </w:style>
  <w:style w:type="character" w:customStyle="1" w:styleId="Heading1Char">
    <w:name w:val="Heading 1 Char"/>
    <w:basedOn w:val="DefaultParagraphFont"/>
    <w:link w:val="Heading1"/>
    <w:rsid w:val="002123C2"/>
    <w:rPr>
      <w:rFonts w:ascii="Arial" w:eastAsiaTheme="majorEastAsia" w:hAnsi="Arial" w:cstheme="majorBidi"/>
      <w:b/>
      <w:bCs/>
      <w:color w:val="365F91" w:themeColor="accent1" w:themeShade="BF"/>
      <w:sz w:val="32"/>
      <w:szCs w:val="28"/>
    </w:rPr>
  </w:style>
  <w:style w:type="character" w:customStyle="1" w:styleId="Heading3Char">
    <w:name w:val="Heading 3 Char"/>
    <w:basedOn w:val="DefaultParagraphFont"/>
    <w:link w:val="Heading3"/>
    <w:rsid w:val="002123C2"/>
    <w:rPr>
      <w:rFonts w:asciiTheme="majorHAnsi" w:eastAsiaTheme="majorEastAsia" w:hAnsiTheme="majorHAnsi" w:cstheme="majorBidi"/>
      <w:b/>
      <w:bCs/>
      <w:color w:val="4F81BD" w:themeColor="accent1"/>
    </w:rPr>
  </w:style>
  <w:style w:type="character" w:styleId="Hyperlink">
    <w:name w:val="Hyperlink"/>
    <w:uiPriority w:val="99"/>
    <w:rsid w:val="002123C2"/>
    <w:rPr>
      <w:rFonts w:cs="Times New Roman"/>
      <w:color w:val="0000FF"/>
      <w:u w:val="single"/>
    </w:rPr>
  </w:style>
  <w:style w:type="paragraph" w:styleId="BalloonText">
    <w:name w:val="Balloon Text"/>
    <w:basedOn w:val="Normal"/>
    <w:link w:val="BalloonTextChar"/>
    <w:uiPriority w:val="99"/>
    <w:semiHidden/>
    <w:unhideWhenUsed/>
    <w:rsid w:val="00212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C2"/>
    <w:rPr>
      <w:rFonts w:ascii="Tahoma" w:hAnsi="Tahoma" w:cs="Tahoma"/>
      <w:sz w:val="16"/>
      <w:szCs w:val="16"/>
    </w:rPr>
  </w:style>
  <w:style w:type="paragraph" w:styleId="NormalWeb">
    <w:name w:val="Normal (Web)"/>
    <w:basedOn w:val="Normal"/>
    <w:link w:val="NormalWebChar"/>
    <w:uiPriority w:val="99"/>
    <w:rsid w:val="00CB2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CB2B87"/>
    <w:rPr>
      <w:rFonts w:ascii="Times New Roman" w:eastAsia="Times New Roman" w:hAnsi="Times New Roman" w:cs="Times New Roman"/>
      <w:sz w:val="24"/>
      <w:szCs w:val="24"/>
    </w:rPr>
  </w:style>
  <w:style w:type="paragraph" w:styleId="ListParagraph">
    <w:name w:val="List Paragraph"/>
    <w:basedOn w:val="Normal"/>
    <w:uiPriority w:val="34"/>
    <w:qFormat/>
    <w:rsid w:val="00CB2B87"/>
    <w:pPr>
      <w:ind w:left="720"/>
      <w:contextualSpacing/>
    </w:pPr>
  </w:style>
  <w:style w:type="character" w:styleId="FollowedHyperlink">
    <w:name w:val="FollowedHyperlink"/>
    <w:basedOn w:val="DefaultParagraphFont"/>
    <w:uiPriority w:val="99"/>
    <w:semiHidden/>
    <w:unhideWhenUsed/>
    <w:rsid w:val="00CB2B87"/>
    <w:rPr>
      <w:color w:val="800080" w:themeColor="followedHyperlink"/>
      <w:u w:val="single"/>
    </w:rPr>
  </w:style>
  <w:style w:type="paragraph" w:customStyle="1" w:styleId="Bullet">
    <w:name w:val="Bullet"/>
    <w:basedOn w:val="NormalWeb"/>
    <w:link w:val="BulletChar"/>
    <w:qFormat/>
    <w:rsid w:val="006E781A"/>
    <w:pPr>
      <w:numPr>
        <w:numId w:val="3"/>
      </w:numPr>
      <w:spacing w:before="160" w:beforeAutospacing="0" w:after="160" w:afterAutospacing="0" w:line="276" w:lineRule="auto"/>
      <w:jc w:val="both"/>
    </w:pPr>
    <w:rPr>
      <w:rFonts w:ascii="Arial" w:hAnsi="Arial" w:cs="Arial"/>
      <w:sz w:val="20"/>
      <w:szCs w:val="20"/>
    </w:rPr>
  </w:style>
  <w:style w:type="character" w:customStyle="1" w:styleId="BulletChar">
    <w:name w:val="Bullet Char"/>
    <w:basedOn w:val="NormalWebChar"/>
    <w:link w:val="Bullet"/>
    <w:rsid w:val="006E781A"/>
    <w:rPr>
      <w:rFonts w:ascii="Arial" w:eastAsia="Times New Roman" w:hAnsi="Arial" w:cs="Arial"/>
      <w:sz w:val="20"/>
      <w:szCs w:val="20"/>
    </w:rPr>
  </w:style>
  <w:style w:type="table" w:styleId="TableGrid">
    <w:name w:val="Table Grid"/>
    <w:basedOn w:val="TableNormal"/>
    <w:rsid w:val="00C944A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nhideWhenUsed/>
    <w:rsid w:val="00B4519C"/>
    <w:rPr>
      <w:sz w:val="16"/>
      <w:szCs w:val="16"/>
    </w:rPr>
  </w:style>
  <w:style w:type="paragraph" w:styleId="CommentText">
    <w:name w:val="annotation text"/>
    <w:basedOn w:val="Normal"/>
    <w:link w:val="CommentTextChar"/>
    <w:unhideWhenUsed/>
    <w:rsid w:val="00B4519C"/>
    <w:pPr>
      <w:spacing w:line="240" w:lineRule="auto"/>
    </w:pPr>
    <w:rPr>
      <w:sz w:val="20"/>
      <w:szCs w:val="20"/>
    </w:rPr>
  </w:style>
  <w:style w:type="character" w:customStyle="1" w:styleId="CommentTextChar">
    <w:name w:val="Comment Text Char"/>
    <w:basedOn w:val="DefaultParagraphFont"/>
    <w:link w:val="CommentText"/>
    <w:rsid w:val="00B4519C"/>
    <w:rPr>
      <w:sz w:val="20"/>
      <w:szCs w:val="20"/>
    </w:rPr>
  </w:style>
  <w:style w:type="paragraph" w:styleId="CommentSubject">
    <w:name w:val="annotation subject"/>
    <w:basedOn w:val="CommentText"/>
    <w:next w:val="CommentText"/>
    <w:link w:val="CommentSubjectChar"/>
    <w:uiPriority w:val="99"/>
    <w:semiHidden/>
    <w:unhideWhenUsed/>
    <w:rsid w:val="00B4519C"/>
    <w:rPr>
      <w:b/>
      <w:bCs/>
    </w:rPr>
  </w:style>
  <w:style w:type="character" w:customStyle="1" w:styleId="CommentSubjectChar">
    <w:name w:val="Comment Subject Char"/>
    <w:basedOn w:val="CommentTextChar"/>
    <w:link w:val="CommentSubject"/>
    <w:uiPriority w:val="99"/>
    <w:semiHidden/>
    <w:rsid w:val="00B4519C"/>
    <w:rPr>
      <w:b/>
      <w:bCs/>
      <w:sz w:val="20"/>
      <w:szCs w:val="20"/>
    </w:rPr>
  </w:style>
  <w:style w:type="paragraph" w:customStyle="1" w:styleId="Bullet1">
    <w:name w:val="Bullet 1"/>
    <w:basedOn w:val="Normal"/>
    <w:qFormat/>
    <w:rsid w:val="007131B9"/>
    <w:pPr>
      <w:numPr>
        <w:numId w:val="13"/>
      </w:numPr>
      <w:spacing w:before="160" w:after="160"/>
    </w:pPr>
    <w:rPr>
      <w:rFonts w:ascii="Arial" w:eastAsia="Calibri" w:hAnsi="Arial" w:cs="Arial"/>
      <w:sz w:val="20"/>
    </w:rPr>
  </w:style>
  <w:style w:type="paragraph" w:styleId="FootnoteText">
    <w:name w:val="footnote text"/>
    <w:basedOn w:val="Normal"/>
    <w:link w:val="FootnoteTextChar"/>
    <w:uiPriority w:val="99"/>
    <w:semiHidden/>
    <w:unhideWhenUsed/>
    <w:rsid w:val="00E70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03ED"/>
    <w:rPr>
      <w:sz w:val="20"/>
      <w:szCs w:val="20"/>
    </w:rPr>
  </w:style>
  <w:style w:type="character" w:styleId="FootnoteReference">
    <w:name w:val="footnote reference"/>
    <w:rsid w:val="00E703ED"/>
    <w:rPr>
      <w:rFonts w:cs="Times New Roman"/>
      <w:vertAlign w:val="superscript"/>
    </w:rPr>
  </w:style>
  <w:style w:type="paragraph" w:styleId="Revision">
    <w:name w:val="Revision"/>
    <w:hidden/>
    <w:uiPriority w:val="99"/>
    <w:semiHidden/>
    <w:rsid w:val="00E250E1"/>
    <w:pPr>
      <w:spacing w:after="0" w:line="240" w:lineRule="auto"/>
    </w:pPr>
  </w:style>
  <w:style w:type="table" w:styleId="LightList-Accent6">
    <w:name w:val="Light List Accent 6"/>
    <w:basedOn w:val="TableNormal"/>
    <w:uiPriority w:val="61"/>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6">
    <w:name w:val="Light Shading Accent 6"/>
    <w:basedOn w:val="TableNormal"/>
    <w:uiPriority w:val="60"/>
    <w:rsid w:val="008A468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8A46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1513A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14492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4">
    <w:name w:val="Medium Shading 1 Accent 4"/>
    <w:basedOn w:val="TableNormal"/>
    <w:uiPriority w:val="63"/>
    <w:rsid w:val="0014492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Default">
    <w:name w:val="Default"/>
    <w:rsid w:val="00C91EAE"/>
    <w:pPr>
      <w:autoSpaceDE w:val="0"/>
      <w:autoSpaceDN w:val="0"/>
      <w:adjustRightInd w:val="0"/>
      <w:spacing w:after="0" w:line="240" w:lineRule="auto"/>
    </w:pPr>
    <w:rPr>
      <w:rFonts w:ascii="Calibri" w:hAnsi="Calibri" w:cs="Calibri"/>
      <w:color w:val="000000"/>
      <w:sz w:val="24"/>
      <w:szCs w:val="24"/>
    </w:rPr>
  </w:style>
  <w:style w:type="table" w:styleId="MediumShading1-Accent1">
    <w:name w:val="Medium Shading 1 Accent 1"/>
    <w:basedOn w:val="TableNormal"/>
    <w:uiPriority w:val="63"/>
    <w:rsid w:val="009B412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m">
    <w:name w:val="em"/>
    <w:basedOn w:val="DefaultParagraphFont"/>
    <w:rsid w:val="00474860"/>
  </w:style>
  <w:style w:type="character" w:customStyle="1" w:styleId="bold">
    <w:name w:val="bold"/>
    <w:basedOn w:val="DefaultParagraphFont"/>
    <w:rsid w:val="00474860"/>
  </w:style>
  <w:style w:type="character" w:styleId="UnresolvedMention">
    <w:name w:val="Unresolved Mention"/>
    <w:basedOn w:val="DefaultParagraphFont"/>
    <w:uiPriority w:val="99"/>
    <w:semiHidden/>
    <w:unhideWhenUsed/>
    <w:rsid w:val="00BE6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758645">
      <w:bodyDiv w:val="1"/>
      <w:marLeft w:val="0"/>
      <w:marRight w:val="0"/>
      <w:marTop w:val="0"/>
      <w:marBottom w:val="0"/>
      <w:divBdr>
        <w:top w:val="none" w:sz="0" w:space="0" w:color="auto"/>
        <w:left w:val="none" w:sz="0" w:space="0" w:color="auto"/>
        <w:bottom w:val="none" w:sz="0" w:space="0" w:color="auto"/>
        <w:right w:val="none" w:sz="0" w:space="0" w:color="auto"/>
      </w:divBdr>
    </w:div>
    <w:div w:id="1518079753">
      <w:bodyDiv w:val="1"/>
      <w:marLeft w:val="0"/>
      <w:marRight w:val="0"/>
      <w:marTop w:val="0"/>
      <w:marBottom w:val="0"/>
      <w:divBdr>
        <w:top w:val="none" w:sz="0" w:space="0" w:color="auto"/>
        <w:left w:val="none" w:sz="0" w:space="0" w:color="auto"/>
        <w:bottom w:val="none" w:sz="0" w:space="0" w:color="auto"/>
        <w:right w:val="none" w:sz="0" w:space="0" w:color="auto"/>
      </w:divBdr>
    </w:div>
    <w:div w:id="2071682960">
      <w:bodyDiv w:val="1"/>
      <w:marLeft w:val="0"/>
      <w:marRight w:val="0"/>
      <w:marTop w:val="0"/>
      <w:marBottom w:val="0"/>
      <w:divBdr>
        <w:top w:val="none" w:sz="0" w:space="0" w:color="auto"/>
        <w:left w:val="none" w:sz="0" w:space="0" w:color="auto"/>
        <w:bottom w:val="none" w:sz="0" w:space="0" w:color="auto"/>
        <w:right w:val="none" w:sz="0" w:space="0" w:color="auto"/>
      </w:divBdr>
    </w:div>
    <w:div w:id="20844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ederalgrantprograms@doe.mas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gov/policy/elsec/leg/essa/essassaegrantguid1021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DESE-231-72031</_dlc_DocId>
    <_dlc_DocIdUrl xmlns="733efe1c-5bbe-4968-87dc-d400e65c879f">
      <Url>https://sharepoint.doemass.org/ese/webteam/cps/_layouts/DocIdRedir.aspx?ID=DESE-231-72031</Url>
      <Description>DESE-231-72031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2EF44-4F1A-4103-865D-02093DD69255}">
  <ds:schemaRefs>
    <ds:schemaRef ds:uri="http://schemas.microsoft.com/sharepoint/v3/contenttype/forms"/>
  </ds:schemaRefs>
</ds:datastoreItem>
</file>

<file path=customXml/itemProps2.xml><?xml version="1.0" encoding="utf-8"?>
<ds:datastoreItem xmlns:ds="http://schemas.openxmlformats.org/officeDocument/2006/customXml" ds:itemID="{77442160-AC46-4652-90C6-9FEE0491CA2A}">
  <ds:schemaRefs>
    <ds:schemaRef ds:uri="http://schemas.microsoft.com/sharepoint/events"/>
  </ds:schemaRefs>
</ds:datastoreItem>
</file>

<file path=customXml/itemProps3.xml><?xml version="1.0" encoding="utf-8"?>
<ds:datastoreItem xmlns:ds="http://schemas.openxmlformats.org/officeDocument/2006/customXml" ds:itemID="{7DA348AF-F464-4617-9151-3A8F4DA679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5502670-7DC7-4049-955F-5424BF7C7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542F95-2A3A-4E86-AC12-B9093127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1112</Words>
  <Characters>6663</Characters>
  <Application>Microsoft Office Word</Application>
  <DocSecurity>0</DocSecurity>
  <Lines>180</Lines>
  <Paragraphs>71</Paragraphs>
  <ScaleCrop>false</ScaleCrop>
  <HeadingPairs>
    <vt:vector size="2" baseType="variant">
      <vt:variant>
        <vt:lpstr>Title</vt:lpstr>
      </vt:variant>
      <vt:variant>
        <vt:i4>1</vt:i4>
      </vt:variant>
    </vt:vector>
  </HeadingPairs>
  <TitlesOfParts>
    <vt:vector size="1" baseType="lpstr">
      <vt:lpstr>Title IVA Quick Reference Guide on Allowable and Unallowable Costs</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IVA Quick Reference Guide on Access to Well-Rounded Education</dc:title>
  <dc:subject/>
  <dc:creator>DESE</dc:creator>
  <cp:keywords/>
  <cp:lastModifiedBy>Zou, Dong (EOE)</cp:lastModifiedBy>
  <cp:revision>72</cp:revision>
  <cp:lastPrinted>2018-04-24T21:35:00Z</cp:lastPrinted>
  <dcterms:created xsi:type="dcterms:W3CDTF">2023-04-28T13:03:00Z</dcterms:created>
  <dcterms:modified xsi:type="dcterms:W3CDTF">2024-06-24T19:35:00Z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24 2024 12:00AM</vt:lpwstr>
  </property>
</Properties>
</file>