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9DBE" w14:textId="32FF6579" w:rsidR="00FE5844" w:rsidRPr="00FE5844" w:rsidRDefault="00FE5844" w:rsidP="001B56CE">
      <w:pPr>
        <w:shd w:val="clear" w:color="auto" w:fill="FFFFFF"/>
        <w:spacing w:before="100" w:beforeAutospacing="1" w:after="100" w:afterAutospacing="1" w:line="240" w:lineRule="auto"/>
        <w:outlineLvl w:val="0"/>
        <w:rPr>
          <w:rFonts w:ascii="Times New Roman" w:eastAsia="Times New Roman" w:hAnsi="Times New Roman" w:cs="Times New Roman"/>
          <w:sz w:val="24"/>
          <w:szCs w:val="24"/>
        </w:rPr>
      </w:pPr>
      <w:r w:rsidRPr="00FE5844">
        <w:rPr>
          <w:rFonts w:ascii="Segoe UI" w:eastAsia="Times New Roman" w:hAnsi="Segoe UI" w:cs="Segoe UI"/>
          <w:color w:val="222222"/>
          <w:kern w:val="36"/>
          <w:sz w:val="48"/>
          <w:szCs w:val="48"/>
        </w:rPr>
        <w:t xml:space="preserve">Compliance Supplement for Massachusetts School Districts Agreed Upon Procedures Engagements: (Updated </w:t>
      </w:r>
      <w:r>
        <w:rPr>
          <w:rFonts w:ascii="Segoe UI" w:eastAsia="Times New Roman" w:hAnsi="Segoe UI" w:cs="Segoe UI"/>
          <w:color w:val="222222"/>
          <w:kern w:val="36"/>
          <w:sz w:val="48"/>
          <w:szCs w:val="48"/>
        </w:rPr>
        <w:t>December</w:t>
      </w:r>
      <w:r w:rsidRPr="00FE5844">
        <w:rPr>
          <w:rFonts w:ascii="Segoe UI" w:eastAsia="Times New Roman" w:hAnsi="Segoe UI" w:cs="Segoe UI"/>
          <w:color w:val="222222"/>
          <w:kern w:val="36"/>
          <w:sz w:val="48"/>
          <w:szCs w:val="48"/>
        </w:rPr>
        <w:t xml:space="preserve"> 202</w:t>
      </w:r>
      <w:r w:rsidR="00D303B2">
        <w:rPr>
          <w:rFonts w:ascii="Segoe UI" w:eastAsia="Times New Roman" w:hAnsi="Segoe UI" w:cs="Segoe UI"/>
          <w:color w:val="222222"/>
          <w:kern w:val="36"/>
          <w:sz w:val="48"/>
          <w:szCs w:val="48"/>
        </w:rPr>
        <w:t>4</w:t>
      </w:r>
      <w:r w:rsidR="00B41327">
        <w:rPr>
          <w:rFonts w:ascii="Segoe UI" w:eastAsia="Times New Roman" w:hAnsi="Segoe UI" w:cs="Segoe UI"/>
          <w:color w:val="222222"/>
          <w:kern w:val="36"/>
          <w:sz w:val="48"/>
          <w:szCs w:val="48"/>
        </w:rPr>
        <w:t>)</w:t>
      </w:r>
    </w:p>
    <w:p w14:paraId="5C8A57F7" w14:textId="77777777" w:rsidR="00FE5844" w:rsidRPr="00FE5844" w:rsidRDefault="00FE5844" w:rsidP="00FE5844">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FE5844">
        <w:rPr>
          <w:rFonts w:ascii="Segoe UI" w:eastAsia="Times New Roman" w:hAnsi="Segoe UI" w:cs="Segoe UI"/>
          <w:color w:val="0C7580"/>
          <w:spacing w:val="12"/>
          <w:sz w:val="36"/>
          <w:szCs w:val="36"/>
        </w:rPr>
        <w:t>1. Introduction and Scope</w:t>
      </w:r>
    </w:p>
    <w:p w14:paraId="425D85AF" w14:textId="77777777" w:rsidR="00FE5844" w:rsidRPr="00FE5844" w:rsidRDefault="00FE5844" w:rsidP="00FE5844">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FE5844">
        <w:rPr>
          <w:rFonts w:ascii="Segoe UI" w:eastAsia="Times New Roman" w:hAnsi="Segoe UI" w:cs="Segoe UI"/>
          <w:color w:val="444444"/>
          <w:sz w:val="27"/>
          <w:szCs w:val="27"/>
        </w:rPr>
        <w:t>Introduction</w:t>
      </w:r>
    </w:p>
    <w:p w14:paraId="18DE5415"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Every Massachusetts school district is required to, within nine months of the close of its fiscal year, arrange for and undergo an independent audit of its financial records, to include using the Department of Elementary and Secondary Education Compliance Supplement (Compliance Supplement), and submit the report of this audit to the Massachusetts Department of Elementary and Secondary Education (DESE or Department). This requirement shall be satisfied if the school district's records are audited using the Department's Compliance Supplement as part of a general audit of all municipal financial records. The audit must be conducted by an independent public accounting firm based on the compliance requirements, audit objectives, and suggested audit procedures contained in this Compliance Supplement. The auditor shall comply with professional standards included in "Standards for Audit of Governmental Organizations, Programs, Activities and Functions" adopted by the Comptroller General of the United States in the conduct of the audit.</w:t>
      </w:r>
    </w:p>
    <w:p w14:paraId="244C6460"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Each city, town, and regional school district is required to submit an End-of-Year Financial Report (EOYR) to DESE on or before September 30 of each year. The EOYR must be consistent with Department regulations and guidelines. The EOYR consists of several schedules as follows:</w:t>
      </w:r>
    </w:p>
    <w:p w14:paraId="21B379F0" w14:textId="77777777" w:rsidR="00FE5844" w:rsidRP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Schedule 1 Revenue and Expenditure Summary</w:t>
      </w:r>
    </w:p>
    <w:p w14:paraId="7D59B577" w14:textId="77777777" w:rsidR="00FE5844" w:rsidRP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Schedule 2 Assessments Received from Member Towns or Cities of Regional School Districts</w:t>
      </w:r>
    </w:p>
    <w:p w14:paraId="759388CB" w14:textId="77777777" w:rsidR="00FE5844" w:rsidRP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Schedule 3 Instructional Services by School</w:t>
      </w:r>
    </w:p>
    <w:p w14:paraId="37F3C99C" w14:textId="77777777" w:rsidR="00FE5844" w:rsidRP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Schedule 4 Special Education Expenditures by Placement</w:t>
      </w:r>
    </w:p>
    <w:p w14:paraId="1E8A34E0" w14:textId="77777777" w:rsidR="00FE5844" w:rsidRP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Schedule 7 Pupil Transportation Reimbursement</w:t>
      </w:r>
    </w:p>
    <w:p w14:paraId="371B28A0" w14:textId="2DD9739B" w:rsid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Schedule 19 Annual School Budget</w:t>
      </w:r>
    </w:p>
    <w:p w14:paraId="0A34D049" w14:textId="1F82D577" w:rsidR="00FE5844" w:rsidRPr="00FE5844" w:rsidRDefault="00FE5844" w:rsidP="00FE5844">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Schedule 20 Non-Instructional Grant Expenditures</w:t>
      </w:r>
    </w:p>
    <w:p w14:paraId="27F26542" w14:textId="77777777" w:rsidR="00FE5844" w:rsidRPr="00FE5844" w:rsidRDefault="00FE5844" w:rsidP="00FE5844">
      <w:pPr>
        <w:shd w:val="clear" w:color="auto" w:fill="FFFFFF"/>
        <w:spacing w:after="0"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lastRenderedPageBreak/>
        <w:br/>
      </w:r>
    </w:p>
    <w:p w14:paraId="1923545E"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Schedule 1 is the primary schedule reporting the results of operations for the fiscal year. Schedule 1 includes all revenues (Part I) and expenditures (Part II) received or made by the district directly or indirectly (Part IIA), as well as those expenditures made by the city or town (Part IIB) or third parties, grants and special funds (Part IIC) in support of these educational programs for a specific fiscal year. Schedule 1 contains information by fund, source, program, function, and object. The Department utilizes this schedule for net school spending compliance, federal reporting, state aid, local contribution calculations, and other needs. As such, it is critical that the amounts reported on Schedule 1 are accurate and verifiable.</w:t>
      </w:r>
    </w:p>
    <w:p w14:paraId="7B68673F"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While Schedule 1 financial information is generally derived from the municipal or district accounting system, other data in the EOYR are generally prepared in part from sources other than the accounting system. Districts utilize various allocations, distributions, or assignments of costs to complete the EOYR schedules or to report non-financial data. It is critical that these allocations, distributions, or assignment of costs are consistent with documented and reasonable methodologies and that non-financial data are supported by appropriate records or documented methodologies.</w:t>
      </w:r>
    </w:p>
    <w:p w14:paraId="6F4DD891" w14:textId="77777777" w:rsidR="00FE5844" w:rsidRPr="00FE5844" w:rsidRDefault="00FE5844" w:rsidP="00FE5844">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FE5844">
        <w:rPr>
          <w:rFonts w:ascii="Segoe UI" w:eastAsia="Times New Roman" w:hAnsi="Segoe UI" w:cs="Segoe UI"/>
          <w:color w:val="444444"/>
          <w:sz w:val="27"/>
          <w:szCs w:val="27"/>
        </w:rPr>
        <w:t>Scope</w:t>
      </w:r>
    </w:p>
    <w:p w14:paraId="187A161C"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The purpose of this Compliance Supplement is to provide guidance in the conduct of an independent audit of a district's system for managing and reporting financial and non-financial information the district is required to report to DESE on the EOYR. The objectives of the Compliance Supplement are to determine whether:</w:t>
      </w:r>
    </w:p>
    <w:p w14:paraId="1EAEE526" w14:textId="77777777" w:rsidR="00FE5844" w:rsidRPr="00FE5844" w:rsidRDefault="00FE5844" w:rsidP="00FE5844">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Financial data reported on all EOYR schedules are traceable to the detail contained in the municipal or district accounting ledgers or records or to a documented methodology.</w:t>
      </w:r>
    </w:p>
    <w:p w14:paraId="3699A664" w14:textId="77777777" w:rsidR="00FE5844" w:rsidRPr="00FE5844" w:rsidRDefault="00FE5844" w:rsidP="00FE5844">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Non-financial data reported on all EOYR schedules are traceable to the district's records or to a documented methodology.</w:t>
      </w:r>
    </w:p>
    <w:p w14:paraId="3F911E06" w14:textId="77777777" w:rsidR="00FE5844" w:rsidRPr="00FE5844" w:rsidRDefault="00FE5844" w:rsidP="00FE5844">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There are documented methodologies supporting the financial and other reported information contained in these schedules, whether these methodologies were followed, and whether the methodologies are reasonable.</w:t>
      </w:r>
    </w:p>
    <w:p w14:paraId="3D39A1E6" w14:textId="77777777" w:rsidR="00FE5844" w:rsidRPr="00FE5844" w:rsidRDefault="00FE5844" w:rsidP="00FE5844">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Internal controls exist to provide reasonable assurance that the revenues, expenditures, and other data are accounted for consistent with Department regulations and guidelines.</w:t>
      </w:r>
    </w:p>
    <w:p w14:paraId="6704C699" w14:textId="77777777" w:rsidR="00FE5844" w:rsidRPr="00FE5844" w:rsidRDefault="00FE5844" w:rsidP="00FE5844">
      <w:pPr>
        <w:shd w:val="clear" w:color="auto" w:fill="FFFFFF"/>
        <w:spacing w:after="0"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br/>
      </w:r>
    </w:p>
    <w:p w14:paraId="3D43D7D0"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lastRenderedPageBreak/>
        <w:t>This document describes the compliance requirements, audit objectives, and suggested audit procedures for Massachusetts school districts. These requirements, objectives, and procedures are intended to be consistent with the objectives and requirements of Part 3, Compliance Requirement L, Reporting Requirements of the March 2000 OMB A-133 Compliance Supplement. This document is written with the understanding that the internal control systems for Schedule 1 and other EOYR financial and other reported data are subject to the same tests as other municipal data.</w:t>
      </w:r>
    </w:p>
    <w:p w14:paraId="6EBB268B" w14:textId="77777777" w:rsidR="00FE5844" w:rsidRPr="00FE5844" w:rsidRDefault="00FE5844" w:rsidP="00FE5844">
      <w:pPr>
        <w:shd w:val="clear" w:color="auto" w:fill="FFFFFF"/>
        <w:spacing w:before="100" w:beforeAutospacing="1" w:after="100" w:afterAutospacing="1" w:line="240" w:lineRule="auto"/>
        <w:outlineLvl w:val="1"/>
        <w:rPr>
          <w:rFonts w:ascii="Segoe UI" w:eastAsia="Times New Roman" w:hAnsi="Segoe UI" w:cs="Segoe UI"/>
          <w:color w:val="0C7580"/>
          <w:spacing w:val="12"/>
          <w:sz w:val="36"/>
          <w:szCs w:val="36"/>
        </w:rPr>
      </w:pPr>
      <w:r w:rsidRPr="00FE5844">
        <w:rPr>
          <w:rFonts w:ascii="Segoe UI" w:eastAsia="Times New Roman" w:hAnsi="Segoe UI" w:cs="Segoe UI"/>
          <w:color w:val="0C7580"/>
          <w:spacing w:val="12"/>
          <w:sz w:val="36"/>
          <w:szCs w:val="36"/>
        </w:rPr>
        <w:t>2. Objectives, General Compliance Requirements, and Specific Compliance Requirements</w:t>
      </w:r>
    </w:p>
    <w:p w14:paraId="1CC2967D" w14:textId="77777777" w:rsidR="00FE5844" w:rsidRPr="00FE5844" w:rsidRDefault="00FE5844" w:rsidP="00FE5844">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FE5844">
        <w:rPr>
          <w:rFonts w:ascii="Segoe UI" w:eastAsia="Times New Roman" w:hAnsi="Segoe UI" w:cs="Segoe UI"/>
          <w:color w:val="444444"/>
          <w:sz w:val="27"/>
          <w:szCs w:val="27"/>
        </w:rPr>
        <w:t>Objectives</w:t>
      </w:r>
    </w:p>
    <w:p w14:paraId="7013F3C7"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Determine whether required reports for Massachusetts school districts include all activity of the reporting period, are supported by applicable accounting records, and are fairly presented in accordance with State requirements.</w:t>
      </w:r>
    </w:p>
    <w:p w14:paraId="487C063D" w14:textId="77777777" w:rsidR="00FE5844" w:rsidRPr="00FE5844" w:rsidRDefault="00FE5844" w:rsidP="00FE5844">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FE5844">
        <w:rPr>
          <w:rFonts w:ascii="Segoe UI" w:eastAsia="Times New Roman" w:hAnsi="Segoe UI" w:cs="Segoe UI"/>
          <w:color w:val="444444"/>
          <w:sz w:val="27"/>
          <w:szCs w:val="27"/>
        </w:rPr>
        <w:t>General Compliance Requirements</w:t>
      </w:r>
    </w:p>
    <w:p w14:paraId="59083032"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Districts must use the standard financial reporting schedules contained in the (EOYR). These schedules include financial and non-financial data. The financial information must be traceable to the accounting ledgers of the district or of the municipality or to a documented methodology. If a "crosswalk" exists between the municipal and district ledgers, this crosswalk should be documented. The non-financial information must be traceable to records or to a documented methodology that demonstrates the information was compiled from existing records. Each district must report income on the modified accrual basis and expenditures on the modified accrual plus encumbrance basis.</w:t>
      </w:r>
    </w:p>
    <w:p w14:paraId="2A2DC66E" w14:textId="77777777" w:rsidR="00FE5844" w:rsidRPr="00FE5844" w:rsidRDefault="00FE5844" w:rsidP="00FE5844">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For all EOYR Schedules:</w:t>
      </w:r>
    </w:p>
    <w:p w14:paraId="392242C0" w14:textId="77777777" w:rsidR="00FE5844" w:rsidRPr="00FE5844" w:rsidRDefault="00FE5844" w:rsidP="00FE5844">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Ascertain if the financial information was prepared in accordance with the budgetary basis of accounting (e.g., modified accrual plus current year encumbrances minus expenditures of prior year encumbrances).</w:t>
      </w:r>
    </w:p>
    <w:p w14:paraId="7267A2F4" w14:textId="77777777" w:rsidR="00FE5844" w:rsidRDefault="00FE5844"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the amounts reported to accounting and other records that support the audited financial statements and verify agreement or perform alternative procedures to verify the accuracy and completeness of the reports and that they agree with the accounting records.</w:t>
      </w:r>
    </w:p>
    <w:p w14:paraId="205DE805" w14:textId="6EF69FB7" w:rsidR="00962909" w:rsidRPr="00FE5844" w:rsidRDefault="00843352"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AB25E2">
        <w:rPr>
          <w:rFonts w:ascii="Segoe UI" w:eastAsia="Times New Roman" w:hAnsi="Segoe UI" w:cs="Segoe UI"/>
          <w:color w:val="212529"/>
          <w:sz w:val="24"/>
          <w:szCs w:val="24"/>
          <w:highlight w:val="yellow"/>
        </w:rPr>
        <w:t xml:space="preserve">Determine if </w:t>
      </w:r>
      <w:r w:rsidR="00622042" w:rsidRPr="00AB25E2">
        <w:rPr>
          <w:rFonts w:ascii="Segoe UI" w:eastAsia="Times New Roman" w:hAnsi="Segoe UI" w:cs="Segoe UI"/>
          <w:color w:val="212529"/>
          <w:sz w:val="24"/>
          <w:szCs w:val="24"/>
          <w:highlight w:val="yellow"/>
        </w:rPr>
        <w:t>all encumbrances were closed out by the 12/31 deadline</w:t>
      </w:r>
      <w:r w:rsidR="009060C8" w:rsidRPr="00AB25E2">
        <w:rPr>
          <w:rFonts w:ascii="Segoe UI" w:eastAsia="Times New Roman" w:hAnsi="Segoe UI" w:cs="Segoe UI"/>
          <w:color w:val="212529"/>
          <w:sz w:val="24"/>
          <w:szCs w:val="24"/>
          <w:highlight w:val="yellow"/>
        </w:rPr>
        <w:t xml:space="preserve"> and that reported exp</w:t>
      </w:r>
      <w:r w:rsidR="00D36987" w:rsidRPr="00AB25E2">
        <w:rPr>
          <w:rFonts w:ascii="Segoe UI" w:eastAsia="Times New Roman" w:hAnsi="Segoe UI" w:cs="Segoe UI"/>
          <w:color w:val="212529"/>
          <w:sz w:val="24"/>
          <w:szCs w:val="24"/>
          <w:highlight w:val="yellow"/>
        </w:rPr>
        <w:t>enditures were adjusted accordingly</w:t>
      </w:r>
      <w:r w:rsidR="00D36987">
        <w:rPr>
          <w:rFonts w:ascii="Segoe UI" w:eastAsia="Times New Roman" w:hAnsi="Segoe UI" w:cs="Segoe UI"/>
          <w:color w:val="212529"/>
          <w:sz w:val="24"/>
          <w:szCs w:val="24"/>
        </w:rPr>
        <w:t>.</w:t>
      </w:r>
    </w:p>
    <w:p w14:paraId="0CE3575D" w14:textId="77777777" w:rsidR="00FE5844" w:rsidRPr="00FE5844" w:rsidRDefault="00FE5844" w:rsidP="00FE5844">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lastRenderedPageBreak/>
        <w:t>Trace non-financial data to records that accumulate and summarize data.</w:t>
      </w:r>
    </w:p>
    <w:p w14:paraId="089B53D8" w14:textId="77777777" w:rsidR="00FE5844" w:rsidRPr="00FE5844" w:rsidRDefault="00FE5844"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Perform tests of the underlying data to verify that the data was accumulated and summarized in accordance with the required or stated criteria and methodology, including the accuracy and completeness of the schedules. For Schedule 7, test eligibility criteria for reimbursable riders (pupils residing greater than 1.5 miles from their school of attendance).</w:t>
      </w:r>
    </w:p>
    <w:p w14:paraId="49EC3CC4" w14:textId="77777777" w:rsidR="00FE5844" w:rsidRPr="00FE5844" w:rsidRDefault="00FE5844"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When intervening computations or calculations are required between the records and the schedules, trace reported data elements to supporting worksheets or other documentation that link the schedules to the data.</w:t>
      </w:r>
    </w:p>
    <w:p w14:paraId="06E406FE" w14:textId="77777777" w:rsidR="00FE5844" w:rsidRPr="00FE5844" w:rsidRDefault="00FE5844" w:rsidP="00FE5844">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the district's accounting system meets the following DESE requirements:</w:t>
      </w:r>
    </w:p>
    <w:p w14:paraId="74ED054D" w14:textId="77777777" w:rsidR="00FE5844" w:rsidRPr="00FE5844" w:rsidRDefault="00FE5844"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whether the district uses an accounting system that 1) provides for the reporting of all instructional costs by school location and 2) is in accordance with 603 CMR 10.03 (3)(a).</w:t>
      </w:r>
    </w:p>
    <w:p w14:paraId="43F162AB" w14:textId="77777777" w:rsidR="00FE5844" w:rsidRPr="00FE5844" w:rsidRDefault="00FE5844"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the accounting system is supported by up-to-date written policies and procedures and that the policies and procedures are followed on a uniform and consistent basis.</w:t>
      </w:r>
    </w:p>
    <w:p w14:paraId="1E63122A" w14:textId="276C4B57" w:rsidR="00FE5844" w:rsidRPr="00FE5844" w:rsidRDefault="00FE5844" w:rsidP="00FE5844">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 xml:space="preserve">Determine if the </w:t>
      </w:r>
      <w:r w:rsidR="00B85386" w:rsidRPr="00FE5844">
        <w:rPr>
          <w:rFonts w:ascii="Segoe UI" w:eastAsia="Times New Roman" w:hAnsi="Segoe UI" w:cs="Segoe UI"/>
          <w:color w:val="212529"/>
          <w:sz w:val="24"/>
          <w:szCs w:val="24"/>
        </w:rPr>
        <w:t>district</w:t>
      </w:r>
      <w:r w:rsidRPr="00FE5844">
        <w:rPr>
          <w:rFonts w:ascii="Segoe UI" w:eastAsia="Times New Roman" w:hAnsi="Segoe UI" w:cs="Segoe UI"/>
          <w:color w:val="212529"/>
          <w:sz w:val="24"/>
          <w:szCs w:val="24"/>
        </w:rPr>
        <w:t xml:space="preserve"> maintains written policies and procedures related to the classification of salaries and expenses by program, function and object and that the policies and procedures are followed on a uniform and consistent basis.</w:t>
      </w:r>
    </w:p>
    <w:p w14:paraId="59BC9924" w14:textId="77777777" w:rsidR="00FE5844" w:rsidRPr="00FE5844" w:rsidRDefault="00FE5844" w:rsidP="00FE5844">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Obtain written representation from management that the reports provided to the auditor are true copies of the EOYR submitted or electronically transmitted to the Department</w:t>
      </w:r>
    </w:p>
    <w:p w14:paraId="334BE9A6" w14:textId="77777777" w:rsidR="00FE5844" w:rsidRPr="00FE5844" w:rsidRDefault="00FE5844" w:rsidP="00FE5844">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that the district submitted a signed Certification Statement.</w:t>
      </w:r>
    </w:p>
    <w:p w14:paraId="024F4A8B" w14:textId="77777777" w:rsidR="00FE5844" w:rsidRPr="00FE5844" w:rsidRDefault="00FE5844" w:rsidP="00FE5844">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amendments required from prior year's audit were submitted.</w:t>
      </w:r>
    </w:p>
    <w:p w14:paraId="36EB63AE" w14:textId="77777777" w:rsidR="00FE5844" w:rsidRPr="00FE5844" w:rsidRDefault="00FE5844" w:rsidP="00FE5844">
      <w:pPr>
        <w:shd w:val="clear" w:color="auto" w:fill="FFFFFF"/>
        <w:spacing w:before="100" w:beforeAutospacing="1" w:after="100" w:afterAutospacing="1" w:line="240" w:lineRule="auto"/>
        <w:outlineLvl w:val="2"/>
        <w:rPr>
          <w:rFonts w:ascii="Segoe UI" w:eastAsia="Times New Roman" w:hAnsi="Segoe UI" w:cs="Segoe UI"/>
          <w:color w:val="444444"/>
          <w:sz w:val="27"/>
          <w:szCs w:val="27"/>
        </w:rPr>
      </w:pPr>
      <w:r w:rsidRPr="00FE5844">
        <w:rPr>
          <w:rFonts w:ascii="Segoe UI" w:eastAsia="Times New Roman" w:hAnsi="Segoe UI" w:cs="Segoe UI"/>
          <w:color w:val="444444"/>
          <w:sz w:val="27"/>
          <w:szCs w:val="27"/>
        </w:rPr>
        <w:t>Specific Compliance Requirements</w:t>
      </w:r>
    </w:p>
    <w:p w14:paraId="7F5BD1FE" w14:textId="77777777" w:rsidR="00FE5844" w:rsidRPr="00FE5844" w:rsidRDefault="00FE5844" w:rsidP="00FE5844">
      <w:p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Schedule 1 — Revenue &amp; Expenditure Summary</w:t>
      </w:r>
    </w:p>
    <w:p w14:paraId="0093EE92" w14:textId="77777777" w:rsidR="00FE5844" w:rsidRPr="00FE5844" w:rsidRDefault="00FE5844" w:rsidP="00FE5844">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b/>
          <w:bCs/>
          <w:color w:val="212529"/>
          <w:sz w:val="24"/>
          <w:szCs w:val="24"/>
        </w:rPr>
        <w:t>Revenues</w:t>
      </w:r>
    </w:p>
    <w:p w14:paraId="4633FCBA" w14:textId="77777777" w:rsidR="00FE5844" w:rsidRPr="00FE5844" w:rsidRDefault="00FE5844" w:rsidP="00FE5844">
      <w:pPr>
        <w:shd w:val="clear" w:color="auto" w:fill="FFFFFF"/>
        <w:spacing w:before="100" w:beforeAutospacing="1" w:after="100" w:afterAutospacing="1" w:line="240" w:lineRule="auto"/>
        <w:ind w:left="720"/>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A. Revenue from Local Sources</w:t>
      </w:r>
    </w:p>
    <w:p w14:paraId="5373536C" w14:textId="77777777" w:rsidR="00FE5844" w:rsidRPr="00FE5844" w:rsidRDefault="00FE5844" w:rsidP="00FE5844">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Revenues from Local Sources reported on Schedule 1 to the municipal and district accounting ledgers. Also, trace the revenues reported on district's accounting ledgers to revenues reported on Schedule 1. These amounts should agree.</w:t>
      </w:r>
    </w:p>
    <w:p w14:paraId="0A54321A" w14:textId="77777777" w:rsidR="00FE5844" w:rsidRPr="00FE5844" w:rsidRDefault="00FE5844" w:rsidP="00FE5844">
      <w:pPr>
        <w:shd w:val="clear" w:color="auto" w:fill="FFFFFF"/>
        <w:spacing w:beforeAutospacing="1" w:after="0" w:afterAutospacing="1" w:line="240" w:lineRule="auto"/>
        <w:ind w:left="720"/>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lastRenderedPageBreak/>
        <w:br/>
      </w:r>
    </w:p>
    <w:p w14:paraId="5B12B715" w14:textId="77777777" w:rsidR="00FE5844" w:rsidRPr="00FE5844" w:rsidRDefault="00FE5844" w:rsidP="00FE5844">
      <w:pPr>
        <w:shd w:val="clear" w:color="auto" w:fill="FFFFFF"/>
        <w:spacing w:after="100" w:afterAutospacing="1" w:line="240" w:lineRule="auto"/>
        <w:ind w:left="720"/>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C, D, and E. Revenues from Federal Grants, State Grants and Revolving and Special Funds</w:t>
      </w:r>
    </w:p>
    <w:p w14:paraId="0BECF4FB" w14:textId="27BFBF89" w:rsidR="00A61DB0" w:rsidRPr="00D7515B" w:rsidRDefault="00FE5844" w:rsidP="00CB47BB">
      <w:pPr>
        <w:numPr>
          <w:ilvl w:val="1"/>
          <w:numId w:val="6"/>
        </w:numPr>
        <w:shd w:val="clear" w:color="auto" w:fill="FFFFFF"/>
        <w:spacing w:after="100" w:afterAutospacing="1" w:line="240" w:lineRule="auto"/>
        <w:rPr>
          <w:rFonts w:ascii="Segoe UI" w:eastAsia="Times New Roman" w:hAnsi="Segoe UI" w:cs="Segoe UI"/>
          <w:color w:val="222222"/>
          <w:sz w:val="24"/>
          <w:szCs w:val="24"/>
        </w:rPr>
      </w:pPr>
      <w:r w:rsidRPr="00A61DB0">
        <w:rPr>
          <w:rFonts w:ascii="Segoe UI" w:eastAsia="Times New Roman" w:hAnsi="Segoe UI" w:cs="Segoe UI"/>
          <w:color w:val="222222"/>
          <w:sz w:val="24"/>
          <w:szCs w:val="24"/>
        </w:rPr>
        <w:t xml:space="preserve">Trace the revenue from state aid, federal grants, state grants, and revolving and special funds to the detail in district's accounting ledgers. Also, trace the revenues reported on district's accounting ledgers to revenues reported on Schedule 1. These amounts should agree </w:t>
      </w:r>
      <w:proofErr w:type="gramStart"/>
      <w:r w:rsidRPr="00A61DB0">
        <w:rPr>
          <w:rFonts w:ascii="Segoe UI" w:eastAsia="Times New Roman" w:hAnsi="Segoe UI" w:cs="Segoe UI"/>
          <w:color w:val="222222"/>
          <w:sz w:val="24"/>
          <w:szCs w:val="24"/>
        </w:rPr>
        <w:t>with the possible exception of</w:t>
      </w:r>
      <w:proofErr w:type="gramEnd"/>
      <w:r w:rsidRPr="00A61DB0">
        <w:rPr>
          <w:rFonts w:ascii="Segoe UI" w:eastAsia="Times New Roman" w:hAnsi="Segoe UI" w:cs="Segoe UI"/>
          <w:color w:val="222222"/>
          <w:sz w:val="24"/>
          <w:szCs w:val="24"/>
        </w:rPr>
        <w:t xml:space="preserve"> revenue from state aid, federal grants and state grants, which are entered by the state based on allotments. </w:t>
      </w:r>
      <w:r w:rsidR="00CB47BB">
        <w:rPr>
          <w:rFonts w:ascii="Segoe UI" w:eastAsia="Times New Roman" w:hAnsi="Segoe UI" w:cs="Segoe UI"/>
          <w:b/>
          <w:bCs/>
          <w:i/>
          <w:iCs/>
          <w:color w:val="222222"/>
          <w:sz w:val="24"/>
          <w:szCs w:val="24"/>
        </w:rPr>
        <w:t>Validate that the DESE Administered Federal Grant revenues entered on line 300 and the DESE Administered State Grant revenues on 510 match the final FY2</w:t>
      </w:r>
      <w:r w:rsidR="00B85386">
        <w:rPr>
          <w:rFonts w:ascii="Segoe UI" w:eastAsia="Times New Roman" w:hAnsi="Segoe UI" w:cs="Segoe UI"/>
          <w:b/>
          <w:bCs/>
          <w:i/>
          <w:iCs/>
          <w:color w:val="222222"/>
          <w:sz w:val="24"/>
          <w:szCs w:val="24"/>
        </w:rPr>
        <w:t>3</w:t>
      </w:r>
      <w:r w:rsidR="00CB47BB">
        <w:rPr>
          <w:rFonts w:ascii="Segoe UI" w:eastAsia="Times New Roman" w:hAnsi="Segoe UI" w:cs="Segoe UI"/>
          <w:b/>
          <w:bCs/>
          <w:i/>
          <w:iCs/>
          <w:color w:val="222222"/>
          <w:sz w:val="24"/>
          <w:szCs w:val="24"/>
        </w:rPr>
        <w:t xml:space="preserve"> grant revenue file posted on the DESE</w:t>
      </w:r>
      <w:r w:rsidR="001F12E5">
        <w:rPr>
          <w:rFonts w:ascii="Segoe UI" w:eastAsia="Times New Roman" w:hAnsi="Segoe UI" w:cs="Segoe UI"/>
          <w:b/>
          <w:bCs/>
          <w:i/>
          <w:iCs/>
          <w:color w:val="222222"/>
          <w:sz w:val="24"/>
          <w:szCs w:val="24"/>
        </w:rPr>
        <w:t xml:space="preserve"> EOYR</w:t>
      </w:r>
      <w:r w:rsidR="00CB47BB">
        <w:rPr>
          <w:rFonts w:ascii="Segoe UI" w:eastAsia="Times New Roman" w:hAnsi="Segoe UI" w:cs="Segoe UI"/>
          <w:b/>
          <w:bCs/>
          <w:i/>
          <w:iCs/>
          <w:color w:val="222222"/>
          <w:sz w:val="24"/>
          <w:szCs w:val="24"/>
        </w:rPr>
        <w:t xml:space="preserve"> </w:t>
      </w:r>
      <w:hyperlink r:id="rId10" w:history="1">
        <w:r w:rsidR="00CB47BB" w:rsidRPr="001F12E5">
          <w:rPr>
            <w:rStyle w:val="Hyperlink"/>
            <w:rFonts w:ascii="Segoe UI" w:eastAsia="Times New Roman" w:hAnsi="Segoe UI" w:cs="Segoe UI"/>
            <w:b/>
            <w:bCs/>
            <w:i/>
            <w:iCs/>
            <w:sz w:val="24"/>
            <w:szCs w:val="24"/>
          </w:rPr>
          <w:t>website</w:t>
        </w:r>
      </w:hyperlink>
      <w:r w:rsidR="00CB47BB">
        <w:rPr>
          <w:rFonts w:ascii="Segoe UI" w:eastAsia="Times New Roman" w:hAnsi="Segoe UI" w:cs="Segoe UI"/>
          <w:b/>
          <w:bCs/>
          <w:i/>
          <w:iCs/>
          <w:color w:val="222222"/>
          <w:sz w:val="24"/>
          <w:szCs w:val="24"/>
        </w:rPr>
        <w:t>.</w:t>
      </w:r>
    </w:p>
    <w:p w14:paraId="2C167973"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r w:rsidRPr="00FE5844">
        <w:rPr>
          <w:rFonts w:ascii="Segoe UI" w:eastAsia="Times New Roman" w:hAnsi="Segoe UI" w:cs="Segoe UI"/>
          <w:b/>
          <w:bCs/>
          <w:i/>
          <w:iCs/>
          <w:color w:val="222222"/>
          <w:sz w:val="24"/>
          <w:szCs w:val="24"/>
        </w:rPr>
        <w:t>Note: Amounts deposited in legally authorized revolving accounts (e.g. School Choice) cannot be transferred to the General Fund.</w:t>
      </w:r>
    </w:p>
    <w:p w14:paraId="753DEA3F" w14:textId="77777777" w:rsidR="00FE5844" w:rsidRPr="00FE5844" w:rsidRDefault="00FE5844" w:rsidP="00FE5844">
      <w:pPr>
        <w:shd w:val="clear" w:color="auto" w:fill="FFFFFF"/>
        <w:spacing w:beforeAutospacing="1" w:after="0" w:afterAutospacing="1" w:line="240" w:lineRule="auto"/>
        <w:ind w:left="720"/>
        <w:rPr>
          <w:rFonts w:ascii="Segoe UI" w:eastAsia="Times New Roman" w:hAnsi="Segoe UI" w:cs="Segoe UI"/>
          <w:color w:val="212529"/>
          <w:sz w:val="24"/>
          <w:szCs w:val="24"/>
        </w:rPr>
      </w:pPr>
    </w:p>
    <w:p w14:paraId="635058F0" w14:textId="0EFB51F1" w:rsidR="00FE5844" w:rsidRPr="00FE5844" w:rsidRDefault="00FE5844" w:rsidP="00FE5844">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b/>
          <w:bCs/>
          <w:color w:val="212529"/>
          <w:sz w:val="24"/>
          <w:szCs w:val="24"/>
        </w:rPr>
        <w:t>Expenditures</w:t>
      </w:r>
      <w:r w:rsidRPr="00FE5844">
        <w:rPr>
          <w:rFonts w:ascii="Segoe UI" w:eastAsia="Times New Roman" w:hAnsi="Segoe UI" w:cs="Segoe UI"/>
          <w:color w:val="212529"/>
          <w:sz w:val="24"/>
          <w:szCs w:val="24"/>
        </w:rPr>
        <w:br/>
      </w:r>
    </w:p>
    <w:p w14:paraId="1C70D850" w14:textId="77777777" w:rsidR="00FE5844" w:rsidRPr="00FE5844" w:rsidRDefault="00FE5844" w:rsidP="00FE5844">
      <w:pPr>
        <w:numPr>
          <w:ilvl w:val="1"/>
          <w:numId w:val="7"/>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By School Committee and B. By City or Town</w:t>
      </w:r>
    </w:p>
    <w:p w14:paraId="302748D5" w14:textId="1A18B93B"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the amounts reported for general fund education expenditures from Schedule 1</w:t>
      </w:r>
      <w:r w:rsidR="00642D55">
        <w:rPr>
          <w:rFonts w:ascii="Segoe UI" w:eastAsia="Times New Roman" w:hAnsi="Segoe UI" w:cs="Segoe UI"/>
          <w:color w:val="212529"/>
          <w:sz w:val="24"/>
          <w:szCs w:val="24"/>
        </w:rPr>
        <w:t>,</w:t>
      </w:r>
      <w:r w:rsidRPr="00FE5844">
        <w:rPr>
          <w:rFonts w:ascii="Segoe UI" w:eastAsia="Times New Roman" w:hAnsi="Segoe UI" w:cs="Segoe UI"/>
          <w:color w:val="212529"/>
          <w:sz w:val="24"/>
          <w:szCs w:val="24"/>
        </w:rPr>
        <w:t xml:space="preserve"> line 1850 to the municipal accounting ledgers and to the district accounting ledgers. Also, trace the expenditures reported on the district's accounting ledgers to expenditures reported on Schedule 1. These amounts should agree. If a crosswalk exists between the accounting ledgers and the EOYR, verify that the crosswalk agrees with the accounting ledgers in total and trace a sample of expenditures from the crosswalk to the accounting ledger.</w:t>
      </w:r>
    </w:p>
    <w:p w14:paraId="6E21F010"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the amounts reported for a sample of DESE functions (i.e., teachers, principals), object codes (i.e., professional salaries (01), other salaries (02), and other expenditures (04-06)) and DESE programs (i.e., regular day, special education, etc.) in Schedule 1 to the detail in the accounting ledgers or to the crosswalk, if applicable. These amounts should agree.</w:t>
      </w:r>
    </w:p>
    <w:p w14:paraId="27038A1A"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lastRenderedPageBreak/>
        <w:t>Test Extraordinary Maintenance (4300) expenditures for the following: Verify that expenditures do not include salaries; verify that the expenditures include applicable principal portions of a loan or the cost of a lease/purchase agreement; and verify that expenditures classified as Extraordinary Maintenance (4300) do not exceed the per project per school dollar limit for extraordinary maintenance of $150,000. Trace the expenditures to the detail in the accounting ledgers.</w:t>
      </w:r>
    </w:p>
    <w:p w14:paraId="4DD5DDB0"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how expenditures for fringe benefits are assigned or allocated to Schedule 1 Employee Benefits, Insurance (5100, 5200).</w:t>
      </w:r>
    </w:p>
    <w:p w14:paraId="20A68567" w14:textId="77777777"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the reported cost to the detail in the accounting ledgers using the methodology indicated. These amounts should agree.</w:t>
      </w:r>
    </w:p>
    <w:p w14:paraId="2F587971" w14:textId="3784D17B"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expenses are charged to 5150 Employee Separation Costs. If no expenses are charged inquire if any district employees retired in FY2</w:t>
      </w:r>
      <w:r w:rsidR="00642D55">
        <w:rPr>
          <w:rFonts w:ascii="Segoe UI" w:eastAsia="Times New Roman" w:hAnsi="Segoe UI" w:cs="Segoe UI"/>
          <w:color w:val="212529"/>
          <w:sz w:val="24"/>
          <w:szCs w:val="24"/>
        </w:rPr>
        <w:t>2</w:t>
      </w:r>
      <w:r w:rsidRPr="00FE5844">
        <w:rPr>
          <w:rFonts w:ascii="Segoe UI" w:eastAsia="Times New Roman" w:hAnsi="Segoe UI" w:cs="Segoe UI"/>
          <w:color w:val="212529"/>
          <w:sz w:val="24"/>
          <w:szCs w:val="24"/>
        </w:rPr>
        <w:t>. In the event district employees retired, there should be costs/expenses reported.</w:t>
      </w:r>
    </w:p>
    <w:p w14:paraId="7037A04A" w14:textId="77777777"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b/>
          <w:bCs/>
          <w:i/>
          <w:iCs/>
          <w:color w:val="212529"/>
          <w:sz w:val="24"/>
          <w:szCs w:val="24"/>
        </w:rPr>
        <w:t>Determine if the district reported Insurance for Retired Employees (5260) separately and appropriately.</w:t>
      </w:r>
    </w:p>
    <w:p w14:paraId="210D3896"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If amounts are reported for Rental Lease of Equipment or Buildings determine if the required rental lease schedule is maintained locally.</w:t>
      </w:r>
    </w:p>
    <w:p w14:paraId="13409628"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Verify that expenditures charged to lines 1683 or 2060, Short-term Interest RAN's (5400) relate exclusively to Revenue Anticipation Notes (RAN's).</w:t>
      </w:r>
    </w:p>
    <w:p w14:paraId="2FCD30D5"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Verify that expenditures charged to line 1684 or 2065, Short-term Interest BAN's (5450) relate exclusively to Bond Anticipation Notes (BAN's).</w:t>
      </w:r>
    </w:p>
    <w:p w14:paraId="6DD72CF9" w14:textId="1D4970B9"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Identify expenditures reported as long-term School Construction debt for principal (8100) and interest (8200). Verify that BAN's are not included in these functions. Trace the reported costs to the treasurer's debt schedule. Trace the reported amount to the detail in the accounting ledgers. These amounts should agree. </w:t>
      </w:r>
      <w:r w:rsidRPr="00FE5844">
        <w:rPr>
          <w:rFonts w:ascii="Segoe UI" w:eastAsia="Times New Roman" w:hAnsi="Segoe UI" w:cs="Segoe UI"/>
          <w:b/>
          <w:bCs/>
          <w:i/>
          <w:iCs/>
          <w:color w:val="212529"/>
          <w:sz w:val="24"/>
          <w:szCs w:val="24"/>
        </w:rPr>
        <w:t>Note:</w:t>
      </w:r>
      <w:r w:rsidRPr="00FE5844">
        <w:rPr>
          <w:rFonts w:ascii="Segoe UI" w:eastAsia="Times New Roman" w:hAnsi="Segoe UI" w:cs="Segoe UI"/>
          <w:b/>
          <w:bCs/>
          <w:color w:val="212529"/>
          <w:sz w:val="24"/>
          <w:szCs w:val="24"/>
        </w:rPr>
        <w:t> If the district received a lump sum wait list or progress payment from the Massachusetts School Building Authority</w:t>
      </w:r>
      <w:r w:rsidR="00A61DB0">
        <w:rPr>
          <w:rFonts w:ascii="Segoe UI" w:eastAsia="Times New Roman" w:hAnsi="Segoe UI" w:cs="Segoe UI"/>
          <w:b/>
          <w:bCs/>
          <w:color w:val="212529"/>
          <w:sz w:val="24"/>
          <w:szCs w:val="24"/>
        </w:rPr>
        <w:t xml:space="preserve"> (MSBA)</w:t>
      </w:r>
      <w:r w:rsidRPr="00FE5844">
        <w:rPr>
          <w:rFonts w:ascii="Segoe UI" w:eastAsia="Times New Roman" w:hAnsi="Segoe UI" w:cs="Segoe UI"/>
          <w:b/>
          <w:bCs/>
          <w:color w:val="212529"/>
          <w:sz w:val="24"/>
          <w:szCs w:val="24"/>
        </w:rPr>
        <w:t>, verify that the revenue was reported on line 130 and that expenses were reported for paydown of principal (8100) or Purchase of Land and Buildings (7100,7200) if applicable.</w:t>
      </w:r>
    </w:p>
    <w:p w14:paraId="72E5453D" w14:textId="7D653A2A"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the expenditures for tuition payments to other public</w:t>
      </w:r>
      <w:r w:rsidR="00A61DB0">
        <w:rPr>
          <w:rFonts w:ascii="Segoe UI" w:eastAsia="Times New Roman" w:hAnsi="Segoe UI" w:cs="Segoe UI"/>
          <w:color w:val="212529"/>
          <w:sz w:val="24"/>
          <w:szCs w:val="24"/>
        </w:rPr>
        <w:t>-</w:t>
      </w:r>
      <w:r w:rsidRPr="00FE5844">
        <w:rPr>
          <w:rFonts w:ascii="Segoe UI" w:eastAsia="Times New Roman" w:hAnsi="Segoe UI" w:cs="Segoe UI"/>
          <w:color w:val="212529"/>
          <w:sz w:val="24"/>
          <w:szCs w:val="24"/>
        </w:rPr>
        <w:t xml:space="preserve">school districts in state (9100), to out of state schools (9200), to non-public schools (9300), to member collaboratives (9400), and assessments </w:t>
      </w:r>
      <w:r w:rsidRPr="00FE5844">
        <w:rPr>
          <w:rFonts w:ascii="Segoe UI" w:eastAsia="Times New Roman" w:hAnsi="Segoe UI" w:cs="Segoe UI"/>
          <w:color w:val="212529"/>
          <w:sz w:val="24"/>
          <w:szCs w:val="24"/>
        </w:rPr>
        <w:lastRenderedPageBreak/>
        <w:t>to member regional school districts (9500) to the detail in the accounting ledgers. These amounts should agree. </w:t>
      </w:r>
      <w:r w:rsidRPr="00FE5844">
        <w:rPr>
          <w:rFonts w:ascii="Segoe UI" w:eastAsia="Times New Roman" w:hAnsi="Segoe UI" w:cs="Segoe UI"/>
          <w:i/>
          <w:iCs/>
          <w:color w:val="212529"/>
          <w:sz w:val="24"/>
          <w:szCs w:val="24"/>
        </w:rPr>
        <w:t>Note:</w:t>
      </w:r>
      <w:r w:rsidRPr="00FE5844">
        <w:rPr>
          <w:rFonts w:ascii="Segoe UI" w:eastAsia="Times New Roman" w:hAnsi="Segoe UI" w:cs="Segoe UI"/>
          <w:color w:val="212529"/>
          <w:sz w:val="24"/>
          <w:szCs w:val="24"/>
        </w:rPr>
        <w:t> If the district prepaid FY2</w:t>
      </w:r>
      <w:r w:rsidR="00EB71EC">
        <w:rPr>
          <w:rFonts w:ascii="Segoe UI" w:eastAsia="Times New Roman" w:hAnsi="Segoe UI" w:cs="Segoe UI"/>
          <w:color w:val="212529"/>
          <w:sz w:val="24"/>
          <w:szCs w:val="24"/>
        </w:rPr>
        <w:t>3</w:t>
      </w:r>
      <w:r w:rsidRPr="00FE5844">
        <w:rPr>
          <w:rFonts w:ascii="Segoe UI" w:eastAsia="Times New Roman" w:hAnsi="Segoe UI" w:cs="Segoe UI"/>
          <w:color w:val="212529"/>
          <w:sz w:val="24"/>
          <w:szCs w:val="24"/>
        </w:rPr>
        <w:t xml:space="preserve"> special education tuition, verify that prepaid tuition was not included as an FY2</w:t>
      </w:r>
      <w:r w:rsidR="00EB71EC">
        <w:rPr>
          <w:rFonts w:ascii="Segoe UI" w:eastAsia="Times New Roman" w:hAnsi="Segoe UI" w:cs="Segoe UI"/>
          <w:color w:val="212529"/>
          <w:sz w:val="24"/>
          <w:szCs w:val="24"/>
        </w:rPr>
        <w:t>2</w:t>
      </w:r>
      <w:r w:rsidRPr="00FE5844">
        <w:rPr>
          <w:rFonts w:ascii="Segoe UI" w:eastAsia="Times New Roman" w:hAnsi="Segoe UI" w:cs="Segoe UI"/>
          <w:color w:val="212529"/>
          <w:sz w:val="24"/>
          <w:szCs w:val="24"/>
        </w:rPr>
        <w:t xml:space="preserve"> expense. If the district prepaid FY2</w:t>
      </w:r>
      <w:r w:rsidR="00EB71EC">
        <w:rPr>
          <w:rFonts w:ascii="Segoe UI" w:eastAsia="Times New Roman" w:hAnsi="Segoe UI" w:cs="Segoe UI"/>
          <w:color w:val="212529"/>
          <w:sz w:val="24"/>
          <w:szCs w:val="24"/>
        </w:rPr>
        <w:t>2</w:t>
      </w:r>
      <w:r w:rsidRPr="00FE5844">
        <w:rPr>
          <w:rFonts w:ascii="Segoe UI" w:eastAsia="Times New Roman" w:hAnsi="Segoe UI" w:cs="Segoe UI"/>
          <w:color w:val="212529"/>
          <w:sz w:val="24"/>
          <w:szCs w:val="24"/>
        </w:rPr>
        <w:t xml:space="preserve"> tuition from FY</w:t>
      </w:r>
      <w:r w:rsidR="00C14ABD">
        <w:rPr>
          <w:rFonts w:ascii="Segoe UI" w:eastAsia="Times New Roman" w:hAnsi="Segoe UI" w:cs="Segoe UI"/>
          <w:color w:val="212529"/>
          <w:sz w:val="24"/>
          <w:szCs w:val="24"/>
        </w:rPr>
        <w:t>2</w:t>
      </w:r>
      <w:r w:rsidR="00EB71EC">
        <w:rPr>
          <w:rFonts w:ascii="Segoe UI" w:eastAsia="Times New Roman" w:hAnsi="Segoe UI" w:cs="Segoe UI"/>
          <w:color w:val="212529"/>
          <w:sz w:val="24"/>
          <w:szCs w:val="24"/>
        </w:rPr>
        <w:t>1</w:t>
      </w:r>
      <w:r w:rsidRPr="00FE5844">
        <w:rPr>
          <w:rFonts w:ascii="Segoe UI" w:eastAsia="Times New Roman" w:hAnsi="Segoe UI" w:cs="Segoe UI"/>
          <w:color w:val="212529"/>
          <w:sz w:val="24"/>
          <w:szCs w:val="24"/>
        </w:rPr>
        <w:t>, that amount should be included as an FY2</w:t>
      </w:r>
      <w:r w:rsidR="00EB71EC">
        <w:rPr>
          <w:rFonts w:ascii="Segoe UI" w:eastAsia="Times New Roman" w:hAnsi="Segoe UI" w:cs="Segoe UI"/>
          <w:color w:val="212529"/>
          <w:sz w:val="24"/>
          <w:szCs w:val="24"/>
        </w:rPr>
        <w:t>2</w:t>
      </w:r>
      <w:r w:rsidRPr="00FE5844">
        <w:rPr>
          <w:rFonts w:ascii="Segoe UI" w:eastAsia="Times New Roman" w:hAnsi="Segoe UI" w:cs="Segoe UI"/>
          <w:color w:val="212529"/>
          <w:sz w:val="24"/>
          <w:szCs w:val="24"/>
        </w:rPr>
        <w:t xml:space="preserve"> expense.</w:t>
      </w:r>
    </w:p>
    <w:p w14:paraId="609E2DDE"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For municipal expenditures that result in services directly related to the school committee:</w:t>
      </w:r>
    </w:p>
    <w:p w14:paraId="2F528F77" w14:textId="77777777"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 xml:space="preserve">Obtain a copy of a written agreement between the School Committee and municipal officials documenting agreed upon methodologies to be used when allocating, distributing or assigning Municipal expenditures to the </w:t>
      </w:r>
      <w:proofErr w:type="gramStart"/>
      <w:r w:rsidRPr="00FE5844">
        <w:rPr>
          <w:rFonts w:ascii="Segoe UI" w:eastAsia="Times New Roman" w:hAnsi="Segoe UI" w:cs="Segoe UI"/>
          <w:color w:val="212529"/>
          <w:sz w:val="24"/>
          <w:szCs w:val="24"/>
        </w:rPr>
        <w:t>District</w:t>
      </w:r>
      <w:proofErr w:type="gramEnd"/>
      <w:r w:rsidRPr="00FE5844">
        <w:rPr>
          <w:rFonts w:ascii="Segoe UI" w:eastAsia="Times New Roman" w:hAnsi="Segoe UI" w:cs="Segoe UI"/>
          <w:color w:val="212529"/>
          <w:sz w:val="24"/>
          <w:szCs w:val="24"/>
        </w:rPr>
        <w:t>.</w:t>
      </w:r>
    </w:p>
    <w:p w14:paraId="0D569EB3" w14:textId="77777777"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Test the amounts reported using the documented methodology. These amounts should agree.</w:t>
      </w:r>
    </w:p>
    <w:p w14:paraId="4F130408" w14:textId="77777777" w:rsidR="00FE5844" w:rsidRPr="00FE5844" w:rsidRDefault="00FE5844" w:rsidP="00FE5844">
      <w:pPr>
        <w:numPr>
          <w:ilvl w:val="2"/>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Expenditures from Federal Grants, State Grants and Special Funds</w:t>
      </w:r>
    </w:p>
    <w:p w14:paraId="278E79EE" w14:textId="77777777"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amounts claimed as Circuit Breaker expenses on line 3080 column 7 to the accounting ledgers or journals.</w:t>
      </w:r>
    </w:p>
    <w:p w14:paraId="1FE85CD4" w14:textId="77777777" w:rsidR="00FE5844" w:rsidRPr="00FE5844" w:rsidRDefault="00FE5844" w:rsidP="00FE5844">
      <w:pPr>
        <w:numPr>
          <w:ilvl w:val="3"/>
          <w:numId w:val="7"/>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the district charged a restricted indirect rate to grants and indicate so in the report (including the rate charged).</w:t>
      </w:r>
    </w:p>
    <w:p w14:paraId="303E01CA" w14:textId="77777777" w:rsidR="00FE5844" w:rsidRPr="00FE5844" w:rsidRDefault="00FE5844" w:rsidP="00FE5844">
      <w:pPr>
        <w:shd w:val="clear" w:color="auto" w:fill="FFFFFF"/>
        <w:spacing w:beforeAutospacing="1" w:after="0" w:afterAutospacing="1" w:line="240" w:lineRule="auto"/>
        <w:ind w:left="1440"/>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br/>
      </w:r>
    </w:p>
    <w:p w14:paraId="55D774E1"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r w:rsidRPr="00FE5844">
        <w:rPr>
          <w:rFonts w:ascii="Segoe UI" w:eastAsia="Times New Roman" w:hAnsi="Segoe UI" w:cs="Segoe UI"/>
          <w:b/>
          <w:bCs/>
          <w:color w:val="222222"/>
          <w:sz w:val="24"/>
          <w:szCs w:val="24"/>
        </w:rPr>
        <w:t>Schedule 3</w:t>
      </w:r>
    </w:p>
    <w:p w14:paraId="45ABB50E" w14:textId="77777777" w:rsidR="00FE5844" w:rsidRPr="00FE5844" w:rsidRDefault="00FE5844" w:rsidP="00FE5844">
      <w:pPr>
        <w:numPr>
          <w:ilvl w:val="2"/>
          <w:numId w:val="8"/>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For Schedule 3 expenditures:</w:t>
      </w:r>
    </w:p>
    <w:p w14:paraId="674DA157" w14:textId="77777777" w:rsidR="00FE5844" w:rsidRPr="00FE5844" w:rsidRDefault="00FE5844" w:rsidP="00FE5844">
      <w:pPr>
        <w:numPr>
          <w:ilvl w:val="3"/>
          <w:numId w:val="8"/>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Verify that the district's accounting system includes school location codes and trace the amounts reported by school location on the linked file to the accounting ledgers. These amounts should agree.</w:t>
      </w:r>
    </w:p>
    <w:p w14:paraId="28337CD8" w14:textId="77777777" w:rsidR="00FE5844" w:rsidRPr="00FE5844" w:rsidRDefault="00FE5844" w:rsidP="00FE5844">
      <w:pPr>
        <w:numPr>
          <w:ilvl w:val="3"/>
          <w:numId w:val="8"/>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If staff is assigned to more than one school, determine if the district maintains a payroll system or spreadsheet to document the assignment of staff salaries by school location.</w:t>
      </w:r>
    </w:p>
    <w:p w14:paraId="5A493612" w14:textId="77777777" w:rsidR="00FE5844" w:rsidRPr="00FE5844" w:rsidRDefault="00FE5844" w:rsidP="00FE5844">
      <w:pPr>
        <w:numPr>
          <w:ilvl w:val="3"/>
          <w:numId w:val="8"/>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If allocations are used to assign staff salaries to schools, programs, functions, or objects, was the allocation supported by a documented methodology?</w:t>
      </w:r>
    </w:p>
    <w:p w14:paraId="45AC34F1" w14:textId="77777777" w:rsidR="00FE5844" w:rsidRPr="00FE5844" w:rsidRDefault="00FE5844" w:rsidP="00FE5844">
      <w:pPr>
        <w:numPr>
          <w:ilvl w:val="3"/>
          <w:numId w:val="8"/>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 xml:space="preserve">If allocations are used for non-salary expenditures, determine if the district maintains a documented methodology for consistency in application. Allocations are acceptable on </w:t>
      </w:r>
      <w:r w:rsidRPr="00FE5844">
        <w:rPr>
          <w:rFonts w:ascii="Segoe UI" w:eastAsia="Times New Roman" w:hAnsi="Segoe UI" w:cs="Segoe UI"/>
          <w:color w:val="222222"/>
          <w:sz w:val="24"/>
          <w:szCs w:val="24"/>
        </w:rPr>
        <w:lastRenderedPageBreak/>
        <w:t>Schedule 3 for non-salary expenditures although direct assignment or charging is preferable.</w:t>
      </w:r>
    </w:p>
    <w:p w14:paraId="7A77EAAC" w14:textId="77777777" w:rsidR="00FE5844" w:rsidRPr="00FE5844" w:rsidRDefault="00FE5844" w:rsidP="00FE5844">
      <w:pPr>
        <w:numPr>
          <w:ilvl w:val="3"/>
          <w:numId w:val="8"/>
        </w:numPr>
        <w:shd w:val="clear" w:color="auto" w:fill="FFFFFF"/>
        <w:spacing w:after="100" w:afterAutospacing="1" w:line="240" w:lineRule="auto"/>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Ensure amounts reported as districtwide expenditures cannot be assigned to a specific school.</w:t>
      </w:r>
    </w:p>
    <w:p w14:paraId="6572C29E" w14:textId="77777777" w:rsidR="00FE5844" w:rsidRPr="00FE5844" w:rsidRDefault="00FE5844" w:rsidP="00FE5844">
      <w:pPr>
        <w:shd w:val="clear" w:color="auto" w:fill="FFFFFF"/>
        <w:spacing w:beforeAutospacing="1" w:after="0" w:afterAutospacing="1" w:line="240" w:lineRule="auto"/>
        <w:ind w:left="2160"/>
        <w:rPr>
          <w:rFonts w:ascii="Segoe UI" w:eastAsia="Times New Roman" w:hAnsi="Segoe UI" w:cs="Segoe UI"/>
          <w:color w:val="212529"/>
          <w:sz w:val="24"/>
          <w:szCs w:val="24"/>
        </w:rPr>
      </w:pPr>
    </w:p>
    <w:p w14:paraId="7EA1043B"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r w:rsidRPr="00FE5844">
        <w:rPr>
          <w:rFonts w:ascii="Segoe UI" w:eastAsia="Times New Roman" w:hAnsi="Segoe UI" w:cs="Segoe UI"/>
          <w:b/>
          <w:bCs/>
          <w:color w:val="222222"/>
          <w:sz w:val="24"/>
          <w:szCs w:val="24"/>
        </w:rPr>
        <w:t>Schedule 4</w:t>
      </w:r>
    </w:p>
    <w:p w14:paraId="022C4DAA" w14:textId="77777777" w:rsidR="00FE5844" w:rsidRPr="00FE5844" w:rsidRDefault="00FE5844" w:rsidP="00FE5844">
      <w:pPr>
        <w:numPr>
          <w:ilvl w:val="2"/>
          <w:numId w:val="9"/>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Ascertain the methodology used to allocate, distribute, or assign special education costs to the placement categories on Schedule 4 and review the propriety of the methodology. Test the amounts reported on Schedule 4 using this methodology. These amounts should agree.</w:t>
      </w:r>
    </w:p>
    <w:p w14:paraId="78AC1A8B" w14:textId="77777777" w:rsidR="00FE5844" w:rsidRPr="00FE5844" w:rsidRDefault="00FE5844" w:rsidP="00FE5844">
      <w:pPr>
        <w:shd w:val="clear" w:color="auto" w:fill="FFFFFF"/>
        <w:spacing w:beforeAutospacing="1" w:after="0" w:afterAutospacing="1" w:line="240" w:lineRule="auto"/>
        <w:ind w:left="1440"/>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br/>
      </w:r>
    </w:p>
    <w:p w14:paraId="7D8331A4"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r w:rsidRPr="00FE5844">
        <w:rPr>
          <w:rFonts w:ascii="Segoe UI" w:eastAsia="Times New Roman" w:hAnsi="Segoe UI" w:cs="Segoe UI"/>
          <w:b/>
          <w:bCs/>
          <w:color w:val="222222"/>
          <w:sz w:val="24"/>
          <w:szCs w:val="24"/>
        </w:rPr>
        <w:t>Schedule 7</w:t>
      </w:r>
    </w:p>
    <w:p w14:paraId="2D146E1F"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proofErr w:type="gramStart"/>
      <w:r w:rsidRPr="00FE5844">
        <w:rPr>
          <w:rFonts w:ascii="Segoe UI" w:eastAsia="Times New Roman" w:hAnsi="Segoe UI" w:cs="Segoe UI"/>
          <w:color w:val="222222"/>
          <w:sz w:val="24"/>
          <w:szCs w:val="24"/>
        </w:rPr>
        <w:t>In the event that</w:t>
      </w:r>
      <w:proofErr w:type="gramEnd"/>
      <w:r w:rsidRPr="00FE5844">
        <w:rPr>
          <w:rFonts w:ascii="Segoe UI" w:eastAsia="Times New Roman" w:hAnsi="Segoe UI" w:cs="Segoe UI"/>
          <w:color w:val="222222"/>
          <w:sz w:val="24"/>
          <w:szCs w:val="24"/>
        </w:rPr>
        <w:t xml:space="preserve"> a municipal district does not have complete ridership data for Regular Day expenditures, please just note the inconsistency. That inconsistency should not be considered a finding.</w:t>
      </w:r>
    </w:p>
    <w:p w14:paraId="03D15363" w14:textId="4AE5BE31" w:rsidR="00FE5844" w:rsidRPr="00FE5844" w:rsidRDefault="00FE5844" w:rsidP="00FE5844">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 xml:space="preserve">Trace the transportation expenditures reported on Schedule 7 to the transportation expenditures reported on Schedule 1. These amounts should agree. </w:t>
      </w:r>
      <w:r w:rsidR="008B4DEE">
        <w:rPr>
          <w:rFonts w:ascii="Segoe UI" w:eastAsia="Times New Roman" w:hAnsi="Segoe UI" w:cs="Segoe UI"/>
          <w:color w:val="212529"/>
          <w:sz w:val="24"/>
          <w:szCs w:val="24"/>
        </w:rPr>
        <w:t xml:space="preserve">Ensure that all expenditures reported do not include unliquidated encumbrances. </w:t>
      </w:r>
      <w:r w:rsidRPr="00FE5844">
        <w:rPr>
          <w:rFonts w:ascii="Segoe UI" w:eastAsia="Times New Roman" w:hAnsi="Segoe UI" w:cs="Segoe UI"/>
          <w:color w:val="212529"/>
          <w:sz w:val="24"/>
          <w:szCs w:val="24"/>
        </w:rPr>
        <w:t>Determine the methodology used to allocate transportation expenditures on Schedule 7 and verify the accuracy of the allocations. Also, if applicable, verify that reimbursable expenditures have been reduced by transportation revenue received from students transported.</w:t>
      </w:r>
    </w:p>
    <w:p w14:paraId="1078B251" w14:textId="77777777" w:rsidR="00FE5844" w:rsidRPr="00FE5844" w:rsidRDefault="00FE5844" w:rsidP="00FE5844">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there is adequate detail to support amounts reported (expenses and riders) for special education pupils transported outside the district.</w:t>
      </w:r>
    </w:p>
    <w:p w14:paraId="015D8D7E" w14:textId="77777777" w:rsidR="00FE5844" w:rsidRPr="00FE5844" w:rsidRDefault="00FE5844" w:rsidP="00FE5844">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Trace the riders reported on Schedule 7 to the detailed transportation records and verify that the amounts reported on Schedule 7 are accurate and consistent with the detailed records.</w:t>
      </w:r>
    </w:p>
    <w:p w14:paraId="7D09D9DC" w14:textId="77777777" w:rsidR="00FE5844" w:rsidRPr="00FE5844" w:rsidRDefault="00FE5844" w:rsidP="00FE5844">
      <w:pPr>
        <w:numPr>
          <w:ilvl w:val="2"/>
          <w:numId w:val="10"/>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 xml:space="preserve">Determine if the district's accounting system separates costs </w:t>
      </w:r>
      <w:proofErr w:type="gramStart"/>
      <w:r w:rsidRPr="00FE5844">
        <w:rPr>
          <w:rFonts w:ascii="Segoe UI" w:eastAsia="Times New Roman" w:hAnsi="Segoe UI" w:cs="Segoe UI"/>
          <w:color w:val="212529"/>
          <w:sz w:val="24"/>
          <w:szCs w:val="24"/>
        </w:rPr>
        <w:t>in order to</w:t>
      </w:r>
      <w:proofErr w:type="gramEnd"/>
      <w:r w:rsidRPr="00FE5844">
        <w:rPr>
          <w:rFonts w:ascii="Segoe UI" w:eastAsia="Times New Roman" w:hAnsi="Segoe UI" w:cs="Segoe UI"/>
          <w:color w:val="212529"/>
          <w:sz w:val="24"/>
          <w:szCs w:val="24"/>
        </w:rPr>
        <w:t xml:space="preserve"> facilitate reporting as outlined in Schedule 7, including in- </w:t>
      </w:r>
      <w:r w:rsidRPr="00FE5844">
        <w:rPr>
          <w:rFonts w:ascii="Segoe UI" w:eastAsia="Times New Roman" w:hAnsi="Segoe UI" w:cs="Segoe UI"/>
          <w:color w:val="212529"/>
          <w:sz w:val="24"/>
          <w:szCs w:val="24"/>
        </w:rPr>
        <w:lastRenderedPageBreak/>
        <w:t>or out-of-district, pre-school, non-public, school choice, charter school).</w:t>
      </w:r>
    </w:p>
    <w:p w14:paraId="7DF7CAE0" w14:textId="77777777" w:rsidR="00FE5844" w:rsidRPr="00FE5844" w:rsidRDefault="00FE5844" w:rsidP="00FE5844">
      <w:pPr>
        <w:numPr>
          <w:ilvl w:val="3"/>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reimbursable expenditures claimed on line 4283 Homeless to Outside the District and line 4285 Homeless from Outside the District are supported by adequate documentation.</w:t>
      </w:r>
    </w:p>
    <w:p w14:paraId="262EE5CB" w14:textId="77777777" w:rsidR="00FE5844" w:rsidRPr="00FE5844" w:rsidRDefault="00FE5844" w:rsidP="00FE5844">
      <w:pPr>
        <w:numPr>
          <w:ilvl w:val="3"/>
          <w:numId w:val="1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Verify that foster care transportation was </w:t>
      </w:r>
      <w:r w:rsidRPr="00FE5844">
        <w:rPr>
          <w:rFonts w:ascii="Segoe UI" w:eastAsia="Times New Roman" w:hAnsi="Segoe UI" w:cs="Segoe UI"/>
          <w:i/>
          <w:iCs/>
          <w:color w:val="212529"/>
          <w:sz w:val="24"/>
          <w:szCs w:val="24"/>
        </w:rPr>
        <w:t>not</w:t>
      </w:r>
      <w:r w:rsidRPr="00FE5844">
        <w:rPr>
          <w:rFonts w:ascii="Segoe UI" w:eastAsia="Times New Roman" w:hAnsi="Segoe UI" w:cs="Segoe UI"/>
          <w:color w:val="212529"/>
          <w:sz w:val="24"/>
          <w:szCs w:val="24"/>
        </w:rPr>
        <w:t> claimed as homeless and is reported appropriately on line 4286.</w:t>
      </w:r>
    </w:p>
    <w:p w14:paraId="70325E4E" w14:textId="77777777" w:rsidR="00FE5844" w:rsidRPr="00FE5844" w:rsidRDefault="00FE5844" w:rsidP="00FE5844">
      <w:pPr>
        <w:shd w:val="clear" w:color="auto" w:fill="FFFFFF"/>
        <w:spacing w:beforeAutospacing="1" w:after="0" w:afterAutospacing="1" w:line="240" w:lineRule="auto"/>
        <w:ind w:left="1440"/>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br/>
      </w:r>
    </w:p>
    <w:p w14:paraId="5758D411"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r w:rsidRPr="00FE5844">
        <w:rPr>
          <w:rFonts w:ascii="Segoe UI" w:eastAsia="Times New Roman" w:hAnsi="Segoe UI" w:cs="Segoe UI"/>
          <w:color w:val="222222"/>
          <w:sz w:val="24"/>
          <w:szCs w:val="24"/>
        </w:rPr>
        <w:t>If a cost allocation plan was used to determine reimbursable expenditures, review the propriety of the plan and test the expenditures reported.</w:t>
      </w:r>
    </w:p>
    <w:p w14:paraId="05CC623A" w14:textId="77777777" w:rsidR="00FE5844" w:rsidRPr="00FE5844" w:rsidRDefault="00FE5844" w:rsidP="00FE5844">
      <w:pPr>
        <w:shd w:val="clear" w:color="auto" w:fill="FFFFFF"/>
        <w:spacing w:after="100" w:afterAutospacing="1" w:line="240" w:lineRule="auto"/>
        <w:ind w:left="1440"/>
        <w:rPr>
          <w:rFonts w:ascii="Segoe UI" w:eastAsia="Times New Roman" w:hAnsi="Segoe UI" w:cs="Segoe UI"/>
          <w:color w:val="222222"/>
          <w:sz w:val="24"/>
          <w:szCs w:val="24"/>
        </w:rPr>
      </w:pPr>
      <w:r w:rsidRPr="00FE5844">
        <w:rPr>
          <w:rFonts w:ascii="Segoe UI" w:eastAsia="Times New Roman" w:hAnsi="Segoe UI" w:cs="Segoe UI"/>
          <w:b/>
          <w:bCs/>
          <w:color w:val="222222"/>
          <w:sz w:val="24"/>
          <w:szCs w:val="24"/>
        </w:rPr>
        <w:t>Schedule 19</w:t>
      </w:r>
    </w:p>
    <w:p w14:paraId="0CE0FA94" w14:textId="77777777" w:rsidR="00FE5844" w:rsidRPr="00FE5844" w:rsidRDefault="00FE5844" w:rsidP="00FE5844">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if the school district has reported all changes to Schedule 19 Part A.1 — Appropriation by School Committee to the Department. Compare the final School Committee appropriation to Schedule 19 Part A.1 as filed/amended to determine if all changes were reported.</w:t>
      </w:r>
    </w:p>
    <w:p w14:paraId="2DF9B963" w14:textId="77777777" w:rsidR="00FE5844" w:rsidRPr="00FE5844" w:rsidRDefault="00FE5844" w:rsidP="00FE5844">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amounts budgeted in Schedule 19 Part A.2 are consistent with methodologies outlined in the agreement noted in procedure II A. 4 a. above.</w:t>
      </w:r>
    </w:p>
    <w:p w14:paraId="6049D897" w14:textId="7943F817" w:rsidR="00FE5844" w:rsidRDefault="00FE5844" w:rsidP="00FE5844">
      <w:pPr>
        <w:numPr>
          <w:ilvl w:val="2"/>
          <w:numId w:val="1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FE5844">
        <w:rPr>
          <w:rFonts w:ascii="Segoe UI" w:eastAsia="Times New Roman" w:hAnsi="Segoe UI" w:cs="Segoe UI"/>
          <w:color w:val="212529"/>
          <w:sz w:val="24"/>
          <w:szCs w:val="24"/>
        </w:rPr>
        <w:t>Determine that retiree health insurance (5250) is reported separately.</w:t>
      </w:r>
    </w:p>
    <w:p w14:paraId="3F917D98" w14:textId="4D1CEE08" w:rsidR="00FE5844" w:rsidRPr="00FE5844" w:rsidRDefault="00FE5844" w:rsidP="00FE5844">
      <w:pPr>
        <w:shd w:val="clear" w:color="auto" w:fill="FFFFFF"/>
        <w:spacing w:before="100" w:beforeAutospacing="1" w:after="100" w:afterAutospacing="1" w:line="240" w:lineRule="auto"/>
        <w:ind w:left="1440"/>
        <w:rPr>
          <w:rFonts w:ascii="Segoe UI" w:eastAsia="Times New Roman" w:hAnsi="Segoe UI" w:cs="Segoe UI"/>
          <w:b/>
          <w:bCs/>
          <w:color w:val="212529"/>
          <w:sz w:val="24"/>
          <w:szCs w:val="24"/>
        </w:rPr>
      </w:pPr>
      <w:r w:rsidRPr="00FE5844">
        <w:rPr>
          <w:rFonts w:ascii="Segoe UI" w:eastAsia="Times New Roman" w:hAnsi="Segoe UI" w:cs="Segoe UI"/>
          <w:b/>
          <w:bCs/>
          <w:color w:val="212529"/>
          <w:sz w:val="24"/>
          <w:szCs w:val="24"/>
        </w:rPr>
        <w:t>Schedule 20</w:t>
      </w:r>
    </w:p>
    <w:p w14:paraId="5153F0D1" w14:textId="70D287AA" w:rsidR="008B4DEE" w:rsidRPr="008B4DEE" w:rsidRDefault="000067C3">
      <w:pPr>
        <w:rPr>
          <w:rFonts w:ascii="Segoe UI" w:hAnsi="Segoe UI" w:cs="Segoe UI"/>
          <w:sz w:val="24"/>
          <w:szCs w:val="24"/>
        </w:rPr>
      </w:pPr>
      <w:r>
        <w:tab/>
      </w:r>
      <w:r>
        <w:tab/>
      </w:r>
      <w:r w:rsidRPr="008B4DEE">
        <w:rPr>
          <w:rFonts w:ascii="Segoe UI" w:hAnsi="Segoe UI" w:cs="Segoe UI"/>
          <w:sz w:val="24"/>
          <w:szCs w:val="24"/>
        </w:rPr>
        <w:t xml:space="preserve">No procedures </w:t>
      </w:r>
      <w:proofErr w:type="gramStart"/>
      <w:r w:rsidRPr="008B4DEE">
        <w:rPr>
          <w:rFonts w:ascii="Segoe UI" w:hAnsi="Segoe UI" w:cs="Segoe UI"/>
          <w:sz w:val="24"/>
          <w:szCs w:val="24"/>
        </w:rPr>
        <w:t>at this time</w:t>
      </w:r>
      <w:proofErr w:type="gramEnd"/>
      <w:r w:rsidRPr="008B4DEE">
        <w:rPr>
          <w:rFonts w:ascii="Segoe UI" w:hAnsi="Segoe UI" w:cs="Segoe UI"/>
          <w:sz w:val="24"/>
          <w:szCs w:val="24"/>
        </w:rPr>
        <w:t>.</w:t>
      </w:r>
    </w:p>
    <w:sectPr w:rsidR="008B4DEE" w:rsidRPr="008B4DE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18056" w14:textId="77777777" w:rsidR="00535B26" w:rsidRDefault="00535B26" w:rsidP="0025247B">
      <w:pPr>
        <w:spacing w:after="0" w:line="240" w:lineRule="auto"/>
      </w:pPr>
      <w:r>
        <w:separator/>
      </w:r>
    </w:p>
  </w:endnote>
  <w:endnote w:type="continuationSeparator" w:id="0">
    <w:p w14:paraId="0E95204E" w14:textId="77777777" w:rsidR="00535B26" w:rsidRDefault="00535B26" w:rsidP="0025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AA50" w14:textId="77777777" w:rsidR="0025247B" w:rsidRDefault="00252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D2E51" w14:textId="77777777" w:rsidR="0025247B" w:rsidRDefault="002524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8FBA" w14:textId="77777777" w:rsidR="0025247B" w:rsidRDefault="00252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05689" w14:textId="77777777" w:rsidR="00535B26" w:rsidRDefault="00535B26" w:rsidP="0025247B">
      <w:pPr>
        <w:spacing w:after="0" w:line="240" w:lineRule="auto"/>
      </w:pPr>
      <w:r>
        <w:separator/>
      </w:r>
    </w:p>
  </w:footnote>
  <w:footnote w:type="continuationSeparator" w:id="0">
    <w:p w14:paraId="5E1692C6" w14:textId="77777777" w:rsidR="00535B26" w:rsidRDefault="00535B26" w:rsidP="0025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92A4" w14:textId="4B3E3A09" w:rsidR="0025247B" w:rsidRDefault="00252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1483" w14:textId="2D454ACE" w:rsidR="0025247B" w:rsidRDefault="00252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56591" w14:textId="6A8D568C" w:rsidR="0025247B" w:rsidRDefault="00252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365"/>
    <w:multiLevelType w:val="multilevel"/>
    <w:tmpl w:val="CA72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73DB3"/>
    <w:multiLevelType w:val="multilevel"/>
    <w:tmpl w:val="6806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136C4"/>
    <w:multiLevelType w:val="multilevel"/>
    <w:tmpl w:val="574EC63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4761200F"/>
    <w:multiLevelType w:val="multilevel"/>
    <w:tmpl w:val="4E8487A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E4458B"/>
    <w:multiLevelType w:val="hybridMultilevel"/>
    <w:tmpl w:val="335A573A"/>
    <w:lvl w:ilvl="0" w:tplc="9EC6BCA2">
      <w:start w:val="1"/>
      <w:numFmt w:val="upperRoman"/>
      <w:lvlText w:val="%1."/>
      <w:lvlJc w:val="right"/>
      <w:pPr>
        <w:tabs>
          <w:tab w:val="num" w:pos="720"/>
        </w:tabs>
        <w:ind w:left="720" w:hanging="360"/>
      </w:pPr>
    </w:lvl>
    <w:lvl w:ilvl="1" w:tplc="454E1AC2">
      <w:start w:val="1"/>
      <w:numFmt w:val="upperLetter"/>
      <w:lvlText w:val="%2."/>
      <w:lvlJc w:val="right"/>
      <w:pPr>
        <w:tabs>
          <w:tab w:val="num" w:pos="1440"/>
        </w:tabs>
        <w:ind w:left="1440" w:hanging="360"/>
      </w:pPr>
    </w:lvl>
    <w:lvl w:ilvl="2" w:tplc="D952CD70">
      <w:start w:val="3"/>
      <w:numFmt w:val="decimal"/>
      <w:lvlText w:val="%3."/>
      <w:lvlJc w:val="right"/>
      <w:pPr>
        <w:tabs>
          <w:tab w:val="num" w:pos="2160"/>
        </w:tabs>
        <w:ind w:left="2160" w:hanging="360"/>
      </w:pPr>
    </w:lvl>
    <w:lvl w:ilvl="3" w:tplc="CCE626F2">
      <w:start w:val="1"/>
      <w:numFmt w:val="lowerLetter"/>
      <w:lvlText w:val="%4."/>
      <w:lvlJc w:val="right"/>
      <w:pPr>
        <w:tabs>
          <w:tab w:val="num" w:pos="2880"/>
        </w:tabs>
        <w:ind w:left="2880" w:hanging="360"/>
      </w:pPr>
    </w:lvl>
    <w:lvl w:ilvl="4" w:tplc="965CBFE8" w:tentative="1">
      <w:start w:val="1"/>
      <w:numFmt w:val="upperRoman"/>
      <w:lvlText w:val="%5."/>
      <w:lvlJc w:val="right"/>
      <w:pPr>
        <w:tabs>
          <w:tab w:val="num" w:pos="3600"/>
        </w:tabs>
        <w:ind w:left="3600" w:hanging="360"/>
      </w:pPr>
    </w:lvl>
    <w:lvl w:ilvl="5" w:tplc="B0E243AA" w:tentative="1">
      <w:start w:val="1"/>
      <w:numFmt w:val="upperRoman"/>
      <w:lvlText w:val="%6."/>
      <w:lvlJc w:val="right"/>
      <w:pPr>
        <w:tabs>
          <w:tab w:val="num" w:pos="4320"/>
        </w:tabs>
        <w:ind w:left="4320" w:hanging="360"/>
      </w:pPr>
    </w:lvl>
    <w:lvl w:ilvl="6" w:tplc="4030DC54" w:tentative="1">
      <w:start w:val="1"/>
      <w:numFmt w:val="upperRoman"/>
      <w:lvlText w:val="%7."/>
      <w:lvlJc w:val="right"/>
      <w:pPr>
        <w:tabs>
          <w:tab w:val="num" w:pos="5040"/>
        </w:tabs>
        <w:ind w:left="5040" w:hanging="360"/>
      </w:pPr>
    </w:lvl>
    <w:lvl w:ilvl="7" w:tplc="445E16C8" w:tentative="1">
      <w:start w:val="1"/>
      <w:numFmt w:val="upperRoman"/>
      <w:lvlText w:val="%8."/>
      <w:lvlJc w:val="right"/>
      <w:pPr>
        <w:tabs>
          <w:tab w:val="num" w:pos="5760"/>
        </w:tabs>
        <w:ind w:left="5760" w:hanging="360"/>
      </w:pPr>
    </w:lvl>
    <w:lvl w:ilvl="8" w:tplc="79A07A9E" w:tentative="1">
      <w:start w:val="1"/>
      <w:numFmt w:val="upperRoman"/>
      <w:lvlText w:val="%9."/>
      <w:lvlJc w:val="right"/>
      <w:pPr>
        <w:tabs>
          <w:tab w:val="num" w:pos="6480"/>
        </w:tabs>
        <w:ind w:left="6480" w:hanging="360"/>
      </w:pPr>
    </w:lvl>
  </w:abstractNum>
  <w:abstractNum w:abstractNumId="5" w15:restartNumberingAfterBreak="0">
    <w:nsid w:val="710F29AB"/>
    <w:multiLevelType w:val="multilevel"/>
    <w:tmpl w:val="904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945574">
    <w:abstractNumId w:val="1"/>
  </w:num>
  <w:num w:numId="2" w16cid:durableId="638266678">
    <w:abstractNumId w:val="0"/>
  </w:num>
  <w:num w:numId="3" w16cid:durableId="715007853">
    <w:abstractNumId w:val="5"/>
  </w:num>
  <w:num w:numId="4" w16cid:durableId="634720872">
    <w:abstractNumId w:val="3"/>
  </w:num>
  <w:num w:numId="5" w16cid:durableId="889003446">
    <w:abstractNumId w:val="2"/>
  </w:num>
  <w:num w:numId="6" w16cid:durableId="2140604209">
    <w:abstractNumId w:val="2"/>
  </w:num>
  <w:num w:numId="7" w16cid:durableId="1070619884">
    <w:abstractNumId w:val="4"/>
  </w:num>
  <w:num w:numId="8" w16cid:durableId="98649356">
    <w:abstractNumId w:val="4"/>
  </w:num>
  <w:num w:numId="9" w16cid:durableId="270166403">
    <w:abstractNumId w:val="4"/>
  </w:num>
  <w:num w:numId="10" w16cid:durableId="1377656277">
    <w:abstractNumId w:val="4"/>
  </w:num>
  <w:num w:numId="11" w16cid:durableId="1958289731">
    <w:abstractNumId w:val="4"/>
  </w:num>
  <w:num w:numId="12" w16cid:durableId="238443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44"/>
    <w:rsid w:val="000067C3"/>
    <w:rsid w:val="000A24A9"/>
    <w:rsid w:val="000C3C96"/>
    <w:rsid w:val="000E1562"/>
    <w:rsid w:val="001B5540"/>
    <w:rsid w:val="001B56CE"/>
    <w:rsid w:val="001F12E5"/>
    <w:rsid w:val="001F3A67"/>
    <w:rsid w:val="002023D9"/>
    <w:rsid w:val="002143E6"/>
    <w:rsid w:val="00214C89"/>
    <w:rsid w:val="0025247B"/>
    <w:rsid w:val="002716E8"/>
    <w:rsid w:val="004555BC"/>
    <w:rsid w:val="00464DC6"/>
    <w:rsid w:val="00535B26"/>
    <w:rsid w:val="005B565F"/>
    <w:rsid w:val="005E4220"/>
    <w:rsid w:val="00622042"/>
    <w:rsid w:val="00624E00"/>
    <w:rsid w:val="00642195"/>
    <w:rsid w:val="00642D55"/>
    <w:rsid w:val="00732BAB"/>
    <w:rsid w:val="00843352"/>
    <w:rsid w:val="008B4DEE"/>
    <w:rsid w:val="009060C8"/>
    <w:rsid w:val="00962909"/>
    <w:rsid w:val="00A61DB0"/>
    <w:rsid w:val="00AB25E2"/>
    <w:rsid w:val="00AE3BEE"/>
    <w:rsid w:val="00B41327"/>
    <w:rsid w:val="00B85386"/>
    <w:rsid w:val="00BA7E86"/>
    <w:rsid w:val="00C14ABD"/>
    <w:rsid w:val="00C24F9A"/>
    <w:rsid w:val="00C96CDB"/>
    <w:rsid w:val="00CB47BB"/>
    <w:rsid w:val="00D303B2"/>
    <w:rsid w:val="00D36987"/>
    <w:rsid w:val="00D7515B"/>
    <w:rsid w:val="00E727A7"/>
    <w:rsid w:val="00E9569A"/>
    <w:rsid w:val="00EB71EC"/>
    <w:rsid w:val="00F01952"/>
    <w:rsid w:val="00F55482"/>
    <w:rsid w:val="00F717A4"/>
    <w:rsid w:val="00FB2631"/>
    <w:rsid w:val="00FE58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7F00A"/>
  <w15:chartTrackingRefBased/>
  <w15:docId w15:val="{5EDD3320-32DE-418C-ABFB-203A1554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E58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E58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E58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84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E58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E584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E5844"/>
    <w:rPr>
      <w:color w:val="0000FF"/>
      <w:u w:val="single"/>
    </w:rPr>
  </w:style>
  <w:style w:type="paragraph" w:styleId="NormalWeb">
    <w:name w:val="Normal (Web)"/>
    <w:basedOn w:val="Normal"/>
    <w:uiPriority w:val="99"/>
    <w:semiHidden/>
    <w:unhideWhenUsed/>
    <w:rsid w:val="00FE584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47B"/>
  </w:style>
  <w:style w:type="paragraph" w:styleId="Footer">
    <w:name w:val="footer"/>
    <w:basedOn w:val="Normal"/>
    <w:link w:val="FooterChar"/>
    <w:uiPriority w:val="99"/>
    <w:unhideWhenUsed/>
    <w:rsid w:val="0025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47B"/>
  </w:style>
  <w:style w:type="paragraph" w:styleId="Revision">
    <w:name w:val="Revision"/>
    <w:hidden/>
    <w:uiPriority w:val="99"/>
    <w:semiHidden/>
    <w:rsid w:val="00642D55"/>
    <w:pPr>
      <w:spacing w:after="0" w:line="240" w:lineRule="auto"/>
    </w:pPr>
  </w:style>
  <w:style w:type="character" w:styleId="UnresolvedMention">
    <w:name w:val="Unresolved Mention"/>
    <w:basedOn w:val="DefaultParagraphFont"/>
    <w:uiPriority w:val="99"/>
    <w:semiHidden/>
    <w:unhideWhenUsed/>
    <w:rsid w:val="001F12E5"/>
    <w:rPr>
      <w:color w:val="605E5C"/>
      <w:shd w:val="clear" w:color="auto" w:fill="E1DFDD"/>
    </w:rPr>
  </w:style>
  <w:style w:type="character" w:styleId="FollowedHyperlink">
    <w:name w:val="FollowedHyperlink"/>
    <w:basedOn w:val="DefaultParagraphFont"/>
    <w:uiPriority w:val="99"/>
    <w:semiHidden/>
    <w:unhideWhenUsed/>
    <w:rsid w:val="00B853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545397">
      <w:bodyDiv w:val="1"/>
      <w:marLeft w:val="0"/>
      <w:marRight w:val="0"/>
      <w:marTop w:val="0"/>
      <w:marBottom w:val="0"/>
      <w:divBdr>
        <w:top w:val="none" w:sz="0" w:space="0" w:color="auto"/>
        <w:left w:val="none" w:sz="0" w:space="0" w:color="auto"/>
        <w:bottom w:val="none" w:sz="0" w:space="0" w:color="auto"/>
        <w:right w:val="none" w:sz="0" w:space="0" w:color="auto"/>
      </w:divBdr>
      <w:divsChild>
        <w:div w:id="212449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doe.mass.edu/finance/accounting/eoy/?fy=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d23b691e4f1ca6a55210e88265067f0b">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ee10916b57c8fcc57d2ce227dc802544"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ADAAD-1F79-4BAC-9B59-663094B33C31}">
  <ds:schemaRefs>
    <ds:schemaRef ds:uri="http://schemas.microsoft.com/sharepoint/v3/contenttype/forms"/>
  </ds:schemaRefs>
</ds:datastoreItem>
</file>

<file path=customXml/itemProps2.xml><?xml version="1.0" encoding="utf-8"?>
<ds:datastoreItem xmlns:ds="http://schemas.openxmlformats.org/officeDocument/2006/customXml" ds:itemID="{031BE285-E8D6-4DFC-B334-539AF1A70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717D0-D453-4A4E-ACDA-B19F0117C996}">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2552</Words>
  <Characters>14548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Compliance Supplement for Massachusetts School Districts Agreed Upon Procedures Engagements</vt:lpstr>
    </vt:vector>
  </TitlesOfParts>
  <Company/>
  <LinksUpToDate>false</LinksUpToDate>
  <CharactersWithSpaces>17066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Supplement for Massachusetts School Districts Agreed Upon Procedures Engagements</dc:title>
  <dc:subject/>
  <dc:creator>DESE</dc:creator>
  <cp:keywords/>
  <dc:description/>
  <cp:lastModifiedBy>Zou, Dong (EOE)</cp:lastModifiedBy>
  <cp:revision>3</cp:revision>
  <dcterms:created xsi:type="dcterms:W3CDTF">2025-03-03T21:07:00Z</dcterms:created>
  <dcterms:modified xsi:type="dcterms:W3CDTF">2025-03-04T17:03:00Z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4 2025 12:00AM</vt:lpwstr>
  </property>
</Properties>
</file>