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lang w:eastAsia="en-US"/>
        </w:rPr>
        <w:id w:val="1876971141"/>
        <w:docPartObj>
          <w:docPartGallery w:val="Cover Pages"/>
          <w:docPartUnique/>
        </w:docPartObj>
      </w:sdtPr>
      <w:sdtEndPr>
        <w:rPr>
          <w:rFonts w:ascii="Times New Roman" w:eastAsiaTheme="minorHAnsi" w:hAnsi="Times New Roman" w:cs="Times New Roman"/>
          <w:b/>
          <w:caps w:val="0"/>
          <w:sz w:val="28"/>
          <w:szCs w:val="28"/>
          <w:u w:val="single"/>
        </w:rPr>
      </w:sdtEndPr>
      <w:sdtContent>
        <w:tbl>
          <w:tblPr>
            <w:tblW w:w="5000" w:type="pct"/>
            <w:jc w:val="center"/>
            <w:tblLook w:val="04A0" w:firstRow="1" w:lastRow="0" w:firstColumn="1" w:lastColumn="0" w:noHBand="0" w:noVBand="1"/>
          </w:tblPr>
          <w:tblGrid>
            <w:gridCol w:w="10800"/>
          </w:tblGrid>
          <w:tr w:rsidR="009E5EB5">
            <w:trPr>
              <w:trHeight w:val="2880"/>
              <w:jc w:val="center"/>
            </w:trPr>
            <w:tc>
              <w:tcPr>
                <w:tcW w:w="5000" w:type="pct"/>
              </w:tcPr>
              <w:p w:rsidR="009E5EB5" w:rsidRDefault="009E5EB5" w:rsidP="00994221">
                <w:pPr>
                  <w:pStyle w:val="NoSpacing"/>
                  <w:jc w:val="center"/>
                  <w:rPr>
                    <w:rFonts w:asciiTheme="majorHAnsi" w:eastAsiaTheme="majorEastAsia" w:hAnsiTheme="majorHAnsi" w:cstheme="majorBidi"/>
                    <w:caps/>
                  </w:rPr>
                </w:pPr>
              </w:p>
            </w:tc>
          </w:tr>
          <w:tr w:rsidR="009E5EB5">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9E5EB5" w:rsidRDefault="009E5EB5" w:rsidP="00994221">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Foundation Budget Review Commission</w:t>
                    </w:r>
                  </w:p>
                </w:tc>
              </w:sdtContent>
            </w:sdt>
          </w:tr>
          <w:tr w:rsidR="009E5EB5">
            <w:trPr>
              <w:trHeight w:val="720"/>
              <w:jc w:val="center"/>
            </w:trPr>
            <w:sdt>
              <w:sdtPr>
                <w:rPr>
                  <w:rFonts w:asciiTheme="majorHAnsi" w:eastAsiaTheme="majorEastAsia" w:hAnsiTheme="majorHAnsi" w:cstheme="majorBidi"/>
                  <w:i/>
                  <w:sz w:val="44"/>
                  <w:szCs w:val="44"/>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9E5EB5" w:rsidRDefault="003A4233" w:rsidP="00994221">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i/>
                        <w:sz w:val="44"/>
                        <w:szCs w:val="44"/>
                      </w:rPr>
                      <w:t xml:space="preserve">     </w:t>
                    </w:r>
                  </w:p>
                </w:tc>
              </w:sdtContent>
            </w:sdt>
          </w:tr>
          <w:tr w:rsidR="009E5EB5">
            <w:trPr>
              <w:trHeight w:val="360"/>
              <w:jc w:val="center"/>
            </w:trPr>
            <w:tc>
              <w:tcPr>
                <w:tcW w:w="5000" w:type="pct"/>
                <w:vAlign w:val="center"/>
              </w:tcPr>
              <w:p w:rsidR="009E5EB5" w:rsidRDefault="009E5EB5" w:rsidP="00994221">
                <w:pPr>
                  <w:pStyle w:val="NoSpacing"/>
                  <w:jc w:val="center"/>
                </w:pPr>
              </w:p>
            </w:tc>
          </w:tr>
          <w:tr w:rsidR="009E5EB5">
            <w:trPr>
              <w:trHeight w:val="360"/>
              <w:jc w:val="center"/>
            </w:trPr>
            <w:tc>
              <w:tcPr>
                <w:tcW w:w="5000" w:type="pct"/>
                <w:vAlign w:val="center"/>
              </w:tcPr>
              <w:p w:rsidR="009E5EB5" w:rsidRDefault="009E5EB5" w:rsidP="00994221">
                <w:pPr>
                  <w:pStyle w:val="NoSpacing"/>
                  <w:jc w:val="center"/>
                  <w:rPr>
                    <w:b/>
                    <w:bCs/>
                  </w:rPr>
                </w:pPr>
              </w:p>
              <w:p w:rsidR="009E5EB5" w:rsidRDefault="009E5EB5" w:rsidP="00994221">
                <w:pPr>
                  <w:pStyle w:val="NoSpacing"/>
                  <w:jc w:val="center"/>
                  <w:rPr>
                    <w:b/>
                    <w:bCs/>
                  </w:rPr>
                </w:pPr>
              </w:p>
              <w:p w:rsidR="009E5EB5" w:rsidRDefault="009E5EB5" w:rsidP="00994221">
                <w:pPr>
                  <w:pStyle w:val="NoSpacing"/>
                  <w:jc w:val="center"/>
                  <w:rPr>
                    <w:b/>
                    <w:bCs/>
                  </w:rPr>
                </w:pPr>
              </w:p>
              <w:p w:rsidR="009E5EB5" w:rsidRDefault="009E5EB5" w:rsidP="00994221">
                <w:pPr>
                  <w:pStyle w:val="NoSpacing"/>
                  <w:jc w:val="center"/>
                  <w:rPr>
                    <w:b/>
                    <w:bCs/>
                  </w:rPr>
                </w:pPr>
              </w:p>
              <w:p w:rsidR="009E5EB5" w:rsidRDefault="009E5EB5" w:rsidP="00994221">
                <w:pPr>
                  <w:pStyle w:val="NoSpacing"/>
                  <w:jc w:val="center"/>
                  <w:rPr>
                    <w:b/>
                    <w:bCs/>
                  </w:rPr>
                </w:pPr>
              </w:p>
            </w:tc>
          </w:tr>
          <w:tr w:rsidR="009E5EB5">
            <w:trPr>
              <w:trHeight w:val="360"/>
              <w:jc w:val="center"/>
            </w:trPr>
            <w:tc>
              <w:tcPr>
                <w:tcW w:w="5000" w:type="pct"/>
                <w:vAlign w:val="center"/>
              </w:tcPr>
              <w:p w:rsidR="009E5EB5" w:rsidRPr="009E5EB5" w:rsidRDefault="00E6136E" w:rsidP="00994221">
                <w:pPr>
                  <w:pStyle w:val="NoSpacing"/>
                  <w:jc w:val="center"/>
                  <w:rPr>
                    <w:rFonts w:asciiTheme="majorHAnsi" w:hAnsiTheme="majorHAnsi"/>
                    <w:b/>
                    <w:bCs/>
                  </w:rPr>
                </w:pPr>
                <w:r>
                  <w:rPr>
                    <w:rFonts w:asciiTheme="majorHAnsi" w:hAnsiTheme="majorHAnsi"/>
                    <w:b/>
                    <w:bCs/>
                    <w:sz w:val="40"/>
                    <w:szCs w:val="40"/>
                  </w:rPr>
                  <w:t>October 30</w:t>
                </w:r>
                <w:r w:rsidR="009E5EB5" w:rsidRPr="009E5EB5">
                  <w:rPr>
                    <w:rFonts w:asciiTheme="majorHAnsi" w:hAnsiTheme="majorHAnsi"/>
                    <w:b/>
                    <w:bCs/>
                    <w:sz w:val="40"/>
                    <w:szCs w:val="40"/>
                  </w:rPr>
                  <w:t>, 2015</w:t>
                </w:r>
              </w:p>
            </w:tc>
          </w:tr>
        </w:tbl>
        <w:p w:rsidR="009E5EB5" w:rsidRDefault="009E5EB5" w:rsidP="00994221">
          <w:pPr>
            <w:spacing w:line="240" w:lineRule="auto"/>
          </w:pPr>
        </w:p>
        <w:p w:rsidR="009E5EB5" w:rsidRDefault="009E5EB5" w:rsidP="00994221">
          <w:pPr>
            <w:spacing w:line="240" w:lineRule="auto"/>
          </w:pPr>
        </w:p>
        <w:tbl>
          <w:tblPr>
            <w:tblpPr w:leftFromText="187" w:rightFromText="187" w:horzAnchor="margin" w:tblpXSpec="center" w:tblpYSpec="bottom"/>
            <w:tblW w:w="5000" w:type="pct"/>
            <w:tblLook w:val="04A0" w:firstRow="1" w:lastRow="0" w:firstColumn="1" w:lastColumn="0" w:noHBand="0" w:noVBand="1"/>
          </w:tblPr>
          <w:tblGrid>
            <w:gridCol w:w="10800"/>
          </w:tblGrid>
          <w:tr w:rsidR="009E5EB5">
            <w:tc>
              <w:tcPr>
                <w:tcW w:w="5000" w:type="pct"/>
              </w:tcPr>
              <w:p w:rsidR="009E5EB5" w:rsidRDefault="009E5EB5" w:rsidP="00994221">
                <w:pPr>
                  <w:pStyle w:val="NoSpacing"/>
                </w:pPr>
              </w:p>
            </w:tc>
          </w:tr>
        </w:tbl>
        <w:p w:rsidR="00425904" w:rsidRDefault="00F954F0" w:rsidP="00994221">
          <w:pPr>
            <w:spacing w:line="240" w:lineRule="auto"/>
            <w:rPr>
              <w:rFonts w:ascii="Times New Roman" w:hAnsi="Times New Roman" w:cs="Times New Roman"/>
              <w:b/>
              <w:sz w:val="28"/>
              <w:szCs w:val="28"/>
              <w:u w:val="single"/>
            </w:rPr>
          </w:pPr>
        </w:p>
      </w:sdtContent>
    </w:sdt>
    <w:p w:rsidR="006028F4" w:rsidRDefault="006028F4" w:rsidP="00994221">
      <w:pPr>
        <w:pStyle w:val="Title"/>
        <w:jc w:val="center"/>
      </w:pPr>
      <w:r>
        <w:t>Table of Contents</w:t>
      </w:r>
    </w:p>
    <w:p w:rsidR="00425904" w:rsidRDefault="00425904" w:rsidP="00994221">
      <w:pPr>
        <w:spacing w:after="120" w:line="240" w:lineRule="auto"/>
        <w:rPr>
          <w:rFonts w:ascii="Times New Roman" w:hAnsi="Times New Roman" w:cs="Times New Roman"/>
          <w:b/>
          <w:sz w:val="28"/>
          <w:szCs w:val="28"/>
        </w:rPr>
      </w:pPr>
    </w:p>
    <w:p w:rsidR="00E62D96" w:rsidRDefault="00E62D96" w:rsidP="00994221">
      <w:pPr>
        <w:spacing w:after="120" w:line="240" w:lineRule="auto"/>
        <w:rPr>
          <w:rFonts w:ascii="Times New Roman" w:hAnsi="Times New Roman" w:cs="Times New Roman"/>
          <w:b/>
          <w:sz w:val="28"/>
          <w:szCs w:val="2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I. Commission Members ………………………………………………… 3&#10; &#10;II. Overview…………………………………………………….. 4&#10;III. Findings and Recommendations &#10;Part A…………………………………………………………….. 7&#10;Part B…………………………………………………………….. 13&#10;Part C…………………………………………………………….. 15&#10;Part D…………………………………………………………….. 17&#10;&#10;IV. Appendix A: Public Hearing Testimony Summary…………………..&#10; 18&#10;V. Appendix B: Commission Meetings &amp; Documents ………………….. 19&#10;"/>
      </w:tblPr>
      <w:tblGrid>
        <w:gridCol w:w="9072"/>
        <w:gridCol w:w="1008"/>
      </w:tblGrid>
      <w:tr w:rsidR="00E62D96" w:rsidTr="00F954F0">
        <w:trPr>
          <w:tblHeader/>
          <w:jc w:val="center"/>
        </w:trPr>
        <w:tc>
          <w:tcPr>
            <w:tcW w:w="9072" w:type="dxa"/>
          </w:tcPr>
          <w:p w:rsidR="00293380" w:rsidRPr="00492516" w:rsidRDefault="00E62D96" w:rsidP="00492516">
            <w:pPr>
              <w:pStyle w:val="ListParagraph"/>
              <w:numPr>
                <w:ilvl w:val="0"/>
                <w:numId w:val="7"/>
              </w:numPr>
              <w:spacing w:after="120"/>
              <w:rPr>
                <w:rFonts w:ascii="Times New Roman" w:hAnsi="Times New Roman" w:cs="Times New Roman"/>
                <w:b/>
                <w:sz w:val="28"/>
                <w:szCs w:val="28"/>
                <w:u w:val="single"/>
              </w:rPr>
            </w:pPr>
            <w:r w:rsidRPr="009E5EB5">
              <w:rPr>
                <w:rFonts w:ascii="Times New Roman" w:hAnsi="Times New Roman" w:cs="Times New Roman"/>
                <w:b/>
                <w:sz w:val="28"/>
                <w:szCs w:val="28"/>
                <w:u w:val="single"/>
              </w:rPr>
              <w:t>Commission Members</w:t>
            </w:r>
            <w:r w:rsidR="00CD7BB4" w:rsidRPr="00E46BE0">
              <w:rPr>
                <w:rFonts w:ascii="Times New Roman" w:hAnsi="Times New Roman" w:cs="Times New Roman"/>
                <w:b/>
                <w:sz w:val="28"/>
                <w:szCs w:val="28"/>
              </w:rPr>
              <w:t xml:space="preserve"> </w:t>
            </w:r>
            <w:r w:rsidR="00CD7BB4" w:rsidRPr="00E46BE0">
              <w:rPr>
                <w:rFonts w:ascii="Times New Roman" w:hAnsi="Times New Roman" w:cs="Times New Roman"/>
                <w:sz w:val="28"/>
                <w:szCs w:val="28"/>
              </w:rPr>
              <w:t>…………………………………………………</w:t>
            </w:r>
          </w:p>
        </w:tc>
        <w:tc>
          <w:tcPr>
            <w:tcW w:w="1008" w:type="dxa"/>
          </w:tcPr>
          <w:p w:rsidR="00E62D96" w:rsidRDefault="0047026B" w:rsidP="00994221">
            <w:pPr>
              <w:spacing w:after="120"/>
              <w:rPr>
                <w:rFonts w:ascii="Times New Roman" w:hAnsi="Times New Roman" w:cs="Times New Roman"/>
                <w:b/>
                <w:sz w:val="28"/>
                <w:szCs w:val="28"/>
              </w:rPr>
            </w:pPr>
            <w:r>
              <w:rPr>
                <w:rFonts w:ascii="Times New Roman" w:hAnsi="Times New Roman" w:cs="Times New Roman"/>
                <w:b/>
                <w:sz w:val="28"/>
                <w:szCs w:val="28"/>
              </w:rPr>
              <w:t>3</w:t>
            </w:r>
          </w:p>
        </w:tc>
      </w:tr>
      <w:tr w:rsidR="00E62D96" w:rsidTr="00F954F0">
        <w:trPr>
          <w:tblHeader/>
          <w:jc w:val="center"/>
        </w:trPr>
        <w:tc>
          <w:tcPr>
            <w:tcW w:w="9072" w:type="dxa"/>
          </w:tcPr>
          <w:p w:rsidR="00293380" w:rsidRPr="00C91E9A" w:rsidRDefault="00293380" w:rsidP="00994221">
            <w:pPr>
              <w:spacing w:after="120"/>
              <w:rPr>
                <w:rFonts w:ascii="Times New Roman" w:hAnsi="Times New Roman" w:cs="Times New Roman"/>
                <w:b/>
                <w:sz w:val="28"/>
                <w:szCs w:val="28"/>
                <w:u w:val="single"/>
              </w:rPr>
            </w:pPr>
          </w:p>
        </w:tc>
        <w:tc>
          <w:tcPr>
            <w:tcW w:w="1008" w:type="dxa"/>
          </w:tcPr>
          <w:p w:rsidR="00E62D96" w:rsidRDefault="00E62D96" w:rsidP="00994221">
            <w:pPr>
              <w:spacing w:after="120"/>
              <w:rPr>
                <w:rFonts w:ascii="Times New Roman" w:hAnsi="Times New Roman" w:cs="Times New Roman"/>
                <w:b/>
                <w:sz w:val="28"/>
                <w:szCs w:val="28"/>
              </w:rPr>
            </w:pPr>
          </w:p>
        </w:tc>
      </w:tr>
      <w:tr w:rsidR="00E62D96" w:rsidTr="00F954F0">
        <w:trPr>
          <w:tblHeader/>
          <w:jc w:val="center"/>
        </w:trPr>
        <w:tc>
          <w:tcPr>
            <w:tcW w:w="9072" w:type="dxa"/>
          </w:tcPr>
          <w:p w:rsidR="00E62D96" w:rsidRDefault="008665EB" w:rsidP="00994221">
            <w:pPr>
              <w:pStyle w:val="ListParagraph"/>
              <w:numPr>
                <w:ilvl w:val="0"/>
                <w:numId w:val="7"/>
              </w:numPr>
              <w:spacing w:after="120"/>
              <w:rPr>
                <w:rFonts w:ascii="Times New Roman" w:hAnsi="Times New Roman" w:cs="Times New Roman"/>
                <w:b/>
                <w:sz w:val="28"/>
                <w:szCs w:val="28"/>
                <w:u w:val="single"/>
              </w:rPr>
            </w:pPr>
            <w:r>
              <w:rPr>
                <w:rFonts w:ascii="Times New Roman" w:hAnsi="Times New Roman" w:cs="Times New Roman"/>
                <w:b/>
                <w:sz w:val="28"/>
                <w:szCs w:val="28"/>
                <w:u w:val="single"/>
              </w:rPr>
              <w:t>Overview</w:t>
            </w:r>
            <w:r w:rsidR="00CD7BB4" w:rsidRPr="00E46BE0">
              <w:rPr>
                <w:rFonts w:ascii="Times New Roman" w:hAnsi="Times New Roman" w:cs="Times New Roman"/>
                <w:sz w:val="28"/>
                <w:szCs w:val="28"/>
              </w:rPr>
              <w:t>……………………………………………………..</w:t>
            </w:r>
          </w:p>
          <w:p w:rsidR="00293380" w:rsidRPr="00E62D96" w:rsidRDefault="00293380" w:rsidP="00994221">
            <w:pPr>
              <w:pStyle w:val="ListParagraph"/>
              <w:spacing w:after="120"/>
              <w:rPr>
                <w:rFonts w:ascii="Times New Roman" w:hAnsi="Times New Roman" w:cs="Times New Roman"/>
                <w:b/>
                <w:sz w:val="28"/>
                <w:szCs w:val="28"/>
                <w:u w:val="single"/>
              </w:rPr>
            </w:pPr>
          </w:p>
        </w:tc>
        <w:tc>
          <w:tcPr>
            <w:tcW w:w="1008" w:type="dxa"/>
          </w:tcPr>
          <w:p w:rsidR="00E62D96" w:rsidRDefault="0047026B" w:rsidP="00994221">
            <w:pPr>
              <w:spacing w:after="120"/>
              <w:rPr>
                <w:rFonts w:ascii="Times New Roman" w:hAnsi="Times New Roman" w:cs="Times New Roman"/>
                <w:b/>
                <w:sz w:val="28"/>
                <w:szCs w:val="28"/>
              </w:rPr>
            </w:pPr>
            <w:r>
              <w:rPr>
                <w:rFonts w:ascii="Times New Roman" w:hAnsi="Times New Roman" w:cs="Times New Roman"/>
                <w:b/>
                <w:sz w:val="28"/>
                <w:szCs w:val="28"/>
              </w:rPr>
              <w:t>4</w:t>
            </w:r>
          </w:p>
        </w:tc>
      </w:tr>
      <w:tr w:rsidR="00E62D96" w:rsidTr="00F954F0">
        <w:trPr>
          <w:tblHeader/>
          <w:jc w:val="center"/>
        </w:trPr>
        <w:tc>
          <w:tcPr>
            <w:tcW w:w="9072" w:type="dxa"/>
          </w:tcPr>
          <w:p w:rsidR="00E62D96" w:rsidRPr="00E62D96" w:rsidRDefault="00E62D96" w:rsidP="00994221">
            <w:pPr>
              <w:pStyle w:val="ListParagraph"/>
              <w:numPr>
                <w:ilvl w:val="0"/>
                <w:numId w:val="7"/>
              </w:numPr>
              <w:spacing w:after="120"/>
              <w:rPr>
                <w:rFonts w:ascii="Times New Roman" w:hAnsi="Times New Roman" w:cs="Times New Roman"/>
                <w:b/>
                <w:sz w:val="28"/>
                <w:szCs w:val="28"/>
                <w:u w:val="single"/>
              </w:rPr>
            </w:pPr>
            <w:r w:rsidRPr="009E5EB5">
              <w:rPr>
                <w:rFonts w:ascii="Times New Roman" w:hAnsi="Times New Roman" w:cs="Times New Roman"/>
                <w:b/>
                <w:sz w:val="28"/>
                <w:szCs w:val="28"/>
                <w:u w:val="single"/>
              </w:rPr>
              <w:t>Findings and Recommendations</w:t>
            </w:r>
          </w:p>
        </w:tc>
        <w:tc>
          <w:tcPr>
            <w:tcW w:w="1008" w:type="dxa"/>
          </w:tcPr>
          <w:p w:rsidR="00E62D96" w:rsidRDefault="00E62D96" w:rsidP="00994221">
            <w:pPr>
              <w:spacing w:after="120"/>
              <w:rPr>
                <w:rFonts w:ascii="Times New Roman" w:hAnsi="Times New Roman" w:cs="Times New Roman"/>
                <w:b/>
                <w:sz w:val="28"/>
                <w:szCs w:val="28"/>
              </w:rPr>
            </w:pPr>
          </w:p>
        </w:tc>
      </w:tr>
      <w:tr w:rsidR="008F5B0B" w:rsidTr="00F954F0">
        <w:trPr>
          <w:tblHeader/>
          <w:jc w:val="center"/>
        </w:trPr>
        <w:tc>
          <w:tcPr>
            <w:tcW w:w="9072" w:type="dxa"/>
          </w:tcPr>
          <w:p w:rsidR="008F5B0B" w:rsidRPr="008F5B0B" w:rsidRDefault="008F5B0B" w:rsidP="008F5B0B">
            <w:pPr>
              <w:spacing w:after="120"/>
              <w:ind w:left="1440"/>
              <w:rPr>
                <w:rFonts w:ascii="Times New Roman" w:hAnsi="Times New Roman" w:cs="Times New Roman"/>
                <w:b/>
                <w:sz w:val="28"/>
                <w:szCs w:val="28"/>
              </w:rPr>
            </w:pPr>
            <w:r w:rsidRPr="008F5B0B">
              <w:rPr>
                <w:rFonts w:ascii="Times New Roman" w:hAnsi="Times New Roman" w:cs="Times New Roman"/>
                <w:b/>
                <w:sz w:val="28"/>
                <w:szCs w:val="28"/>
              </w:rPr>
              <w:t>Part A</w:t>
            </w:r>
            <w:r w:rsidRPr="008F5B0B">
              <w:rPr>
                <w:rFonts w:ascii="Times New Roman" w:hAnsi="Times New Roman" w:cs="Times New Roman"/>
                <w:sz w:val="28"/>
                <w:szCs w:val="28"/>
              </w:rPr>
              <w:t>……………………………………………………………..</w:t>
            </w:r>
          </w:p>
        </w:tc>
        <w:tc>
          <w:tcPr>
            <w:tcW w:w="1008" w:type="dxa"/>
          </w:tcPr>
          <w:p w:rsidR="008F5B0B" w:rsidRDefault="008F5B0B" w:rsidP="00994221">
            <w:pPr>
              <w:spacing w:after="120"/>
              <w:rPr>
                <w:rFonts w:ascii="Times New Roman" w:hAnsi="Times New Roman" w:cs="Times New Roman"/>
                <w:b/>
                <w:sz w:val="28"/>
                <w:szCs w:val="28"/>
              </w:rPr>
            </w:pPr>
            <w:r>
              <w:rPr>
                <w:rFonts w:ascii="Times New Roman" w:hAnsi="Times New Roman" w:cs="Times New Roman"/>
                <w:b/>
                <w:sz w:val="28"/>
                <w:szCs w:val="28"/>
              </w:rPr>
              <w:t>7</w:t>
            </w:r>
          </w:p>
        </w:tc>
      </w:tr>
      <w:tr w:rsidR="008F5B0B" w:rsidTr="00F954F0">
        <w:trPr>
          <w:tblHeader/>
          <w:jc w:val="center"/>
        </w:trPr>
        <w:tc>
          <w:tcPr>
            <w:tcW w:w="9072" w:type="dxa"/>
          </w:tcPr>
          <w:p w:rsidR="008F5B0B" w:rsidRPr="008F5B0B" w:rsidRDefault="008F5B0B" w:rsidP="008F5B0B">
            <w:pPr>
              <w:pStyle w:val="ListParagraph"/>
              <w:spacing w:after="120"/>
              <w:ind w:left="1440"/>
              <w:rPr>
                <w:rFonts w:ascii="Times New Roman" w:hAnsi="Times New Roman" w:cs="Times New Roman"/>
                <w:b/>
                <w:sz w:val="28"/>
                <w:szCs w:val="28"/>
              </w:rPr>
            </w:pPr>
            <w:r w:rsidRPr="00E62D96">
              <w:rPr>
                <w:rFonts w:ascii="Times New Roman" w:hAnsi="Times New Roman" w:cs="Times New Roman"/>
                <w:b/>
                <w:sz w:val="28"/>
                <w:szCs w:val="28"/>
              </w:rPr>
              <w:t>Part B</w:t>
            </w:r>
            <w:r w:rsidRPr="00CD7BB4">
              <w:rPr>
                <w:rFonts w:ascii="Times New Roman" w:hAnsi="Times New Roman" w:cs="Times New Roman"/>
                <w:sz w:val="28"/>
                <w:szCs w:val="28"/>
              </w:rPr>
              <w:t>……………………………………………………………..</w:t>
            </w:r>
          </w:p>
        </w:tc>
        <w:tc>
          <w:tcPr>
            <w:tcW w:w="1008" w:type="dxa"/>
          </w:tcPr>
          <w:p w:rsidR="008F5B0B" w:rsidRDefault="008F5B0B" w:rsidP="00994221">
            <w:pPr>
              <w:spacing w:after="120"/>
              <w:rPr>
                <w:rFonts w:ascii="Times New Roman" w:hAnsi="Times New Roman" w:cs="Times New Roman"/>
                <w:b/>
                <w:sz w:val="28"/>
                <w:szCs w:val="28"/>
              </w:rPr>
            </w:pPr>
            <w:r>
              <w:rPr>
                <w:rFonts w:ascii="Times New Roman" w:hAnsi="Times New Roman" w:cs="Times New Roman"/>
                <w:b/>
                <w:sz w:val="28"/>
                <w:szCs w:val="28"/>
              </w:rPr>
              <w:t>13</w:t>
            </w:r>
          </w:p>
        </w:tc>
      </w:tr>
      <w:tr w:rsidR="008F5B0B" w:rsidTr="00F954F0">
        <w:trPr>
          <w:tblHeader/>
          <w:jc w:val="center"/>
        </w:trPr>
        <w:tc>
          <w:tcPr>
            <w:tcW w:w="9072" w:type="dxa"/>
          </w:tcPr>
          <w:p w:rsidR="008F5B0B" w:rsidRPr="009E5EB5" w:rsidRDefault="008F5B0B" w:rsidP="008F5B0B">
            <w:pPr>
              <w:pStyle w:val="ListParagraph"/>
              <w:spacing w:after="120"/>
              <w:ind w:left="1440"/>
              <w:rPr>
                <w:rFonts w:ascii="Times New Roman" w:hAnsi="Times New Roman" w:cs="Times New Roman"/>
                <w:b/>
                <w:sz w:val="28"/>
                <w:szCs w:val="28"/>
                <w:u w:val="single"/>
              </w:rPr>
            </w:pPr>
            <w:r w:rsidRPr="00E62D96">
              <w:rPr>
                <w:rFonts w:ascii="Times New Roman" w:hAnsi="Times New Roman" w:cs="Times New Roman"/>
                <w:b/>
                <w:sz w:val="28"/>
                <w:szCs w:val="28"/>
              </w:rPr>
              <w:t xml:space="preserve">Part </w:t>
            </w:r>
            <w:r>
              <w:rPr>
                <w:rFonts w:ascii="Times New Roman" w:hAnsi="Times New Roman" w:cs="Times New Roman"/>
                <w:b/>
                <w:sz w:val="28"/>
                <w:szCs w:val="28"/>
              </w:rPr>
              <w:t>C</w:t>
            </w:r>
            <w:r w:rsidRPr="00CD7BB4">
              <w:rPr>
                <w:rFonts w:ascii="Times New Roman" w:hAnsi="Times New Roman" w:cs="Times New Roman"/>
                <w:sz w:val="28"/>
                <w:szCs w:val="28"/>
              </w:rPr>
              <w:t>……………………………………………………………..</w:t>
            </w:r>
          </w:p>
        </w:tc>
        <w:tc>
          <w:tcPr>
            <w:tcW w:w="1008" w:type="dxa"/>
          </w:tcPr>
          <w:p w:rsidR="008F5B0B" w:rsidRDefault="008F5B0B" w:rsidP="00994221">
            <w:pPr>
              <w:spacing w:after="120"/>
              <w:rPr>
                <w:rFonts w:ascii="Times New Roman" w:hAnsi="Times New Roman" w:cs="Times New Roman"/>
                <w:b/>
                <w:sz w:val="28"/>
                <w:szCs w:val="28"/>
              </w:rPr>
            </w:pPr>
            <w:r>
              <w:rPr>
                <w:rFonts w:ascii="Times New Roman" w:hAnsi="Times New Roman" w:cs="Times New Roman"/>
                <w:b/>
                <w:sz w:val="28"/>
                <w:szCs w:val="28"/>
              </w:rPr>
              <w:t>15</w:t>
            </w:r>
          </w:p>
        </w:tc>
      </w:tr>
      <w:tr w:rsidR="008F5B0B" w:rsidTr="00F954F0">
        <w:trPr>
          <w:tblHeader/>
          <w:jc w:val="center"/>
        </w:trPr>
        <w:tc>
          <w:tcPr>
            <w:tcW w:w="9072" w:type="dxa"/>
          </w:tcPr>
          <w:p w:rsidR="008F5B0B" w:rsidRPr="008F5B0B" w:rsidRDefault="008F5B0B" w:rsidP="008F5B0B">
            <w:pPr>
              <w:pStyle w:val="ListParagraph"/>
              <w:spacing w:after="120"/>
              <w:ind w:left="1440"/>
              <w:rPr>
                <w:rFonts w:ascii="Times New Roman" w:hAnsi="Times New Roman" w:cs="Times New Roman"/>
                <w:b/>
                <w:sz w:val="28"/>
                <w:szCs w:val="28"/>
              </w:rPr>
            </w:pPr>
            <w:r>
              <w:rPr>
                <w:rFonts w:ascii="Times New Roman" w:hAnsi="Times New Roman" w:cs="Times New Roman"/>
                <w:b/>
                <w:sz w:val="28"/>
                <w:szCs w:val="28"/>
              </w:rPr>
              <w:t>Part D</w:t>
            </w:r>
            <w:r w:rsidRPr="00540177">
              <w:rPr>
                <w:rFonts w:ascii="Times New Roman" w:hAnsi="Times New Roman" w:cs="Times New Roman"/>
                <w:bCs/>
                <w:sz w:val="28"/>
                <w:szCs w:val="28"/>
              </w:rPr>
              <w:t>……………………………………………………………..</w:t>
            </w:r>
          </w:p>
        </w:tc>
        <w:tc>
          <w:tcPr>
            <w:tcW w:w="1008" w:type="dxa"/>
          </w:tcPr>
          <w:p w:rsidR="008F5B0B" w:rsidRDefault="008F5B0B" w:rsidP="00994221">
            <w:pPr>
              <w:spacing w:after="120"/>
              <w:rPr>
                <w:rFonts w:ascii="Times New Roman" w:hAnsi="Times New Roman" w:cs="Times New Roman"/>
                <w:b/>
                <w:sz w:val="28"/>
                <w:szCs w:val="28"/>
              </w:rPr>
            </w:pPr>
            <w:r>
              <w:rPr>
                <w:rFonts w:ascii="Times New Roman" w:hAnsi="Times New Roman" w:cs="Times New Roman"/>
                <w:b/>
                <w:sz w:val="28"/>
                <w:szCs w:val="28"/>
              </w:rPr>
              <w:t>17</w:t>
            </w:r>
          </w:p>
          <w:p w:rsidR="008F5B0B" w:rsidRDefault="008F5B0B" w:rsidP="00994221">
            <w:pPr>
              <w:spacing w:after="120"/>
              <w:rPr>
                <w:rFonts w:ascii="Times New Roman" w:hAnsi="Times New Roman" w:cs="Times New Roman"/>
                <w:b/>
                <w:sz w:val="28"/>
                <w:szCs w:val="28"/>
              </w:rPr>
            </w:pPr>
          </w:p>
        </w:tc>
      </w:tr>
      <w:tr w:rsidR="00E62D96" w:rsidTr="00F954F0">
        <w:trPr>
          <w:tblHeader/>
          <w:jc w:val="center"/>
        </w:trPr>
        <w:tc>
          <w:tcPr>
            <w:tcW w:w="9072" w:type="dxa"/>
          </w:tcPr>
          <w:p w:rsidR="00E62D96" w:rsidRDefault="00E62D96" w:rsidP="00994221">
            <w:pPr>
              <w:pStyle w:val="ListParagraph"/>
              <w:numPr>
                <w:ilvl w:val="0"/>
                <w:numId w:val="7"/>
              </w:numPr>
              <w:spacing w:after="120"/>
              <w:rPr>
                <w:rFonts w:ascii="Times New Roman" w:hAnsi="Times New Roman" w:cs="Times New Roman"/>
                <w:b/>
                <w:sz w:val="28"/>
                <w:szCs w:val="28"/>
              </w:rPr>
            </w:pPr>
            <w:r w:rsidRPr="009E5EB5">
              <w:rPr>
                <w:rFonts w:ascii="Times New Roman" w:hAnsi="Times New Roman" w:cs="Times New Roman"/>
                <w:b/>
                <w:sz w:val="28"/>
                <w:szCs w:val="28"/>
                <w:u w:val="single"/>
              </w:rPr>
              <w:t>Appendix A</w:t>
            </w:r>
            <w:r w:rsidRPr="009E5EB5">
              <w:rPr>
                <w:rFonts w:ascii="Times New Roman" w:hAnsi="Times New Roman" w:cs="Times New Roman"/>
                <w:b/>
                <w:sz w:val="28"/>
                <w:szCs w:val="28"/>
              </w:rPr>
              <w:t xml:space="preserve">: Public Hearing </w:t>
            </w:r>
            <w:r w:rsidR="00CD7BB4">
              <w:rPr>
                <w:rFonts w:ascii="Times New Roman" w:hAnsi="Times New Roman" w:cs="Times New Roman"/>
                <w:b/>
                <w:sz w:val="28"/>
                <w:szCs w:val="28"/>
              </w:rPr>
              <w:t>Testimony Summary</w:t>
            </w:r>
            <w:r w:rsidR="008F5B0B">
              <w:rPr>
                <w:rFonts w:ascii="Times New Roman" w:hAnsi="Times New Roman" w:cs="Times New Roman"/>
                <w:sz w:val="28"/>
                <w:szCs w:val="28"/>
              </w:rPr>
              <w:t>…………………..</w:t>
            </w:r>
          </w:p>
          <w:p w:rsidR="00293380" w:rsidRPr="00E62D96" w:rsidRDefault="00293380" w:rsidP="00994221">
            <w:pPr>
              <w:pStyle w:val="ListParagraph"/>
              <w:spacing w:after="120"/>
              <w:rPr>
                <w:rFonts w:ascii="Times New Roman" w:hAnsi="Times New Roman" w:cs="Times New Roman"/>
                <w:b/>
                <w:sz w:val="28"/>
                <w:szCs w:val="28"/>
              </w:rPr>
            </w:pPr>
          </w:p>
        </w:tc>
        <w:tc>
          <w:tcPr>
            <w:tcW w:w="1008" w:type="dxa"/>
          </w:tcPr>
          <w:p w:rsidR="00E62D96" w:rsidRDefault="008665EB" w:rsidP="00994221">
            <w:pPr>
              <w:spacing w:after="120"/>
              <w:rPr>
                <w:rFonts w:ascii="Times New Roman" w:hAnsi="Times New Roman" w:cs="Times New Roman"/>
                <w:b/>
                <w:sz w:val="28"/>
                <w:szCs w:val="28"/>
              </w:rPr>
            </w:pPr>
            <w:r>
              <w:rPr>
                <w:rFonts w:ascii="Times New Roman" w:hAnsi="Times New Roman" w:cs="Times New Roman"/>
                <w:b/>
                <w:sz w:val="28"/>
                <w:szCs w:val="28"/>
              </w:rPr>
              <w:t>1</w:t>
            </w:r>
            <w:r w:rsidR="008F5B0B">
              <w:rPr>
                <w:rFonts w:ascii="Times New Roman" w:hAnsi="Times New Roman" w:cs="Times New Roman"/>
                <w:b/>
                <w:sz w:val="28"/>
                <w:szCs w:val="28"/>
              </w:rPr>
              <w:t>8</w:t>
            </w:r>
          </w:p>
        </w:tc>
      </w:tr>
      <w:tr w:rsidR="00E62D96" w:rsidTr="00F954F0">
        <w:trPr>
          <w:tblHeader/>
          <w:jc w:val="center"/>
        </w:trPr>
        <w:tc>
          <w:tcPr>
            <w:tcW w:w="9072" w:type="dxa"/>
          </w:tcPr>
          <w:p w:rsidR="00E62D96" w:rsidRPr="00E62D96" w:rsidRDefault="00E62D96" w:rsidP="00994221">
            <w:pPr>
              <w:pStyle w:val="ListParagraph"/>
              <w:numPr>
                <w:ilvl w:val="0"/>
                <w:numId w:val="7"/>
              </w:numPr>
              <w:spacing w:after="120"/>
              <w:rPr>
                <w:rFonts w:ascii="Times New Roman" w:hAnsi="Times New Roman" w:cs="Times New Roman"/>
                <w:b/>
                <w:sz w:val="28"/>
                <w:szCs w:val="28"/>
              </w:rPr>
            </w:pPr>
            <w:r w:rsidRPr="009E5EB5">
              <w:rPr>
                <w:rFonts w:ascii="Times New Roman" w:hAnsi="Times New Roman" w:cs="Times New Roman"/>
                <w:b/>
                <w:sz w:val="28"/>
                <w:szCs w:val="28"/>
                <w:u w:val="single"/>
              </w:rPr>
              <w:t>Appendix B:</w:t>
            </w:r>
            <w:r w:rsidRPr="009E5EB5">
              <w:rPr>
                <w:rFonts w:ascii="Times New Roman" w:hAnsi="Times New Roman" w:cs="Times New Roman"/>
                <w:b/>
                <w:sz w:val="28"/>
                <w:szCs w:val="28"/>
              </w:rPr>
              <w:t xml:space="preserve"> Commission Meetings &amp; Documents </w:t>
            </w:r>
            <w:r w:rsidR="00CD7BB4" w:rsidRPr="00CD7BB4">
              <w:rPr>
                <w:rFonts w:ascii="Times New Roman" w:hAnsi="Times New Roman" w:cs="Times New Roman"/>
                <w:sz w:val="28"/>
                <w:szCs w:val="28"/>
              </w:rPr>
              <w:t>…………………</w:t>
            </w:r>
            <w:r w:rsidR="008F5B0B">
              <w:rPr>
                <w:rFonts w:ascii="Times New Roman" w:hAnsi="Times New Roman" w:cs="Times New Roman"/>
                <w:sz w:val="28"/>
                <w:szCs w:val="28"/>
              </w:rPr>
              <w:t>..</w:t>
            </w:r>
          </w:p>
        </w:tc>
        <w:tc>
          <w:tcPr>
            <w:tcW w:w="1008" w:type="dxa"/>
          </w:tcPr>
          <w:p w:rsidR="00E62D96" w:rsidRDefault="00C91E9A" w:rsidP="00994221">
            <w:pPr>
              <w:spacing w:after="120"/>
              <w:rPr>
                <w:rFonts w:ascii="Times New Roman" w:hAnsi="Times New Roman" w:cs="Times New Roman"/>
                <w:b/>
                <w:sz w:val="28"/>
                <w:szCs w:val="28"/>
              </w:rPr>
            </w:pPr>
            <w:r>
              <w:rPr>
                <w:rFonts w:ascii="Times New Roman" w:hAnsi="Times New Roman" w:cs="Times New Roman"/>
                <w:b/>
                <w:sz w:val="28"/>
                <w:szCs w:val="28"/>
              </w:rPr>
              <w:t>1</w:t>
            </w:r>
            <w:r w:rsidR="008F5B0B">
              <w:rPr>
                <w:rFonts w:ascii="Times New Roman" w:hAnsi="Times New Roman" w:cs="Times New Roman"/>
                <w:b/>
                <w:sz w:val="28"/>
                <w:szCs w:val="28"/>
              </w:rPr>
              <w:t>9</w:t>
            </w:r>
          </w:p>
        </w:tc>
      </w:tr>
    </w:tbl>
    <w:p w:rsidR="00E62D96" w:rsidRDefault="00E62D96" w:rsidP="00994221">
      <w:pPr>
        <w:spacing w:after="120" w:line="240" w:lineRule="auto"/>
        <w:rPr>
          <w:rFonts w:ascii="Times New Roman" w:hAnsi="Times New Roman" w:cs="Times New Roman"/>
          <w:b/>
          <w:sz w:val="28"/>
          <w:szCs w:val="28"/>
        </w:rPr>
      </w:pPr>
    </w:p>
    <w:p w:rsidR="009E5EB5" w:rsidRPr="009E5EB5" w:rsidRDefault="009E5EB5" w:rsidP="00994221">
      <w:pPr>
        <w:pStyle w:val="ListParagraph"/>
        <w:spacing w:after="120" w:line="240" w:lineRule="auto"/>
        <w:rPr>
          <w:rFonts w:ascii="Times New Roman" w:hAnsi="Times New Roman" w:cs="Times New Roman"/>
          <w:b/>
          <w:sz w:val="28"/>
          <w:szCs w:val="28"/>
          <w:u w:val="single"/>
        </w:rPr>
      </w:pPr>
    </w:p>
    <w:p w:rsidR="009E5EB5" w:rsidRPr="009E5EB5" w:rsidRDefault="009E5EB5" w:rsidP="00994221">
      <w:pPr>
        <w:pStyle w:val="ListParagraph"/>
        <w:spacing w:after="120" w:line="240" w:lineRule="auto"/>
        <w:rPr>
          <w:rFonts w:ascii="Times New Roman" w:hAnsi="Times New Roman" w:cs="Times New Roman"/>
          <w:b/>
          <w:sz w:val="28"/>
          <w:szCs w:val="28"/>
          <w:u w:val="single"/>
        </w:rPr>
      </w:pPr>
    </w:p>
    <w:p w:rsidR="009E5EB5" w:rsidRDefault="009E5EB5" w:rsidP="00994221">
      <w:pPr>
        <w:pStyle w:val="ListParagraph"/>
        <w:spacing w:after="120" w:line="240" w:lineRule="auto"/>
        <w:ind w:left="1440"/>
        <w:rPr>
          <w:rFonts w:ascii="Times New Roman" w:hAnsi="Times New Roman" w:cs="Times New Roman"/>
          <w:b/>
          <w:sz w:val="28"/>
          <w:szCs w:val="28"/>
        </w:rPr>
      </w:pPr>
    </w:p>
    <w:p w:rsidR="009E5EB5" w:rsidRDefault="009E5EB5" w:rsidP="00994221">
      <w:pPr>
        <w:pStyle w:val="ListParagraph"/>
        <w:spacing w:after="120" w:line="240" w:lineRule="auto"/>
        <w:rPr>
          <w:rFonts w:ascii="Times New Roman" w:hAnsi="Times New Roman" w:cs="Times New Roman"/>
          <w:b/>
          <w:sz w:val="28"/>
          <w:szCs w:val="28"/>
        </w:rPr>
      </w:pPr>
    </w:p>
    <w:p w:rsidR="006028F4" w:rsidRPr="006028F4" w:rsidRDefault="006028F4" w:rsidP="00994221">
      <w:pPr>
        <w:spacing w:after="120" w:line="240" w:lineRule="auto"/>
        <w:rPr>
          <w:rFonts w:ascii="Times New Roman" w:hAnsi="Times New Roman" w:cs="Times New Roman"/>
          <w:b/>
          <w:sz w:val="28"/>
          <w:szCs w:val="28"/>
        </w:rPr>
      </w:pPr>
    </w:p>
    <w:p w:rsidR="006028F4" w:rsidRDefault="006028F4" w:rsidP="00994221">
      <w:pPr>
        <w:spacing w:after="120" w:line="240" w:lineRule="auto"/>
        <w:rPr>
          <w:rFonts w:ascii="Times New Roman" w:hAnsi="Times New Roman" w:cs="Times New Roman"/>
          <w:b/>
          <w:sz w:val="28"/>
          <w:szCs w:val="28"/>
          <w:u w:val="single"/>
        </w:rPr>
      </w:pPr>
    </w:p>
    <w:p w:rsidR="00425904" w:rsidRDefault="00425904" w:rsidP="00994221">
      <w:pPr>
        <w:spacing w:after="120" w:line="240" w:lineRule="auto"/>
        <w:rPr>
          <w:rFonts w:ascii="Times New Roman" w:hAnsi="Times New Roman" w:cs="Times New Roman"/>
          <w:b/>
          <w:sz w:val="28"/>
          <w:szCs w:val="28"/>
          <w:u w:val="single"/>
        </w:rPr>
      </w:pPr>
    </w:p>
    <w:p w:rsidR="00425904" w:rsidRDefault="00425904" w:rsidP="00994221">
      <w:pPr>
        <w:spacing w:after="120" w:line="240" w:lineRule="auto"/>
        <w:rPr>
          <w:rFonts w:ascii="Times New Roman" w:hAnsi="Times New Roman" w:cs="Times New Roman"/>
          <w:b/>
          <w:sz w:val="28"/>
          <w:szCs w:val="28"/>
          <w:u w:val="single"/>
        </w:rPr>
      </w:pPr>
    </w:p>
    <w:p w:rsidR="00425904" w:rsidRDefault="00425904" w:rsidP="00994221">
      <w:pPr>
        <w:spacing w:after="120" w:line="240" w:lineRule="auto"/>
        <w:rPr>
          <w:rFonts w:ascii="Times New Roman" w:hAnsi="Times New Roman" w:cs="Times New Roman"/>
          <w:b/>
          <w:sz w:val="28"/>
          <w:szCs w:val="28"/>
          <w:u w:val="single"/>
        </w:rPr>
      </w:pPr>
    </w:p>
    <w:p w:rsidR="00425904" w:rsidRDefault="00425904" w:rsidP="00994221">
      <w:pPr>
        <w:spacing w:after="120" w:line="240" w:lineRule="auto"/>
        <w:rPr>
          <w:rFonts w:ascii="Times New Roman" w:hAnsi="Times New Roman" w:cs="Times New Roman"/>
          <w:b/>
          <w:sz w:val="28"/>
          <w:szCs w:val="28"/>
          <w:u w:val="single"/>
        </w:rPr>
      </w:pPr>
    </w:p>
    <w:p w:rsidR="00425904" w:rsidRDefault="00425904" w:rsidP="00994221">
      <w:pPr>
        <w:spacing w:after="120" w:line="240" w:lineRule="auto"/>
        <w:rPr>
          <w:rFonts w:ascii="Times New Roman" w:hAnsi="Times New Roman" w:cs="Times New Roman"/>
          <w:b/>
          <w:sz w:val="28"/>
          <w:szCs w:val="28"/>
          <w:u w:val="single"/>
        </w:rPr>
      </w:pPr>
    </w:p>
    <w:p w:rsidR="00E26B35" w:rsidRDefault="00E26B35" w:rsidP="00994221">
      <w:pPr>
        <w:pStyle w:val="BodyText"/>
      </w:pPr>
    </w:p>
    <w:p w:rsidR="008F5B0B" w:rsidRDefault="008F5B0B" w:rsidP="00994221">
      <w:pPr>
        <w:pStyle w:val="BodyText"/>
      </w:pPr>
    </w:p>
    <w:p w:rsidR="00E26B35" w:rsidRDefault="00E26B35" w:rsidP="00994221">
      <w:pPr>
        <w:pStyle w:val="BodyText"/>
        <w:rPr>
          <w:rFonts w:cs="Times New Roman"/>
        </w:rPr>
      </w:pPr>
    </w:p>
    <w:p w:rsidR="00492516" w:rsidRDefault="00492516" w:rsidP="00994221">
      <w:pPr>
        <w:spacing w:after="0" w:line="240" w:lineRule="auto"/>
        <w:jc w:val="center"/>
        <w:rPr>
          <w:rFonts w:ascii="Times New Roman" w:hAnsi="Times New Roman" w:cs="Times New Roman"/>
          <w:b/>
          <w:sz w:val="24"/>
          <w:szCs w:val="24"/>
        </w:rPr>
      </w:pPr>
    </w:p>
    <w:p w:rsidR="00492516" w:rsidRDefault="00492516" w:rsidP="00994221">
      <w:pPr>
        <w:spacing w:after="0" w:line="240" w:lineRule="auto"/>
        <w:jc w:val="center"/>
        <w:rPr>
          <w:rFonts w:ascii="Times New Roman" w:hAnsi="Times New Roman" w:cs="Times New Roman"/>
          <w:b/>
          <w:sz w:val="24"/>
          <w:szCs w:val="24"/>
        </w:rPr>
      </w:pPr>
    </w:p>
    <w:p w:rsidR="00E26B35" w:rsidRPr="00E26B35" w:rsidRDefault="00E26B35" w:rsidP="00994221">
      <w:pPr>
        <w:spacing w:after="0" w:line="240" w:lineRule="auto"/>
        <w:jc w:val="center"/>
        <w:rPr>
          <w:rFonts w:ascii="Times New Roman" w:hAnsi="Times New Roman" w:cs="Times New Roman"/>
          <w:b/>
          <w:sz w:val="24"/>
          <w:szCs w:val="24"/>
        </w:rPr>
      </w:pPr>
      <w:r w:rsidRPr="00E26B35">
        <w:rPr>
          <w:rFonts w:ascii="Times New Roman" w:hAnsi="Times New Roman" w:cs="Times New Roman"/>
          <w:b/>
          <w:sz w:val="24"/>
          <w:szCs w:val="24"/>
        </w:rPr>
        <w:t>ACKNOWLEDGEMENTS</w:t>
      </w:r>
    </w:p>
    <w:p w:rsidR="00E26B35" w:rsidRPr="00E26B35" w:rsidRDefault="00E26B35" w:rsidP="00994221">
      <w:pPr>
        <w:spacing w:after="0" w:line="240" w:lineRule="auto"/>
        <w:rPr>
          <w:rFonts w:ascii="Times New Roman" w:hAnsi="Times New Roman" w:cs="Times New Roman"/>
          <w:sz w:val="24"/>
          <w:szCs w:val="24"/>
        </w:rPr>
      </w:pPr>
    </w:p>
    <w:p w:rsidR="00E26B35" w:rsidRDefault="00E26B35" w:rsidP="00994221">
      <w:pPr>
        <w:spacing w:after="0" w:line="240" w:lineRule="auto"/>
        <w:rPr>
          <w:rFonts w:ascii="Times New Roman" w:hAnsi="Times New Roman" w:cs="Times New Roman"/>
          <w:sz w:val="24"/>
          <w:szCs w:val="24"/>
        </w:rPr>
      </w:pPr>
    </w:p>
    <w:p w:rsidR="00E26B35" w:rsidRPr="00E26B35" w:rsidRDefault="00E26B35" w:rsidP="00994221">
      <w:pPr>
        <w:spacing w:after="0" w:line="240" w:lineRule="auto"/>
        <w:rPr>
          <w:rFonts w:ascii="Times New Roman" w:hAnsi="Times New Roman" w:cs="Times New Roman"/>
          <w:sz w:val="24"/>
          <w:szCs w:val="24"/>
        </w:rPr>
      </w:pPr>
      <w:r w:rsidRPr="00E26B35">
        <w:rPr>
          <w:rFonts w:ascii="Times New Roman" w:hAnsi="Times New Roman" w:cs="Times New Roman"/>
          <w:sz w:val="24"/>
          <w:szCs w:val="24"/>
        </w:rPr>
        <w:t xml:space="preserve">The Foundation Budget Review Commission is grateful to the many individuals and organizations that contributed to the completion of its study. </w:t>
      </w:r>
    </w:p>
    <w:p w:rsidR="00E26B35" w:rsidRPr="00E26B35" w:rsidRDefault="00E26B35" w:rsidP="00994221">
      <w:pPr>
        <w:spacing w:after="0" w:line="240" w:lineRule="auto"/>
        <w:rPr>
          <w:rFonts w:ascii="Times New Roman" w:hAnsi="Times New Roman" w:cs="Times New Roman"/>
          <w:sz w:val="24"/>
          <w:szCs w:val="24"/>
        </w:rPr>
      </w:pPr>
    </w:p>
    <w:p w:rsidR="00E26B35" w:rsidRPr="00E26B35" w:rsidRDefault="00E26B35" w:rsidP="00994221">
      <w:pPr>
        <w:spacing w:after="0" w:line="240" w:lineRule="auto"/>
        <w:rPr>
          <w:rFonts w:ascii="Times New Roman" w:hAnsi="Times New Roman" w:cs="Times New Roman"/>
          <w:sz w:val="24"/>
          <w:szCs w:val="24"/>
        </w:rPr>
      </w:pPr>
      <w:r w:rsidRPr="00E26B35">
        <w:rPr>
          <w:rFonts w:ascii="Times New Roman" w:hAnsi="Times New Roman" w:cs="Times New Roman"/>
          <w:sz w:val="24"/>
          <w:szCs w:val="24"/>
        </w:rPr>
        <w:t xml:space="preserve">First and foremost, the Commission gratefully acknowledges the exceptional work and support provided by David Bunker, who was hired by the Commission in September to manage the Commission’s remaining work and complete an analysis of the topics identified by the Commission in its preliminary report. The Commission benefited enormously from David’s extensive expertise and research, and his work was invaluable to the final production of the Commission’s report. </w:t>
      </w:r>
    </w:p>
    <w:p w:rsidR="00E26B35" w:rsidRPr="00E26B35" w:rsidRDefault="00E26B35" w:rsidP="00994221">
      <w:pPr>
        <w:spacing w:after="0" w:line="240" w:lineRule="auto"/>
        <w:rPr>
          <w:rFonts w:ascii="Times New Roman" w:hAnsi="Times New Roman" w:cs="Times New Roman"/>
          <w:sz w:val="24"/>
          <w:szCs w:val="24"/>
        </w:rPr>
      </w:pPr>
    </w:p>
    <w:p w:rsidR="00E26B35" w:rsidRPr="00E26B35" w:rsidRDefault="00E26B35" w:rsidP="00994221">
      <w:pPr>
        <w:spacing w:after="0" w:line="240" w:lineRule="auto"/>
        <w:rPr>
          <w:rFonts w:ascii="Times New Roman" w:hAnsi="Times New Roman" w:cs="Times New Roman"/>
          <w:sz w:val="24"/>
          <w:szCs w:val="24"/>
        </w:rPr>
      </w:pPr>
      <w:r w:rsidRPr="00E26B35">
        <w:rPr>
          <w:rFonts w:ascii="Times New Roman" w:hAnsi="Times New Roman" w:cs="Times New Roman"/>
          <w:sz w:val="24"/>
          <w:szCs w:val="24"/>
        </w:rPr>
        <w:t>We would like to thank Melissa King and Roger Hatch from the Department of Elementary and Secondary Education’s Office of School Finance, who have contributed an extraordinary amount of time and expertise to the work of the Commission. The cooperation of Melissa and Roger in providing data and running projections has been instrumental to the Commission throughout the course of its deliberations, and we wish to express our gratitude for their efforts and support.</w:t>
      </w:r>
    </w:p>
    <w:p w:rsidR="00E26B35" w:rsidRPr="00E26B35" w:rsidRDefault="00E26B35" w:rsidP="00994221">
      <w:pPr>
        <w:spacing w:after="0" w:line="240" w:lineRule="auto"/>
        <w:rPr>
          <w:rFonts w:ascii="Times New Roman" w:hAnsi="Times New Roman" w:cs="Times New Roman"/>
          <w:sz w:val="24"/>
          <w:szCs w:val="24"/>
        </w:rPr>
      </w:pPr>
    </w:p>
    <w:p w:rsidR="00E26B35" w:rsidRPr="00E26B35" w:rsidRDefault="00E26B35" w:rsidP="00994221">
      <w:pPr>
        <w:spacing w:after="0" w:line="240" w:lineRule="auto"/>
        <w:rPr>
          <w:rFonts w:ascii="Times New Roman" w:hAnsi="Times New Roman" w:cs="Times New Roman"/>
          <w:sz w:val="24"/>
          <w:szCs w:val="24"/>
        </w:rPr>
      </w:pPr>
      <w:r w:rsidRPr="00E26B35">
        <w:rPr>
          <w:rFonts w:ascii="Times New Roman" w:hAnsi="Times New Roman" w:cs="Times New Roman"/>
          <w:sz w:val="24"/>
          <w:szCs w:val="24"/>
        </w:rPr>
        <w:t xml:space="preserve">We would also like to acknowledge the members of the Advisory Committee who contributed valuable knowledge, experience, and perspectives throughout the Commission’s work.  </w:t>
      </w:r>
    </w:p>
    <w:p w:rsidR="00E26B35" w:rsidRPr="00E26B35" w:rsidRDefault="00E26B35" w:rsidP="00994221">
      <w:pPr>
        <w:spacing w:after="0" w:line="240" w:lineRule="auto"/>
        <w:rPr>
          <w:rFonts w:ascii="Times New Roman" w:hAnsi="Times New Roman" w:cs="Times New Roman"/>
          <w:sz w:val="24"/>
          <w:szCs w:val="24"/>
        </w:rPr>
      </w:pPr>
    </w:p>
    <w:p w:rsidR="00E26B35" w:rsidRPr="00E26B35" w:rsidRDefault="00E26B35" w:rsidP="00994221">
      <w:pPr>
        <w:spacing w:after="0" w:line="240" w:lineRule="auto"/>
        <w:rPr>
          <w:rFonts w:ascii="Times New Roman" w:hAnsi="Times New Roman" w:cs="Times New Roman"/>
          <w:sz w:val="24"/>
          <w:szCs w:val="24"/>
        </w:rPr>
      </w:pPr>
      <w:r w:rsidRPr="00E26B35">
        <w:rPr>
          <w:rFonts w:ascii="Times New Roman" w:hAnsi="Times New Roman" w:cs="Times New Roman"/>
          <w:sz w:val="24"/>
          <w:szCs w:val="24"/>
        </w:rPr>
        <w:t xml:space="preserve">Finally, the Commission is grateful to the many groups and individuals who provided policy expertise and insight through presentations at various Commission meetings, including Dr. Karla </w:t>
      </w:r>
      <w:proofErr w:type="spellStart"/>
      <w:r w:rsidRPr="00E26B35">
        <w:rPr>
          <w:rFonts w:ascii="Times New Roman" w:hAnsi="Times New Roman" w:cs="Times New Roman"/>
          <w:sz w:val="24"/>
          <w:szCs w:val="24"/>
        </w:rPr>
        <w:t>Baehr</w:t>
      </w:r>
      <w:proofErr w:type="spellEnd"/>
      <w:r w:rsidRPr="00E26B35">
        <w:rPr>
          <w:rFonts w:ascii="Times New Roman" w:hAnsi="Times New Roman" w:cs="Times New Roman"/>
          <w:sz w:val="24"/>
          <w:szCs w:val="24"/>
        </w:rPr>
        <w:t xml:space="preserve">, Dr. Paul Dakin, the Rennie Center for Education Research &amp; Policy, and the Massachusetts Budget and Policy Center. </w:t>
      </w:r>
    </w:p>
    <w:p w:rsidR="00E26B35" w:rsidRPr="00E26B35" w:rsidRDefault="00E26B35" w:rsidP="00994221">
      <w:pPr>
        <w:spacing w:after="0" w:line="240" w:lineRule="auto"/>
        <w:rPr>
          <w:rFonts w:ascii="Times New Roman" w:hAnsi="Times New Roman" w:cs="Times New Roman"/>
          <w:sz w:val="24"/>
          <w:szCs w:val="24"/>
        </w:rPr>
      </w:pPr>
    </w:p>
    <w:p w:rsidR="00E26B35" w:rsidRPr="00E26B35" w:rsidRDefault="00E26B35" w:rsidP="00994221">
      <w:pPr>
        <w:spacing w:after="0" w:line="240" w:lineRule="auto"/>
        <w:rPr>
          <w:rFonts w:ascii="Times New Roman" w:hAnsi="Times New Roman" w:cs="Times New Roman"/>
          <w:sz w:val="24"/>
          <w:szCs w:val="24"/>
        </w:rPr>
      </w:pPr>
    </w:p>
    <w:p w:rsidR="00E26B35" w:rsidRPr="00E26B35" w:rsidRDefault="00E26B35" w:rsidP="00994221">
      <w:pPr>
        <w:spacing w:after="0" w:line="240" w:lineRule="auto"/>
        <w:rPr>
          <w:rFonts w:ascii="Times New Roman" w:hAnsi="Times New Roman" w:cs="Times New Roman"/>
          <w:sz w:val="24"/>
          <w:szCs w:val="24"/>
        </w:rPr>
      </w:pPr>
      <w:r w:rsidRPr="00E26B35">
        <w:rPr>
          <w:rFonts w:ascii="Times New Roman" w:hAnsi="Times New Roman" w:cs="Times New Roman"/>
          <w:sz w:val="24"/>
          <w:szCs w:val="24"/>
        </w:rPr>
        <w:t>Senator Sonia Chang-</w:t>
      </w:r>
      <w:proofErr w:type="spellStart"/>
      <w:r w:rsidRPr="00E26B35">
        <w:rPr>
          <w:rFonts w:ascii="Times New Roman" w:hAnsi="Times New Roman" w:cs="Times New Roman"/>
          <w:sz w:val="24"/>
          <w:szCs w:val="24"/>
        </w:rPr>
        <w:t>Díaz</w:t>
      </w:r>
      <w:proofErr w:type="spellEnd"/>
      <w:r w:rsidRPr="00E26B35">
        <w:rPr>
          <w:rFonts w:ascii="Times New Roman" w:hAnsi="Times New Roman" w:cs="Times New Roman"/>
          <w:sz w:val="24"/>
          <w:szCs w:val="24"/>
        </w:rPr>
        <w:tab/>
      </w:r>
      <w:r w:rsidRPr="00E26B35">
        <w:rPr>
          <w:rFonts w:ascii="Times New Roman" w:hAnsi="Times New Roman" w:cs="Times New Roman"/>
          <w:sz w:val="24"/>
          <w:szCs w:val="24"/>
        </w:rPr>
        <w:tab/>
      </w:r>
      <w:r w:rsidRPr="00E26B35">
        <w:rPr>
          <w:rFonts w:ascii="Times New Roman" w:hAnsi="Times New Roman" w:cs="Times New Roman"/>
          <w:sz w:val="24"/>
          <w:szCs w:val="24"/>
        </w:rPr>
        <w:tab/>
      </w:r>
      <w:r w:rsidRPr="00E26B35">
        <w:rPr>
          <w:rFonts w:ascii="Times New Roman" w:hAnsi="Times New Roman" w:cs="Times New Roman"/>
          <w:sz w:val="24"/>
          <w:szCs w:val="24"/>
        </w:rPr>
        <w:tab/>
      </w:r>
      <w:r w:rsidRPr="00E26B35">
        <w:rPr>
          <w:rFonts w:ascii="Times New Roman" w:hAnsi="Times New Roman" w:cs="Times New Roman"/>
          <w:sz w:val="24"/>
          <w:szCs w:val="24"/>
        </w:rPr>
        <w:tab/>
        <w:t>Representative Alice H. Peisch</w:t>
      </w:r>
    </w:p>
    <w:p w:rsidR="00E26B35" w:rsidRPr="00E26B35" w:rsidRDefault="00E26B35" w:rsidP="00994221">
      <w:pPr>
        <w:spacing w:after="0" w:line="240" w:lineRule="auto"/>
        <w:rPr>
          <w:rFonts w:ascii="Times New Roman" w:hAnsi="Times New Roman" w:cs="Times New Roman"/>
          <w:i/>
          <w:sz w:val="24"/>
          <w:szCs w:val="24"/>
        </w:rPr>
      </w:pPr>
      <w:r w:rsidRPr="00E26B35">
        <w:rPr>
          <w:rFonts w:ascii="Times New Roman" w:hAnsi="Times New Roman" w:cs="Times New Roman"/>
          <w:i/>
          <w:sz w:val="24"/>
          <w:szCs w:val="24"/>
        </w:rPr>
        <w:t>Co-Chairs</w:t>
      </w:r>
    </w:p>
    <w:p w:rsidR="00E26B35" w:rsidRPr="003B1963" w:rsidRDefault="00E26B35" w:rsidP="00994221">
      <w:pPr>
        <w:pStyle w:val="BodyText"/>
        <w:rPr>
          <w:rFonts w:cs="Times New Roman"/>
        </w:rPr>
      </w:pPr>
      <w:r w:rsidRPr="003B1963">
        <w:rPr>
          <w:rFonts w:cs="Times New Roman"/>
        </w:rPr>
        <w:t xml:space="preserve"> </w:t>
      </w:r>
    </w:p>
    <w:p w:rsidR="00E26B35" w:rsidRDefault="00E26B35" w:rsidP="00994221">
      <w:pPr>
        <w:pStyle w:val="BodyText"/>
      </w:pPr>
    </w:p>
    <w:p w:rsidR="00E26B35" w:rsidRDefault="00E26B35" w:rsidP="00994221">
      <w:pPr>
        <w:pStyle w:val="BodyText"/>
      </w:pPr>
    </w:p>
    <w:p w:rsidR="00E26B35" w:rsidRDefault="00E26B35" w:rsidP="00994221">
      <w:pPr>
        <w:pStyle w:val="BodyText"/>
      </w:pPr>
    </w:p>
    <w:p w:rsidR="00E26B35" w:rsidRDefault="00E26B35" w:rsidP="00994221">
      <w:pPr>
        <w:pStyle w:val="BodyText"/>
      </w:pPr>
    </w:p>
    <w:p w:rsidR="00E26B35" w:rsidRDefault="00E26B35" w:rsidP="00994221">
      <w:pPr>
        <w:pStyle w:val="BodyText"/>
      </w:pPr>
    </w:p>
    <w:p w:rsidR="00E26B35" w:rsidRDefault="00E26B35" w:rsidP="00994221">
      <w:pPr>
        <w:pStyle w:val="BodyText"/>
      </w:pPr>
    </w:p>
    <w:p w:rsidR="00E26B35" w:rsidRDefault="00E26B35" w:rsidP="00994221">
      <w:pPr>
        <w:pStyle w:val="BodyText"/>
      </w:pPr>
    </w:p>
    <w:p w:rsidR="00E26B35" w:rsidRDefault="00E26B35" w:rsidP="00994221">
      <w:pPr>
        <w:pStyle w:val="Title"/>
        <w:rPr>
          <w:b/>
          <w:sz w:val="36"/>
          <w:szCs w:val="36"/>
        </w:rPr>
      </w:pPr>
    </w:p>
    <w:p w:rsidR="00994221" w:rsidRDefault="00994221" w:rsidP="00994221"/>
    <w:p w:rsidR="008F5B0B" w:rsidRPr="00994221" w:rsidRDefault="008F5B0B" w:rsidP="00994221"/>
    <w:p w:rsidR="00425904" w:rsidRPr="00F954F0" w:rsidRDefault="00425904" w:rsidP="00F954F0">
      <w:pPr>
        <w:pStyle w:val="Heading1"/>
      </w:pPr>
      <w:r w:rsidRPr="00F954F0">
        <w:t>Foundation Budget Review Commission Membership</w:t>
      </w:r>
    </w:p>
    <w:p w:rsidR="008F5B0B" w:rsidRDefault="008F5B0B" w:rsidP="00994221">
      <w:pPr>
        <w:spacing w:after="120" w:line="240" w:lineRule="auto"/>
        <w:rPr>
          <w:rFonts w:ascii="Times New Roman" w:hAnsi="Times New Roman" w:cs="Times New Roman"/>
          <w:b/>
          <w:sz w:val="28"/>
          <w:szCs w:val="28"/>
          <w:u w:val="single"/>
        </w:rPr>
      </w:pPr>
    </w:p>
    <w:p w:rsidR="006028F4" w:rsidRPr="00B347D1" w:rsidRDefault="006028F4" w:rsidP="00994221">
      <w:pPr>
        <w:spacing w:after="120" w:line="240" w:lineRule="auto"/>
        <w:rPr>
          <w:rFonts w:ascii="Times New Roman" w:hAnsi="Times New Roman" w:cs="Times New Roman"/>
          <w:b/>
          <w:sz w:val="28"/>
          <w:szCs w:val="28"/>
          <w:u w:val="single"/>
        </w:rPr>
      </w:pPr>
      <w:r w:rsidRPr="00B347D1">
        <w:rPr>
          <w:rFonts w:ascii="Times New Roman" w:hAnsi="Times New Roman" w:cs="Times New Roman"/>
          <w:b/>
          <w:sz w:val="28"/>
          <w:szCs w:val="28"/>
          <w:u w:val="single"/>
        </w:rPr>
        <w:t>Commission Chairs</w:t>
      </w:r>
    </w:p>
    <w:p w:rsidR="006028F4" w:rsidRPr="00B347D1" w:rsidRDefault="006028F4" w:rsidP="00994221">
      <w:pPr>
        <w:spacing w:after="0" w:line="240" w:lineRule="auto"/>
        <w:rPr>
          <w:rFonts w:ascii="Times New Roman" w:hAnsi="Times New Roman" w:cs="Times New Roman"/>
          <w:b/>
          <w:sz w:val="24"/>
          <w:szCs w:val="24"/>
        </w:rPr>
      </w:pPr>
      <w:r w:rsidRPr="00B347D1">
        <w:rPr>
          <w:rFonts w:ascii="Times New Roman" w:hAnsi="Times New Roman" w:cs="Times New Roman"/>
          <w:b/>
          <w:sz w:val="24"/>
          <w:szCs w:val="24"/>
        </w:rPr>
        <w:t>Senator Sonia Chang-</w:t>
      </w:r>
      <w:proofErr w:type="spellStart"/>
      <w:r w:rsidRPr="00B347D1">
        <w:rPr>
          <w:rFonts w:ascii="Times New Roman" w:hAnsi="Times New Roman" w:cs="Times New Roman"/>
          <w:b/>
          <w:sz w:val="24"/>
          <w:szCs w:val="24"/>
        </w:rPr>
        <w:t>Díaz</w:t>
      </w:r>
      <w:proofErr w:type="spellEnd"/>
      <w:r w:rsidRPr="00B347D1">
        <w:rPr>
          <w:rFonts w:ascii="Times New Roman" w:hAnsi="Times New Roman" w:cs="Times New Roman"/>
          <w:b/>
          <w:sz w:val="24"/>
          <w:szCs w:val="24"/>
        </w:rPr>
        <w:t xml:space="preserve">, </w:t>
      </w:r>
      <w:r w:rsidRPr="00B347D1">
        <w:rPr>
          <w:rFonts w:ascii="Times New Roman" w:hAnsi="Times New Roman" w:cs="Times New Roman"/>
          <w:i/>
          <w:sz w:val="24"/>
          <w:szCs w:val="24"/>
        </w:rPr>
        <w:t>Senate Chair of the Joint Committee on Education</w:t>
      </w:r>
    </w:p>
    <w:p w:rsidR="006028F4" w:rsidRDefault="006028F4" w:rsidP="00994221">
      <w:pPr>
        <w:spacing w:after="0" w:line="240" w:lineRule="auto"/>
        <w:rPr>
          <w:rFonts w:ascii="Times New Roman" w:hAnsi="Times New Roman" w:cs="Times New Roman"/>
          <w:i/>
          <w:sz w:val="24"/>
          <w:szCs w:val="24"/>
        </w:rPr>
      </w:pPr>
      <w:r w:rsidRPr="00B347D1">
        <w:rPr>
          <w:rFonts w:ascii="Times New Roman" w:hAnsi="Times New Roman" w:cs="Times New Roman"/>
          <w:b/>
          <w:sz w:val="24"/>
          <w:szCs w:val="24"/>
        </w:rPr>
        <w:t xml:space="preserve">Representative Alice </w:t>
      </w:r>
      <w:r w:rsidR="000A038A">
        <w:rPr>
          <w:rFonts w:ascii="Times New Roman" w:hAnsi="Times New Roman" w:cs="Times New Roman"/>
          <w:b/>
          <w:sz w:val="24"/>
          <w:szCs w:val="24"/>
        </w:rPr>
        <w:t xml:space="preserve">H. </w:t>
      </w:r>
      <w:r w:rsidRPr="00B347D1">
        <w:rPr>
          <w:rFonts w:ascii="Times New Roman" w:hAnsi="Times New Roman" w:cs="Times New Roman"/>
          <w:b/>
          <w:sz w:val="24"/>
          <w:szCs w:val="24"/>
        </w:rPr>
        <w:t xml:space="preserve">Peisch, </w:t>
      </w:r>
      <w:r w:rsidRPr="00B347D1">
        <w:rPr>
          <w:rFonts w:ascii="Times New Roman" w:hAnsi="Times New Roman" w:cs="Times New Roman"/>
          <w:i/>
          <w:sz w:val="24"/>
          <w:szCs w:val="24"/>
        </w:rPr>
        <w:t>House Chair of the Joint Committee on Education</w:t>
      </w:r>
    </w:p>
    <w:p w:rsidR="006028F4" w:rsidRDefault="006028F4" w:rsidP="00994221">
      <w:pPr>
        <w:spacing w:after="0" w:line="240" w:lineRule="auto"/>
        <w:rPr>
          <w:rFonts w:ascii="Times New Roman" w:hAnsi="Times New Roman" w:cs="Times New Roman"/>
          <w:i/>
          <w:sz w:val="24"/>
          <w:szCs w:val="24"/>
        </w:rPr>
      </w:pPr>
    </w:p>
    <w:p w:rsidR="006028F4" w:rsidRDefault="006028F4" w:rsidP="00994221">
      <w:pPr>
        <w:spacing w:after="120" w:line="240" w:lineRule="auto"/>
        <w:rPr>
          <w:rFonts w:ascii="Times New Roman" w:hAnsi="Times New Roman" w:cs="Times New Roman"/>
          <w:b/>
          <w:sz w:val="28"/>
          <w:szCs w:val="28"/>
          <w:u w:val="single"/>
        </w:rPr>
      </w:pPr>
      <w:r w:rsidRPr="00B347D1">
        <w:rPr>
          <w:rFonts w:ascii="Times New Roman" w:hAnsi="Times New Roman" w:cs="Times New Roman"/>
          <w:b/>
          <w:sz w:val="28"/>
          <w:szCs w:val="28"/>
          <w:u w:val="single"/>
        </w:rPr>
        <w:t>Commission Members</w:t>
      </w:r>
    </w:p>
    <w:p w:rsidR="006028F4" w:rsidRDefault="006028F4" w:rsidP="00994221">
      <w:pPr>
        <w:spacing w:after="0" w:line="240" w:lineRule="auto"/>
        <w:rPr>
          <w:rFonts w:ascii="Times New Roman" w:hAnsi="Times New Roman" w:cs="Times New Roman"/>
          <w:i/>
          <w:color w:val="000000"/>
          <w:sz w:val="24"/>
          <w:szCs w:val="24"/>
        </w:rPr>
      </w:pPr>
      <w:r>
        <w:rPr>
          <w:rFonts w:ascii="Times New Roman" w:hAnsi="Times New Roman" w:cs="Times New Roman"/>
          <w:b/>
          <w:bCs/>
          <w:sz w:val="24"/>
          <w:szCs w:val="24"/>
        </w:rPr>
        <w:t>Tom Moreau</w:t>
      </w:r>
      <w:r>
        <w:rPr>
          <w:rFonts w:ascii="Times New Roman" w:hAnsi="Times New Roman" w:cs="Times New Roman"/>
          <w:i/>
          <w:color w:val="000000"/>
          <w:sz w:val="24"/>
          <w:szCs w:val="24"/>
        </w:rPr>
        <w:t xml:space="preserve">, </w:t>
      </w:r>
      <w:r w:rsidRPr="00DF15F8">
        <w:rPr>
          <w:rFonts w:ascii="Times New Roman" w:hAnsi="Times New Roman" w:cs="Times New Roman"/>
          <w:i/>
          <w:color w:val="000000"/>
          <w:sz w:val="24"/>
          <w:szCs w:val="24"/>
        </w:rPr>
        <w:t>Secretary of Education Designee</w:t>
      </w:r>
    </w:p>
    <w:p w:rsidR="006028F4" w:rsidRDefault="0017315A" w:rsidP="00994221">
      <w:pPr>
        <w:spacing w:after="0" w:line="240" w:lineRule="auto"/>
        <w:rPr>
          <w:rFonts w:ascii="Times New Roman" w:hAnsi="Times New Roman" w:cs="Times New Roman"/>
          <w:i/>
          <w:color w:val="000000"/>
          <w:sz w:val="24"/>
          <w:szCs w:val="24"/>
        </w:rPr>
      </w:pPr>
      <w:r>
        <w:rPr>
          <w:rFonts w:ascii="Times New Roman" w:hAnsi="Times New Roman" w:cs="Times New Roman"/>
          <w:b/>
          <w:bCs/>
          <w:sz w:val="24"/>
          <w:szCs w:val="24"/>
        </w:rPr>
        <w:t xml:space="preserve">Commissioner </w:t>
      </w:r>
      <w:r w:rsidRPr="0017315A">
        <w:rPr>
          <w:rFonts w:ascii="Times New Roman" w:hAnsi="Times New Roman" w:cs="Times New Roman"/>
          <w:b/>
          <w:sz w:val="24"/>
          <w:szCs w:val="24"/>
        </w:rPr>
        <w:t>Mitchell D. Chester</w:t>
      </w:r>
      <w:r w:rsidRPr="0017315A">
        <w:rPr>
          <w:rFonts w:ascii="Times New Roman" w:hAnsi="Times New Roman" w:cs="Times New Roman"/>
          <w:bCs/>
          <w:sz w:val="24"/>
          <w:szCs w:val="24"/>
        </w:rPr>
        <w:t>,</w:t>
      </w:r>
      <w:r>
        <w:rPr>
          <w:rFonts w:ascii="Times New Roman" w:hAnsi="Times New Roman" w:cs="Times New Roman"/>
          <w:b/>
          <w:bCs/>
          <w:sz w:val="24"/>
          <w:szCs w:val="24"/>
        </w:rPr>
        <w:t xml:space="preserve"> </w:t>
      </w:r>
      <w:r w:rsidRPr="0017315A">
        <w:rPr>
          <w:rFonts w:ascii="Times New Roman" w:hAnsi="Times New Roman" w:cs="Times New Roman"/>
          <w:bCs/>
          <w:i/>
          <w:sz w:val="24"/>
          <w:szCs w:val="24"/>
        </w:rPr>
        <w:t xml:space="preserve">Department of </w:t>
      </w:r>
      <w:r w:rsidR="006028F4" w:rsidRPr="0017315A">
        <w:rPr>
          <w:rFonts w:ascii="Times New Roman" w:hAnsi="Times New Roman" w:cs="Times New Roman"/>
          <w:i/>
          <w:color w:val="000000"/>
          <w:sz w:val="24"/>
          <w:szCs w:val="24"/>
        </w:rPr>
        <w:t>Elementary</w:t>
      </w:r>
      <w:r w:rsidR="006028F4" w:rsidRPr="00DF15F8">
        <w:rPr>
          <w:rFonts w:ascii="Times New Roman" w:hAnsi="Times New Roman" w:cs="Times New Roman"/>
          <w:i/>
          <w:color w:val="000000"/>
          <w:sz w:val="24"/>
          <w:szCs w:val="24"/>
        </w:rPr>
        <w:t xml:space="preserve"> &amp; Secondary Education </w:t>
      </w:r>
    </w:p>
    <w:p w:rsidR="006028F4" w:rsidRDefault="0017315A" w:rsidP="00994221">
      <w:pPr>
        <w:spacing w:after="0" w:line="240" w:lineRule="auto"/>
        <w:rPr>
          <w:rFonts w:ascii="Times New Roman" w:hAnsi="Times New Roman" w:cs="Times New Roman"/>
          <w:i/>
          <w:color w:val="000000"/>
          <w:sz w:val="24"/>
          <w:szCs w:val="24"/>
        </w:rPr>
      </w:pPr>
      <w:r>
        <w:rPr>
          <w:rFonts w:ascii="Times New Roman" w:hAnsi="Times New Roman" w:cs="Times New Roman"/>
          <w:b/>
          <w:sz w:val="24"/>
          <w:szCs w:val="24"/>
        </w:rPr>
        <w:t xml:space="preserve">Commissioner Tom </w:t>
      </w:r>
      <w:r w:rsidRPr="0017315A">
        <w:rPr>
          <w:rFonts w:ascii="Times New Roman" w:hAnsi="Times New Roman" w:cs="Times New Roman"/>
          <w:b/>
          <w:sz w:val="24"/>
          <w:szCs w:val="24"/>
        </w:rPr>
        <w:t>Weber</w:t>
      </w:r>
      <w:r w:rsidRPr="0017315A">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i/>
          <w:color w:val="000000"/>
          <w:sz w:val="24"/>
          <w:szCs w:val="24"/>
        </w:rPr>
        <w:t xml:space="preserve">Department </w:t>
      </w:r>
      <w:r w:rsidR="006028F4" w:rsidRPr="00DF15F8">
        <w:rPr>
          <w:rFonts w:ascii="Times New Roman" w:hAnsi="Times New Roman" w:cs="Times New Roman"/>
          <w:i/>
          <w:color w:val="000000"/>
          <w:sz w:val="24"/>
          <w:szCs w:val="24"/>
        </w:rPr>
        <w:t xml:space="preserve">of Early Education &amp; Care </w:t>
      </w:r>
    </w:p>
    <w:p w:rsidR="006028F4" w:rsidRDefault="006028F4" w:rsidP="00994221">
      <w:pPr>
        <w:spacing w:after="0" w:line="240" w:lineRule="auto"/>
        <w:rPr>
          <w:rFonts w:ascii="Times New Roman" w:hAnsi="Times New Roman" w:cs="Times New Roman"/>
          <w:i/>
          <w:color w:val="000000"/>
          <w:sz w:val="24"/>
          <w:szCs w:val="24"/>
        </w:rPr>
      </w:pPr>
      <w:r w:rsidRPr="00DF15F8">
        <w:rPr>
          <w:rFonts w:ascii="Times New Roman" w:hAnsi="Times New Roman" w:cs="Times New Roman"/>
          <w:b/>
          <w:bCs/>
          <w:sz w:val="24"/>
          <w:szCs w:val="24"/>
        </w:rPr>
        <w:t>Representative Michael Moran</w:t>
      </w:r>
      <w:r w:rsidRPr="0017315A">
        <w:rPr>
          <w:rFonts w:ascii="Times New Roman" w:hAnsi="Times New Roman" w:cs="Times New Roman"/>
          <w:bCs/>
          <w:sz w:val="24"/>
          <w:szCs w:val="24"/>
        </w:rPr>
        <w:t>,</w:t>
      </w:r>
      <w:r w:rsidRPr="0017315A">
        <w:rPr>
          <w:rFonts w:ascii="Times New Roman" w:hAnsi="Times New Roman" w:cs="Times New Roman"/>
          <w:i/>
          <w:color w:val="000000"/>
          <w:sz w:val="24"/>
          <w:szCs w:val="24"/>
        </w:rPr>
        <w:t xml:space="preserve"> </w:t>
      </w:r>
      <w:r w:rsidRPr="00DF15F8">
        <w:rPr>
          <w:rFonts w:ascii="Times New Roman" w:hAnsi="Times New Roman" w:cs="Times New Roman"/>
          <w:i/>
          <w:color w:val="000000"/>
          <w:sz w:val="24"/>
          <w:szCs w:val="24"/>
        </w:rPr>
        <w:t>Speaker of the House Designee</w:t>
      </w:r>
    </w:p>
    <w:p w:rsidR="006028F4" w:rsidRDefault="006028F4" w:rsidP="00994221">
      <w:pPr>
        <w:spacing w:after="0" w:line="240" w:lineRule="auto"/>
        <w:rPr>
          <w:rFonts w:ascii="Times New Roman" w:hAnsi="Times New Roman" w:cs="Times New Roman"/>
          <w:b/>
          <w:bCs/>
          <w:iCs/>
          <w:sz w:val="24"/>
          <w:szCs w:val="24"/>
        </w:rPr>
      </w:pPr>
      <w:r w:rsidRPr="00DF15F8">
        <w:rPr>
          <w:rFonts w:ascii="Times New Roman" w:hAnsi="Times New Roman" w:cs="Times New Roman"/>
          <w:b/>
          <w:bCs/>
          <w:iCs/>
          <w:sz w:val="24"/>
          <w:szCs w:val="24"/>
        </w:rPr>
        <w:t>Senator Patricia Jehlen</w:t>
      </w:r>
      <w:r w:rsidRPr="00B347D1">
        <w:rPr>
          <w:rFonts w:ascii="Times New Roman" w:hAnsi="Times New Roman" w:cs="Times New Roman"/>
          <w:bCs/>
          <w:iCs/>
          <w:sz w:val="24"/>
          <w:szCs w:val="24"/>
        </w:rPr>
        <w:t>,</w:t>
      </w:r>
      <w:r>
        <w:rPr>
          <w:rFonts w:ascii="Times New Roman" w:hAnsi="Times New Roman" w:cs="Times New Roman"/>
          <w:b/>
          <w:bCs/>
          <w:iCs/>
          <w:sz w:val="24"/>
          <w:szCs w:val="24"/>
        </w:rPr>
        <w:t xml:space="preserve"> </w:t>
      </w:r>
      <w:r w:rsidRPr="00DF15F8">
        <w:rPr>
          <w:rFonts w:ascii="Times New Roman" w:hAnsi="Times New Roman" w:cs="Times New Roman"/>
          <w:i/>
          <w:sz w:val="24"/>
          <w:szCs w:val="24"/>
        </w:rPr>
        <w:t>Senate President Designee</w:t>
      </w:r>
    </w:p>
    <w:p w:rsidR="006028F4" w:rsidRDefault="006028F4" w:rsidP="00994221">
      <w:pPr>
        <w:spacing w:after="0" w:line="240" w:lineRule="auto"/>
        <w:rPr>
          <w:rFonts w:ascii="Times New Roman" w:hAnsi="Times New Roman" w:cs="Times New Roman"/>
          <w:b/>
          <w:bCs/>
          <w:sz w:val="24"/>
          <w:szCs w:val="24"/>
        </w:rPr>
      </w:pPr>
      <w:r w:rsidRPr="00DF15F8">
        <w:rPr>
          <w:rFonts w:ascii="Times New Roman" w:hAnsi="Times New Roman" w:cs="Times New Roman"/>
          <w:b/>
          <w:bCs/>
          <w:sz w:val="24"/>
          <w:szCs w:val="24"/>
        </w:rPr>
        <w:t>Representative Kim</w:t>
      </w:r>
      <w:r w:rsidR="00F75488">
        <w:rPr>
          <w:rFonts w:ascii="Times New Roman" w:hAnsi="Times New Roman" w:cs="Times New Roman"/>
          <w:b/>
          <w:bCs/>
          <w:sz w:val="24"/>
          <w:szCs w:val="24"/>
        </w:rPr>
        <w:t>berly</w:t>
      </w:r>
      <w:r w:rsidRPr="00DF15F8">
        <w:rPr>
          <w:rFonts w:ascii="Times New Roman" w:hAnsi="Times New Roman" w:cs="Times New Roman"/>
          <w:b/>
          <w:bCs/>
          <w:sz w:val="24"/>
          <w:szCs w:val="24"/>
        </w:rPr>
        <w:t xml:space="preserve"> Ferguson</w:t>
      </w:r>
      <w:r w:rsidRPr="00B347D1">
        <w:rPr>
          <w:rFonts w:ascii="Times New Roman" w:hAnsi="Times New Roman" w:cs="Times New Roman"/>
          <w:bCs/>
          <w:sz w:val="24"/>
          <w:szCs w:val="24"/>
        </w:rPr>
        <w:t>,</w:t>
      </w:r>
      <w:r w:rsidRPr="00B347D1">
        <w:rPr>
          <w:rFonts w:ascii="Times New Roman" w:hAnsi="Times New Roman" w:cs="Times New Roman"/>
          <w:i/>
          <w:sz w:val="24"/>
          <w:szCs w:val="24"/>
        </w:rPr>
        <w:t xml:space="preserve"> </w:t>
      </w:r>
      <w:r w:rsidRPr="00DF15F8">
        <w:rPr>
          <w:rFonts w:ascii="Times New Roman" w:hAnsi="Times New Roman" w:cs="Times New Roman"/>
          <w:i/>
          <w:sz w:val="24"/>
          <w:szCs w:val="24"/>
        </w:rPr>
        <w:t>House Minority Leader Designee</w:t>
      </w:r>
    </w:p>
    <w:p w:rsidR="006028F4" w:rsidRDefault="006028F4" w:rsidP="00994221">
      <w:pPr>
        <w:spacing w:after="0" w:line="240" w:lineRule="auto"/>
        <w:rPr>
          <w:rFonts w:ascii="Times New Roman" w:hAnsi="Times New Roman" w:cs="Times New Roman"/>
          <w:b/>
          <w:bCs/>
          <w:iCs/>
          <w:sz w:val="24"/>
          <w:szCs w:val="24"/>
        </w:rPr>
      </w:pPr>
      <w:r w:rsidRPr="00DF15F8">
        <w:rPr>
          <w:rFonts w:ascii="Times New Roman" w:hAnsi="Times New Roman" w:cs="Times New Roman"/>
          <w:b/>
          <w:bCs/>
          <w:iCs/>
          <w:sz w:val="24"/>
          <w:szCs w:val="24"/>
        </w:rPr>
        <w:t>Edward Moscovitch</w:t>
      </w:r>
      <w:r w:rsidRPr="00B347D1">
        <w:rPr>
          <w:rFonts w:ascii="Times New Roman" w:hAnsi="Times New Roman" w:cs="Times New Roman"/>
          <w:bCs/>
          <w:iCs/>
          <w:sz w:val="24"/>
          <w:szCs w:val="24"/>
        </w:rPr>
        <w:t>,</w:t>
      </w:r>
      <w:r>
        <w:rPr>
          <w:rFonts w:ascii="Times New Roman" w:hAnsi="Times New Roman" w:cs="Times New Roman"/>
          <w:b/>
          <w:bCs/>
          <w:iCs/>
          <w:sz w:val="24"/>
          <w:szCs w:val="24"/>
        </w:rPr>
        <w:t xml:space="preserve"> </w:t>
      </w:r>
      <w:r w:rsidRPr="00DF15F8">
        <w:rPr>
          <w:rFonts w:ascii="Times New Roman" w:hAnsi="Times New Roman" w:cs="Times New Roman"/>
          <w:i/>
          <w:sz w:val="24"/>
          <w:szCs w:val="24"/>
        </w:rPr>
        <w:t>Senate Minority Leader Designee</w:t>
      </w:r>
    </w:p>
    <w:p w:rsidR="006028F4" w:rsidRDefault="006028F4" w:rsidP="00994221">
      <w:pPr>
        <w:spacing w:after="0" w:line="240" w:lineRule="auto"/>
        <w:rPr>
          <w:rFonts w:ascii="Times New Roman" w:hAnsi="Times New Roman" w:cs="Times New Roman"/>
          <w:i/>
          <w:sz w:val="24"/>
          <w:szCs w:val="24"/>
        </w:rPr>
      </w:pPr>
      <w:r w:rsidRPr="00DF15F8">
        <w:rPr>
          <w:rFonts w:ascii="Times New Roman" w:hAnsi="Times New Roman" w:cs="Times New Roman"/>
          <w:b/>
          <w:bCs/>
          <w:sz w:val="24"/>
          <w:szCs w:val="24"/>
        </w:rPr>
        <w:t>Paul Reville</w:t>
      </w:r>
      <w:r w:rsidRPr="0035565F">
        <w:rPr>
          <w:rFonts w:ascii="Times New Roman" w:hAnsi="Times New Roman" w:cs="Times New Roman"/>
          <w:bCs/>
          <w:iCs/>
          <w:sz w:val="24"/>
          <w:szCs w:val="24"/>
        </w:rPr>
        <w:t>,</w:t>
      </w:r>
      <w:r>
        <w:rPr>
          <w:rFonts w:ascii="Times New Roman" w:hAnsi="Times New Roman" w:cs="Times New Roman"/>
          <w:b/>
          <w:bCs/>
          <w:iCs/>
          <w:sz w:val="24"/>
          <w:szCs w:val="24"/>
        </w:rPr>
        <w:t xml:space="preserve"> </w:t>
      </w:r>
      <w:r w:rsidRPr="00DF15F8">
        <w:rPr>
          <w:rFonts w:ascii="Times New Roman" w:hAnsi="Times New Roman" w:cs="Times New Roman"/>
          <w:i/>
          <w:sz w:val="24"/>
          <w:szCs w:val="24"/>
        </w:rPr>
        <w:t>Governor Designee</w:t>
      </w:r>
    </w:p>
    <w:p w:rsidR="006028F4" w:rsidRDefault="006028F4" w:rsidP="00994221">
      <w:pPr>
        <w:spacing w:after="0" w:line="240" w:lineRule="auto"/>
        <w:rPr>
          <w:rFonts w:ascii="Times New Roman" w:hAnsi="Times New Roman" w:cs="Times New Roman"/>
          <w:i/>
          <w:sz w:val="24"/>
          <w:szCs w:val="24"/>
        </w:rPr>
      </w:pPr>
      <w:r w:rsidRPr="00DF15F8">
        <w:rPr>
          <w:rFonts w:ascii="Times New Roman" w:hAnsi="Times New Roman" w:cs="Times New Roman"/>
          <w:b/>
          <w:bCs/>
          <w:sz w:val="24"/>
          <w:szCs w:val="24"/>
        </w:rPr>
        <w:t>Evan Ross</w:t>
      </w:r>
      <w:r w:rsidRPr="0035565F">
        <w:rPr>
          <w:rFonts w:ascii="Times New Roman" w:hAnsi="Times New Roman" w:cs="Times New Roman"/>
          <w:bCs/>
          <w:sz w:val="24"/>
          <w:szCs w:val="24"/>
        </w:rPr>
        <w:t xml:space="preserve">, </w:t>
      </w:r>
      <w:r w:rsidRPr="00DF15F8">
        <w:rPr>
          <w:rFonts w:ascii="Times New Roman" w:hAnsi="Times New Roman" w:cs="Times New Roman"/>
          <w:i/>
          <w:sz w:val="24"/>
          <w:szCs w:val="24"/>
        </w:rPr>
        <w:t>House Ways &amp; Means Chair Designee</w:t>
      </w:r>
    </w:p>
    <w:p w:rsidR="006028F4" w:rsidRDefault="006028F4" w:rsidP="00994221">
      <w:pPr>
        <w:spacing w:after="0" w:line="240" w:lineRule="auto"/>
        <w:rPr>
          <w:rFonts w:ascii="Times New Roman" w:hAnsi="Times New Roman" w:cs="Times New Roman"/>
          <w:i/>
          <w:sz w:val="24"/>
          <w:szCs w:val="24"/>
        </w:rPr>
      </w:pPr>
      <w:r w:rsidRPr="00DF15F8">
        <w:rPr>
          <w:rFonts w:ascii="Times New Roman" w:hAnsi="Times New Roman" w:cs="Times New Roman"/>
          <w:b/>
          <w:bCs/>
          <w:iCs/>
          <w:sz w:val="24"/>
          <w:szCs w:val="24"/>
        </w:rPr>
        <w:t xml:space="preserve">Senator </w:t>
      </w:r>
      <w:r>
        <w:rPr>
          <w:rFonts w:ascii="Times New Roman" w:hAnsi="Times New Roman" w:cs="Times New Roman"/>
          <w:b/>
          <w:bCs/>
          <w:iCs/>
          <w:sz w:val="24"/>
          <w:szCs w:val="24"/>
        </w:rPr>
        <w:t>Sal DiDomenico</w:t>
      </w:r>
      <w:r w:rsidRPr="0035565F">
        <w:rPr>
          <w:rFonts w:ascii="Times New Roman" w:hAnsi="Times New Roman" w:cs="Times New Roman"/>
          <w:bCs/>
          <w:iCs/>
          <w:sz w:val="24"/>
          <w:szCs w:val="24"/>
        </w:rPr>
        <w:t>,</w:t>
      </w:r>
      <w:r w:rsidRPr="0035565F">
        <w:rPr>
          <w:rFonts w:ascii="Times New Roman" w:hAnsi="Times New Roman" w:cs="Times New Roman"/>
          <w:i/>
          <w:sz w:val="24"/>
          <w:szCs w:val="24"/>
        </w:rPr>
        <w:t xml:space="preserve"> </w:t>
      </w:r>
      <w:r>
        <w:rPr>
          <w:rFonts w:ascii="Times New Roman" w:hAnsi="Times New Roman" w:cs="Times New Roman"/>
          <w:i/>
          <w:sz w:val="24"/>
          <w:szCs w:val="24"/>
        </w:rPr>
        <w:t>Senate Ways &amp; Means Chair Designee</w:t>
      </w:r>
    </w:p>
    <w:p w:rsidR="006028F4" w:rsidRDefault="006028F4" w:rsidP="00994221">
      <w:pPr>
        <w:spacing w:after="0" w:line="240" w:lineRule="auto"/>
        <w:rPr>
          <w:rFonts w:ascii="Times New Roman" w:hAnsi="Times New Roman" w:cs="Times New Roman"/>
          <w:i/>
          <w:sz w:val="24"/>
          <w:szCs w:val="24"/>
        </w:rPr>
      </w:pPr>
      <w:r w:rsidRPr="00DF15F8">
        <w:rPr>
          <w:rFonts w:ascii="Times New Roman" w:hAnsi="Times New Roman" w:cs="Times New Roman"/>
          <w:b/>
          <w:bCs/>
          <w:sz w:val="24"/>
          <w:szCs w:val="24"/>
        </w:rPr>
        <w:t>Mayor Kevin Dumas</w:t>
      </w:r>
      <w:r w:rsidRPr="0035565F">
        <w:rPr>
          <w:rFonts w:ascii="Times New Roman" w:hAnsi="Times New Roman" w:cs="Times New Roman"/>
          <w:bCs/>
          <w:sz w:val="24"/>
          <w:szCs w:val="24"/>
        </w:rPr>
        <w:t>,</w:t>
      </w:r>
      <w:r>
        <w:rPr>
          <w:rFonts w:ascii="Times New Roman" w:hAnsi="Times New Roman" w:cs="Times New Roman"/>
          <w:b/>
          <w:bCs/>
          <w:sz w:val="24"/>
          <w:szCs w:val="24"/>
        </w:rPr>
        <w:t xml:space="preserve"> </w:t>
      </w:r>
      <w:r w:rsidRPr="00DF15F8">
        <w:rPr>
          <w:rFonts w:ascii="Times New Roman" w:hAnsi="Times New Roman" w:cs="Times New Roman"/>
          <w:i/>
          <w:sz w:val="24"/>
          <w:szCs w:val="24"/>
        </w:rPr>
        <w:t>Massachusetts Municipal Association</w:t>
      </w:r>
      <w:r>
        <w:rPr>
          <w:rFonts w:ascii="Times New Roman" w:hAnsi="Times New Roman" w:cs="Times New Roman"/>
          <w:i/>
          <w:sz w:val="24"/>
          <w:szCs w:val="24"/>
        </w:rPr>
        <w:t xml:space="preserve"> Appointee </w:t>
      </w:r>
    </w:p>
    <w:p w:rsidR="006028F4" w:rsidRDefault="006028F4" w:rsidP="00994221">
      <w:pPr>
        <w:spacing w:after="0" w:line="240" w:lineRule="auto"/>
        <w:rPr>
          <w:rFonts w:ascii="Times New Roman" w:hAnsi="Times New Roman" w:cs="Times New Roman"/>
          <w:i/>
          <w:sz w:val="24"/>
          <w:szCs w:val="24"/>
        </w:rPr>
      </w:pPr>
      <w:r>
        <w:rPr>
          <w:rFonts w:ascii="Times New Roman" w:hAnsi="Times New Roman" w:cs="Times New Roman"/>
          <w:b/>
          <w:bCs/>
          <w:sz w:val="24"/>
          <w:szCs w:val="24"/>
        </w:rPr>
        <w:t>Joe Esposito</w:t>
      </w:r>
      <w:r w:rsidRPr="0035565F">
        <w:rPr>
          <w:rFonts w:ascii="Times New Roman" w:hAnsi="Times New Roman" w:cs="Times New Roman"/>
          <w:bCs/>
          <w:sz w:val="24"/>
          <w:szCs w:val="24"/>
        </w:rPr>
        <w:t>,</w:t>
      </w:r>
      <w:r>
        <w:rPr>
          <w:rFonts w:ascii="Times New Roman" w:hAnsi="Times New Roman" w:cs="Times New Roman"/>
          <w:b/>
          <w:bCs/>
          <w:sz w:val="24"/>
          <w:szCs w:val="24"/>
        </w:rPr>
        <w:t xml:space="preserve"> </w:t>
      </w:r>
      <w:r w:rsidRPr="00DF15F8">
        <w:rPr>
          <w:rFonts w:ascii="Times New Roman" w:hAnsi="Times New Roman" w:cs="Times New Roman"/>
          <w:i/>
          <w:sz w:val="24"/>
          <w:szCs w:val="24"/>
        </w:rPr>
        <w:t>Massachusetts Business Alliance for Education</w:t>
      </w:r>
      <w:r w:rsidRPr="00862776">
        <w:rPr>
          <w:rFonts w:ascii="Times New Roman" w:hAnsi="Times New Roman" w:cs="Times New Roman"/>
          <w:i/>
          <w:sz w:val="24"/>
          <w:szCs w:val="24"/>
        </w:rPr>
        <w:t xml:space="preserve"> </w:t>
      </w:r>
      <w:r>
        <w:rPr>
          <w:rFonts w:ascii="Times New Roman" w:hAnsi="Times New Roman" w:cs="Times New Roman"/>
          <w:i/>
          <w:sz w:val="24"/>
          <w:szCs w:val="24"/>
        </w:rPr>
        <w:t>Appointee</w:t>
      </w:r>
    </w:p>
    <w:p w:rsidR="006028F4" w:rsidRDefault="006028F4" w:rsidP="00994221">
      <w:pPr>
        <w:spacing w:after="0" w:line="240" w:lineRule="auto"/>
        <w:rPr>
          <w:rFonts w:ascii="Times New Roman" w:hAnsi="Times New Roman" w:cs="Times New Roman"/>
          <w:i/>
          <w:color w:val="000000"/>
          <w:sz w:val="24"/>
          <w:szCs w:val="24"/>
        </w:rPr>
      </w:pPr>
      <w:r w:rsidRPr="009C42F6">
        <w:rPr>
          <w:rFonts w:ascii="Times New Roman" w:hAnsi="Times New Roman" w:cs="Times New Roman"/>
          <w:b/>
          <w:bCs/>
          <w:color w:val="000000"/>
          <w:sz w:val="24"/>
          <w:szCs w:val="24"/>
        </w:rPr>
        <w:t>Patrick Francomano</w:t>
      </w:r>
      <w:r w:rsidRPr="0035565F">
        <w:rPr>
          <w:rFonts w:ascii="Times New Roman" w:hAnsi="Times New Roman" w:cs="Times New Roman"/>
          <w:bCs/>
          <w:color w:val="000000"/>
          <w:sz w:val="24"/>
          <w:szCs w:val="24"/>
        </w:rPr>
        <w:t xml:space="preserve">, </w:t>
      </w:r>
      <w:r w:rsidRPr="00DF15F8">
        <w:rPr>
          <w:rFonts w:ascii="Times New Roman" w:hAnsi="Times New Roman" w:cs="Times New Roman"/>
          <w:i/>
          <w:color w:val="000000"/>
          <w:sz w:val="24"/>
          <w:szCs w:val="24"/>
        </w:rPr>
        <w:t>Massachusetts Association of School Committees</w:t>
      </w:r>
      <w:r w:rsidRPr="00862776">
        <w:rPr>
          <w:rFonts w:ascii="Times New Roman" w:hAnsi="Times New Roman" w:cs="Times New Roman"/>
          <w:i/>
          <w:sz w:val="24"/>
          <w:szCs w:val="24"/>
        </w:rPr>
        <w:t xml:space="preserve"> </w:t>
      </w:r>
      <w:r>
        <w:rPr>
          <w:rFonts w:ascii="Times New Roman" w:hAnsi="Times New Roman" w:cs="Times New Roman"/>
          <w:i/>
          <w:sz w:val="24"/>
          <w:szCs w:val="24"/>
        </w:rPr>
        <w:t>Appointee</w:t>
      </w:r>
    </w:p>
    <w:p w:rsidR="006028F4" w:rsidRDefault="006028F4" w:rsidP="00994221">
      <w:pPr>
        <w:spacing w:after="0" w:line="240" w:lineRule="auto"/>
        <w:rPr>
          <w:rFonts w:ascii="Times New Roman" w:hAnsi="Times New Roman" w:cs="Times New Roman"/>
          <w:b/>
          <w:bCs/>
          <w:iCs/>
          <w:sz w:val="24"/>
          <w:szCs w:val="24"/>
        </w:rPr>
      </w:pPr>
      <w:r w:rsidRPr="00DF15F8">
        <w:rPr>
          <w:rFonts w:ascii="Times New Roman" w:hAnsi="Times New Roman" w:cs="Times New Roman"/>
          <w:b/>
          <w:bCs/>
          <w:sz w:val="24"/>
          <w:szCs w:val="24"/>
        </w:rPr>
        <w:t>Mary Bourque</w:t>
      </w:r>
      <w:r w:rsidRPr="0035565F">
        <w:rPr>
          <w:rFonts w:ascii="Times New Roman" w:hAnsi="Times New Roman" w:cs="Times New Roman"/>
          <w:bCs/>
          <w:sz w:val="24"/>
          <w:szCs w:val="24"/>
        </w:rPr>
        <w:t>,</w:t>
      </w:r>
      <w:r w:rsidRPr="0035565F">
        <w:rPr>
          <w:rFonts w:ascii="Times New Roman" w:hAnsi="Times New Roman" w:cs="Times New Roman"/>
          <w:i/>
          <w:color w:val="000000"/>
          <w:sz w:val="24"/>
          <w:szCs w:val="24"/>
        </w:rPr>
        <w:t xml:space="preserve"> </w:t>
      </w:r>
      <w:r w:rsidRPr="00DF15F8">
        <w:rPr>
          <w:rFonts w:ascii="Times New Roman" w:hAnsi="Times New Roman" w:cs="Times New Roman"/>
          <w:i/>
          <w:color w:val="000000"/>
          <w:sz w:val="24"/>
          <w:szCs w:val="24"/>
        </w:rPr>
        <w:t>Massachusetts Association of School Superintendents</w:t>
      </w:r>
      <w:r>
        <w:rPr>
          <w:rFonts w:ascii="Times New Roman" w:hAnsi="Times New Roman" w:cs="Times New Roman"/>
          <w:i/>
          <w:sz w:val="24"/>
          <w:szCs w:val="24"/>
        </w:rPr>
        <w:t xml:space="preserve"> Appointee</w:t>
      </w:r>
    </w:p>
    <w:p w:rsidR="006028F4" w:rsidRDefault="006028F4" w:rsidP="00994221">
      <w:pPr>
        <w:spacing w:after="0" w:line="240" w:lineRule="auto"/>
        <w:rPr>
          <w:rFonts w:ascii="Times New Roman" w:hAnsi="Times New Roman" w:cs="Times New Roman"/>
          <w:i/>
          <w:color w:val="000000"/>
          <w:sz w:val="24"/>
          <w:szCs w:val="24"/>
        </w:rPr>
      </w:pPr>
      <w:r w:rsidRPr="00DF15F8">
        <w:rPr>
          <w:rFonts w:ascii="Times New Roman" w:hAnsi="Times New Roman" w:cs="Times New Roman"/>
          <w:b/>
          <w:bCs/>
          <w:sz w:val="24"/>
          <w:szCs w:val="24"/>
        </w:rPr>
        <w:t>Barbara Madeloni</w:t>
      </w:r>
      <w:r w:rsidRPr="0035565F">
        <w:rPr>
          <w:rFonts w:ascii="Times New Roman" w:hAnsi="Times New Roman" w:cs="Times New Roman"/>
          <w:bCs/>
          <w:sz w:val="24"/>
          <w:szCs w:val="24"/>
        </w:rPr>
        <w:t>,</w:t>
      </w:r>
      <w:r w:rsidRPr="0035565F">
        <w:rPr>
          <w:rFonts w:ascii="Times New Roman" w:hAnsi="Times New Roman" w:cs="Times New Roman"/>
          <w:i/>
          <w:color w:val="000000"/>
          <w:sz w:val="24"/>
          <w:szCs w:val="24"/>
        </w:rPr>
        <w:t xml:space="preserve"> </w:t>
      </w:r>
      <w:r w:rsidRPr="00DF15F8">
        <w:rPr>
          <w:rFonts w:ascii="Times New Roman" w:hAnsi="Times New Roman" w:cs="Times New Roman"/>
          <w:i/>
          <w:color w:val="000000"/>
          <w:sz w:val="24"/>
          <w:szCs w:val="24"/>
        </w:rPr>
        <w:t>Massachusetts Teachers Association</w:t>
      </w:r>
      <w:r w:rsidRPr="00862776">
        <w:rPr>
          <w:rFonts w:ascii="Times New Roman" w:hAnsi="Times New Roman" w:cs="Times New Roman"/>
          <w:i/>
          <w:sz w:val="24"/>
          <w:szCs w:val="24"/>
        </w:rPr>
        <w:t xml:space="preserve"> </w:t>
      </w:r>
      <w:r>
        <w:rPr>
          <w:rFonts w:ascii="Times New Roman" w:hAnsi="Times New Roman" w:cs="Times New Roman"/>
          <w:i/>
          <w:sz w:val="24"/>
          <w:szCs w:val="24"/>
        </w:rPr>
        <w:t>Appointee</w:t>
      </w:r>
    </w:p>
    <w:p w:rsidR="006028F4" w:rsidRDefault="006028F4" w:rsidP="00994221">
      <w:pPr>
        <w:spacing w:after="0" w:line="240" w:lineRule="auto"/>
        <w:rPr>
          <w:rFonts w:ascii="Times New Roman" w:hAnsi="Times New Roman" w:cs="Times New Roman"/>
          <w:i/>
          <w:color w:val="000000"/>
          <w:sz w:val="24"/>
          <w:szCs w:val="24"/>
        </w:rPr>
      </w:pPr>
      <w:r w:rsidRPr="00DF15F8">
        <w:rPr>
          <w:rFonts w:ascii="Times New Roman" w:hAnsi="Times New Roman" w:cs="Times New Roman"/>
          <w:b/>
          <w:bCs/>
          <w:sz w:val="24"/>
          <w:szCs w:val="24"/>
        </w:rPr>
        <w:t>John Coleman Walsh</w:t>
      </w:r>
      <w:r w:rsidRPr="0035565F">
        <w:rPr>
          <w:rFonts w:ascii="Times New Roman" w:hAnsi="Times New Roman" w:cs="Times New Roman"/>
          <w:bCs/>
          <w:sz w:val="24"/>
          <w:szCs w:val="24"/>
        </w:rPr>
        <w:t>,</w:t>
      </w:r>
      <w:r w:rsidRPr="0035565F">
        <w:rPr>
          <w:rFonts w:ascii="Times New Roman" w:hAnsi="Times New Roman" w:cs="Times New Roman"/>
          <w:i/>
          <w:color w:val="000000"/>
          <w:sz w:val="24"/>
          <w:szCs w:val="24"/>
        </w:rPr>
        <w:t xml:space="preserve"> </w:t>
      </w:r>
      <w:r w:rsidRPr="00DF15F8">
        <w:rPr>
          <w:rFonts w:ascii="Times New Roman" w:hAnsi="Times New Roman" w:cs="Times New Roman"/>
          <w:i/>
          <w:color w:val="000000"/>
          <w:sz w:val="24"/>
          <w:szCs w:val="24"/>
        </w:rPr>
        <w:t>American Federation of Teachers Massachusetts</w:t>
      </w:r>
      <w:r w:rsidRPr="00862776">
        <w:rPr>
          <w:rFonts w:ascii="Times New Roman" w:hAnsi="Times New Roman" w:cs="Times New Roman"/>
          <w:i/>
          <w:sz w:val="24"/>
          <w:szCs w:val="24"/>
        </w:rPr>
        <w:t xml:space="preserve"> </w:t>
      </w:r>
      <w:r>
        <w:rPr>
          <w:rFonts w:ascii="Times New Roman" w:hAnsi="Times New Roman" w:cs="Times New Roman"/>
          <w:i/>
          <w:sz w:val="24"/>
          <w:szCs w:val="24"/>
        </w:rPr>
        <w:t>Appointee</w:t>
      </w:r>
    </w:p>
    <w:p w:rsidR="006028F4" w:rsidRDefault="006028F4" w:rsidP="00994221">
      <w:pPr>
        <w:spacing w:after="0" w:line="240" w:lineRule="auto"/>
        <w:rPr>
          <w:rFonts w:ascii="Times New Roman" w:hAnsi="Times New Roman" w:cs="Times New Roman"/>
          <w:b/>
          <w:bCs/>
          <w:sz w:val="24"/>
          <w:szCs w:val="24"/>
        </w:rPr>
      </w:pPr>
      <w:r w:rsidRPr="00DF15F8">
        <w:rPr>
          <w:rFonts w:ascii="Times New Roman" w:hAnsi="Times New Roman" w:cs="Times New Roman"/>
          <w:b/>
          <w:bCs/>
          <w:sz w:val="24"/>
          <w:szCs w:val="24"/>
        </w:rPr>
        <w:t>John Lafleche</w:t>
      </w:r>
      <w:r w:rsidRPr="00862776">
        <w:rPr>
          <w:rFonts w:ascii="Times New Roman" w:hAnsi="Times New Roman" w:cs="Times New Roman"/>
          <w:bCs/>
          <w:sz w:val="24"/>
          <w:szCs w:val="24"/>
        </w:rPr>
        <w:t>,</w:t>
      </w:r>
      <w:r>
        <w:rPr>
          <w:rFonts w:ascii="Times New Roman" w:hAnsi="Times New Roman" w:cs="Times New Roman"/>
          <w:b/>
          <w:bCs/>
          <w:sz w:val="24"/>
          <w:szCs w:val="24"/>
        </w:rPr>
        <w:t xml:space="preserve"> </w:t>
      </w:r>
      <w:r w:rsidRPr="00DF15F8">
        <w:rPr>
          <w:rFonts w:ascii="Times New Roman" w:hAnsi="Times New Roman" w:cs="Times New Roman"/>
          <w:i/>
          <w:color w:val="000000"/>
          <w:sz w:val="24"/>
          <w:szCs w:val="24"/>
        </w:rPr>
        <w:t>Massachusetts Association of Vocational Administrators</w:t>
      </w:r>
      <w:r w:rsidRPr="00862776">
        <w:rPr>
          <w:rFonts w:ascii="Times New Roman" w:hAnsi="Times New Roman" w:cs="Times New Roman"/>
          <w:i/>
          <w:sz w:val="24"/>
          <w:szCs w:val="24"/>
        </w:rPr>
        <w:t xml:space="preserve"> </w:t>
      </w:r>
      <w:r>
        <w:rPr>
          <w:rFonts w:ascii="Times New Roman" w:hAnsi="Times New Roman" w:cs="Times New Roman"/>
          <w:i/>
          <w:sz w:val="24"/>
          <w:szCs w:val="24"/>
        </w:rPr>
        <w:t>Appointee</w:t>
      </w:r>
    </w:p>
    <w:p w:rsidR="006028F4" w:rsidRDefault="006028F4" w:rsidP="00994221">
      <w:pPr>
        <w:spacing w:after="0" w:line="240" w:lineRule="auto"/>
        <w:rPr>
          <w:rFonts w:ascii="Times New Roman" w:hAnsi="Times New Roman" w:cs="Times New Roman"/>
          <w:i/>
          <w:color w:val="000000"/>
          <w:sz w:val="24"/>
          <w:szCs w:val="24"/>
        </w:rPr>
      </w:pPr>
      <w:r w:rsidRPr="00DF15F8">
        <w:rPr>
          <w:rFonts w:ascii="Times New Roman" w:hAnsi="Times New Roman" w:cs="Times New Roman"/>
          <w:b/>
          <w:bCs/>
          <w:sz w:val="24"/>
          <w:szCs w:val="24"/>
        </w:rPr>
        <w:t>Michael Wood</w:t>
      </w:r>
      <w:r w:rsidRPr="00862776">
        <w:rPr>
          <w:rFonts w:ascii="Times New Roman" w:hAnsi="Times New Roman" w:cs="Times New Roman"/>
          <w:bCs/>
          <w:sz w:val="24"/>
          <w:szCs w:val="24"/>
        </w:rPr>
        <w:t>,</w:t>
      </w:r>
      <w:r w:rsidRPr="00862776">
        <w:rPr>
          <w:rFonts w:ascii="Times New Roman" w:hAnsi="Times New Roman" w:cs="Times New Roman"/>
          <w:i/>
          <w:color w:val="000000"/>
          <w:sz w:val="24"/>
          <w:szCs w:val="24"/>
        </w:rPr>
        <w:t xml:space="preserve"> </w:t>
      </w:r>
      <w:r w:rsidRPr="00DF15F8">
        <w:rPr>
          <w:rFonts w:ascii="Times New Roman" w:hAnsi="Times New Roman" w:cs="Times New Roman"/>
          <w:i/>
          <w:color w:val="000000"/>
          <w:sz w:val="24"/>
          <w:szCs w:val="24"/>
        </w:rPr>
        <w:t>Massachusetts Association of Regional Schools</w:t>
      </w:r>
      <w:r w:rsidRPr="00862776">
        <w:rPr>
          <w:rFonts w:ascii="Times New Roman" w:hAnsi="Times New Roman" w:cs="Times New Roman"/>
          <w:i/>
          <w:sz w:val="24"/>
          <w:szCs w:val="24"/>
        </w:rPr>
        <w:t xml:space="preserve"> </w:t>
      </w:r>
      <w:r>
        <w:rPr>
          <w:rFonts w:ascii="Times New Roman" w:hAnsi="Times New Roman" w:cs="Times New Roman"/>
          <w:i/>
          <w:sz w:val="24"/>
          <w:szCs w:val="24"/>
        </w:rPr>
        <w:t>Appointee</w:t>
      </w:r>
    </w:p>
    <w:p w:rsidR="006028F4" w:rsidRDefault="006028F4" w:rsidP="00994221">
      <w:pPr>
        <w:spacing w:after="0" w:line="240" w:lineRule="auto"/>
        <w:rPr>
          <w:rFonts w:ascii="Times New Roman" w:hAnsi="Times New Roman" w:cs="Times New Roman"/>
          <w:b/>
          <w:bCs/>
          <w:sz w:val="24"/>
          <w:szCs w:val="24"/>
        </w:rPr>
      </w:pPr>
      <w:r w:rsidRPr="00DF15F8">
        <w:rPr>
          <w:rFonts w:ascii="Times New Roman" w:hAnsi="Times New Roman" w:cs="Times New Roman"/>
          <w:b/>
          <w:bCs/>
          <w:color w:val="000000"/>
          <w:sz w:val="24"/>
          <w:szCs w:val="24"/>
        </w:rPr>
        <w:t>David Verdolino</w:t>
      </w:r>
      <w:r w:rsidRPr="00862776">
        <w:rPr>
          <w:rFonts w:ascii="Times New Roman" w:hAnsi="Times New Roman" w:cs="Times New Roman"/>
          <w:bCs/>
          <w:color w:val="000000"/>
          <w:sz w:val="24"/>
          <w:szCs w:val="24"/>
        </w:rPr>
        <w:t>,</w:t>
      </w:r>
      <w:r w:rsidRPr="00862776">
        <w:rPr>
          <w:rFonts w:ascii="Times New Roman" w:hAnsi="Times New Roman" w:cs="Times New Roman"/>
          <w:i/>
          <w:color w:val="000000"/>
          <w:sz w:val="24"/>
          <w:szCs w:val="24"/>
        </w:rPr>
        <w:t xml:space="preserve"> </w:t>
      </w:r>
      <w:r w:rsidRPr="00DF15F8">
        <w:rPr>
          <w:rFonts w:ascii="Times New Roman" w:hAnsi="Times New Roman" w:cs="Times New Roman"/>
          <w:i/>
          <w:color w:val="000000"/>
          <w:sz w:val="24"/>
          <w:szCs w:val="24"/>
        </w:rPr>
        <w:t>Massachusetts Association of School Business Officials</w:t>
      </w:r>
      <w:r w:rsidRPr="00862776">
        <w:rPr>
          <w:rFonts w:ascii="Times New Roman" w:hAnsi="Times New Roman" w:cs="Times New Roman"/>
          <w:i/>
          <w:sz w:val="24"/>
          <w:szCs w:val="24"/>
        </w:rPr>
        <w:t xml:space="preserve"> </w:t>
      </w:r>
      <w:r>
        <w:rPr>
          <w:rFonts w:ascii="Times New Roman" w:hAnsi="Times New Roman" w:cs="Times New Roman"/>
          <w:i/>
          <w:sz w:val="24"/>
          <w:szCs w:val="24"/>
        </w:rPr>
        <w:t>Appointee</w:t>
      </w:r>
    </w:p>
    <w:p w:rsidR="006028F4" w:rsidRPr="0035565F" w:rsidRDefault="006028F4" w:rsidP="00994221">
      <w:pPr>
        <w:spacing w:after="0" w:line="240" w:lineRule="auto"/>
        <w:rPr>
          <w:rFonts w:ascii="Times New Roman" w:hAnsi="Times New Roman" w:cs="Times New Roman"/>
          <w:b/>
          <w:bCs/>
          <w:iCs/>
          <w:sz w:val="24"/>
          <w:szCs w:val="24"/>
        </w:rPr>
      </w:pPr>
    </w:p>
    <w:p w:rsidR="006028F4" w:rsidRDefault="006028F4" w:rsidP="00994221">
      <w:pPr>
        <w:spacing w:after="120" w:line="240" w:lineRule="auto"/>
        <w:rPr>
          <w:rFonts w:ascii="Times New Roman" w:hAnsi="Times New Roman" w:cs="Times New Roman"/>
          <w:b/>
          <w:sz w:val="28"/>
          <w:szCs w:val="28"/>
          <w:u w:val="single"/>
        </w:rPr>
      </w:pPr>
      <w:r>
        <w:rPr>
          <w:rFonts w:ascii="Times New Roman" w:hAnsi="Times New Roman" w:cs="Times New Roman"/>
          <w:b/>
          <w:sz w:val="28"/>
          <w:szCs w:val="28"/>
          <w:u w:val="single"/>
        </w:rPr>
        <w:t>Advisory Members</w:t>
      </w:r>
      <w:r w:rsidR="00105C2C">
        <w:rPr>
          <w:rFonts w:ascii="Times New Roman" w:hAnsi="Times New Roman" w:cs="Times New Roman"/>
          <w:b/>
          <w:sz w:val="28"/>
          <w:szCs w:val="28"/>
          <w:u w:val="single"/>
        </w:rPr>
        <w:t xml:space="preserve"> (non-voting)</w:t>
      </w:r>
    </w:p>
    <w:p w:rsidR="006028F4" w:rsidRDefault="006028F4" w:rsidP="00994221">
      <w:pPr>
        <w:spacing w:after="0" w:line="240" w:lineRule="auto"/>
        <w:rPr>
          <w:rFonts w:ascii="Times New Roman" w:hAnsi="Times New Roman" w:cs="Times New Roman"/>
          <w:b/>
          <w:sz w:val="28"/>
          <w:szCs w:val="28"/>
          <w:u w:val="single"/>
        </w:rPr>
      </w:pPr>
      <w:r w:rsidRPr="00DF15F8">
        <w:rPr>
          <w:rFonts w:ascii="Times New Roman" w:eastAsia="Times New Roman" w:hAnsi="Times New Roman" w:cs="Times New Roman"/>
          <w:b/>
          <w:bCs/>
          <w:sz w:val="24"/>
          <w:szCs w:val="24"/>
        </w:rPr>
        <w:t>Mary Frantz</w:t>
      </w:r>
      <w:r w:rsidRPr="00862776">
        <w:rPr>
          <w:rFonts w:ascii="Times New Roman" w:eastAsia="Times New Roman" w:hAnsi="Times New Roman" w:cs="Times New Roman"/>
          <w:bCs/>
          <w:sz w:val="24"/>
          <w:szCs w:val="24"/>
        </w:rPr>
        <w:t>,</w:t>
      </w:r>
      <w:r>
        <w:rPr>
          <w:rFonts w:ascii="Times New Roman" w:eastAsia="Times New Roman" w:hAnsi="Times New Roman" w:cs="Times New Roman"/>
          <w:b/>
          <w:bCs/>
          <w:sz w:val="24"/>
          <w:szCs w:val="24"/>
        </w:rPr>
        <w:t xml:space="preserve"> </w:t>
      </w:r>
      <w:r w:rsidRPr="005362CD">
        <w:rPr>
          <w:rFonts w:ascii="Times New Roman" w:hAnsi="Times New Roman" w:cs="Times New Roman"/>
          <w:i/>
          <w:sz w:val="24"/>
          <w:szCs w:val="24"/>
        </w:rPr>
        <w:t>League of Women Voters of Massachusetts</w:t>
      </w:r>
      <w:r>
        <w:rPr>
          <w:rFonts w:ascii="Times New Roman" w:hAnsi="Times New Roman" w:cs="Times New Roman"/>
          <w:i/>
          <w:sz w:val="24"/>
          <w:szCs w:val="24"/>
        </w:rPr>
        <w:t xml:space="preserve"> Appointee</w:t>
      </w:r>
    </w:p>
    <w:p w:rsidR="006028F4" w:rsidRPr="00DF15F8" w:rsidRDefault="006028F4" w:rsidP="00994221">
      <w:pPr>
        <w:spacing w:after="0" w:line="240" w:lineRule="auto"/>
        <w:rPr>
          <w:rFonts w:ascii="Times New Roman" w:hAnsi="Times New Roman" w:cs="Times New Roman"/>
          <w:b/>
          <w:sz w:val="28"/>
          <w:szCs w:val="28"/>
        </w:rPr>
      </w:pPr>
      <w:r w:rsidRPr="00DF15F8">
        <w:rPr>
          <w:rFonts w:ascii="Times New Roman" w:eastAsia="Times New Roman" w:hAnsi="Times New Roman" w:cs="Times New Roman"/>
          <w:b/>
          <w:bCs/>
          <w:sz w:val="24"/>
          <w:szCs w:val="24"/>
        </w:rPr>
        <w:t>Luc Schuster</w:t>
      </w:r>
      <w:r w:rsidRPr="00862776">
        <w:rPr>
          <w:rFonts w:ascii="Times New Roman" w:eastAsia="Times New Roman" w:hAnsi="Times New Roman" w:cs="Times New Roman"/>
          <w:bCs/>
          <w:sz w:val="24"/>
          <w:szCs w:val="24"/>
        </w:rPr>
        <w:t>,</w:t>
      </w:r>
      <w:r>
        <w:rPr>
          <w:rFonts w:ascii="Times New Roman" w:eastAsia="Times New Roman" w:hAnsi="Times New Roman" w:cs="Times New Roman"/>
          <w:b/>
          <w:bCs/>
          <w:sz w:val="24"/>
          <w:szCs w:val="24"/>
        </w:rPr>
        <w:t xml:space="preserve"> </w:t>
      </w:r>
      <w:r w:rsidRPr="005362CD">
        <w:rPr>
          <w:rFonts w:ascii="Times New Roman" w:hAnsi="Times New Roman" w:cs="Times New Roman"/>
          <w:i/>
          <w:sz w:val="24"/>
          <w:szCs w:val="24"/>
        </w:rPr>
        <w:t>Massachusetts Budget and Policy Center</w:t>
      </w:r>
      <w:r w:rsidRPr="00862776">
        <w:rPr>
          <w:rFonts w:ascii="Times New Roman" w:hAnsi="Times New Roman" w:cs="Times New Roman"/>
          <w:i/>
          <w:sz w:val="24"/>
          <w:szCs w:val="24"/>
        </w:rPr>
        <w:t xml:space="preserve"> </w:t>
      </w:r>
      <w:r>
        <w:rPr>
          <w:rFonts w:ascii="Times New Roman" w:hAnsi="Times New Roman" w:cs="Times New Roman"/>
          <w:i/>
          <w:sz w:val="24"/>
          <w:szCs w:val="24"/>
        </w:rPr>
        <w:t>Appointee</w:t>
      </w:r>
    </w:p>
    <w:p w:rsidR="006028F4" w:rsidRDefault="006028F4" w:rsidP="00994221">
      <w:pPr>
        <w:spacing w:after="0" w:line="240" w:lineRule="auto"/>
        <w:rPr>
          <w:rFonts w:ascii="Times New Roman" w:hAnsi="Times New Roman" w:cs="Times New Roman"/>
          <w:i/>
          <w:sz w:val="24"/>
          <w:szCs w:val="24"/>
        </w:rPr>
      </w:pPr>
      <w:r w:rsidRPr="00DF15F8">
        <w:rPr>
          <w:rFonts w:ascii="Times New Roman" w:eastAsia="Times New Roman" w:hAnsi="Times New Roman" w:cs="Times New Roman"/>
          <w:b/>
          <w:sz w:val="24"/>
          <w:szCs w:val="24"/>
        </w:rPr>
        <w:t>JD Chesloff</w:t>
      </w:r>
      <w:r w:rsidRPr="00862776">
        <w:rPr>
          <w:rFonts w:ascii="Times New Roman" w:hAnsi="Times New Roman" w:cs="Times New Roman"/>
          <w:sz w:val="24"/>
          <w:szCs w:val="24"/>
        </w:rPr>
        <w:t xml:space="preserve">, </w:t>
      </w:r>
      <w:r w:rsidRPr="005362CD">
        <w:rPr>
          <w:rFonts w:ascii="Times New Roman" w:hAnsi="Times New Roman" w:cs="Times New Roman"/>
          <w:i/>
          <w:sz w:val="24"/>
          <w:szCs w:val="24"/>
        </w:rPr>
        <w:t>Massachusetts Business Roundtable</w:t>
      </w:r>
      <w:r w:rsidRPr="00862776">
        <w:rPr>
          <w:rFonts w:ascii="Times New Roman" w:hAnsi="Times New Roman" w:cs="Times New Roman"/>
          <w:i/>
          <w:sz w:val="24"/>
          <w:szCs w:val="24"/>
        </w:rPr>
        <w:t xml:space="preserve"> </w:t>
      </w:r>
      <w:r>
        <w:rPr>
          <w:rFonts w:ascii="Times New Roman" w:hAnsi="Times New Roman" w:cs="Times New Roman"/>
          <w:i/>
          <w:sz w:val="24"/>
          <w:szCs w:val="24"/>
        </w:rPr>
        <w:t>Appointee</w:t>
      </w:r>
    </w:p>
    <w:p w:rsidR="006028F4" w:rsidRPr="00DF15F8" w:rsidRDefault="006028F4" w:rsidP="00994221">
      <w:pPr>
        <w:spacing w:after="0" w:line="240" w:lineRule="auto"/>
        <w:rPr>
          <w:rFonts w:ascii="Times New Roman" w:hAnsi="Times New Roman" w:cs="Times New Roman"/>
          <w:b/>
          <w:sz w:val="28"/>
          <w:szCs w:val="28"/>
          <w:u w:val="single"/>
        </w:rPr>
      </w:pPr>
      <w:r w:rsidRPr="00DF15F8">
        <w:rPr>
          <w:rStyle w:val="Strong"/>
          <w:rFonts w:ascii="Times New Roman" w:hAnsi="Times New Roman" w:cs="Times New Roman"/>
          <w:sz w:val="24"/>
          <w:szCs w:val="24"/>
        </w:rPr>
        <w:t xml:space="preserve">Jennifer </w:t>
      </w:r>
      <w:proofErr w:type="spellStart"/>
      <w:r w:rsidRPr="00DF15F8">
        <w:rPr>
          <w:rStyle w:val="Strong"/>
          <w:rFonts w:ascii="Times New Roman" w:hAnsi="Times New Roman" w:cs="Times New Roman"/>
          <w:sz w:val="24"/>
          <w:szCs w:val="24"/>
        </w:rPr>
        <w:t>Francioso</w:t>
      </w:r>
      <w:proofErr w:type="spellEnd"/>
      <w:r w:rsidRPr="00862776">
        <w:rPr>
          <w:rStyle w:val="Strong"/>
          <w:rFonts w:ascii="Times New Roman" w:hAnsi="Times New Roman" w:cs="Times New Roman"/>
          <w:b w:val="0"/>
          <w:sz w:val="24"/>
          <w:szCs w:val="24"/>
        </w:rPr>
        <w:t>,</w:t>
      </w:r>
      <w:r w:rsidRPr="00862776">
        <w:rPr>
          <w:rFonts w:ascii="Times New Roman" w:hAnsi="Times New Roman" w:cs="Times New Roman"/>
          <w:i/>
          <w:sz w:val="24"/>
          <w:szCs w:val="24"/>
        </w:rPr>
        <w:t xml:space="preserve"> </w:t>
      </w:r>
      <w:r w:rsidRPr="005362CD">
        <w:rPr>
          <w:rFonts w:ascii="Times New Roman" w:hAnsi="Times New Roman" w:cs="Times New Roman"/>
          <w:i/>
          <w:sz w:val="24"/>
          <w:szCs w:val="24"/>
        </w:rPr>
        <w:t>Massachusetts Parent Teacher Association</w:t>
      </w:r>
      <w:r w:rsidRPr="00862776">
        <w:rPr>
          <w:rFonts w:ascii="Times New Roman" w:hAnsi="Times New Roman" w:cs="Times New Roman"/>
          <w:i/>
          <w:sz w:val="24"/>
          <w:szCs w:val="24"/>
        </w:rPr>
        <w:t xml:space="preserve"> </w:t>
      </w:r>
      <w:r>
        <w:rPr>
          <w:rFonts w:ascii="Times New Roman" w:hAnsi="Times New Roman" w:cs="Times New Roman"/>
          <w:i/>
          <w:sz w:val="24"/>
          <w:szCs w:val="24"/>
        </w:rPr>
        <w:t>Appointee</w:t>
      </w:r>
    </w:p>
    <w:p w:rsidR="006028F4" w:rsidRDefault="006028F4" w:rsidP="00994221">
      <w:pPr>
        <w:spacing w:after="0" w:line="240" w:lineRule="auto"/>
        <w:rPr>
          <w:rFonts w:ascii="Times New Roman" w:hAnsi="Times New Roman" w:cs="Times New Roman"/>
          <w:i/>
          <w:sz w:val="24"/>
          <w:szCs w:val="24"/>
        </w:rPr>
      </w:pPr>
      <w:r w:rsidRPr="00DF15F8">
        <w:rPr>
          <w:rFonts w:ascii="Times New Roman" w:hAnsi="Times New Roman" w:cs="Times New Roman"/>
          <w:b/>
          <w:sz w:val="24"/>
          <w:szCs w:val="24"/>
        </w:rPr>
        <w:t>Carolyn Ryan</w:t>
      </w:r>
      <w:r w:rsidRPr="00862776">
        <w:rPr>
          <w:rFonts w:ascii="Times New Roman" w:hAnsi="Times New Roman" w:cs="Times New Roman"/>
          <w:sz w:val="24"/>
          <w:szCs w:val="24"/>
        </w:rPr>
        <w:t>,</w:t>
      </w:r>
      <w:r w:rsidRPr="00862776">
        <w:rPr>
          <w:rFonts w:ascii="Times New Roman" w:hAnsi="Times New Roman" w:cs="Times New Roman"/>
          <w:i/>
          <w:sz w:val="24"/>
          <w:szCs w:val="24"/>
        </w:rPr>
        <w:t xml:space="preserve"> </w:t>
      </w:r>
      <w:r w:rsidRPr="005362CD">
        <w:rPr>
          <w:rFonts w:ascii="Times New Roman" w:hAnsi="Times New Roman" w:cs="Times New Roman"/>
          <w:i/>
          <w:sz w:val="24"/>
          <w:szCs w:val="24"/>
        </w:rPr>
        <w:t>Massachusetts Taxpayers Foundation</w:t>
      </w:r>
      <w:r w:rsidRPr="00862776">
        <w:rPr>
          <w:rFonts w:ascii="Times New Roman" w:hAnsi="Times New Roman" w:cs="Times New Roman"/>
          <w:i/>
          <w:sz w:val="24"/>
          <w:szCs w:val="24"/>
        </w:rPr>
        <w:t xml:space="preserve"> </w:t>
      </w:r>
      <w:r>
        <w:rPr>
          <w:rFonts w:ascii="Times New Roman" w:hAnsi="Times New Roman" w:cs="Times New Roman"/>
          <w:i/>
          <w:sz w:val="24"/>
          <w:szCs w:val="24"/>
        </w:rPr>
        <w:t>Appointee</w:t>
      </w:r>
    </w:p>
    <w:p w:rsidR="006028F4" w:rsidRPr="00DF15F8" w:rsidRDefault="006028F4" w:rsidP="00994221">
      <w:pPr>
        <w:spacing w:after="0" w:line="240" w:lineRule="auto"/>
        <w:rPr>
          <w:rFonts w:ascii="Times New Roman" w:hAnsi="Times New Roman" w:cs="Times New Roman"/>
          <w:b/>
          <w:sz w:val="28"/>
          <w:szCs w:val="28"/>
          <w:u w:val="single"/>
        </w:rPr>
      </w:pPr>
      <w:r w:rsidRPr="00DF15F8">
        <w:rPr>
          <w:rFonts w:ascii="Times New Roman" w:eastAsia="Times New Roman" w:hAnsi="Times New Roman" w:cs="Times New Roman"/>
          <w:b/>
          <w:bCs/>
          <w:sz w:val="24"/>
          <w:szCs w:val="24"/>
        </w:rPr>
        <w:t>Jason Williams</w:t>
      </w:r>
      <w:r w:rsidRPr="00862776">
        <w:rPr>
          <w:rFonts w:ascii="Times New Roman" w:eastAsia="Times New Roman" w:hAnsi="Times New Roman" w:cs="Times New Roman"/>
          <w:bCs/>
          <w:sz w:val="24"/>
          <w:szCs w:val="24"/>
        </w:rPr>
        <w:t>,</w:t>
      </w:r>
      <w:r>
        <w:rPr>
          <w:rFonts w:ascii="Times New Roman" w:eastAsia="Times New Roman" w:hAnsi="Times New Roman" w:cs="Times New Roman"/>
          <w:b/>
          <w:bCs/>
          <w:sz w:val="24"/>
          <w:szCs w:val="24"/>
        </w:rPr>
        <w:t xml:space="preserve"> </w:t>
      </w:r>
      <w:r w:rsidRPr="005362CD">
        <w:rPr>
          <w:rFonts w:ascii="Times New Roman" w:hAnsi="Times New Roman" w:cs="Times New Roman"/>
          <w:i/>
          <w:sz w:val="24"/>
          <w:szCs w:val="24"/>
        </w:rPr>
        <w:t>Stand for Children Massachusetts</w:t>
      </w:r>
      <w:r w:rsidRPr="00862776">
        <w:rPr>
          <w:rFonts w:ascii="Times New Roman" w:hAnsi="Times New Roman" w:cs="Times New Roman"/>
          <w:i/>
          <w:sz w:val="24"/>
          <w:szCs w:val="24"/>
        </w:rPr>
        <w:t xml:space="preserve"> </w:t>
      </w:r>
      <w:r>
        <w:rPr>
          <w:rFonts w:ascii="Times New Roman" w:hAnsi="Times New Roman" w:cs="Times New Roman"/>
          <w:i/>
          <w:sz w:val="24"/>
          <w:szCs w:val="24"/>
        </w:rPr>
        <w:t>Appointee</w:t>
      </w:r>
    </w:p>
    <w:p w:rsidR="006028F4" w:rsidRDefault="006028F4" w:rsidP="00994221">
      <w:pPr>
        <w:spacing w:after="0" w:line="240" w:lineRule="auto"/>
        <w:rPr>
          <w:rFonts w:ascii="Times New Roman" w:hAnsi="Times New Roman" w:cs="Times New Roman"/>
          <w:i/>
          <w:sz w:val="24"/>
          <w:szCs w:val="24"/>
        </w:rPr>
      </w:pPr>
      <w:r w:rsidRPr="00DF15F8">
        <w:rPr>
          <w:rFonts w:ascii="Times New Roman" w:eastAsia="Times New Roman" w:hAnsi="Times New Roman" w:cs="Times New Roman"/>
          <w:b/>
          <w:bCs/>
          <w:sz w:val="24"/>
          <w:szCs w:val="24"/>
        </w:rPr>
        <w:t>Chris Martes</w:t>
      </w:r>
      <w:r>
        <w:rPr>
          <w:rFonts w:ascii="Times New Roman" w:eastAsia="Times New Roman" w:hAnsi="Times New Roman" w:cs="Times New Roman"/>
          <w:b/>
          <w:bCs/>
          <w:sz w:val="24"/>
          <w:szCs w:val="24"/>
        </w:rPr>
        <w:t>,</w:t>
      </w:r>
      <w:r w:rsidRPr="00862776">
        <w:rPr>
          <w:rFonts w:ascii="Times New Roman" w:hAnsi="Times New Roman" w:cs="Times New Roman"/>
          <w:i/>
          <w:sz w:val="24"/>
          <w:szCs w:val="24"/>
        </w:rPr>
        <w:t xml:space="preserve"> </w:t>
      </w:r>
      <w:r w:rsidRPr="005362CD">
        <w:rPr>
          <w:rFonts w:ascii="Times New Roman" w:hAnsi="Times New Roman" w:cs="Times New Roman"/>
          <w:i/>
          <w:sz w:val="24"/>
          <w:szCs w:val="24"/>
        </w:rPr>
        <w:t>Strategies for Children</w:t>
      </w:r>
      <w:r w:rsidRPr="00862776">
        <w:rPr>
          <w:rFonts w:ascii="Times New Roman" w:hAnsi="Times New Roman" w:cs="Times New Roman"/>
          <w:i/>
          <w:sz w:val="24"/>
          <w:szCs w:val="24"/>
        </w:rPr>
        <w:t xml:space="preserve"> </w:t>
      </w:r>
      <w:r>
        <w:rPr>
          <w:rFonts w:ascii="Times New Roman" w:hAnsi="Times New Roman" w:cs="Times New Roman"/>
          <w:i/>
          <w:sz w:val="24"/>
          <w:szCs w:val="24"/>
        </w:rPr>
        <w:t>Appointee</w:t>
      </w:r>
    </w:p>
    <w:p w:rsidR="006028F4" w:rsidRDefault="006028F4" w:rsidP="00994221">
      <w:pPr>
        <w:spacing w:after="0" w:line="240" w:lineRule="auto"/>
        <w:rPr>
          <w:rFonts w:ascii="Times New Roman" w:hAnsi="Times New Roman" w:cs="Times New Roman"/>
          <w:i/>
          <w:sz w:val="24"/>
          <w:szCs w:val="24"/>
        </w:rPr>
      </w:pPr>
    </w:p>
    <w:p w:rsidR="006028F4" w:rsidRPr="00485EB4" w:rsidRDefault="006028F4" w:rsidP="00994221">
      <w:pPr>
        <w:spacing w:after="120" w:line="240" w:lineRule="auto"/>
        <w:rPr>
          <w:rFonts w:ascii="Times New Roman" w:hAnsi="Times New Roman" w:cs="Times New Roman"/>
          <w:b/>
          <w:sz w:val="28"/>
          <w:szCs w:val="28"/>
          <w:u w:val="single"/>
        </w:rPr>
      </w:pPr>
      <w:r w:rsidRPr="00485EB4">
        <w:rPr>
          <w:rFonts w:ascii="Times New Roman" w:hAnsi="Times New Roman" w:cs="Times New Roman"/>
          <w:b/>
          <w:sz w:val="28"/>
          <w:szCs w:val="28"/>
          <w:u w:val="single"/>
        </w:rPr>
        <w:t>Commission Staff</w:t>
      </w:r>
    </w:p>
    <w:p w:rsidR="00084800" w:rsidRDefault="006028F4" w:rsidP="00994221">
      <w:pPr>
        <w:spacing w:after="0" w:line="240" w:lineRule="auto"/>
        <w:rPr>
          <w:rFonts w:ascii="Times New Roman" w:hAnsi="Times New Roman" w:cs="Times New Roman"/>
          <w:i/>
          <w:sz w:val="24"/>
          <w:szCs w:val="24"/>
        </w:rPr>
      </w:pPr>
      <w:r w:rsidRPr="00485EB4">
        <w:rPr>
          <w:rFonts w:ascii="Times New Roman" w:hAnsi="Times New Roman" w:cs="Times New Roman"/>
          <w:b/>
          <w:sz w:val="24"/>
          <w:szCs w:val="24"/>
        </w:rPr>
        <w:t>Jennie Williamson</w:t>
      </w:r>
      <w:r w:rsidRPr="00485EB4">
        <w:rPr>
          <w:rFonts w:ascii="Times New Roman" w:hAnsi="Times New Roman" w:cs="Times New Roman"/>
          <w:sz w:val="24"/>
          <w:szCs w:val="24"/>
        </w:rPr>
        <w:t>,</w:t>
      </w:r>
      <w:r>
        <w:rPr>
          <w:rFonts w:ascii="Times New Roman" w:hAnsi="Times New Roman" w:cs="Times New Roman"/>
          <w:i/>
          <w:sz w:val="24"/>
          <w:szCs w:val="24"/>
        </w:rPr>
        <w:t xml:space="preserve"> Research Director of the Joint Committee on Education </w:t>
      </w:r>
    </w:p>
    <w:p w:rsidR="006028F4" w:rsidRDefault="00F052E1" w:rsidP="00994221">
      <w:pPr>
        <w:spacing w:after="0" w:line="240" w:lineRule="auto"/>
        <w:rPr>
          <w:rFonts w:ascii="Times New Roman" w:hAnsi="Times New Roman" w:cs="Times New Roman"/>
          <w:i/>
          <w:sz w:val="24"/>
          <w:szCs w:val="24"/>
        </w:rPr>
      </w:pPr>
      <w:r>
        <w:rPr>
          <w:rFonts w:ascii="Times New Roman" w:hAnsi="Times New Roman" w:cs="Times New Roman"/>
          <w:b/>
          <w:sz w:val="24"/>
          <w:szCs w:val="24"/>
        </w:rPr>
        <w:t>Nathanael Sh</w:t>
      </w:r>
      <w:r w:rsidR="006028F4" w:rsidRPr="00485EB4">
        <w:rPr>
          <w:rFonts w:ascii="Times New Roman" w:hAnsi="Times New Roman" w:cs="Times New Roman"/>
          <w:b/>
          <w:sz w:val="24"/>
          <w:szCs w:val="24"/>
        </w:rPr>
        <w:t>e</w:t>
      </w:r>
      <w:r>
        <w:rPr>
          <w:rFonts w:ascii="Times New Roman" w:hAnsi="Times New Roman" w:cs="Times New Roman"/>
          <w:b/>
          <w:sz w:val="24"/>
          <w:szCs w:val="24"/>
        </w:rPr>
        <w:t>a</w:t>
      </w:r>
      <w:r w:rsidR="006028F4" w:rsidRPr="00485EB4">
        <w:rPr>
          <w:rFonts w:ascii="Times New Roman" w:hAnsi="Times New Roman" w:cs="Times New Roman"/>
          <w:sz w:val="24"/>
          <w:szCs w:val="24"/>
        </w:rPr>
        <w:t>,</w:t>
      </w:r>
      <w:r w:rsidR="006028F4">
        <w:rPr>
          <w:rFonts w:ascii="Times New Roman" w:hAnsi="Times New Roman" w:cs="Times New Roman"/>
          <w:i/>
          <w:sz w:val="24"/>
          <w:szCs w:val="24"/>
        </w:rPr>
        <w:t xml:space="preserve"> Chief of Staff in the Office of Senator Sonia Chang-</w:t>
      </w:r>
      <w:proofErr w:type="spellStart"/>
      <w:r w:rsidR="006028F4">
        <w:rPr>
          <w:rFonts w:ascii="Times New Roman" w:hAnsi="Times New Roman" w:cs="Times New Roman"/>
          <w:i/>
          <w:sz w:val="24"/>
          <w:szCs w:val="24"/>
        </w:rPr>
        <w:t>Díaz</w:t>
      </w:r>
      <w:proofErr w:type="spellEnd"/>
    </w:p>
    <w:p w:rsidR="00555054" w:rsidRDefault="00E26B35" w:rsidP="00994221">
      <w:pPr>
        <w:spacing w:after="0" w:line="240" w:lineRule="auto"/>
        <w:rPr>
          <w:rFonts w:ascii="Times New Roman" w:hAnsi="Times New Roman" w:cs="Times New Roman"/>
          <w:b/>
          <w:sz w:val="24"/>
          <w:szCs w:val="24"/>
        </w:rPr>
      </w:pPr>
      <w:r w:rsidRPr="00E26B35">
        <w:rPr>
          <w:rFonts w:ascii="Times New Roman" w:hAnsi="Times New Roman" w:cs="Times New Roman"/>
          <w:b/>
          <w:sz w:val="24"/>
          <w:szCs w:val="24"/>
        </w:rPr>
        <w:t>David Bunker</w:t>
      </w:r>
      <w:r w:rsidRPr="00E26B35">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i/>
          <w:sz w:val="24"/>
          <w:szCs w:val="24"/>
        </w:rPr>
        <w:t>Staff c</w:t>
      </w:r>
      <w:r w:rsidRPr="00E26B35">
        <w:rPr>
          <w:rFonts w:ascii="Times New Roman" w:hAnsi="Times New Roman" w:cs="Times New Roman"/>
          <w:i/>
          <w:sz w:val="24"/>
          <w:szCs w:val="24"/>
        </w:rPr>
        <w:t>onsultant to the Commission</w:t>
      </w:r>
      <w:r>
        <w:rPr>
          <w:rFonts w:ascii="Times New Roman" w:hAnsi="Times New Roman" w:cs="Times New Roman"/>
          <w:b/>
          <w:sz w:val="24"/>
          <w:szCs w:val="24"/>
        </w:rPr>
        <w:t xml:space="preserve"> </w:t>
      </w:r>
    </w:p>
    <w:p w:rsidR="00994221" w:rsidRDefault="00994221" w:rsidP="00994221">
      <w:pPr>
        <w:spacing w:after="0" w:line="240" w:lineRule="auto"/>
        <w:rPr>
          <w:rFonts w:ascii="Times New Roman" w:hAnsi="Times New Roman" w:cs="Times New Roman"/>
          <w:b/>
          <w:sz w:val="24"/>
          <w:szCs w:val="24"/>
        </w:rPr>
      </w:pPr>
    </w:p>
    <w:p w:rsidR="00994221" w:rsidRDefault="00994221" w:rsidP="00994221">
      <w:pPr>
        <w:spacing w:after="0" w:line="240" w:lineRule="auto"/>
        <w:rPr>
          <w:rFonts w:ascii="Times New Roman" w:hAnsi="Times New Roman" w:cs="Times New Roman"/>
          <w:b/>
          <w:sz w:val="24"/>
          <w:szCs w:val="24"/>
        </w:rPr>
      </w:pPr>
    </w:p>
    <w:p w:rsidR="00994221" w:rsidRPr="00E26B35" w:rsidRDefault="00994221" w:rsidP="00994221">
      <w:pPr>
        <w:spacing w:after="0" w:line="240" w:lineRule="auto"/>
        <w:rPr>
          <w:rFonts w:ascii="Times New Roman" w:hAnsi="Times New Roman" w:cs="Times New Roman"/>
          <w:b/>
          <w:sz w:val="24"/>
          <w:szCs w:val="24"/>
        </w:rPr>
      </w:pPr>
    </w:p>
    <w:p w:rsidR="00425904" w:rsidRPr="00425904" w:rsidRDefault="0061617B" w:rsidP="00F954F0">
      <w:pPr>
        <w:pStyle w:val="Heading1"/>
      </w:pPr>
      <w:r>
        <w:t>Overview</w:t>
      </w:r>
    </w:p>
    <w:p w:rsidR="00425904" w:rsidRDefault="00425904" w:rsidP="00994221">
      <w:pPr>
        <w:spacing w:after="0" w:line="240" w:lineRule="auto"/>
        <w:rPr>
          <w:rFonts w:ascii="Times New Roman" w:hAnsi="Times New Roman" w:cs="Times New Roman"/>
        </w:rPr>
      </w:pPr>
    </w:p>
    <w:p w:rsidR="0061617B" w:rsidRPr="0061617B" w:rsidRDefault="0061617B" w:rsidP="00994221">
      <w:pPr>
        <w:spacing w:after="0" w:line="240" w:lineRule="auto"/>
        <w:jc w:val="center"/>
        <w:rPr>
          <w:rFonts w:ascii="Times New Roman" w:hAnsi="Times New Roman" w:cs="Times New Roman"/>
          <w:b/>
          <w:sz w:val="32"/>
          <w:szCs w:val="32"/>
          <w:u w:val="single"/>
        </w:rPr>
      </w:pPr>
      <w:r w:rsidRPr="0061617B">
        <w:rPr>
          <w:rFonts w:ascii="Times New Roman" w:hAnsi="Times New Roman" w:cs="Times New Roman"/>
          <w:b/>
          <w:sz w:val="32"/>
          <w:szCs w:val="32"/>
          <w:u w:val="single"/>
        </w:rPr>
        <w:t>Mission</w:t>
      </w:r>
    </w:p>
    <w:p w:rsidR="0061617B" w:rsidRPr="0061617B" w:rsidRDefault="0061617B" w:rsidP="00994221">
      <w:pPr>
        <w:spacing w:after="0" w:line="240" w:lineRule="auto"/>
        <w:jc w:val="center"/>
        <w:rPr>
          <w:rFonts w:ascii="Times New Roman" w:hAnsi="Times New Roman" w:cs="Times New Roman"/>
          <w:b/>
          <w:sz w:val="24"/>
          <w:szCs w:val="24"/>
          <w:u w:val="single"/>
        </w:rPr>
      </w:pPr>
    </w:p>
    <w:p w:rsidR="00620CF6" w:rsidRDefault="00620CF6" w:rsidP="00994221">
      <w:pPr>
        <w:spacing w:after="0" w:line="240" w:lineRule="auto"/>
        <w:rPr>
          <w:rFonts w:ascii="Times New Roman" w:hAnsi="Times New Roman" w:cs="Times New Roman"/>
          <w:sz w:val="24"/>
          <w:szCs w:val="24"/>
        </w:rPr>
      </w:pPr>
      <w:r w:rsidRPr="000D125A">
        <w:rPr>
          <w:rFonts w:ascii="Times New Roman" w:hAnsi="Times New Roman" w:cs="Times New Roman"/>
          <w:sz w:val="24"/>
          <w:szCs w:val="24"/>
        </w:rPr>
        <w:t xml:space="preserve">Sections 124 and 278 of the FY15 State Budget established the Foundation Budget Review Commission (Commission) to </w:t>
      </w:r>
      <w:r w:rsidR="005B1FCC">
        <w:rPr>
          <w:rFonts w:ascii="Times New Roman" w:hAnsi="Times New Roman" w:cs="Times New Roman"/>
          <w:sz w:val="24"/>
          <w:szCs w:val="24"/>
        </w:rPr>
        <w:t>“</w:t>
      </w:r>
      <w:r w:rsidR="005B1FCC" w:rsidRPr="006D7236">
        <w:rPr>
          <w:rFonts w:ascii="Times New Roman" w:hAnsi="Times New Roman" w:cs="Times New Roman"/>
          <w:sz w:val="24"/>
          <w:szCs w:val="24"/>
        </w:rPr>
        <w:t>determine the educational programs and services necessary to achieve the commonwealth’s educational goals” and</w:t>
      </w:r>
      <w:r w:rsidR="005B1FCC">
        <w:t xml:space="preserve"> to</w:t>
      </w:r>
      <w:r w:rsidR="005B1FCC" w:rsidRPr="000D125A">
        <w:rPr>
          <w:rFonts w:ascii="Times New Roman" w:hAnsi="Times New Roman" w:cs="Times New Roman"/>
          <w:sz w:val="24"/>
          <w:szCs w:val="24"/>
        </w:rPr>
        <w:t xml:space="preserve"> </w:t>
      </w:r>
      <w:r w:rsidRPr="000D125A">
        <w:rPr>
          <w:rFonts w:ascii="Times New Roman" w:hAnsi="Times New Roman" w:cs="Times New Roman"/>
          <w:sz w:val="24"/>
          <w:szCs w:val="24"/>
        </w:rPr>
        <w:t>“review the way foundation budgets are calculated and to make recommendations for potential changes in those calculations as the commission deems appropriate.”</w:t>
      </w:r>
      <w:r w:rsidR="005B1FCC">
        <w:rPr>
          <w:rFonts w:ascii="Times New Roman" w:hAnsi="Times New Roman" w:cs="Times New Roman"/>
          <w:sz w:val="24"/>
          <w:szCs w:val="24"/>
        </w:rPr>
        <w:t xml:space="preserve"> </w:t>
      </w:r>
      <w:r w:rsidRPr="000D125A">
        <w:rPr>
          <w:rFonts w:ascii="Times New Roman" w:hAnsi="Times New Roman" w:cs="Times New Roman"/>
          <w:sz w:val="24"/>
          <w:szCs w:val="24"/>
        </w:rPr>
        <w:t>In conducting such review, the Commission was charged with determining “the educational programs and services necessary to achieve the commonwealth’s educational goals and to prepare students to achieve passing scores on the Massachusetts Comprehensive Assessment System examinations</w:t>
      </w:r>
      <w:r w:rsidR="00C3530B" w:rsidRPr="000D125A">
        <w:rPr>
          <w:rFonts w:ascii="Times New Roman" w:hAnsi="Times New Roman" w:cs="Times New Roman"/>
          <w:sz w:val="24"/>
          <w:szCs w:val="24"/>
        </w:rPr>
        <w:t>.</w:t>
      </w:r>
      <w:r w:rsidRPr="000D125A">
        <w:rPr>
          <w:rFonts w:ascii="Times New Roman" w:hAnsi="Times New Roman" w:cs="Times New Roman"/>
          <w:sz w:val="24"/>
          <w:szCs w:val="24"/>
        </w:rPr>
        <w:t>” The statute also directed the Commission to “determine and recommend measures to promote the adoption of ways in which resources can be most effectively utilized and consider various models of efficient and effective resource allocation</w:t>
      </w:r>
      <w:r w:rsidR="00C3530B" w:rsidRPr="000D125A">
        <w:rPr>
          <w:rFonts w:ascii="Times New Roman" w:hAnsi="Times New Roman" w:cs="Times New Roman"/>
          <w:sz w:val="24"/>
          <w:szCs w:val="24"/>
        </w:rPr>
        <w:t>.</w:t>
      </w:r>
      <w:r w:rsidRPr="000D125A">
        <w:rPr>
          <w:rFonts w:ascii="Times New Roman" w:hAnsi="Times New Roman" w:cs="Times New Roman"/>
          <w:sz w:val="24"/>
          <w:szCs w:val="24"/>
        </w:rPr>
        <w:t>”</w:t>
      </w:r>
      <w:r w:rsidR="00E6136E">
        <w:rPr>
          <w:rFonts w:ascii="Times New Roman" w:hAnsi="Times New Roman" w:cs="Times New Roman"/>
          <w:sz w:val="24"/>
          <w:szCs w:val="24"/>
        </w:rPr>
        <w:t xml:space="preserve"> In the FY16 State Budget, the Commission was granted an extension until November 1, 2015 to finish its work, and issue a final report.</w:t>
      </w:r>
    </w:p>
    <w:p w:rsidR="0061617B" w:rsidRDefault="0061617B" w:rsidP="00994221">
      <w:pPr>
        <w:spacing w:after="0" w:line="240" w:lineRule="auto"/>
        <w:rPr>
          <w:rFonts w:ascii="Times New Roman" w:hAnsi="Times New Roman" w:cs="Times New Roman"/>
          <w:sz w:val="24"/>
          <w:szCs w:val="24"/>
        </w:rPr>
      </w:pPr>
    </w:p>
    <w:p w:rsidR="00315C4A" w:rsidRDefault="0061617B" w:rsidP="00994221">
      <w:pPr>
        <w:spacing w:line="240" w:lineRule="auto"/>
        <w:rPr>
          <w:rFonts w:ascii="Times New Roman" w:hAnsi="Times New Roman" w:cs="Times New Roman"/>
          <w:sz w:val="24"/>
          <w:szCs w:val="24"/>
        </w:rPr>
      </w:pPr>
      <w:r>
        <w:rPr>
          <w:rFonts w:ascii="Times New Roman" w:hAnsi="Times New Roman" w:cs="Times New Roman"/>
          <w:sz w:val="24"/>
          <w:szCs w:val="24"/>
        </w:rPr>
        <w:t>The members of the Commission approached their work in the spirit of those who originally proposed the Education Reform Act of 1993, and the many from the educational, business, philanthropic, governmental, and civic communities</w:t>
      </w:r>
      <w:r w:rsidR="00401505">
        <w:rPr>
          <w:rFonts w:ascii="Times New Roman" w:hAnsi="Times New Roman" w:cs="Times New Roman"/>
          <w:sz w:val="24"/>
          <w:szCs w:val="24"/>
        </w:rPr>
        <w:t xml:space="preserve"> </w:t>
      </w:r>
      <w:r>
        <w:rPr>
          <w:rFonts w:ascii="Times New Roman" w:hAnsi="Times New Roman" w:cs="Times New Roman"/>
          <w:sz w:val="24"/>
          <w:szCs w:val="24"/>
        </w:rPr>
        <w:t xml:space="preserve">who have advanced its work in a bipartisan and collaborative way since </w:t>
      </w:r>
      <w:r w:rsidR="00401505">
        <w:rPr>
          <w:rFonts w:ascii="Times New Roman" w:hAnsi="Times New Roman" w:cs="Times New Roman"/>
          <w:sz w:val="24"/>
          <w:szCs w:val="24"/>
        </w:rPr>
        <w:t xml:space="preserve">then. We are convinced that providing a </w:t>
      </w:r>
      <w:r w:rsidR="00080E18">
        <w:rPr>
          <w:rFonts w:ascii="Times New Roman" w:hAnsi="Times New Roman" w:cs="Times New Roman"/>
          <w:sz w:val="24"/>
          <w:szCs w:val="24"/>
        </w:rPr>
        <w:t>high quality education to every student within the Commonwealth regardless of wealth, income, educational background, or zip code is not only a matter of constitutional obligation but of generational responsibility.</w:t>
      </w:r>
      <w:r w:rsidR="00C64BFF">
        <w:rPr>
          <w:rFonts w:ascii="Times New Roman" w:hAnsi="Times New Roman" w:cs="Times New Roman"/>
          <w:sz w:val="24"/>
          <w:szCs w:val="24"/>
        </w:rPr>
        <w:t xml:space="preserve"> </w:t>
      </w:r>
      <w:r w:rsidR="00080E18">
        <w:rPr>
          <w:rFonts w:ascii="Times New Roman" w:hAnsi="Times New Roman" w:cs="Times New Roman"/>
          <w:sz w:val="24"/>
          <w:szCs w:val="24"/>
        </w:rPr>
        <w:t xml:space="preserve">It is not only the means by which our children grow into active participants in our democracy and productive members of our economy, but by which they are given the tools of self-reflection and personal growth that ensure happy, successful, and fulfilled lives that fully unlock their potential, </w:t>
      </w:r>
      <w:r w:rsidR="00315C4A">
        <w:rPr>
          <w:rFonts w:ascii="Times New Roman" w:hAnsi="Times New Roman" w:cs="Times New Roman"/>
          <w:sz w:val="24"/>
          <w:szCs w:val="24"/>
        </w:rPr>
        <w:t xml:space="preserve">utilize their skills, and realize their dreams. </w:t>
      </w:r>
      <w:r w:rsidR="001E7B99" w:rsidRPr="001E7B99">
        <w:rPr>
          <w:rFonts w:ascii="Times New Roman" w:hAnsi="Times New Roman" w:cs="Times New Roman"/>
          <w:sz w:val="24"/>
          <w:szCs w:val="24"/>
        </w:rPr>
        <w:t xml:space="preserve"> </w:t>
      </w:r>
      <w:r w:rsidR="001E7B99">
        <w:rPr>
          <w:rFonts w:ascii="Times New Roman" w:hAnsi="Times New Roman" w:cs="Times New Roman"/>
          <w:sz w:val="24"/>
          <w:szCs w:val="24"/>
        </w:rPr>
        <w:t>Massachusetts has made great strides since 1993 in realizing this kind of high quality public education. Indeed, on many metrics, the Commonwealth is the envy of many other states and industrialized countries.</w:t>
      </w:r>
      <w:r w:rsidR="00555054">
        <w:rPr>
          <w:rFonts w:ascii="Times New Roman" w:hAnsi="Times New Roman" w:cs="Times New Roman"/>
          <w:sz w:val="24"/>
          <w:szCs w:val="24"/>
        </w:rPr>
        <w:t xml:space="preserve"> </w:t>
      </w:r>
      <w:r w:rsidR="00555054" w:rsidRPr="00555054">
        <w:rPr>
          <w:rFonts w:ascii="Times New Roman" w:hAnsi="Times New Roman" w:cs="Times New Roman"/>
          <w:sz w:val="24"/>
          <w:szCs w:val="24"/>
        </w:rPr>
        <w:t xml:space="preserve">But reports from the field and the research community alike in recent years have suggested that the system is fiscally strained by the failure to substantively </w:t>
      </w:r>
      <w:r w:rsidR="00555054" w:rsidRPr="008E237B">
        <w:rPr>
          <w:rFonts w:ascii="Times New Roman" w:hAnsi="Times New Roman" w:cs="Times New Roman"/>
          <w:sz w:val="24"/>
          <w:szCs w:val="24"/>
        </w:rPr>
        <w:t>reconsider the adequacy of the foundation budget since 1993, and that the formula  may need re-tooling to meet the needs of the 21</w:t>
      </w:r>
      <w:r w:rsidR="00555054" w:rsidRPr="00555054">
        <w:rPr>
          <w:rFonts w:ascii="Times New Roman" w:hAnsi="Times New Roman" w:cs="Times New Roman"/>
          <w:sz w:val="24"/>
          <w:szCs w:val="24"/>
        </w:rPr>
        <w:t>st Century.</w:t>
      </w:r>
      <w:r w:rsidR="00555054">
        <w:rPr>
          <w:rFonts w:ascii="Times New Roman" w:hAnsi="Times New Roman" w:cs="Times New Roman"/>
          <w:sz w:val="24"/>
          <w:szCs w:val="24"/>
        </w:rPr>
        <w:t xml:space="preserve"> </w:t>
      </w:r>
      <w:r w:rsidR="001E7B99">
        <w:rPr>
          <w:rFonts w:ascii="Times New Roman" w:hAnsi="Times New Roman" w:cs="Times New Roman"/>
          <w:sz w:val="24"/>
          <w:szCs w:val="24"/>
        </w:rPr>
        <w:t xml:space="preserve">Moreover, 22 years after the advent of education reform, the challenge we have </w:t>
      </w:r>
      <w:r w:rsidR="001E7B99" w:rsidRPr="00DC17B7">
        <w:rPr>
          <w:rFonts w:ascii="Times New Roman" w:hAnsi="Times New Roman" w:cs="Times New Roman"/>
          <w:sz w:val="24"/>
          <w:szCs w:val="24"/>
        </w:rPr>
        <w:t>not</w:t>
      </w:r>
      <w:r w:rsidR="001E7B99">
        <w:rPr>
          <w:rFonts w:ascii="Times New Roman" w:hAnsi="Times New Roman" w:cs="Times New Roman"/>
          <w:sz w:val="24"/>
          <w:szCs w:val="24"/>
        </w:rPr>
        <w:t xml:space="preserve"> yet achieved desired results on is to deliver quality consistently to all geographies and all demographic groups across our state.  </w:t>
      </w:r>
    </w:p>
    <w:p w:rsidR="00315C4A" w:rsidRDefault="00315C4A" w:rsidP="00994221">
      <w:pPr>
        <w:spacing w:after="0" w:line="240" w:lineRule="auto"/>
        <w:rPr>
          <w:rFonts w:ascii="Times New Roman" w:hAnsi="Times New Roman" w:cs="Times New Roman"/>
          <w:sz w:val="24"/>
          <w:szCs w:val="24"/>
        </w:rPr>
      </w:pPr>
    </w:p>
    <w:p w:rsidR="007508AA" w:rsidRDefault="00315C4A" w:rsidP="00994221">
      <w:pPr>
        <w:spacing w:after="0" w:line="240" w:lineRule="auto"/>
        <w:rPr>
          <w:rFonts w:ascii="Times New Roman" w:hAnsi="Times New Roman" w:cs="Times New Roman"/>
          <w:b/>
          <w:sz w:val="32"/>
          <w:szCs w:val="32"/>
          <w:u w:val="single"/>
        </w:rPr>
      </w:pPr>
      <w:r>
        <w:rPr>
          <w:rFonts w:ascii="Times New Roman" w:hAnsi="Times New Roman" w:cs="Times New Roman"/>
          <w:sz w:val="24"/>
          <w:szCs w:val="24"/>
        </w:rPr>
        <w:t>To</w:t>
      </w:r>
      <w:r w:rsidR="001E7B99">
        <w:rPr>
          <w:rFonts w:ascii="Times New Roman" w:hAnsi="Times New Roman" w:cs="Times New Roman"/>
          <w:sz w:val="24"/>
          <w:szCs w:val="24"/>
        </w:rPr>
        <w:t xml:space="preserve"> meet these challenges</w:t>
      </w:r>
      <w:r>
        <w:rPr>
          <w:rFonts w:ascii="Times New Roman" w:hAnsi="Times New Roman" w:cs="Times New Roman"/>
          <w:sz w:val="24"/>
          <w:szCs w:val="24"/>
        </w:rPr>
        <w:t>, the Commission</w:t>
      </w:r>
      <w:r w:rsidR="001E7B99">
        <w:rPr>
          <w:rFonts w:ascii="Times New Roman" w:hAnsi="Times New Roman" w:cs="Times New Roman"/>
          <w:sz w:val="24"/>
          <w:szCs w:val="24"/>
        </w:rPr>
        <w:t xml:space="preserve"> focused</w:t>
      </w:r>
      <w:r>
        <w:rPr>
          <w:rFonts w:ascii="Times New Roman" w:hAnsi="Times New Roman" w:cs="Times New Roman"/>
          <w:sz w:val="24"/>
          <w:szCs w:val="24"/>
        </w:rPr>
        <w:t xml:space="preserve"> not only on identifying areas where the foundation budget and district</w:t>
      </w:r>
      <w:r w:rsidR="000525F2">
        <w:rPr>
          <w:rFonts w:ascii="Times New Roman" w:hAnsi="Times New Roman" w:cs="Times New Roman"/>
          <w:sz w:val="24"/>
          <w:szCs w:val="24"/>
        </w:rPr>
        <w:t xml:space="preserve"> spending</w:t>
      </w:r>
      <w:r>
        <w:rPr>
          <w:rFonts w:ascii="Times New Roman" w:hAnsi="Times New Roman" w:cs="Times New Roman"/>
          <w:sz w:val="24"/>
          <w:szCs w:val="24"/>
        </w:rPr>
        <w:t xml:space="preserve"> might be poorly aligned or out-of-date, but asked question</w:t>
      </w:r>
      <w:r w:rsidR="001E7B99">
        <w:rPr>
          <w:rFonts w:ascii="Times New Roman" w:hAnsi="Times New Roman" w:cs="Times New Roman"/>
          <w:sz w:val="24"/>
          <w:szCs w:val="24"/>
        </w:rPr>
        <w:t>s</w:t>
      </w:r>
      <w:r>
        <w:rPr>
          <w:rFonts w:ascii="Times New Roman" w:hAnsi="Times New Roman" w:cs="Times New Roman"/>
          <w:sz w:val="24"/>
          <w:szCs w:val="24"/>
        </w:rPr>
        <w:t xml:space="preserve"> about best practice, efficiency, and productivity, to ensure that gaps between foundation budget assumptions and actual spending were not simply filled because they existed, but were filled </w:t>
      </w:r>
      <w:r w:rsidR="001E7B99">
        <w:rPr>
          <w:rFonts w:ascii="Times New Roman" w:hAnsi="Times New Roman" w:cs="Times New Roman"/>
          <w:sz w:val="24"/>
          <w:szCs w:val="24"/>
        </w:rPr>
        <w:t>because</w:t>
      </w:r>
      <w:r>
        <w:rPr>
          <w:rFonts w:ascii="Times New Roman" w:hAnsi="Times New Roman" w:cs="Times New Roman"/>
          <w:sz w:val="24"/>
          <w:szCs w:val="24"/>
        </w:rPr>
        <w:t xml:space="preserve"> exhaustive analysis showed that either maximum efficiencies had been sought, or that even maximizing efficiencies would not have allowed districts to fully close such gaps. The Commission also undertook its task recognizing that the Department of Elementary and Secondary Education (DESE) has, in recent years, consistent with both the original Education Reform Act, and subsequent amendments to the law, including the Achievement Gap Act of 2010, been ramping up efforts to hold districts and schools accountable for results, and to ensure that every effort is being made to identify, reduce, and eliminate remaining achievement gaps. It was a special moral and fiscal focus of the Commission’s, then, to make sure that the schools and districts most likely to be held accountable </w:t>
      </w:r>
      <w:r w:rsidR="001E7B99">
        <w:rPr>
          <w:rFonts w:ascii="Times New Roman" w:hAnsi="Times New Roman" w:cs="Times New Roman"/>
          <w:sz w:val="24"/>
          <w:szCs w:val="24"/>
        </w:rPr>
        <w:t>for bringing high-need students to proficiency</w:t>
      </w:r>
      <w:r>
        <w:rPr>
          <w:rFonts w:ascii="Times New Roman" w:hAnsi="Times New Roman" w:cs="Times New Roman"/>
          <w:sz w:val="24"/>
          <w:szCs w:val="24"/>
        </w:rPr>
        <w:t>, also had sufficient resources to meet those standards, and educate their high</w:t>
      </w:r>
      <w:r w:rsidR="001E7B99">
        <w:rPr>
          <w:rFonts w:ascii="Times New Roman" w:hAnsi="Times New Roman" w:cs="Times New Roman"/>
          <w:sz w:val="24"/>
          <w:szCs w:val="24"/>
        </w:rPr>
        <w:t>-</w:t>
      </w:r>
      <w:r>
        <w:rPr>
          <w:rFonts w:ascii="Times New Roman" w:hAnsi="Times New Roman" w:cs="Times New Roman"/>
          <w:sz w:val="24"/>
          <w:szCs w:val="24"/>
        </w:rPr>
        <w:t>needs populations to the same standards as other students by reviewing the adequacy and efficacy of the ELL and low</w:t>
      </w:r>
      <w:r w:rsidR="001E7B99">
        <w:rPr>
          <w:rFonts w:ascii="Times New Roman" w:hAnsi="Times New Roman" w:cs="Times New Roman"/>
          <w:sz w:val="24"/>
          <w:szCs w:val="24"/>
        </w:rPr>
        <w:t>-</w:t>
      </w:r>
      <w:r>
        <w:rPr>
          <w:rFonts w:ascii="Times New Roman" w:hAnsi="Times New Roman" w:cs="Times New Roman"/>
          <w:sz w:val="24"/>
          <w:szCs w:val="24"/>
        </w:rPr>
        <w:t>income rates in the formula.</w:t>
      </w:r>
    </w:p>
    <w:p w:rsidR="00E46BE0" w:rsidRDefault="00E46BE0" w:rsidP="00994221">
      <w:pPr>
        <w:spacing w:after="0" w:line="240" w:lineRule="auto"/>
        <w:jc w:val="center"/>
        <w:rPr>
          <w:rFonts w:ascii="Times New Roman" w:hAnsi="Times New Roman" w:cs="Times New Roman"/>
          <w:b/>
          <w:sz w:val="32"/>
          <w:szCs w:val="32"/>
          <w:u w:val="single"/>
        </w:rPr>
      </w:pPr>
    </w:p>
    <w:p w:rsidR="003E5544" w:rsidRDefault="003E5544" w:rsidP="00994221">
      <w:pPr>
        <w:spacing w:after="0" w:line="240" w:lineRule="auto"/>
        <w:jc w:val="center"/>
        <w:rPr>
          <w:rFonts w:ascii="Times New Roman" w:hAnsi="Times New Roman" w:cs="Times New Roman"/>
          <w:b/>
          <w:sz w:val="32"/>
          <w:szCs w:val="32"/>
          <w:u w:val="single"/>
        </w:rPr>
      </w:pPr>
      <w:r w:rsidRPr="007508AA">
        <w:rPr>
          <w:rFonts w:ascii="Times New Roman" w:hAnsi="Times New Roman" w:cs="Times New Roman"/>
          <w:b/>
          <w:sz w:val="32"/>
          <w:szCs w:val="32"/>
          <w:u w:val="single"/>
        </w:rPr>
        <w:t>Legislative Charge</w:t>
      </w:r>
    </w:p>
    <w:p w:rsidR="003E5544" w:rsidRDefault="003E5544" w:rsidP="00994221">
      <w:pPr>
        <w:spacing w:after="0" w:line="240" w:lineRule="auto"/>
        <w:jc w:val="center"/>
        <w:rPr>
          <w:rFonts w:ascii="Times New Roman" w:hAnsi="Times New Roman" w:cs="Times New Roman"/>
          <w:sz w:val="32"/>
          <w:szCs w:val="32"/>
        </w:rPr>
      </w:pPr>
    </w:p>
    <w:p w:rsidR="003E5544" w:rsidRPr="00E26B35" w:rsidRDefault="003E5544" w:rsidP="00994221">
      <w:pPr>
        <w:spacing w:after="0" w:line="240" w:lineRule="auto"/>
        <w:rPr>
          <w:rFonts w:ascii="Times New Roman" w:hAnsi="Times New Roman" w:cs="Times New Roman"/>
        </w:rPr>
      </w:pPr>
      <w:r w:rsidRPr="00E26B35">
        <w:rPr>
          <w:rFonts w:ascii="Times New Roman" w:hAnsi="Times New Roman" w:cs="Times New Roman"/>
          <w:b/>
        </w:rPr>
        <w:t>SECTION 124.</w:t>
      </w:r>
      <w:r w:rsidRPr="00E26B35">
        <w:rPr>
          <w:rFonts w:ascii="Times New Roman" w:hAnsi="Times New Roman" w:cs="Times New Roman"/>
        </w:rPr>
        <w:t>  Chapter 70 of the General Laws is hereby amended by striking out section 4, as so appearing, and inserting in place thereof the following section:-</w:t>
      </w:r>
    </w:p>
    <w:p w:rsidR="003E5544" w:rsidRPr="00E26B35" w:rsidRDefault="003E5544" w:rsidP="00994221">
      <w:pPr>
        <w:spacing w:after="0" w:line="240" w:lineRule="auto"/>
        <w:rPr>
          <w:rFonts w:ascii="Times New Roman" w:hAnsi="Times New Roman" w:cs="Times New Roman"/>
        </w:rPr>
      </w:pPr>
      <w:r w:rsidRPr="00E26B35">
        <w:rPr>
          <w:rFonts w:ascii="Times New Roman" w:hAnsi="Times New Roman" w:cs="Times New Roman"/>
        </w:rPr>
        <w:br/>
        <w:t xml:space="preserve">    Section 4.  Upon action of the general court, there shall periodically be a foundation budget review commission to review the way foundation budgets are calculated and to make recommendations for potential changes in those calculations as the commission deems appropriate. In conducting such review, the commission shall seek to determine the educational programs and services necessary to achieve the commonwealth’s educational goals and to prepare students to achieve passing scores on the Massachusetts Comprehensive Assessment System examinations. The review shall include, but not be limited to, those components of the foundation budget created pursuant to section 3 of chapter 70 and subsequent changes made to the foundation budget by law. In addition, the commission shall seek to determine and recommend measures to promote the adoption of ways in which resources can be most effectively utilized and consider various models of efficient and effective resource allocation. In carrying out the review, the commissioner of elementary and secondary education shall provide to the commission any data and information the commissioner considers relevant to the commission’s charge. </w:t>
      </w:r>
    </w:p>
    <w:p w:rsidR="003E5544" w:rsidRPr="00E26B35" w:rsidRDefault="003E5544" w:rsidP="00994221">
      <w:pPr>
        <w:spacing w:after="0" w:line="240" w:lineRule="auto"/>
        <w:rPr>
          <w:rFonts w:ascii="Times New Roman" w:hAnsi="Times New Roman" w:cs="Times New Roman"/>
        </w:rPr>
      </w:pPr>
      <w:r w:rsidRPr="00E26B35">
        <w:rPr>
          <w:rFonts w:ascii="Times New Roman" w:hAnsi="Times New Roman" w:cs="Times New Roman"/>
        </w:rPr>
        <w:br/>
        <w:t>    The commission shall include the house and senate chairs of the joint committee on education, who shall serve as co-chairs, the secretary of education, the commissioner of elementary and secondary education, the commissioner of early education and care, the speaker of the house of representatives or a designee, the president of the senate or a designee, the minority leader of the house of representatives or a designee, the minority leader of the senate or a designee, the governor or a designee, the chair of the house committee on ways and means or a designee, the chair of the senate committee on ways and means or a designee and 1 member to be appointed by each of the following organizations: the Massachusetts Municipal Association, Inc., the Massachusetts Business Alliance for Education, Inc., the Massachusetts Association of School Committees, Inc., the Massachusetts Association of School Superintendents, Inc., the Massachusetts Teachers Association, the American Federation of Teachers Massachusetts, the Massachusetts Association of Vocational Administrators, Inc., the Massachusetts Association of Regional Schools, Inc. and the Massachusetts Association of School Business Officials. Members shall not receive compensation for their services but may receive reimbursement for the reasonable expenses incurred in carrying out their responsibilities as members of the commission. The commissioner of elementary and secondary education shall furnish reasonable staff and other support for the work of the commission. Prior to issuing its recommendations, the commission shall conduct not fewer than 4 public hearings across regions of the commonwealth. It shall not constitute a violation of chapter 268A for a person employed by a school district to serve on the commission or to participate in commission deliberations that may have a financial impact on the district employing that person or on the rate at which that person may be compensated. The commission may establish procedures to ensure that no such person participates in commission deliberations that may directly affect the school districts employing those persons or that may directly affect the rate at which those persons are compensated.</w:t>
      </w:r>
    </w:p>
    <w:p w:rsidR="003E5544" w:rsidRPr="00E26B35" w:rsidRDefault="003E5544" w:rsidP="00994221">
      <w:pPr>
        <w:spacing w:after="0" w:line="240" w:lineRule="auto"/>
        <w:rPr>
          <w:rFonts w:ascii="Times New Roman" w:hAnsi="Times New Roman" w:cs="Times New Roman"/>
          <w:b/>
          <w:u w:val="single"/>
        </w:rPr>
      </w:pPr>
    </w:p>
    <w:p w:rsidR="003E5544" w:rsidRPr="00E26B35" w:rsidRDefault="003E5544" w:rsidP="00994221">
      <w:pPr>
        <w:spacing w:after="0" w:line="240" w:lineRule="auto"/>
        <w:rPr>
          <w:rFonts w:ascii="Times New Roman" w:hAnsi="Times New Roman" w:cs="Times New Roman"/>
        </w:rPr>
      </w:pPr>
      <w:r w:rsidRPr="00E26B35">
        <w:rPr>
          <w:rFonts w:ascii="Times New Roman" w:hAnsi="Times New Roman" w:cs="Times New Roman"/>
          <w:b/>
        </w:rPr>
        <w:t>SECTION 278</w:t>
      </w:r>
      <w:r w:rsidRPr="00E26B35">
        <w:rPr>
          <w:rFonts w:ascii="Times New Roman" w:hAnsi="Times New Roman" w:cs="Times New Roman"/>
        </w:rPr>
        <w:t>. (a) The foundation budget review commission established in section 4 of chapter 70 of the General Laws shall file its report on or before June 30, 2015. A copy of the report and recommendations shall be made publicly available on the website of the department of elementary and secondary education and submitted to the joint committee on education.</w:t>
      </w:r>
    </w:p>
    <w:p w:rsidR="003E5544" w:rsidRPr="00E26B35" w:rsidRDefault="003E5544" w:rsidP="00994221">
      <w:pPr>
        <w:spacing w:after="0" w:line="240" w:lineRule="auto"/>
        <w:rPr>
          <w:rFonts w:ascii="Times New Roman" w:hAnsi="Times New Roman" w:cs="Times New Roman"/>
        </w:rPr>
      </w:pPr>
      <w:r w:rsidRPr="00E26B35">
        <w:rPr>
          <w:rFonts w:ascii="Times New Roman" w:hAnsi="Times New Roman" w:cs="Times New Roman"/>
        </w:rPr>
        <w:br/>
        <w:t>    (b)  In addition to the membership listed in section 4 of chapter 70 of the General Laws and for the purposes of this review, there shall be 1 advisory nonvoting member of the foundation budget review commission from each the following organizations: the League of Women Voters of Massachusetts, the Massachusetts Budget and Policy Center, the Massachusetts Business Roundtable, the Massachusetts Parent Teacher Association, the Massachusetts Taxpayers Foundation, Stand for Children and Strategies for Children. Advisory members shall be informed in advance of any public hearings or meetings scheduled by the commission and may be provided with written or electronic materials deemed appropriate by the commission’s co-chairs. Before finalizing its recommendations, the foundation budget commission established in said section 4 of said chapter 70 shall solicit input from advisory members who may offer comments or further recommendations for the commission’s consideration.</w:t>
      </w:r>
    </w:p>
    <w:p w:rsidR="003E5544" w:rsidRPr="00E26B35" w:rsidRDefault="003E5544" w:rsidP="00994221">
      <w:pPr>
        <w:spacing w:after="0" w:line="240" w:lineRule="auto"/>
        <w:rPr>
          <w:rFonts w:ascii="Times New Roman" w:hAnsi="Times New Roman" w:cs="Times New Roman"/>
        </w:rPr>
      </w:pPr>
    </w:p>
    <w:p w:rsidR="003E5544" w:rsidRDefault="003E5544" w:rsidP="00994221">
      <w:pPr>
        <w:spacing w:after="0" w:line="240" w:lineRule="auto"/>
        <w:jc w:val="center"/>
        <w:rPr>
          <w:rFonts w:ascii="Times New Roman" w:hAnsi="Times New Roman" w:cs="Times New Roman"/>
          <w:b/>
          <w:sz w:val="32"/>
          <w:szCs w:val="32"/>
          <w:highlight w:val="red"/>
          <w:u w:val="single"/>
        </w:rPr>
      </w:pPr>
    </w:p>
    <w:p w:rsidR="0061617B" w:rsidRPr="00994221" w:rsidRDefault="0061617B" w:rsidP="00994221">
      <w:pPr>
        <w:spacing w:line="240" w:lineRule="auto"/>
        <w:jc w:val="center"/>
        <w:rPr>
          <w:rFonts w:ascii="Times New Roman" w:hAnsi="Times New Roman" w:cs="Times New Roman"/>
          <w:b/>
          <w:sz w:val="32"/>
          <w:szCs w:val="32"/>
          <w:u w:val="single"/>
        </w:rPr>
      </w:pPr>
      <w:r w:rsidRPr="00994221">
        <w:rPr>
          <w:rFonts w:ascii="Times New Roman" w:hAnsi="Times New Roman" w:cs="Times New Roman"/>
          <w:b/>
          <w:sz w:val="32"/>
          <w:szCs w:val="32"/>
          <w:u w:val="single"/>
        </w:rPr>
        <w:t>Process and Method</w:t>
      </w:r>
    </w:p>
    <w:p w:rsidR="0061617B" w:rsidRPr="00994221" w:rsidRDefault="0061617B" w:rsidP="00994221">
      <w:pPr>
        <w:spacing w:line="240" w:lineRule="auto"/>
        <w:rPr>
          <w:rFonts w:ascii="Times New Roman" w:hAnsi="Times New Roman" w:cs="Times New Roman"/>
          <w:sz w:val="24"/>
          <w:szCs w:val="24"/>
        </w:rPr>
      </w:pPr>
    </w:p>
    <w:p w:rsidR="00E6136E" w:rsidRPr="00994221" w:rsidRDefault="000D125A" w:rsidP="00994221">
      <w:pPr>
        <w:spacing w:line="240" w:lineRule="auto"/>
        <w:rPr>
          <w:rFonts w:ascii="Times New Roman" w:hAnsi="Times New Roman" w:cs="Times New Roman"/>
          <w:sz w:val="24"/>
          <w:szCs w:val="24"/>
        </w:rPr>
      </w:pPr>
      <w:r w:rsidRPr="00994221">
        <w:rPr>
          <w:rFonts w:ascii="Times New Roman" w:hAnsi="Times New Roman" w:cs="Times New Roman"/>
          <w:sz w:val="24"/>
          <w:szCs w:val="24"/>
        </w:rPr>
        <w:t>To inform its deliberations, the Commission conducted six public hearings across the Commonwealth to solicit testimony from members of the p</w:t>
      </w:r>
      <w:r w:rsidR="006D177B" w:rsidRPr="00994221">
        <w:rPr>
          <w:rFonts w:ascii="Times New Roman" w:hAnsi="Times New Roman" w:cs="Times New Roman"/>
          <w:sz w:val="24"/>
          <w:szCs w:val="24"/>
        </w:rPr>
        <w:t>ublic (</w:t>
      </w:r>
      <w:r w:rsidR="006D177B" w:rsidRPr="00994221">
        <w:rPr>
          <w:rFonts w:ascii="Times New Roman" w:hAnsi="Times New Roman" w:cs="Times New Roman"/>
          <w:i/>
          <w:sz w:val="24"/>
          <w:szCs w:val="24"/>
        </w:rPr>
        <w:t xml:space="preserve">refer to Appendix A for </w:t>
      </w:r>
      <w:r w:rsidR="009E5EB5" w:rsidRPr="00994221">
        <w:rPr>
          <w:rFonts w:ascii="Times New Roman" w:hAnsi="Times New Roman" w:cs="Times New Roman"/>
          <w:i/>
          <w:sz w:val="24"/>
          <w:szCs w:val="24"/>
        </w:rPr>
        <w:t xml:space="preserve">a </w:t>
      </w:r>
      <w:r w:rsidR="001046E8" w:rsidRPr="00994221">
        <w:rPr>
          <w:rFonts w:ascii="Times New Roman" w:hAnsi="Times New Roman" w:cs="Times New Roman"/>
          <w:i/>
          <w:sz w:val="24"/>
          <w:szCs w:val="24"/>
        </w:rPr>
        <w:t xml:space="preserve">summary of public hearing comments). </w:t>
      </w:r>
      <w:r w:rsidRPr="00994221">
        <w:rPr>
          <w:rFonts w:ascii="Times New Roman" w:hAnsi="Times New Roman" w:cs="Times New Roman"/>
          <w:sz w:val="24"/>
          <w:szCs w:val="24"/>
        </w:rPr>
        <w:t>The Commission</w:t>
      </w:r>
      <w:r w:rsidR="00A16613" w:rsidRPr="00994221">
        <w:rPr>
          <w:rFonts w:ascii="Times New Roman" w:hAnsi="Times New Roman" w:cs="Times New Roman"/>
          <w:sz w:val="24"/>
          <w:szCs w:val="24"/>
        </w:rPr>
        <w:t xml:space="preserve"> also</w:t>
      </w:r>
      <w:r w:rsidRPr="00994221">
        <w:rPr>
          <w:rFonts w:ascii="Times New Roman" w:hAnsi="Times New Roman" w:cs="Times New Roman"/>
          <w:sz w:val="24"/>
          <w:szCs w:val="24"/>
        </w:rPr>
        <w:t xml:space="preserve"> </w:t>
      </w:r>
      <w:r w:rsidR="001C5D9A" w:rsidRPr="00994221">
        <w:rPr>
          <w:rFonts w:ascii="Times New Roman" w:hAnsi="Times New Roman" w:cs="Times New Roman"/>
          <w:sz w:val="24"/>
          <w:szCs w:val="24"/>
        </w:rPr>
        <w:t>held seven meetings between October 2014 and June 2015, during which members examined relevant research and considered information and data presented by various stakehold</w:t>
      </w:r>
      <w:r w:rsidR="00A16613" w:rsidRPr="00994221">
        <w:rPr>
          <w:rFonts w:ascii="Times New Roman" w:hAnsi="Times New Roman" w:cs="Times New Roman"/>
          <w:sz w:val="24"/>
          <w:szCs w:val="24"/>
        </w:rPr>
        <w:t>ers (</w:t>
      </w:r>
      <w:r w:rsidR="00A16613" w:rsidRPr="00994221">
        <w:rPr>
          <w:rFonts w:ascii="Times New Roman" w:hAnsi="Times New Roman" w:cs="Times New Roman"/>
          <w:i/>
          <w:sz w:val="24"/>
          <w:szCs w:val="24"/>
        </w:rPr>
        <w:t>r</w:t>
      </w:r>
      <w:r w:rsidR="009E5EB5" w:rsidRPr="00994221">
        <w:rPr>
          <w:rFonts w:ascii="Times New Roman" w:hAnsi="Times New Roman" w:cs="Times New Roman"/>
          <w:i/>
          <w:sz w:val="24"/>
          <w:szCs w:val="24"/>
        </w:rPr>
        <w:t>efer to Appendix B</w:t>
      </w:r>
      <w:r w:rsidR="001C5D9A" w:rsidRPr="00994221">
        <w:rPr>
          <w:rFonts w:ascii="Times New Roman" w:hAnsi="Times New Roman" w:cs="Times New Roman"/>
          <w:i/>
          <w:sz w:val="24"/>
          <w:szCs w:val="24"/>
        </w:rPr>
        <w:t xml:space="preserve"> for a summary </w:t>
      </w:r>
      <w:r w:rsidR="00B25AE1" w:rsidRPr="00994221">
        <w:rPr>
          <w:rFonts w:ascii="Times New Roman" w:hAnsi="Times New Roman" w:cs="Times New Roman"/>
          <w:i/>
          <w:sz w:val="24"/>
          <w:szCs w:val="24"/>
        </w:rPr>
        <w:t>of the Commission meetings and a list</w:t>
      </w:r>
      <w:r w:rsidR="001C5D9A" w:rsidRPr="00994221">
        <w:rPr>
          <w:rFonts w:ascii="Times New Roman" w:hAnsi="Times New Roman" w:cs="Times New Roman"/>
          <w:i/>
          <w:sz w:val="24"/>
          <w:szCs w:val="24"/>
        </w:rPr>
        <w:t xml:space="preserve"> of documents reviewed at each meeting</w:t>
      </w:r>
      <w:r w:rsidR="00A16613" w:rsidRPr="00994221">
        <w:rPr>
          <w:rFonts w:ascii="Times New Roman" w:hAnsi="Times New Roman" w:cs="Times New Roman"/>
          <w:sz w:val="24"/>
          <w:szCs w:val="24"/>
        </w:rPr>
        <w:t>)</w:t>
      </w:r>
      <w:r w:rsidR="00EE4529" w:rsidRPr="00994221">
        <w:rPr>
          <w:rFonts w:ascii="Times New Roman" w:hAnsi="Times New Roman" w:cs="Times New Roman"/>
          <w:sz w:val="24"/>
          <w:szCs w:val="24"/>
        </w:rPr>
        <w:t>.</w:t>
      </w:r>
      <w:r w:rsidR="00E6136E" w:rsidRPr="00994221">
        <w:rPr>
          <w:rFonts w:ascii="Times New Roman" w:hAnsi="Times New Roman" w:cs="Times New Roman"/>
          <w:sz w:val="24"/>
          <w:szCs w:val="24"/>
        </w:rPr>
        <w:t xml:space="preserve"> At the end of this period, recommendations were made and accepted relative to the foundation budget assumptions regarding health insurance and special education.</w:t>
      </w:r>
    </w:p>
    <w:p w:rsidR="00147D08" w:rsidRPr="00994221" w:rsidRDefault="00E6136E" w:rsidP="00994221">
      <w:pPr>
        <w:spacing w:line="240" w:lineRule="auto"/>
        <w:rPr>
          <w:rFonts w:ascii="Times New Roman" w:hAnsi="Times New Roman" w:cs="Times New Roman"/>
          <w:sz w:val="24"/>
          <w:szCs w:val="24"/>
        </w:rPr>
      </w:pPr>
      <w:r w:rsidRPr="00994221">
        <w:rPr>
          <w:rFonts w:ascii="Times New Roman" w:hAnsi="Times New Roman" w:cs="Times New Roman"/>
          <w:sz w:val="24"/>
          <w:szCs w:val="24"/>
        </w:rPr>
        <w:t>In September, the commission was able to hire a researcher and staff person, and instructed that the focus of remaining work be on identifying ways to reduce the achievement gap among low income students and English language learners by examining whether the existing additional amounts required by the formula are sufficient to meet the needs of those districts as defined b</w:t>
      </w:r>
      <w:r w:rsidR="00147D08" w:rsidRPr="00994221">
        <w:rPr>
          <w:rFonts w:ascii="Times New Roman" w:hAnsi="Times New Roman" w:cs="Times New Roman"/>
          <w:sz w:val="24"/>
          <w:szCs w:val="24"/>
        </w:rPr>
        <w:t>y</w:t>
      </w:r>
      <w:r w:rsidRPr="00994221">
        <w:rPr>
          <w:rFonts w:ascii="Times New Roman" w:hAnsi="Times New Roman" w:cs="Times New Roman"/>
          <w:sz w:val="24"/>
          <w:szCs w:val="24"/>
        </w:rPr>
        <w:t xml:space="preserve"> 2015 pedagogical standards and best practice. Multiple sources of evidence were considered in this phase of the work, including </w:t>
      </w:r>
      <w:r w:rsidR="00147D08" w:rsidRPr="00994221">
        <w:rPr>
          <w:rFonts w:ascii="Times New Roman" w:hAnsi="Times New Roman" w:cs="Times New Roman"/>
          <w:sz w:val="24"/>
          <w:szCs w:val="24"/>
        </w:rPr>
        <w:t xml:space="preserve">a review of national literature and research, as well as other state funding formulas, to determine whether our ELL and low income weightings in MA were adequate or in a reasonable national range, and interviews with superintendents, business managers, and teachers in MA </w:t>
      </w:r>
      <w:r w:rsidR="00E46BE0" w:rsidRPr="00994221">
        <w:rPr>
          <w:rFonts w:ascii="Times New Roman" w:hAnsi="Times New Roman" w:cs="Times New Roman"/>
          <w:sz w:val="24"/>
          <w:szCs w:val="24"/>
        </w:rPr>
        <w:t xml:space="preserve">districts </w:t>
      </w:r>
      <w:r w:rsidR="00147D08" w:rsidRPr="00994221">
        <w:rPr>
          <w:rFonts w:ascii="Times New Roman" w:hAnsi="Times New Roman" w:cs="Times New Roman"/>
          <w:sz w:val="24"/>
          <w:szCs w:val="24"/>
        </w:rPr>
        <w:t xml:space="preserve">that have found success in turning around schools and reducing or eliminating the achievement gap for high needs students. </w:t>
      </w:r>
      <w:r w:rsidR="0061617B" w:rsidRPr="00994221">
        <w:rPr>
          <w:rFonts w:ascii="Times New Roman" w:hAnsi="Times New Roman" w:cs="Times New Roman"/>
          <w:sz w:val="24"/>
          <w:szCs w:val="24"/>
        </w:rPr>
        <w:t xml:space="preserve">Given that insufficient time remained for either a professional judgment panel or a successful schools study, the commission’s hope was that the principles underlying both models could be respected by seeking the advice, counsel, and professional judgment of those who had achieved some initial success at meeting the educational needs of </w:t>
      </w:r>
      <w:r w:rsidR="00E46BE0" w:rsidRPr="00994221">
        <w:rPr>
          <w:rFonts w:ascii="Times New Roman" w:hAnsi="Times New Roman" w:cs="Times New Roman"/>
          <w:sz w:val="24"/>
          <w:szCs w:val="24"/>
        </w:rPr>
        <w:t>ELL and low income</w:t>
      </w:r>
      <w:r w:rsidR="0061617B" w:rsidRPr="00994221">
        <w:rPr>
          <w:rFonts w:ascii="Times New Roman" w:hAnsi="Times New Roman" w:cs="Times New Roman"/>
          <w:sz w:val="24"/>
          <w:szCs w:val="24"/>
        </w:rPr>
        <w:t xml:space="preserve"> students. </w:t>
      </w:r>
      <w:r w:rsidR="00147D08" w:rsidRPr="00994221">
        <w:rPr>
          <w:rFonts w:ascii="Times New Roman" w:hAnsi="Times New Roman" w:cs="Times New Roman"/>
          <w:sz w:val="24"/>
          <w:szCs w:val="24"/>
        </w:rPr>
        <w:t>Th</w:t>
      </w:r>
      <w:r w:rsidR="0061617B" w:rsidRPr="00994221">
        <w:rPr>
          <w:rFonts w:ascii="Times New Roman" w:hAnsi="Times New Roman" w:cs="Times New Roman"/>
          <w:sz w:val="24"/>
          <w:szCs w:val="24"/>
        </w:rPr>
        <w:t>e</w:t>
      </w:r>
      <w:r w:rsidR="00147D08" w:rsidRPr="00994221">
        <w:rPr>
          <w:rFonts w:ascii="Times New Roman" w:hAnsi="Times New Roman" w:cs="Times New Roman"/>
          <w:sz w:val="24"/>
          <w:szCs w:val="24"/>
        </w:rPr>
        <w:t xml:space="preserve"> multiple sources of evidence </w:t>
      </w:r>
      <w:r w:rsidR="0061617B" w:rsidRPr="00994221">
        <w:rPr>
          <w:rFonts w:ascii="Times New Roman" w:hAnsi="Times New Roman" w:cs="Times New Roman"/>
          <w:sz w:val="24"/>
          <w:szCs w:val="24"/>
        </w:rPr>
        <w:t xml:space="preserve">gathered in this way </w:t>
      </w:r>
      <w:r w:rsidR="00147D08" w:rsidRPr="00994221">
        <w:rPr>
          <w:rFonts w:ascii="Times New Roman" w:hAnsi="Times New Roman" w:cs="Times New Roman"/>
          <w:sz w:val="24"/>
          <w:szCs w:val="24"/>
        </w:rPr>
        <w:t>are reflected in the additional recommendations made in this report relative to low income and ELL increments.</w:t>
      </w:r>
    </w:p>
    <w:p w:rsidR="00147D08" w:rsidRPr="00994221" w:rsidRDefault="00147D08" w:rsidP="00994221">
      <w:pPr>
        <w:spacing w:line="240" w:lineRule="auto"/>
        <w:rPr>
          <w:rFonts w:ascii="Times New Roman" w:hAnsi="Times New Roman" w:cs="Times New Roman"/>
          <w:sz w:val="24"/>
          <w:szCs w:val="24"/>
        </w:rPr>
      </w:pPr>
      <w:r w:rsidRPr="00994221">
        <w:rPr>
          <w:rFonts w:ascii="Times New Roman" w:hAnsi="Times New Roman" w:cs="Times New Roman"/>
          <w:sz w:val="24"/>
          <w:szCs w:val="24"/>
        </w:rPr>
        <w:t>Finally, a number of areas remain</w:t>
      </w:r>
      <w:r w:rsidR="0061617B" w:rsidRPr="00994221">
        <w:rPr>
          <w:rFonts w:ascii="Times New Roman" w:hAnsi="Times New Roman" w:cs="Times New Roman"/>
          <w:sz w:val="24"/>
          <w:szCs w:val="24"/>
        </w:rPr>
        <w:t>ed</w:t>
      </w:r>
      <w:r w:rsidRPr="00994221">
        <w:rPr>
          <w:rFonts w:ascii="Times New Roman" w:hAnsi="Times New Roman" w:cs="Times New Roman"/>
          <w:sz w:val="24"/>
          <w:szCs w:val="24"/>
        </w:rPr>
        <w:t xml:space="preserve"> in which the Commission either did not have time to carry out the due diligence needed to make an informed recommendation, or believes that current efforts and pilot programs must be continued and their results reviewed before any final inclusion of related costs in the Chapter 70 funding formula.</w:t>
      </w:r>
    </w:p>
    <w:p w:rsidR="001C5D9A" w:rsidRDefault="001C5D9A" w:rsidP="00994221">
      <w:pPr>
        <w:spacing w:line="240" w:lineRule="auto"/>
        <w:rPr>
          <w:sz w:val="24"/>
          <w:szCs w:val="24"/>
        </w:rPr>
      </w:pPr>
    </w:p>
    <w:p w:rsidR="00A16613" w:rsidRDefault="00A16613" w:rsidP="00994221">
      <w:pPr>
        <w:spacing w:line="240" w:lineRule="auto"/>
        <w:rPr>
          <w:sz w:val="24"/>
          <w:szCs w:val="24"/>
        </w:rPr>
      </w:pPr>
    </w:p>
    <w:p w:rsidR="000D125A" w:rsidRDefault="000D125A" w:rsidP="00994221">
      <w:pPr>
        <w:spacing w:line="240" w:lineRule="auto"/>
        <w:rPr>
          <w:sz w:val="24"/>
          <w:szCs w:val="24"/>
        </w:rPr>
      </w:pPr>
    </w:p>
    <w:p w:rsidR="00E6136E" w:rsidRDefault="00E6136E" w:rsidP="00994221">
      <w:pPr>
        <w:spacing w:line="240" w:lineRule="auto"/>
        <w:rPr>
          <w:sz w:val="24"/>
          <w:szCs w:val="24"/>
        </w:rPr>
      </w:pPr>
    </w:p>
    <w:p w:rsidR="00994221" w:rsidRDefault="00994221" w:rsidP="00994221">
      <w:pPr>
        <w:spacing w:line="240" w:lineRule="auto"/>
        <w:rPr>
          <w:sz w:val="24"/>
          <w:szCs w:val="24"/>
        </w:rPr>
      </w:pPr>
    </w:p>
    <w:p w:rsidR="00994221" w:rsidRDefault="00994221" w:rsidP="00994221">
      <w:pPr>
        <w:spacing w:line="240" w:lineRule="auto"/>
        <w:rPr>
          <w:sz w:val="24"/>
          <w:szCs w:val="24"/>
        </w:rPr>
      </w:pPr>
    </w:p>
    <w:p w:rsidR="00994221" w:rsidRDefault="00994221" w:rsidP="00994221">
      <w:pPr>
        <w:spacing w:line="240" w:lineRule="auto"/>
        <w:rPr>
          <w:sz w:val="24"/>
          <w:szCs w:val="24"/>
        </w:rPr>
      </w:pPr>
    </w:p>
    <w:p w:rsidR="00994221" w:rsidRDefault="00994221" w:rsidP="00994221">
      <w:pPr>
        <w:spacing w:line="240" w:lineRule="auto"/>
        <w:rPr>
          <w:sz w:val="24"/>
          <w:szCs w:val="24"/>
        </w:rPr>
      </w:pPr>
    </w:p>
    <w:p w:rsidR="00994221" w:rsidRDefault="00994221" w:rsidP="00994221">
      <w:pPr>
        <w:spacing w:line="240" w:lineRule="auto"/>
        <w:rPr>
          <w:sz w:val="24"/>
          <w:szCs w:val="24"/>
        </w:rPr>
      </w:pPr>
    </w:p>
    <w:p w:rsidR="00994221" w:rsidRDefault="00994221" w:rsidP="00994221">
      <w:pPr>
        <w:spacing w:line="240" w:lineRule="auto"/>
        <w:rPr>
          <w:sz w:val="24"/>
          <w:szCs w:val="24"/>
        </w:rPr>
      </w:pPr>
    </w:p>
    <w:p w:rsidR="009E5EB5" w:rsidRPr="003007E7" w:rsidRDefault="006D177B" w:rsidP="00F954F0">
      <w:pPr>
        <w:pStyle w:val="Heading1"/>
      </w:pPr>
      <w:r w:rsidRPr="003007E7">
        <w:lastRenderedPageBreak/>
        <w:t>Findings &amp; Recommendations</w:t>
      </w:r>
    </w:p>
    <w:p w:rsidR="00644102" w:rsidRDefault="00994221" w:rsidP="00994221">
      <w:pPr>
        <w:pStyle w:val="BodyText"/>
        <w:jc w:val="center"/>
        <w:rPr>
          <w:rFonts w:cs="Aharoni"/>
          <w:b/>
          <w:sz w:val="32"/>
          <w:szCs w:val="32"/>
        </w:rPr>
      </w:pPr>
      <w:r>
        <w:rPr>
          <w:rFonts w:cs="Aharoni"/>
          <w:b/>
          <w:sz w:val="32"/>
          <w:szCs w:val="32"/>
        </w:rPr>
        <w:t xml:space="preserve">– </w:t>
      </w:r>
      <w:r w:rsidR="00644102" w:rsidRPr="00644102">
        <w:rPr>
          <w:b/>
          <w:sz w:val="32"/>
          <w:szCs w:val="32"/>
        </w:rPr>
        <w:t>PART A</w:t>
      </w:r>
      <w:r w:rsidR="00644102">
        <w:rPr>
          <w:b/>
          <w:sz w:val="32"/>
          <w:szCs w:val="32"/>
        </w:rPr>
        <w:t xml:space="preserve"> </w:t>
      </w:r>
      <w:r w:rsidR="00E6136E">
        <w:rPr>
          <w:rFonts w:cs="Aharoni"/>
          <w:b/>
          <w:sz w:val="32"/>
          <w:szCs w:val="32"/>
        </w:rPr>
        <w:t>–</w:t>
      </w:r>
    </w:p>
    <w:p w:rsidR="008665EB" w:rsidRDefault="008665EB" w:rsidP="00994221">
      <w:pPr>
        <w:pStyle w:val="BodyText"/>
        <w:jc w:val="center"/>
        <w:rPr>
          <w:rFonts w:cs="Aharoni"/>
          <w:b/>
          <w:sz w:val="32"/>
          <w:szCs w:val="32"/>
        </w:rPr>
      </w:pPr>
      <w:r>
        <w:rPr>
          <w:rFonts w:cs="Aharoni"/>
          <w:b/>
          <w:sz w:val="32"/>
          <w:szCs w:val="32"/>
        </w:rPr>
        <w:t>Foundation Budget Changes</w:t>
      </w:r>
    </w:p>
    <w:p w:rsidR="00FD2FB5" w:rsidRPr="00E8202C" w:rsidRDefault="00A66DCC" w:rsidP="00994221">
      <w:pPr>
        <w:pStyle w:val="BodyText"/>
        <w:rPr>
          <w:rFonts w:cs="Times New Roman"/>
        </w:rPr>
      </w:pPr>
      <w:r>
        <w:t>The</w:t>
      </w:r>
      <w:r w:rsidR="00FD2FB5">
        <w:t xml:space="preserve"> Education Reform Act of 1993 </w:t>
      </w:r>
      <w:r>
        <w:t xml:space="preserve">established </w:t>
      </w:r>
      <w:r w:rsidR="00FD2FB5">
        <w:t xml:space="preserve">the foundation budget to ensure adequate funding for all </w:t>
      </w:r>
      <w:r w:rsidR="00FD2FB5" w:rsidRPr="00E8202C">
        <w:rPr>
          <w:rFonts w:cs="Times New Roman"/>
        </w:rPr>
        <w:t>students in Massachusetts</w:t>
      </w:r>
      <w:r w:rsidRPr="00E8202C">
        <w:rPr>
          <w:rFonts w:cs="Times New Roman"/>
        </w:rPr>
        <w:t>. Since then,</w:t>
      </w:r>
      <w:r w:rsidR="00FD2FB5" w:rsidRPr="00E8202C">
        <w:rPr>
          <w:rFonts w:cs="Times New Roman"/>
        </w:rPr>
        <w:t xml:space="preserve"> </w:t>
      </w:r>
      <w:r w:rsidR="002D3021" w:rsidRPr="00E8202C">
        <w:rPr>
          <w:rFonts w:cs="Times New Roman"/>
        </w:rPr>
        <w:t>some</w:t>
      </w:r>
      <w:r w:rsidR="00FD2FB5" w:rsidRPr="00E8202C">
        <w:rPr>
          <w:rFonts w:cs="Times New Roman"/>
        </w:rPr>
        <w:t xml:space="preserve"> of the assumptions contained in the formula for calculating the foundation budget have become outdated.  In particular, the actual costs of health insurance and special education have far surpassed the assumptions built into the formula for calculating the foundation budget.</w:t>
      </w:r>
      <w:r w:rsidR="00CA6D7F">
        <w:rPr>
          <w:rStyle w:val="FootnoteReference"/>
          <w:rFonts w:cs="Times New Roman"/>
        </w:rPr>
        <w:footnoteReference w:id="1"/>
      </w:r>
      <w:r w:rsidR="00FD2FB5" w:rsidRPr="00E8202C">
        <w:rPr>
          <w:rFonts w:cs="Times New Roman"/>
        </w:rPr>
        <w:t xml:space="preserve">  As a result, those costs have significantly reduced the resources</w:t>
      </w:r>
      <w:r w:rsidRPr="00E8202C">
        <w:rPr>
          <w:rFonts w:cs="Times New Roman"/>
        </w:rPr>
        <w:t xml:space="preserve"> available</w:t>
      </w:r>
      <w:r w:rsidR="00FD2FB5" w:rsidRPr="00E8202C">
        <w:rPr>
          <w:rFonts w:cs="Times New Roman"/>
        </w:rPr>
        <w:t xml:space="preserve"> </w:t>
      </w:r>
      <w:r w:rsidR="00FC08B8" w:rsidRPr="00E8202C">
        <w:rPr>
          <w:rFonts w:cs="Times New Roman"/>
        </w:rPr>
        <w:t xml:space="preserve">to support </w:t>
      </w:r>
      <w:r w:rsidR="00272229" w:rsidRPr="00E8202C">
        <w:rPr>
          <w:rFonts w:cs="Times New Roman"/>
        </w:rPr>
        <w:t>other key</w:t>
      </w:r>
      <w:r w:rsidR="00D5112F" w:rsidRPr="00E8202C">
        <w:rPr>
          <w:rFonts w:cs="Times New Roman"/>
        </w:rPr>
        <w:t xml:space="preserve"> </w:t>
      </w:r>
      <w:r w:rsidR="00E8202C" w:rsidRPr="00E8202C">
        <w:rPr>
          <w:rFonts w:cs="Times New Roman"/>
        </w:rPr>
        <w:t xml:space="preserve">investments. </w:t>
      </w:r>
      <w:r w:rsidR="00147D08">
        <w:rPr>
          <w:rFonts w:cs="Times New Roman"/>
        </w:rPr>
        <w:t>In addition, the added amounts intended to provide services to ELL and low</w:t>
      </w:r>
      <w:r w:rsidR="006A6B63">
        <w:rPr>
          <w:rFonts w:cs="Times New Roman"/>
        </w:rPr>
        <w:t>-</w:t>
      </w:r>
      <w:r w:rsidR="00147D08">
        <w:rPr>
          <w:rFonts w:cs="Times New Roman"/>
        </w:rPr>
        <w:t>income</w:t>
      </w:r>
      <w:r w:rsidR="006A6B63">
        <w:rPr>
          <w:rFonts w:cs="Times New Roman"/>
        </w:rPr>
        <w:t xml:space="preserve"> students</w:t>
      </w:r>
      <w:r w:rsidR="00147D08">
        <w:rPr>
          <w:rFonts w:cs="Times New Roman"/>
        </w:rPr>
        <w:t xml:space="preserve"> are less than</w:t>
      </w:r>
      <w:r w:rsidR="00F61E4B">
        <w:rPr>
          <w:rFonts w:cs="Times New Roman"/>
        </w:rPr>
        <w:t xml:space="preserve"> needed to fully provide the level of intervention and support needed to ensure the academic and social-emotional success of these populations, or to allow the school district</w:t>
      </w:r>
      <w:r w:rsidR="00E46BE0">
        <w:rPr>
          <w:rFonts w:cs="Times New Roman"/>
        </w:rPr>
        <w:t>s</w:t>
      </w:r>
      <w:r w:rsidR="00F61E4B">
        <w:rPr>
          <w:rFonts w:cs="Times New Roman"/>
        </w:rPr>
        <w:t xml:space="preserve"> serving them to fund the best practices that have been found successful</w:t>
      </w:r>
      <w:r w:rsidR="006A6B63">
        <w:rPr>
          <w:rFonts w:cs="Times New Roman"/>
        </w:rPr>
        <w:t>.</w:t>
      </w:r>
      <w:r w:rsidR="00F61E4B">
        <w:rPr>
          <w:rFonts w:cs="Times New Roman"/>
        </w:rPr>
        <w:t xml:space="preserve"> </w:t>
      </w:r>
    </w:p>
    <w:p w:rsidR="009E5EB5" w:rsidRPr="00E8202C" w:rsidRDefault="009E5EB5" w:rsidP="00994221">
      <w:pPr>
        <w:spacing w:after="0" w:line="240" w:lineRule="auto"/>
        <w:rPr>
          <w:rFonts w:ascii="Times New Roman" w:eastAsiaTheme="minorEastAsia" w:hAnsi="Times New Roman" w:cs="Times New Roman"/>
          <w:b/>
          <w:iCs/>
          <w:sz w:val="24"/>
          <w:szCs w:val="24"/>
          <w:lang w:eastAsia="ru-RU"/>
        </w:rPr>
      </w:pPr>
    </w:p>
    <w:p w:rsidR="009E5EB5" w:rsidRPr="00BB3973" w:rsidRDefault="009E5EB5" w:rsidP="00994221">
      <w:pPr>
        <w:pStyle w:val="ListParagraph"/>
        <w:numPr>
          <w:ilvl w:val="0"/>
          <w:numId w:val="18"/>
        </w:numPr>
        <w:spacing w:after="0" w:line="240" w:lineRule="auto"/>
        <w:rPr>
          <w:rFonts w:ascii="Times New Roman" w:eastAsiaTheme="minorEastAsia" w:hAnsi="Times New Roman" w:cs="Times New Roman"/>
          <w:b/>
          <w:iCs/>
          <w:sz w:val="32"/>
          <w:szCs w:val="32"/>
          <w:lang w:eastAsia="ru-RU"/>
        </w:rPr>
      </w:pPr>
      <w:r w:rsidRPr="00BB3973">
        <w:rPr>
          <w:rFonts w:ascii="Times New Roman" w:eastAsiaTheme="minorEastAsia" w:hAnsi="Times New Roman" w:cs="Times New Roman"/>
          <w:b/>
          <w:iCs/>
          <w:sz w:val="32"/>
          <w:szCs w:val="32"/>
          <w:lang w:eastAsia="ru-RU"/>
        </w:rPr>
        <w:t xml:space="preserve">Health </w:t>
      </w:r>
      <w:r w:rsidR="00E8202C" w:rsidRPr="00BB3973">
        <w:rPr>
          <w:rFonts w:ascii="Times New Roman" w:eastAsiaTheme="minorEastAsia" w:hAnsi="Times New Roman" w:cs="Times New Roman"/>
          <w:b/>
          <w:iCs/>
          <w:sz w:val="32"/>
          <w:szCs w:val="32"/>
          <w:lang w:eastAsia="ru-RU"/>
        </w:rPr>
        <w:t xml:space="preserve">Insurance </w:t>
      </w:r>
    </w:p>
    <w:p w:rsidR="009E5EB5" w:rsidRPr="00E8202C" w:rsidRDefault="009E5EB5" w:rsidP="00994221">
      <w:pPr>
        <w:spacing w:after="0" w:line="240" w:lineRule="auto"/>
        <w:ind w:left="360"/>
        <w:contextualSpacing/>
        <w:rPr>
          <w:rFonts w:ascii="Times New Roman" w:eastAsiaTheme="minorEastAsia" w:hAnsi="Times New Roman" w:cs="Times New Roman"/>
          <w:b/>
          <w:iCs/>
          <w:sz w:val="24"/>
          <w:szCs w:val="24"/>
          <w:lang w:eastAsia="ru-RU"/>
        </w:rPr>
      </w:pPr>
    </w:p>
    <w:p w:rsidR="002D3021" w:rsidRPr="00E8202C" w:rsidRDefault="00FC08B8" w:rsidP="00994221">
      <w:pPr>
        <w:spacing w:after="120" w:line="240" w:lineRule="auto"/>
        <w:rPr>
          <w:rFonts w:ascii="Times New Roman" w:eastAsiaTheme="minorEastAsia" w:hAnsi="Times New Roman" w:cs="Times New Roman"/>
          <w:b/>
          <w:color w:val="000000" w:themeColor="dark1"/>
          <w:sz w:val="24"/>
          <w:szCs w:val="24"/>
          <w:u w:val="single"/>
        </w:rPr>
      </w:pPr>
      <w:r w:rsidRPr="00E8202C">
        <w:rPr>
          <w:rFonts w:ascii="Times New Roman" w:eastAsiaTheme="minorEastAsia" w:hAnsi="Times New Roman" w:cs="Times New Roman"/>
          <w:b/>
          <w:color w:val="000000" w:themeColor="dark1"/>
          <w:sz w:val="24"/>
          <w:szCs w:val="24"/>
          <w:u w:val="single"/>
        </w:rPr>
        <w:t>Findings</w:t>
      </w:r>
    </w:p>
    <w:p w:rsidR="0016035A" w:rsidRPr="00E8202C" w:rsidRDefault="004A65E8" w:rsidP="00994221">
      <w:pPr>
        <w:spacing w:after="0" w:line="240" w:lineRule="auto"/>
        <w:rPr>
          <w:rFonts w:ascii="Times New Roman" w:eastAsiaTheme="minorEastAsia" w:hAnsi="Times New Roman" w:cs="Times New Roman"/>
          <w:color w:val="000000" w:themeColor="dark1"/>
          <w:sz w:val="24"/>
          <w:szCs w:val="24"/>
        </w:rPr>
      </w:pPr>
      <w:r w:rsidRPr="00E8202C">
        <w:rPr>
          <w:rFonts w:ascii="Times New Roman" w:eastAsiaTheme="minorEastAsia" w:hAnsi="Times New Roman" w:cs="Times New Roman"/>
          <w:color w:val="000000" w:themeColor="dark1"/>
          <w:sz w:val="24"/>
          <w:szCs w:val="24"/>
        </w:rPr>
        <w:t>A</w:t>
      </w:r>
      <w:r w:rsidR="006F6C35" w:rsidRPr="00E8202C">
        <w:rPr>
          <w:rFonts w:ascii="Times New Roman" w:eastAsiaTheme="minorEastAsia" w:hAnsi="Times New Roman" w:cs="Times New Roman"/>
          <w:color w:val="000000" w:themeColor="dark1"/>
          <w:sz w:val="24"/>
          <w:szCs w:val="24"/>
        </w:rPr>
        <w:t xml:space="preserve">ctual spending on </w:t>
      </w:r>
      <w:r w:rsidR="001A3FEE" w:rsidRPr="00E8202C">
        <w:rPr>
          <w:rFonts w:ascii="Times New Roman" w:eastAsiaTheme="minorEastAsia" w:hAnsi="Times New Roman" w:cs="Times New Roman"/>
          <w:color w:val="000000" w:themeColor="dark1"/>
          <w:sz w:val="24"/>
          <w:szCs w:val="24"/>
        </w:rPr>
        <w:t>employee health insurance far exceeds the current</w:t>
      </w:r>
      <w:r w:rsidR="006F6C35" w:rsidRPr="00E8202C">
        <w:rPr>
          <w:rFonts w:ascii="Times New Roman" w:eastAsiaTheme="minorEastAsia" w:hAnsi="Times New Roman" w:cs="Times New Roman"/>
          <w:color w:val="000000" w:themeColor="dark1"/>
          <w:sz w:val="24"/>
          <w:szCs w:val="24"/>
        </w:rPr>
        <w:t xml:space="preserve"> foundation budget</w:t>
      </w:r>
      <w:r w:rsidR="001A3FEE" w:rsidRPr="00E8202C">
        <w:rPr>
          <w:rFonts w:ascii="Times New Roman" w:eastAsiaTheme="minorEastAsia" w:hAnsi="Times New Roman" w:cs="Times New Roman"/>
          <w:color w:val="000000" w:themeColor="dark1"/>
          <w:sz w:val="24"/>
          <w:szCs w:val="24"/>
        </w:rPr>
        <w:t xml:space="preserve"> allotment for such costs</w:t>
      </w:r>
      <w:r w:rsidR="0043206B" w:rsidRPr="00E8202C">
        <w:rPr>
          <w:rFonts w:ascii="Times New Roman" w:eastAsiaTheme="minorEastAsia" w:hAnsi="Times New Roman" w:cs="Times New Roman"/>
          <w:color w:val="000000" w:themeColor="dark1"/>
          <w:sz w:val="24"/>
          <w:szCs w:val="24"/>
        </w:rPr>
        <w:t>, as noted in several recent studies</w:t>
      </w:r>
      <w:r w:rsidRPr="00E8202C">
        <w:rPr>
          <w:rFonts w:ascii="Times New Roman" w:eastAsiaTheme="minorEastAsia" w:hAnsi="Times New Roman" w:cs="Times New Roman"/>
          <w:color w:val="000000" w:themeColor="dark1"/>
          <w:sz w:val="24"/>
          <w:szCs w:val="24"/>
        </w:rPr>
        <w:t>.</w:t>
      </w:r>
      <w:r w:rsidRPr="00E8202C">
        <w:rPr>
          <w:rStyle w:val="FootnoteReference"/>
          <w:rFonts w:ascii="Times New Roman" w:eastAsiaTheme="minorEastAsia" w:hAnsi="Times New Roman" w:cs="Times New Roman"/>
          <w:color w:val="000000" w:themeColor="dark1"/>
          <w:sz w:val="24"/>
          <w:szCs w:val="24"/>
        </w:rPr>
        <w:footnoteReference w:id="2"/>
      </w:r>
      <w:r w:rsidRPr="00E8202C">
        <w:rPr>
          <w:rFonts w:ascii="Times New Roman" w:eastAsiaTheme="minorEastAsia" w:hAnsi="Times New Roman" w:cs="Times New Roman"/>
          <w:color w:val="000000" w:themeColor="dark1"/>
          <w:sz w:val="24"/>
          <w:szCs w:val="24"/>
        </w:rPr>
        <w:t xml:space="preserve"> Statewide, district spending on “Employee</w:t>
      </w:r>
      <w:r w:rsidR="00816A2D" w:rsidRPr="00E8202C">
        <w:rPr>
          <w:rFonts w:ascii="Times New Roman" w:eastAsiaTheme="minorEastAsia" w:hAnsi="Times New Roman" w:cs="Times New Roman"/>
          <w:color w:val="000000" w:themeColor="dark1"/>
          <w:sz w:val="24"/>
          <w:szCs w:val="24"/>
        </w:rPr>
        <w:t xml:space="preserve"> Benefits &amp; </w:t>
      </w:r>
      <w:r w:rsidRPr="00E8202C">
        <w:rPr>
          <w:rFonts w:ascii="Times New Roman" w:eastAsiaTheme="minorEastAsia" w:hAnsi="Times New Roman" w:cs="Times New Roman"/>
          <w:color w:val="000000" w:themeColor="dark1"/>
          <w:sz w:val="24"/>
          <w:szCs w:val="24"/>
        </w:rPr>
        <w:t>Fixed Charges” exceeds the foundation budget allotment by more than 140%.</w:t>
      </w:r>
      <w:r w:rsidR="00CA6D7F">
        <w:rPr>
          <w:rStyle w:val="FootnoteReference"/>
          <w:rFonts w:ascii="Times New Roman" w:eastAsiaTheme="minorEastAsia" w:hAnsi="Times New Roman" w:cs="Times New Roman"/>
          <w:color w:val="000000" w:themeColor="dark1"/>
          <w:sz w:val="24"/>
          <w:szCs w:val="24"/>
        </w:rPr>
        <w:footnoteReference w:id="3"/>
      </w:r>
      <w:r w:rsidR="0043206B" w:rsidRPr="00E8202C">
        <w:rPr>
          <w:rFonts w:ascii="Times New Roman" w:eastAsiaTheme="minorEastAsia" w:hAnsi="Times New Roman" w:cs="Times New Roman"/>
          <w:color w:val="000000" w:themeColor="dark1"/>
          <w:sz w:val="24"/>
          <w:szCs w:val="24"/>
        </w:rPr>
        <w:t xml:space="preserve"> </w:t>
      </w:r>
      <w:r w:rsidR="00C7614E" w:rsidRPr="00E8202C">
        <w:rPr>
          <w:rFonts w:ascii="Times New Roman" w:eastAsiaTheme="minorEastAsia" w:hAnsi="Times New Roman" w:cs="Times New Roman"/>
          <w:color w:val="000000" w:themeColor="dark1"/>
          <w:sz w:val="24"/>
          <w:szCs w:val="24"/>
        </w:rPr>
        <w:t xml:space="preserve">This is </w:t>
      </w:r>
      <w:r w:rsidR="0016035A" w:rsidRPr="00E8202C">
        <w:rPr>
          <w:rFonts w:ascii="Times New Roman" w:eastAsiaTheme="minorEastAsia" w:hAnsi="Times New Roman" w:cs="Times New Roman"/>
          <w:color w:val="000000" w:themeColor="dark1"/>
          <w:sz w:val="24"/>
          <w:szCs w:val="24"/>
        </w:rPr>
        <w:t xml:space="preserve">primarily </w:t>
      </w:r>
      <w:r w:rsidR="00C7614E" w:rsidRPr="00E8202C">
        <w:rPr>
          <w:rFonts w:ascii="Times New Roman" w:eastAsiaTheme="minorEastAsia" w:hAnsi="Times New Roman" w:cs="Times New Roman"/>
          <w:color w:val="000000" w:themeColor="dark1"/>
          <w:sz w:val="24"/>
          <w:szCs w:val="24"/>
        </w:rPr>
        <w:t xml:space="preserve">due </w:t>
      </w:r>
      <w:r w:rsidR="002B46EC" w:rsidRPr="00E8202C">
        <w:rPr>
          <w:rFonts w:ascii="Times New Roman" w:eastAsiaTheme="minorEastAsia" w:hAnsi="Times New Roman" w:cs="Times New Roman"/>
          <w:color w:val="000000" w:themeColor="dark1"/>
          <w:sz w:val="24"/>
          <w:szCs w:val="24"/>
        </w:rPr>
        <w:t xml:space="preserve">to the </w:t>
      </w:r>
      <w:r w:rsidR="0016035A" w:rsidRPr="00E8202C">
        <w:rPr>
          <w:rFonts w:ascii="Times New Roman" w:eastAsiaTheme="minorEastAsia" w:hAnsi="Times New Roman" w:cs="Times New Roman"/>
          <w:color w:val="000000" w:themeColor="dark1"/>
          <w:sz w:val="24"/>
          <w:szCs w:val="24"/>
        </w:rPr>
        <w:t xml:space="preserve">dramatic growth in health insurance costs </w:t>
      </w:r>
      <w:r w:rsidR="00E8202C" w:rsidRPr="00E8202C">
        <w:rPr>
          <w:rFonts w:ascii="Times New Roman" w:eastAsiaTheme="minorEastAsia" w:hAnsi="Times New Roman" w:cs="Times New Roman"/>
          <w:color w:val="000000" w:themeColor="dark1"/>
          <w:sz w:val="24"/>
          <w:szCs w:val="24"/>
        </w:rPr>
        <w:t xml:space="preserve">nationwide </w:t>
      </w:r>
      <w:r w:rsidR="0016035A" w:rsidRPr="00E8202C">
        <w:rPr>
          <w:rFonts w:ascii="Times New Roman" w:eastAsiaTheme="minorEastAsia" w:hAnsi="Times New Roman" w:cs="Times New Roman"/>
          <w:color w:val="000000" w:themeColor="dark1"/>
          <w:sz w:val="24"/>
          <w:szCs w:val="24"/>
        </w:rPr>
        <w:t>and the fact that such costs have increased at a significantly higher rate than the rate of inflation used to adjust the foundation budget. In addition, the “Employee Benefits &amp; Fixed Charges” component of the foundation budget does not include retiree health insurance, even thoug</w:t>
      </w:r>
      <w:r w:rsidR="00E8202C" w:rsidRPr="00E8202C">
        <w:rPr>
          <w:rFonts w:ascii="Times New Roman" w:eastAsiaTheme="minorEastAsia" w:hAnsi="Times New Roman" w:cs="Times New Roman"/>
          <w:color w:val="000000" w:themeColor="dark1"/>
          <w:sz w:val="24"/>
          <w:szCs w:val="24"/>
        </w:rPr>
        <w:t>h districts</w:t>
      </w:r>
      <w:r w:rsidR="003A4DC0">
        <w:rPr>
          <w:rFonts w:ascii="Times New Roman" w:eastAsiaTheme="minorEastAsia" w:hAnsi="Times New Roman" w:cs="Times New Roman"/>
          <w:color w:val="000000" w:themeColor="dark1"/>
          <w:sz w:val="24"/>
          <w:szCs w:val="24"/>
        </w:rPr>
        <w:t xml:space="preserve"> or communities</w:t>
      </w:r>
      <w:r w:rsidR="00E8202C" w:rsidRPr="00E8202C">
        <w:rPr>
          <w:rFonts w:ascii="Times New Roman" w:eastAsiaTheme="minorEastAsia" w:hAnsi="Times New Roman" w:cs="Times New Roman"/>
          <w:color w:val="000000" w:themeColor="dark1"/>
          <w:sz w:val="24"/>
          <w:szCs w:val="24"/>
        </w:rPr>
        <w:t xml:space="preserve"> </w:t>
      </w:r>
      <w:r w:rsidR="003A4DC0">
        <w:rPr>
          <w:rFonts w:ascii="Times New Roman" w:eastAsiaTheme="minorEastAsia" w:hAnsi="Times New Roman" w:cs="Times New Roman"/>
          <w:color w:val="000000" w:themeColor="dark1"/>
          <w:sz w:val="24"/>
          <w:szCs w:val="24"/>
        </w:rPr>
        <w:t>incur</w:t>
      </w:r>
      <w:r w:rsidR="00E8202C" w:rsidRPr="00E8202C">
        <w:rPr>
          <w:rFonts w:ascii="Times New Roman" w:eastAsiaTheme="minorEastAsia" w:hAnsi="Times New Roman" w:cs="Times New Roman"/>
          <w:color w:val="000000" w:themeColor="dark1"/>
          <w:sz w:val="24"/>
          <w:szCs w:val="24"/>
        </w:rPr>
        <w:t xml:space="preserve"> such costs. </w:t>
      </w:r>
    </w:p>
    <w:p w:rsidR="002D3021" w:rsidRPr="00E8202C" w:rsidRDefault="002D3021" w:rsidP="00994221">
      <w:pPr>
        <w:spacing w:after="0" w:line="240" w:lineRule="auto"/>
        <w:rPr>
          <w:rFonts w:ascii="Times New Roman" w:eastAsiaTheme="minorEastAsia" w:hAnsi="Times New Roman" w:cs="Times New Roman"/>
          <w:color w:val="000000" w:themeColor="dark1"/>
          <w:sz w:val="24"/>
          <w:szCs w:val="24"/>
          <w:u w:val="single"/>
        </w:rPr>
      </w:pPr>
    </w:p>
    <w:p w:rsidR="00E8202C" w:rsidRPr="00E8202C" w:rsidRDefault="00E8202C" w:rsidP="00994221">
      <w:pPr>
        <w:spacing w:after="0" w:line="240" w:lineRule="auto"/>
        <w:rPr>
          <w:rFonts w:ascii="Times New Roman" w:eastAsiaTheme="minorEastAsia" w:hAnsi="Times New Roman" w:cs="Times New Roman"/>
          <w:color w:val="000000" w:themeColor="dark1"/>
          <w:sz w:val="24"/>
          <w:szCs w:val="24"/>
        </w:rPr>
      </w:pPr>
      <w:r w:rsidRPr="00E8202C">
        <w:rPr>
          <w:rFonts w:ascii="Times New Roman" w:eastAsiaTheme="minorEastAsia" w:hAnsi="Times New Roman" w:cs="Times New Roman"/>
          <w:color w:val="000000" w:themeColor="dark1"/>
          <w:sz w:val="24"/>
          <w:szCs w:val="24"/>
        </w:rPr>
        <w:t xml:space="preserve">In developing the below recommendations, the Commission leveraged the collective expertise of its members to engage in discussions about how to address the discrepancy between the foundation budget and actual spending on health insurance. To inform such discussions, </w:t>
      </w:r>
      <w:r w:rsidR="0067743D">
        <w:rPr>
          <w:rFonts w:ascii="Times New Roman" w:eastAsiaTheme="minorEastAsia" w:hAnsi="Times New Roman" w:cs="Times New Roman"/>
          <w:color w:val="000000" w:themeColor="dark1"/>
          <w:sz w:val="24"/>
          <w:szCs w:val="24"/>
        </w:rPr>
        <w:t xml:space="preserve">the </w:t>
      </w:r>
      <w:r w:rsidRPr="00E8202C">
        <w:rPr>
          <w:rFonts w:ascii="Times New Roman" w:eastAsiaTheme="minorEastAsia" w:hAnsi="Times New Roman" w:cs="Times New Roman"/>
          <w:color w:val="000000" w:themeColor="dark1"/>
          <w:sz w:val="24"/>
          <w:szCs w:val="24"/>
        </w:rPr>
        <w:t xml:space="preserve">Commission reviewed the factors encompassed in the “Employee Benefits &amp; Fixed Charges” component of the formula, examined data on municipal health insurance trends, and reviewed information regarding the participation of school district employees in the state’s Group Insurance Commission (GIC) health plans. </w:t>
      </w:r>
    </w:p>
    <w:p w:rsidR="00AF24AC" w:rsidRDefault="00AF24AC" w:rsidP="00994221">
      <w:pPr>
        <w:spacing w:after="120" w:line="240" w:lineRule="auto"/>
        <w:rPr>
          <w:rFonts w:ascii="Times New Roman" w:eastAsiaTheme="minorEastAsia" w:hAnsi="Times New Roman" w:cs="Times New Roman"/>
          <w:b/>
          <w:iCs/>
          <w:sz w:val="24"/>
          <w:szCs w:val="24"/>
          <w:u w:val="single"/>
          <w:lang w:eastAsia="ru-RU"/>
        </w:rPr>
      </w:pPr>
    </w:p>
    <w:p w:rsidR="009E5EB5" w:rsidRPr="00C10402" w:rsidRDefault="00FC08B8" w:rsidP="00994221">
      <w:pPr>
        <w:spacing w:after="120" w:line="240" w:lineRule="auto"/>
        <w:rPr>
          <w:rFonts w:ascii="Times New Roman" w:eastAsiaTheme="minorEastAsia" w:hAnsi="Times New Roman" w:cs="Times New Roman"/>
          <w:b/>
          <w:iCs/>
          <w:sz w:val="24"/>
          <w:szCs w:val="24"/>
          <w:u w:val="single"/>
          <w:lang w:eastAsia="ru-RU"/>
        </w:rPr>
      </w:pPr>
      <w:r w:rsidRPr="00E8202C">
        <w:rPr>
          <w:rFonts w:ascii="Times New Roman" w:eastAsiaTheme="minorEastAsia" w:hAnsi="Times New Roman" w:cs="Times New Roman"/>
          <w:b/>
          <w:iCs/>
          <w:sz w:val="24"/>
          <w:szCs w:val="24"/>
          <w:u w:val="single"/>
          <w:lang w:eastAsia="ru-RU"/>
        </w:rPr>
        <w:t xml:space="preserve">Recommendations </w:t>
      </w:r>
    </w:p>
    <w:p w:rsidR="009E5EB5" w:rsidRPr="00E8202C" w:rsidRDefault="009E5EB5" w:rsidP="00994221">
      <w:pPr>
        <w:numPr>
          <w:ilvl w:val="0"/>
          <w:numId w:val="11"/>
        </w:numPr>
        <w:spacing w:after="0" w:line="240" w:lineRule="auto"/>
        <w:contextualSpacing/>
        <w:rPr>
          <w:rFonts w:ascii="Times New Roman" w:eastAsiaTheme="minorEastAsia" w:hAnsi="Times New Roman" w:cs="Times New Roman"/>
          <w:iCs/>
          <w:sz w:val="24"/>
          <w:szCs w:val="24"/>
          <w:lang w:eastAsia="ru-RU"/>
        </w:rPr>
      </w:pPr>
      <w:r w:rsidRPr="00E8202C">
        <w:rPr>
          <w:rFonts w:ascii="Times New Roman" w:eastAsiaTheme="minorEastAsia" w:hAnsi="Times New Roman" w:cs="Times New Roman"/>
          <w:iCs/>
          <w:sz w:val="24"/>
          <w:szCs w:val="24"/>
          <w:lang w:eastAsia="ru-RU"/>
        </w:rPr>
        <w:t>Adjust the employee health insurance rate captured in the “Employee Benefits/Fixed Charges” component of the formula to reflect the average</w:t>
      </w:r>
      <w:r w:rsidR="00CA6D7F">
        <w:rPr>
          <w:rStyle w:val="FootnoteReference"/>
          <w:rFonts w:ascii="Times New Roman" w:eastAsiaTheme="minorEastAsia" w:hAnsi="Times New Roman" w:cs="Times New Roman"/>
          <w:iCs/>
          <w:sz w:val="24"/>
          <w:szCs w:val="24"/>
          <w:lang w:eastAsia="ru-RU"/>
        </w:rPr>
        <w:footnoteReference w:id="4"/>
      </w:r>
      <w:r w:rsidRPr="00E8202C">
        <w:rPr>
          <w:rFonts w:ascii="Times New Roman" w:eastAsiaTheme="minorEastAsia" w:hAnsi="Times New Roman" w:cs="Times New Roman"/>
          <w:iCs/>
          <w:sz w:val="24"/>
          <w:szCs w:val="24"/>
          <w:lang w:eastAsia="ru-RU"/>
        </w:rPr>
        <w:t xml:space="preserve"> Group Insurance Commission (GIC) rate</w:t>
      </w:r>
      <w:r w:rsidRPr="00E8202C">
        <w:rPr>
          <w:rFonts w:ascii="Times New Roman" w:eastAsiaTheme="minorEastAsia" w:hAnsi="Times New Roman" w:cs="Times New Roman"/>
          <w:iCs/>
          <w:sz w:val="24"/>
          <w:szCs w:val="24"/>
          <w:vertAlign w:val="superscript"/>
          <w:lang w:eastAsia="ru-RU"/>
        </w:rPr>
        <w:footnoteReference w:customMarkFollows="1" w:id="5"/>
        <w:t>*</w:t>
      </w:r>
      <w:r w:rsidRPr="00E8202C">
        <w:rPr>
          <w:rFonts w:ascii="Times New Roman" w:eastAsiaTheme="minorEastAsia" w:hAnsi="Times New Roman" w:cs="Times New Roman"/>
          <w:iCs/>
          <w:sz w:val="24"/>
          <w:szCs w:val="24"/>
          <w:lang w:eastAsia="ru-RU"/>
        </w:rPr>
        <w:t xml:space="preserve">; </w:t>
      </w:r>
    </w:p>
    <w:p w:rsidR="009E5EB5" w:rsidRPr="00E8202C" w:rsidRDefault="009E5EB5" w:rsidP="00994221">
      <w:pPr>
        <w:spacing w:after="0" w:line="240" w:lineRule="auto"/>
        <w:ind w:left="360"/>
        <w:contextualSpacing/>
        <w:rPr>
          <w:rFonts w:ascii="Times New Roman" w:eastAsiaTheme="minorEastAsia" w:hAnsi="Times New Roman" w:cs="Times New Roman"/>
          <w:iCs/>
          <w:sz w:val="24"/>
          <w:szCs w:val="24"/>
          <w:lang w:eastAsia="ru-RU"/>
        </w:rPr>
      </w:pPr>
    </w:p>
    <w:p w:rsidR="009E5EB5" w:rsidRPr="00E8202C" w:rsidRDefault="009E5EB5" w:rsidP="00994221">
      <w:pPr>
        <w:numPr>
          <w:ilvl w:val="0"/>
          <w:numId w:val="11"/>
        </w:numPr>
        <w:spacing w:after="0" w:line="240" w:lineRule="auto"/>
        <w:contextualSpacing/>
        <w:rPr>
          <w:rFonts w:ascii="Times New Roman" w:eastAsiaTheme="minorEastAsia" w:hAnsi="Times New Roman" w:cs="Times New Roman"/>
          <w:iCs/>
          <w:sz w:val="24"/>
          <w:szCs w:val="24"/>
          <w:lang w:eastAsia="ru-RU"/>
        </w:rPr>
      </w:pPr>
      <w:r w:rsidRPr="00E8202C">
        <w:rPr>
          <w:rFonts w:ascii="Times New Roman" w:eastAsiaTheme="minorEastAsia" w:hAnsi="Times New Roman" w:cs="Times New Roman"/>
          <w:iCs/>
          <w:sz w:val="24"/>
          <w:szCs w:val="24"/>
          <w:lang w:eastAsia="ru-RU"/>
        </w:rPr>
        <w:lastRenderedPageBreak/>
        <w:t>Add a new category for “Retired Emp</w:t>
      </w:r>
      <w:r w:rsidR="00321F16">
        <w:rPr>
          <w:rFonts w:ascii="Times New Roman" w:eastAsiaTheme="minorEastAsia" w:hAnsi="Times New Roman" w:cs="Times New Roman"/>
          <w:iCs/>
          <w:sz w:val="24"/>
          <w:szCs w:val="24"/>
          <w:lang w:eastAsia="ru-RU"/>
        </w:rPr>
        <w:t>loyee Health Insurance” to the foundation b</w:t>
      </w:r>
      <w:r w:rsidRPr="00E8202C">
        <w:rPr>
          <w:rFonts w:ascii="Times New Roman" w:eastAsiaTheme="minorEastAsia" w:hAnsi="Times New Roman" w:cs="Times New Roman"/>
          <w:iCs/>
          <w:sz w:val="24"/>
          <w:szCs w:val="24"/>
          <w:lang w:eastAsia="ru-RU"/>
        </w:rPr>
        <w:t xml:space="preserve">udget; and </w:t>
      </w:r>
    </w:p>
    <w:p w:rsidR="009E5EB5" w:rsidRPr="00E8202C" w:rsidRDefault="009E5EB5" w:rsidP="00994221">
      <w:pPr>
        <w:spacing w:after="0" w:line="240" w:lineRule="auto"/>
        <w:ind w:left="360"/>
        <w:contextualSpacing/>
        <w:rPr>
          <w:rFonts w:ascii="Times New Roman" w:eastAsiaTheme="minorEastAsia" w:hAnsi="Times New Roman" w:cs="Times New Roman"/>
          <w:iCs/>
          <w:sz w:val="24"/>
          <w:szCs w:val="24"/>
          <w:lang w:eastAsia="ru-RU"/>
        </w:rPr>
      </w:pPr>
    </w:p>
    <w:p w:rsidR="009E5EB5" w:rsidRPr="00E8202C" w:rsidRDefault="009E5EB5" w:rsidP="00994221">
      <w:pPr>
        <w:numPr>
          <w:ilvl w:val="0"/>
          <w:numId w:val="11"/>
        </w:numPr>
        <w:spacing w:after="0" w:line="240" w:lineRule="auto"/>
        <w:contextualSpacing/>
        <w:rPr>
          <w:rFonts w:ascii="Times New Roman" w:eastAsiaTheme="minorEastAsia" w:hAnsi="Times New Roman" w:cs="Times New Roman"/>
          <w:iCs/>
          <w:sz w:val="24"/>
          <w:szCs w:val="24"/>
          <w:lang w:eastAsia="ru-RU"/>
        </w:rPr>
      </w:pPr>
      <w:r w:rsidRPr="00E8202C">
        <w:rPr>
          <w:rFonts w:ascii="Times New Roman" w:eastAsiaTheme="minorEastAsia" w:hAnsi="Times New Roman" w:cs="Times New Roman"/>
          <w:iCs/>
          <w:sz w:val="24"/>
          <w:szCs w:val="24"/>
          <w:lang w:eastAsia="ru-RU"/>
        </w:rPr>
        <w:t>Establish a separate health care cost inflation adjustor for the employee health insurance portion of the “Employee Benefits/Fixed Charges” component of the formula</w:t>
      </w:r>
      <w:r w:rsidR="003A4DC0">
        <w:rPr>
          <w:rFonts w:ascii="Times New Roman" w:eastAsiaTheme="minorEastAsia" w:hAnsi="Times New Roman" w:cs="Times New Roman"/>
          <w:iCs/>
          <w:sz w:val="24"/>
          <w:szCs w:val="24"/>
          <w:lang w:eastAsia="ru-RU"/>
        </w:rPr>
        <w:t>, based on the change in the GIC rates.</w:t>
      </w:r>
    </w:p>
    <w:p w:rsidR="00E8202C" w:rsidRDefault="00E8202C" w:rsidP="00994221">
      <w:pPr>
        <w:spacing w:after="0" w:line="240" w:lineRule="auto"/>
        <w:rPr>
          <w:rFonts w:ascii="Times New Roman" w:eastAsiaTheme="minorEastAsia" w:hAnsi="Times New Roman" w:cs="Times New Roman"/>
          <w:iCs/>
          <w:sz w:val="24"/>
          <w:szCs w:val="24"/>
          <w:u w:val="single"/>
          <w:lang w:eastAsia="ru-RU"/>
        </w:rPr>
      </w:pPr>
    </w:p>
    <w:p w:rsidR="00C10402" w:rsidRDefault="00C10402" w:rsidP="00994221">
      <w:pPr>
        <w:spacing w:after="0" w:line="240" w:lineRule="auto"/>
        <w:rPr>
          <w:rFonts w:ascii="Times New Roman" w:eastAsiaTheme="minorEastAsia" w:hAnsi="Times New Roman" w:cs="Times New Roman"/>
          <w:iCs/>
          <w:sz w:val="24"/>
          <w:szCs w:val="24"/>
          <w:u w:val="single"/>
          <w:lang w:eastAsia="ru-RU"/>
        </w:rPr>
      </w:pPr>
    </w:p>
    <w:p w:rsidR="00C10402" w:rsidRPr="00E8202C" w:rsidRDefault="00C10402" w:rsidP="00994221">
      <w:pPr>
        <w:spacing w:after="0" w:line="240" w:lineRule="auto"/>
        <w:rPr>
          <w:rFonts w:ascii="Times New Roman" w:eastAsiaTheme="minorEastAsia" w:hAnsi="Times New Roman" w:cs="Times New Roman"/>
          <w:iCs/>
          <w:sz w:val="24"/>
          <w:szCs w:val="24"/>
          <w:u w:val="single"/>
          <w:lang w:eastAsia="ru-RU"/>
        </w:rPr>
      </w:pPr>
    </w:p>
    <w:p w:rsidR="009E5EB5" w:rsidRPr="00321F16" w:rsidRDefault="009E5EB5" w:rsidP="00994221">
      <w:pPr>
        <w:pStyle w:val="ListParagraph"/>
        <w:numPr>
          <w:ilvl w:val="0"/>
          <w:numId w:val="18"/>
        </w:numPr>
        <w:spacing w:after="0" w:line="240" w:lineRule="auto"/>
        <w:rPr>
          <w:rFonts w:ascii="Times New Roman" w:eastAsiaTheme="minorEastAsia" w:hAnsi="Times New Roman" w:cs="Times New Roman"/>
          <w:b/>
          <w:iCs/>
          <w:sz w:val="32"/>
          <w:szCs w:val="32"/>
          <w:lang w:eastAsia="ru-RU"/>
        </w:rPr>
      </w:pPr>
      <w:r w:rsidRPr="00321F16">
        <w:rPr>
          <w:rFonts w:ascii="Times New Roman" w:eastAsiaTheme="minorEastAsia" w:hAnsi="Times New Roman" w:cs="Times New Roman"/>
          <w:b/>
          <w:iCs/>
          <w:sz w:val="32"/>
          <w:szCs w:val="32"/>
          <w:lang w:eastAsia="ru-RU"/>
        </w:rPr>
        <w:t>Special Education</w:t>
      </w:r>
    </w:p>
    <w:p w:rsidR="009E5EB5" w:rsidRDefault="009E5EB5" w:rsidP="00994221">
      <w:pPr>
        <w:spacing w:after="0" w:line="240" w:lineRule="auto"/>
        <w:contextualSpacing/>
        <w:rPr>
          <w:rFonts w:ascii="Times New Roman" w:eastAsiaTheme="minorEastAsia" w:hAnsi="Times New Roman" w:cs="Times New Roman"/>
          <w:b/>
          <w:iCs/>
          <w:sz w:val="24"/>
          <w:szCs w:val="24"/>
          <w:lang w:eastAsia="ru-RU"/>
        </w:rPr>
      </w:pPr>
    </w:p>
    <w:p w:rsidR="00C10402" w:rsidRDefault="00C10402" w:rsidP="00994221">
      <w:pPr>
        <w:spacing w:after="0" w:line="240" w:lineRule="auto"/>
        <w:contextualSpacing/>
        <w:rPr>
          <w:rFonts w:ascii="Times New Roman" w:eastAsiaTheme="minorEastAsia" w:hAnsi="Times New Roman" w:cs="Times New Roman"/>
          <w:b/>
          <w:iCs/>
          <w:sz w:val="24"/>
          <w:szCs w:val="24"/>
          <w:lang w:eastAsia="ru-RU"/>
        </w:rPr>
      </w:pPr>
    </w:p>
    <w:p w:rsidR="00C10402" w:rsidRPr="00C10402" w:rsidRDefault="00321F16" w:rsidP="00994221">
      <w:pPr>
        <w:spacing w:after="120" w:line="240" w:lineRule="auto"/>
        <w:contextualSpacing/>
        <w:rPr>
          <w:rFonts w:ascii="Times New Roman" w:eastAsiaTheme="minorEastAsia" w:hAnsi="Times New Roman" w:cs="Times New Roman"/>
          <w:b/>
          <w:iCs/>
          <w:sz w:val="24"/>
          <w:szCs w:val="24"/>
          <w:u w:val="single"/>
          <w:lang w:eastAsia="ru-RU"/>
        </w:rPr>
      </w:pPr>
      <w:r w:rsidRPr="00321F16">
        <w:rPr>
          <w:rFonts w:ascii="Times New Roman" w:eastAsiaTheme="minorEastAsia" w:hAnsi="Times New Roman" w:cs="Times New Roman"/>
          <w:b/>
          <w:iCs/>
          <w:sz w:val="24"/>
          <w:szCs w:val="24"/>
          <w:u w:val="single"/>
          <w:lang w:eastAsia="ru-RU"/>
        </w:rPr>
        <w:t>Findings</w:t>
      </w:r>
    </w:p>
    <w:p w:rsidR="00C10402" w:rsidRPr="00DC17BC" w:rsidRDefault="00C10402" w:rsidP="00994221">
      <w:pPr>
        <w:pStyle w:val="NormalWeb"/>
        <w:spacing w:before="0" w:beforeAutospacing="0" w:after="0" w:afterAutospacing="0"/>
        <w:textAlignment w:val="baseline"/>
        <w:rPr>
          <w:rFonts w:eastAsiaTheme="minorEastAsia"/>
        </w:rPr>
      </w:pPr>
      <w:r>
        <w:rPr>
          <w:rFonts w:eastAsiaTheme="minorEastAsia"/>
          <w:color w:val="000000" w:themeColor="dark1"/>
        </w:rPr>
        <w:t xml:space="preserve">Foundation enrollment accounts for the additional costs of providing special education services through an </w:t>
      </w:r>
      <w:r w:rsidRPr="00DC17BC">
        <w:rPr>
          <w:rFonts w:eastAsiaTheme="minorEastAsia"/>
        </w:rPr>
        <w:t xml:space="preserve">assumed rate of district enrollment, rather than an actual count of students. </w:t>
      </w:r>
      <w:r w:rsidR="004240A0">
        <w:t>A d</w:t>
      </w:r>
      <w:r w:rsidR="00D26FB0" w:rsidRPr="00DC17BC">
        <w:t>istrict</w:t>
      </w:r>
      <w:r w:rsidR="004240A0">
        <w:t>’s</w:t>
      </w:r>
      <w:r w:rsidR="00D26FB0" w:rsidRPr="00DC17BC">
        <w:t xml:space="preserve"> foundation enrollment is multiplied by 3.75% to add additional special education resources to the foundation budget. This translates to</w:t>
      </w:r>
      <w:r w:rsidR="004240A0">
        <w:t xml:space="preserve"> an assumption that</w:t>
      </w:r>
      <w:r w:rsidR="00D26FB0" w:rsidRPr="00DC17BC">
        <w:t xml:space="preserve"> 15% of students receive in-district special education services 25% of the time</w:t>
      </w:r>
      <w:r w:rsidR="00DC17BC" w:rsidRPr="00DC17BC">
        <w:t>.</w:t>
      </w:r>
      <w:r w:rsidR="00DC17BC" w:rsidRPr="00DC17BC">
        <w:rPr>
          <w:rStyle w:val="FootnoteReference"/>
        </w:rPr>
        <w:footnoteReference w:id="6"/>
      </w:r>
      <w:r w:rsidR="00DC17BC" w:rsidRPr="00DC17BC">
        <w:rPr>
          <w:rFonts w:eastAsiaTheme="minorEastAsia"/>
        </w:rPr>
        <w:t xml:space="preserve"> In actuality, around 16</w:t>
      </w:r>
      <w:r w:rsidRPr="00DC17BC">
        <w:rPr>
          <w:rFonts w:eastAsiaTheme="minorEastAsia"/>
        </w:rPr>
        <w:t>% of students receive some level of in-district special education services statewide</w:t>
      </w:r>
      <w:r w:rsidRPr="00DC17BC">
        <w:rPr>
          <w:rStyle w:val="FootnoteReference"/>
          <w:rFonts w:eastAsiaTheme="minorEastAsia"/>
        </w:rPr>
        <w:footnoteReference w:id="7"/>
      </w:r>
      <w:r w:rsidRPr="00DC17BC">
        <w:rPr>
          <w:rFonts w:eastAsiaTheme="minorEastAsia"/>
        </w:rPr>
        <w:t xml:space="preserve">, which suggests that the foundation budget understates the number of in-district special education students. </w:t>
      </w:r>
      <w:r w:rsidR="005A096D">
        <w:t>Out-of-</w:t>
      </w:r>
      <w:r w:rsidR="00DC17BC" w:rsidRPr="00DC17BC">
        <w:t>district special education enrollment is assumed at 1% of foundation enrollment, which mirrors the rate of out-of-district special education placements statewide.</w:t>
      </w:r>
      <w:r w:rsidR="00DC17BC" w:rsidRPr="00DC17BC">
        <w:rPr>
          <w:rFonts w:eastAsiaTheme="minorEastAsia"/>
        </w:rPr>
        <w:t xml:space="preserve"> However</w:t>
      </w:r>
      <w:r w:rsidRPr="00DC17BC">
        <w:rPr>
          <w:rFonts w:eastAsiaTheme="minorEastAsia"/>
        </w:rPr>
        <w:t>, districts spend far more on special education tuition for out-of</w:t>
      </w:r>
      <w:r w:rsidR="00DC17BC" w:rsidRPr="00DC17BC">
        <w:rPr>
          <w:rFonts w:eastAsiaTheme="minorEastAsia"/>
        </w:rPr>
        <w:t>-district placements than what is</w:t>
      </w:r>
      <w:r w:rsidRPr="00DC17BC">
        <w:rPr>
          <w:rFonts w:eastAsiaTheme="minorEastAsia"/>
        </w:rPr>
        <w:t xml:space="preserve"> allocated through the foundation budget. In FY13, actual costs were 59% higher than the foundation budget rate of $25,454.</w:t>
      </w:r>
      <w:r w:rsidRPr="00DC17BC">
        <w:rPr>
          <w:rStyle w:val="FootnoteReference"/>
          <w:rFonts w:eastAsiaTheme="minorEastAsia"/>
        </w:rPr>
        <w:footnoteReference w:id="8"/>
      </w:r>
      <w:r w:rsidRPr="00DC17BC">
        <w:rPr>
          <w:rFonts w:eastAsiaTheme="minorEastAsia"/>
        </w:rPr>
        <w:t xml:space="preserve">  To address the fact that the foundation budget understates the number of in-district special education students and the cost of out-of-district special education, the Commission has developed the below recommendations. </w:t>
      </w:r>
    </w:p>
    <w:p w:rsidR="009E5EB5" w:rsidRPr="00E8202C" w:rsidRDefault="009E5EB5" w:rsidP="00994221">
      <w:pPr>
        <w:spacing w:after="0" w:line="240" w:lineRule="auto"/>
        <w:rPr>
          <w:rFonts w:ascii="Times New Roman" w:hAnsi="Times New Roman" w:cs="Times New Roman"/>
          <w:sz w:val="24"/>
          <w:szCs w:val="24"/>
        </w:rPr>
      </w:pPr>
    </w:p>
    <w:p w:rsidR="00C10402" w:rsidRPr="00E8202C" w:rsidRDefault="00C10402" w:rsidP="00994221">
      <w:pPr>
        <w:spacing w:after="0" w:line="240" w:lineRule="auto"/>
        <w:rPr>
          <w:rFonts w:ascii="Times New Roman" w:hAnsi="Times New Roman" w:cs="Times New Roman"/>
          <w:sz w:val="24"/>
          <w:szCs w:val="24"/>
        </w:rPr>
      </w:pPr>
    </w:p>
    <w:p w:rsidR="009E5EB5" w:rsidRPr="00C10402" w:rsidRDefault="00321F16" w:rsidP="00994221">
      <w:pPr>
        <w:spacing w:after="120" w:line="240" w:lineRule="auto"/>
        <w:rPr>
          <w:rFonts w:ascii="Times New Roman" w:hAnsi="Times New Roman" w:cs="Times New Roman"/>
          <w:b/>
          <w:sz w:val="24"/>
          <w:szCs w:val="24"/>
          <w:u w:val="single"/>
        </w:rPr>
      </w:pPr>
      <w:r w:rsidRPr="00321F16">
        <w:rPr>
          <w:rFonts w:ascii="Times New Roman" w:hAnsi="Times New Roman" w:cs="Times New Roman"/>
          <w:b/>
          <w:sz w:val="24"/>
          <w:szCs w:val="24"/>
          <w:u w:val="single"/>
        </w:rPr>
        <w:t>Recommendatio</w:t>
      </w:r>
      <w:r w:rsidR="00C10402">
        <w:rPr>
          <w:rFonts w:ascii="Times New Roman" w:hAnsi="Times New Roman" w:cs="Times New Roman"/>
          <w:b/>
          <w:sz w:val="24"/>
          <w:szCs w:val="24"/>
          <w:u w:val="single"/>
        </w:rPr>
        <w:t>ns</w:t>
      </w:r>
    </w:p>
    <w:p w:rsidR="009E5EB5" w:rsidRDefault="009E5EB5" w:rsidP="00994221">
      <w:pPr>
        <w:numPr>
          <w:ilvl w:val="0"/>
          <w:numId w:val="10"/>
        </w:numPr>
        <w:spacing w:after="0" w:line="240" w:lineRule="auto"/>
        <w:contextualSpacing/>
        <w:rPr>
          <w:rFonts w:ascii="Times New Roman" w:hAnsi="Times New Roman" w:cs="Times New Roman"/>
          <w:sz w:val="24"/>
          <w:szCs w:val="24"/>
        </w:rPr>
      </w:pPr>
      <w:r w:rsidRPr="00E8202C">
        <w:rPr>
          <w:rFonts w:ascii="Times New Roman" w:hAnsi="Times New Roman" w:cs="Times New Roman"/>
          <w:sz w:val="24"/>
          <w:szCs w:val="24"/>
        </w:rPr>
        <w:t>Increase the assumed in-district special education enrollment rate from 3.75% to 4.00% (for non-vocational students) and 4.75% to 5.00% (for vocational students)</w:t>
      </w:r>
    </w:p>
    <w:p w:rsidR="003007E7" w:rsidRPr="00E8202C" w:rsidRDefault="003007E7" w:rsidP="00994221">
      <w:pPr>
        <w:spacing w:after="0" w:line="240" w:lineRule="auto"/>
        <w:ind w:left="360"/>
        <w:contextualSpacing/>
        <w:rPr>
          <w:rFonts w:ascii="Times New Roman" w:hAnsi="Times New Roman" w:cs="Times New Roman"/>
          <w:sz w:val="24"/>
          <w:szCs w:val="24"/>
        </w:rPr>
      </w:pPr>
    </w:p>
    <w:p w:rsidR="003007E7" w:rsidRDefault="003007E7" w:rsidP="00994221">
      <w:pPr>
        <w:pStyle w:val="ListParagraph"/>
        <w:numPr>
          <w:ilvl w:val="0"/>
          <w:numId w:val="21"/>
        </w:numPr>
        <w:spacing w:after="0" w:line="240" w:lineRule="auto"/>
        <w:rPr>
          <w:rFonts w:ascii="Times New Roman" w:hAnsi="Times New Roman" w:cs="Times New Roman"/>
          <w:i/>
          <w:sz w:val="24"/>
          <w:szCs w:val="24"/>
        </w:rPr>
      </w:pPr>
      <w:r w:rsidRPr="00930598">
        <w:rPr>
          <w:rFonts w:ascii="Times New Roman" w:hAnsi="Times New Roman" w:cs="Times New Roman"/>
          <w:i/>
          <w:sz w:val="24"/>
          <w:szCs w:val="24"/>
        </w:rPr>
        <w:t xml:space="preserve">Current assumption </w:t>
      </w:r>
      <w:r>
        <w:rPr>
          <w:rFonts w:ascii="Times New Roman" w:hAnsi="Times New Roman" w:cs="Times New Roman"/>
          <w:i/>
          <w:sz w:val="24"/>
          <w:szCs w:val="24"/>
        </w:rPr>
        <w:t>(</w:t>
      </w:r>
      <w:r w:rsidRPr="00930598">
        <w:rPr>
          <w:rFonts w:ascii="Times New Roman" w:hAnsi="Times New Roman" w:cs="Times New Roman"/>
          <w:i/>
          <w:sz w:val="24"/>
          <w:szCs w:val="24"/>
        </w:rPr>
        <w:t>3.75%</w:t>
      </w:r>
      <w:r>
        <w:rPr>
          <w:rFonts w:ascii="Times New Roman" w:hAnsi="Times New Roman" w:cs="Times New Roman"/>
          <w:i/>
          <w:sz w:val="24"/>
          <w:szCs w:val="24"/>
        </w:rPr>
        <w:t>)</w:t>
      </w:r>
      <w:r w:rsidRPr="00930598">
        <w:rPr>
          <w:rFonts w:ascii="Times New Roman" w:hAnsi="Times New Roman" w:cs="Times New Roman"/>
          <w:i/>
          <w:sz w:val="24"/>
          <w:szCs w:val="24"/>
        </w:rPr>
        <w:t xml:space="preserve"> = 15% of students receiving SPED services 25% of the time</w:t>
      </w:r>
    </w:p>
    <w:p w:rsidR="003007E7" w:rsidRPr="003007E7" w:rsidRDefault="003007E7" w:rsidP="00994221">
      <w:pPr>
        <w:pStyle w:val="ListParagraph"/>
        <w:numPr>
          <w:ilvl w:val="0"/>
          <w:numId w:val="21"/>
        </w:numPr>
        <w:spacing w:after="0" w:line="240" w:lineRule="auto"/>
        <w:rPr>
          <w:rFonts w:ascii="Times New Roman" w:hAnsi="Times New Roman" w:cs="Times New Roman"/>
          <w:i/>
          <w:sz w:val="24"/>
          <w:szCs w:val="24"/>
        </w:rPr>
      </w:pPr>
      <w:r w:rsidRPr="003007E7">
        <w:rPr>
          <w:rFonts w:ascii="Times New Roman" w:hAnsi="Times New Roman" w:cs="Times New Roman"/>
          <w:i/>
          <w:sz w:val="24"/>
          <w:szCs w:val="24"/>
        </w:rPr>
        <w:t>Proposed change (4.00%) = 16% of students receiving SPED services 25% of the time</w:t>
      </w:r>
    </w:p>
    <w:p w:rsidR="009E5EB5" w:rsidRPr="00E8202C" w:rsidRDefault="009E5EB5" w:rsidP="00994221">
      <w:pPr>
        <w:spacing w:after="0" w:line="240" w:lineRule="auto"/>
        <w:contextualSpacing/>
        <w:rPr>
          <w:rFonts w:ascii="Times New Roman" w:hAnsi="Times New Roman" w:cs="Times New Roman"/>
          <w:i/>
          <w:sz w:val="24"/>
          <w:szCs w:val="24"/>
        </w:rPr>
      </w:pPr>
    </w:p>
    <w:p w:rsidR="00AF24AC" w:rsidRDefault="00AF24AC" w:rsidP="00994221">
      <w:pPr>
        <w:spacing w:after="0" w:line="240" w:lineRule="auto"/>
        <w:contextualSpacing/>
        <w:rPr>
          <w:rFonts w:ascii="Times New Roman" w:hAnsi="Times New Roman" w:cs="Times New Roman"/>
          <w:sz w:val="24"/>
          <w:szCs w:val="24"/>
        </w:rPr>
      </w:pPr>
    </w:p>
    <w:p w:rsidR="009E5EB5" w:rsidRPr="00E8202C" w:rsidRDefault="009E5EB5" w:rsidP="00994221">
      <w:pPr>
        <w:numPr>
          <w:ilvl w:val="0"/>
          <w:numId w:val="10"/>
        </w:numPr>
        <w:spacing w:after="0" w:line="240" w:lineRule="auto"/>
        <w:contextualSpacing/>
        <w:rPr>
          <w:rFonts w:ascii="Times New Roman" w:hAnsi="Times New Roman" w:cs="Times New Roman"/>
          <w:sz w:val="24"/>
          <w:szCs w:val="24"/>
        </w:rPr>
      </w:pPr>
      <w:r w:rsidRPr="00E8202C">
        <w:rPr>
          <w:rFonts w:ascii="Times New Roman" w:hAnsi="Times New Roman" w:cs="Times New Roman"/>
          <w:sz w:val="24"/>
          <w:szCs w:val="24"/>
        </w:rPr>
        <w:t xml:space="preserve">Increase the out-of-district special education cost rate to capture the total costs that districts bear before circuit breaker reimbursement is triggered. </w:t>
      </w:r>
      <w:r w:rsidR="003007E7">
        <w:rPr>
          <w:rFonts w:ascii="Times New Roman" w:hAnsi="Times New Roman" w:cs="Times New Roman"/>
          <w:sz w:val="24"/>
          <w:szCs w:val="24"/>
        </w:rPr>
        <w:t xml:space="preserve">One example of how this might be done is to </w:t>
      </w:r>
      <w:r w:rsidRPr="00E8202C">
        <w:rPr>
          <w:rFonts w:ascii="Times New Roman" w:hAnsi="Times New Roman" w:cs="Times New Roman"/>
          <w:sz w:val="24"/>
          <w:szCs w:val="24"/>
        </w:rPr>
        <w:t xml:space="preserve">increase the out-of-district special education cost rate by an amount equal to the following: </w:t>
      </w:r>
    </w:p>
    <w:p w:rsidR="009E5EB5" w:rsidRPr="00E8202C" w:rsidRDefault="009E5EB5" w:rsidP="00994221">
      <w:pPr>
        <w:spacing w:after="0" w:line="240" w:lineRule="auto"/>
        <w:rPr>
          <w:rFonts w:ascii="Times New Roman" w:hAnsi="Times New Roman" w:cs="Times New Roman"/>
          <w:sz w:val="24"/>
          <w:szCs w:val="24"/>
        </w:rPr>
      </w:pPr>
    </w:p>
    <w:p w:rsidR="009E5EB5" w:rsidRDefault="009E5EB5" w:rsidP="00994221">
      <w:pPr>
        <w:spacing w:after="0" w:line="240" w:lineRule="auto"/>
        <w:jc w:val="center"/>
        <w:rPr>
          <w:rFonts w:ascii="Times New Roman" w:hAnsi="Times New Roman" w:cs="Times New Roman"/>
          <w:i/>
          <w:sz w:val="24"/>
          <w:szCs w:val="24"/>
          <w:vertAlign w:val="superscript"/>
        </w:rPr>
      </w:pPr>
      <w:r w:rsidRPr="00E8202C">
        <w:rPr>
          <w:rFonts w:ascii="Times New Roman" w:hAnsi="Times New Roman" w:cs="Times New Roman"/>
          <w:i/>
          <w:sz w:val="24"/>
          <w:szCs w:val="24"/>
        </w:rPr>
        <w:t>[</w:t>
      </w:r>
      <w:proofErr w:type="gramStart"/>
      <w:r w:rsidRPr="00E8202C">
        <w:rPr>
          <w:rFonts w:ascii="Times New Roman" w:hAnsi="Times New Roman" w:cs="Times New Roman"/>
          <w:i/>
          <w:sz w:val="24"/>
          <w:szCs w:val="24"/>
        </w:rPr>
        <w:t>4</w:t>
      </w:r>
      <w:proofErr w:type="gramEnd"/>
      <w:r w:rsidRPr="00E8202C">
        <w:rPr>
          <w:rFonts w:ascii="Times New Roman" w:hAnsi="Times New Roman" w:cs="Times New Roman"/>
          <w:i/>
          <w:sz w:val="24"/>
          <w:szCs w:val="24"/>
        </w:rPr>
        <w:t xml:space="preserve"> x statewide foundation budget per-pupil amount] – [statewide foundation budget per-pupil amount</w:t>
      </w:r>
      <w:r w:rsidRPr="00E8202C">
        <w:rPr>
          <w:rFonts w:ascii="Times New Roman" w:hAnsi="Times New Roman" w:cs="Times New Roman"/>
          <w:i/>
          <w:sz w:val="24"/>
          <w:szCs w:val="24"/>
          <w:vertAlign w:val="superscript"/>
        </w:rPr>
        <w:footnoteReference w:customMarkFollows="1" w:id="9"/>
        <w:t>**</w:t>
      </w:r>
      <w:r w:rsidRPr="00E8202C">
        <w:rPr>
          <w:rFonts w:ascii="Times New Roman" w:hAnsi="Times New Roman" w:cs="Times New Roman"/>
          <w:i/>
          <w:sz w:val="24"/>
          <w:szCs w:val="24"/>
        </w:rPr>
        <w:t xml:space="preserve"> + out-of-district special education cost rate</w:t>
      </w:r>
      <w:proofErr w:type="gramStart"/>
      <w:r w:rsidRPr="00E8202C">
        <w:rPr>
          <w:rFonts w:ascii="Times New Roman" w:hAnsi="Times New Roman" w:cs="Times New Roman"/>
          <w:i/>
          <w:sz w:val="24"/>
          <w:szCs w:val="24"/>
        </w:rPr>
        <w:t>]</w:t>
      </w:r>
      <w:r w:rsidRPr="00E8202C">
        <w:rPr>
          <w:rFonts w:ascii="Times New Roman" w:hAnsi="Times New Roman" w:cs="Times New Roman"/>
          <w:i/>
          <w:sz w:val="24"/>
          <w:szCs w:val="24"/>
          <w:vertAlign w:val="superscript"/>
        </w:rPr>
        <w:footnoteReference w:customMarkFollows="1" w:id="10"/>
        <w:t>*</w:t>
      </w:r>
      <w:proofErr w:type="gramEnd"/>
      <w:r w:rsidRPr="00E8202C">
        <w:rPr>
          <w:rFonts w:ascii="Times New Roman" w:hAnsi="Times New Roman" w:cs="Times New Roman"/>
          <w:i/>
          <w:sz w:val="24"/>
          <w:szCs w:val="24"/>
          <w:vertAlign w:val="superscript"/>
        </w:rPr>
        <w:t>**</w:t>
      </w:r>
    </w:p>
    <w:p w:rsidR="00DB7B90" w:rsidRDefault="00DB7B90" w:rsidP="00994221">
      <w:pPr>
        <w:spacing w:after="0" w:line="240" w:lineRule="auto"/>
        <w:jc w:val="center"/>
        <w:rPr>
          <w:rFonts w:ascii="Times New Roman" w:hAnsi="Times New Roman" w:cs="Times New Roman"/>
          <w:sz w:val="24"/>
          <w:szCs w:val="24"/>
        </w:rPr>
      </w:pPr>
    </w:p>
    <w:p w:rsidR="00994221" w:rsidRPr="00E8202C" w:rsidRDefault="00994221" w:rsidP="00994221">
      <w:pPr>
        <w:spacing w:after="0" w:line="240" w:lineRule="auto"/>
        <w:jc w:val="center"/>
        <w:rPr>
          <w:rFonts w:ascii="Times New Roman" w:hAnsi="Times New Roman" w:cs="Times New Roman"/>
          <w:sz w:val="24"/>
          <w:szCs w:val="24"/>
        </w:rPr>
      </w:pPr>
    </w:p>
    <w:p w:rsidR="00224A1F" w:rsidRDefault="00BC4514" w:rsidP="00994221">
      <w:pPr>
        <w:pStyle w:val="ListParagraph"/>
        <w:numPr>
          <w:ilvl w:val="0"/>
          <w:numId w:val="18"/>
        </w:numPr>
        <w:spacing w:after="0" w:line="240" w:lineRule="auto"/>
        <w:rPr>
          <w:rFonts w:ascii="Times New Roman" w:hAnsi="Times New Roman" w:cs="Times New Roman"/>
          <w:b/>
          <w:sz w:val="32"/>
          <w:szCs w:val="32"/>
        </w:rPr>
      </w:pPr>
      <w:r>
        <w:rPr>
          <w:rFonts w:ascii="Times New Roman" w:hAnsi="Times New Roman" w:cs="Times New Roman"/>
          <w:b/>
          <w:sz w:val="32"/>
          <w:szCs w:val="32"/>
        </w:rPr>
        <w:lastRenderedPageBreak/>
        <w:t xml:space="preserve">Budget </w:t>
      </w:r>
      <w:r w:rsidR="00224A1F" w:rsidRPr="00BB3973">
        <w:rPr>
          <w:rFonts w:ascii="Times New Roman" w:hAnsi="Times New Roman" w:cs="Times New Roman"/>
          <w:b/>
          <w:sz w:val="32"/>
          <w:szCs w:val="32"/>
        </w:rPr>
        <w:t>Impact Summary</w:t>
      </w:r>
      <w:r w:rsidR="00224A1F">
        <w:rPr>
          <w:rFonts w:ascii="Times New Roman" w:hAnsi="Times New Roman" w:cs="Times New Roman"/>
          <w:b/>
          <w:sz w:val="32"/>
          <w:szCs w:val="32"/>
        </w:rPr>
        <w:t>: Health Insurance and Special Education Changes</w:t>
      </w:r>
    </w:p>
    <w:p w:rsidR="00224A1F" w:rsidRDefault="00224A1F" w:rsidP="00994221">
      <w:pPr>
        <w:pStyle w:val="ListParagraph"/>
        <w:spacing w:after="0" w:line="240" w:lineRule="auto"/>
        <w:ind w:left="360"/>
        <w:rPr>
          <w:rFonts w:ascii="Times New Roman" w:hAnsi="Times New Roman" w:cs="Times New Roman"/>
          <w:b/>
          <w:sz w:val="32"/>
          <w:szCs w:val="32"/>
        </w:rPr>
      </w:pPr>
    </w:p>
    <w:p w:rsidR="00224A1F" w:rsidRPr="00DB7B90" w:rsidRDefault="00224A1F" w:rsidP="00994221">
      <w:pPr>
        <w:spacing w:after="0" w:line="240" w:lineRule="auto"/>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3514"/>
        <w:gridCol w:w="1560"/>
        <w:gridCol w:w="1561"/>
        <w:gridCol w:w="1292"/>
        <w:gridCol w:w="1561"/>
        <w:gridCol w:w="1292"/>
      </w:tblGrid>
      <w:tr w:rsidR="00224A1F" w:rsidRPr="00E26B35" w:rsidTr="00D2348F">
        <w:trPr>
          <w:trHeight w:val="276"/>
        </w:trPr>
        <w:tc>
          <w:tcPr>
            <w:tcW w:w="1572" w:type="pct"/>
            <w:tcBorders>
              <w:top w:val="single" w:sz="8" w:space="0" w:color="auto"/>
              <w:left w:val="single" w:sz="8" w:space="0" w:color="auto"/>
              <w:bottom w:val="single" w:sz="8" w:space="0" w:color="auto"/>
              <w:right w:val="single" w:sz="8" w:space="0" w:color="auto"/>
            </w:tcBorders>
            <w:shd w:val="clear" w:color="auto" w:fill="D8D8D8"/>
            <w:noWrap/>
            <w:tcMar>
              <w:top w:w="0" w:type="dxa"/>
              <w:left w:w="108" w:type="dxa"/>
              <w:bottom w:w="0" w:type="dxa"/>
              <w:right w:w="108" w:type="dxa"/>
            </w:tcMar>
            <w:vAlign w:val="bottom"/>
            <w:hideMark/>
          </w:tcPr>
          <w:p w:rsidR="00224A1F" w:rsidRPr="00E26B35" w:rsidRDefault="00224A1F" w:rsidP="00994221">
            <w:pPr>
              <w:spacing w:line="240" w:lineRule="auto"/>
              <w:rPr>
                <w:rFonts w:ascii="Times New Roman" w:hAnsi="Times New Roman" w:cs="Times New Roman"/>
              </w:rPr>
            </w:pPr>
            <w:r w:rsidRPr="00E26B35">
              <w:rPr>
                <w:rFonts w:ascii="Times New Roman" w:hAnsi="Times New Roman" w:cs="Times New Roman"/>
                <w:b/>
                <w:bCs/>
                <w:color w:val="000000"/>
              </w:rPr>
              <w:t>Statewide Summary</w:t>
            </w:r>
          </w:p>
        </w:tc>
        <w:tc>
          <w:tcPr>
            <w:tcW w:w="736" w:type="pct"/>
            <w:tcBorders>
              <w:top w:val="single" w:sz="8" w:space="0" w:color="auto"/>
              <w:left w:val="nil"/>
              <w:bottom w:val="single" w:sz="8" w:space="0" w:color="auto"/>
              <w:right w:val="single" w:sz="8" w:space="0" w:color="auto"/>
            </w:tcBorders>
            <w:shd w:val="clear" w:color="auto" w:fill="D8D8D8"/>
            <w:noWrap/>
            <w:tcMar>
              <w:top w:w="0" w:type="dxa"/>
              <w:left w:w="108" w:type="dxa"/>
              <w:bottom w:w="0" w:type="dxa"/>
              <w:right w:w="108" w:type="dxa"/>
            </w:tcMar>
            <w:vAlign w:val="bottom"/>
            <w:hideMark/>
          </w:tcPr>
          <w:p w:rsidR="00224A1F" w:rsidRPr="00E26B35" w:rsidRDefault="00224A1F" w:rsidP="00994221">
            <w:pPr>
              <w:spacing w:line="240" w:lineRule="auto"/>
              <w:jc w:val="center"/>
              <w:rPr>
                <w:rFonts w:ascii="Times New Roman" w:hAnsi="Times New Roman" w:cs="Times New Roman"/>
              </w:rPr>
            </w:pPr>
            <w:r w:rsidRPr="00E26B35">
              <w:rPr>
                <w:rFonts w:ascii="Times New Roman" w:hAnsi="Times New Roman" w:cs="Times New Roman"/>
                <w:b/>
                <w:bCs/>
                <w:color w:val="000000"/>
              </w:rPr>
              <w:t>GAA</w:t>
            </w:r>
          </w:p>
        </w:tc>
        <w:tc>
          <w:tcPr>
            <w:tcW w:w="736" w:type="pct"/>
            <w:tcBorders>
              <w:top w:val="single" w:sz="8" w:space="0" w:color="auto"/>
              <w:left w:val="nil"/>
              <w:bottom w:val="single" w:sz="8" w:space="0" w:color="auto"/>
              <w:right w:val="single" w:sz="8" w:space="0" w:color="auto"/>
            </w:tcBorders>
            <w:shd w:val="clear" w:color="auto" w:fill="D8D8D8"/>
            <w:noWrap/>
            <w:tcMar>
              <w:top w:w="0" w:type="dxa"/>
              <w:left w:w="108" w:type="dxa"/>
              <w:bottom w:w="0" w:type="dxa"/>
              <w:right w:w="108" w:type="dxa"/>
            </w:tcMar>
            <w:vAlign w:val="bottom"/>
            <w:hideMark/>
          </w:tcPr>
          <w:p w:rsidR="00224A1F" w:rsidRPr="00E26B35" w:rsidRDefault="00224A1F" w:rsidP="00994221">
            <w:pPr>
              <w:spacing w:line="240" w:lineRule="auto"/>
              <w:jc w:val="center"/>
              <w:rPr>
                <w:rFonts w:ascii="Times New Roman" w:hAnsi="Times New Roman" w:cs="Times New Roman"/>
              </w:rPr>
            </w:pPr>
            <w:r w:rsidRPr="00E26B35">
              <w:rPr>
                <w:rFonts w:ascii="Times New Roman" w:hAnsi="Times New Roman" w:cs="Times New Roman"/>
                <w:b/>
                <w:bCs/>
                <w:color w:val="000000"/>
              </w:rPr>
              <w:t>25% Phase in</w:t>
            </w:r>
          </w:p>
        </w:tc>
        <w:tc>
          <w:tcPr>
            <w:tcW w:w="610" w:type="pct"/>
            <w:tcBorders>
              <w:top w:val="single" w:sz="8" w:space="0" w:color="auto"/>
              <w:left w:val="nil"/>
              <w:bottom w:val="single" w:sz="8" w:space="0" w:color="auto"/>
              <w:right w:val="single" w:sz="8" w:space="0" w:color="auto"/>
            </w:tcBorders>
            <w:shd w:val="clear" w:color="auto" w:fill="D8D8D8"/>
            <w:noWrap/>
            <w:tcMar>
              <w:top w:w="0" w:type="dxa"/>
              <w:left w:w="108" w:type="dxa"/>
              <w:bottom w:w="0" w:type="dxa"/>
              <w:right w:w="108" w:type="dxa"/>
            </w:tcMar>
            <w:vAlign w:val="bottom"/>
            <w:hideMark/>
          </w:tcPr>
          <w:p w:rsidR="00224A1F" w:rsidRPr="00E26B35" w:rsidRDefault="00224A1F" w:rsidP="00994221">
            <w:pPr>
              <w:spacing w:line="240" w:lineRule="auto"/>
              <w:jc w:val="center"/>
              <w:rPr>
                <w:rFonts w:ascii="Times New Roman" w:hAnsi="Times New Roman" w:cs="Times New Roman"/>
              </w:rPr>
            </w:pPr>
            <w:r w:rsidRPr="00E26B35">
              <w:rPr>
                <w:rFonts w:ascii="Times New Roman" w:hAnsi="Times New Roman" w:cs="Times New Roman"/>
                <w:b/>
                <w:bCs/>
                <w:color w:val="000000"/>
              </w:rPr>
              <w:t>Difference</w:t>
            </w:r>
          </w:p>
        </w:tc>
        <w:tc>
          <w:tcPr>
            <w:tcW w:w="736" w:type="pct"/>
            <w:tcBorders>
              <w:top w:val="single" w:sz="8" w:space="0" w:color="auto"/>
              <w:left w:val="nil"/>
              <w:bottom w:val="single" w:sz="8" w:space="0" w:color="auto"/>
              <w:right w:val="single" w:sz="8" w:space="0" w:color="auto"/>
            </w:tcBorders>
            <w:shd w:val="clear" w:color="auto" w:fill="D8D8D8"/>
            <w:noWrap/>
            <w:tcMar>
              <w:top w:w="0" w:type="dxa"/>
              <w:left w:w="108" w:type="dxa"/>
              <w:bottom w:w="0" w:type="dxa"/>
              <w:right w:w="108" w:type="dxa"/>
            </w:tcMar>
            <w:vAlign w:val="bottom"/>
            <w:hideMark/>
          </w:tcPr>
          <w:p w:rsidR="00224A1F" w:rsidRPr="00E26B35" w:rsidRDefault="00224A1F" w:rsidP="00994221">
            <w:pPr>
              <w:spacing w:line="240" w:lineRule="auto"/>
              <w:jc w:val="center"/>
              <w:rPr>
                <w:rFonts w:ascii="Times New Roman" w:hAnsi="Times New Roman" w:cs="Times New Roman"/>
              </w:rPr>
            </w:pPr>
            <w:r w:rsidRPr="00E26B35">
              <w:rPr>
                <w:rFonts w:ascii="Times New Roman" w:hAnsi="Times New Roman" w:cs="Times New Roman"/>
                <w:b/>
                <w:bCs/>
                <w:color w:val="000000"/>
              </w:rPr>
              <w:t>100%</w:t>
            </w:r>
          </w:p>
        </w:tc>
        <w:tc>
          <w:tcPr>
            <w:tcW w:w="610" w:type="pct"/>
            <w:tcBorders>
              <w:top w:val="single" w:sz="8" w:space="0" w:color="auto"/>
              <w:left w:val="nil"/>
              <w:bottom w:val="single" w:sz="8" w:space="0" w:color="auto"/>
              <w:right w:val="single" w:sz="8" w:space="0" w:color="auto"/>
            </w:tcBorders>
            <w:shd w:val="clear" w:color="auto" w:fill="D8D8D8"/>
            <w:noWrap/>
            <w:tcMar>
              <w:top w:w="0" w:type="dxa"/>
              <w:left w:w="108" w:type="dxa"/>
              <w:bottom w:w="0" w:type="dxa"/>
              <w:right w:w="108" w:type="dxa"/>
            </w:tcMar>
            <w:vAlign w:val="bottom"/>
            <w:hideMark/>
          </w:tcPr>
          <w:p w:rsidR="00224A1F" w:rsidRPr="00E26B35" w:rsidRDefault="00224A1F" w:rsidP="00994221">
            <w:pPr>
              <w:spacing w:line="240" w:lineRule="auto"/>
              <w:jc w:val="center"/>
              <w:rPr>
                <w:rFonts w:ascii="Times New Roman" w:hAnsi="Times New Roman" w:cs="Times New Roman"/>
              </w:rPr>
            </w:pPr>
            <w:r w:rsidRPr="00E26B35">
              <w:rPr>
                <w:rFonts w:ascii="Times New Roman" w:hAnsi="Times New Roman" w:cs="Times New Roman"/>
                <w:b/>
                <w:bCs/>
                <w:color w:val="000000"/>
              </w:rPr>
              <w:t>Difference</w:t>
            </w:r>
          </w:p>
        </w:tc>
      </w:tr>
      <w:tr w:rsidR="00224A1F" w:rsidRPr="00E26B35" w:rsidTr="00D2348F">
        <w:trPr>
          <w:trHeight w:val="276"/>
        </w:trPr>
        <w:tc>
          <w:tcPr>
            <w:tcW w:w="1572" w:type="pct"/>
            <w:tcBorders>
              <w:top w:val="nil"/>
              <w:left w:val="single" w:sz="8" w:space="0" w:color="auto"/>
              <w:bottom w:val="single" w:sz="8" w:space="0" w:color="auto"/>
              <w:right w:val="single" w:sz="8" w:space="0" w:color="auto"/>
            </w:tcBorders>
            <w:shd w:val="clear" w:color="auto" w:fill="D8D8D8"/>
            <w:noWrap/>
            <w:tcMar>
              <w:top w:w="0" w:type="dxa"/>
              <w:left w:w="108" w:type="dxa"/>
              <w:bottom w:w="0" w:type="dxa"/>
              <w:right w:w="108" w:type="dxa"/>
            </w:tcMar>
            <w:vAlign w:val="bottom"/>
            <w:hideMark/>
          </w:tcPr>
          <w:p w:rsidR="00224A1F" w:rsidRPr="00E26B35" w:rsidRDefault="00224A1F" w:rsidP="00994221">
            <w:pPr>
              <w:spacing w:line="240" w:lineRule="auto"/>
              <w:rPr>
                <w:rFonts w:ascii="Times New Roman" w:hAnsi="Times New Roman" w:cs="Times New Roman"/>
              </w:rPr>
            </w:pPr>
            <w:r w:rsidRPr="00E26B35">
              <w:rPr>
                <w:rFonts w:ascii="Times New Roman" w:hAnsi="Times New Roman" w:cs="Times New Roman"/>
                <w:b/>
                <w:bCs/>
                <w:color w:val="000000"/>
              </w:rPr>
              <w:t> </w:t>
            </w:r>
          </w:p>
        </w:tc>
        <w:tc>
          <w:tcPr>
            <w:tcW w:w="736" w:type="pct"/>
            <w:tcBorders>
              <w:top w:val="nil"/>
              <w:left w:val="nil"/>
              <w:bottom w:val="single" w:sz="8" w:space="0" w:color="auto"/>
              <w:right w:val="single" w:sz="8" w:space="0" w:color="auto"/>
            </w:tcBorders>
            <w:shd w:val="clear" w:color="auto" w:fill="D8D8D8"/>
            <w:noWrap/>
            <w:tcMar>
              <w:top w:w="0" w:type="dxa"/>
              <w:left w:w="108" w:type="dxa"/>
              <w:bottom w:w="0" w:type="dxa"/>
              <w:right w:w="108" w:type="dxa"/>
            </w:tcMar>
            <w:vAlign w:val="bottom"/>
            <w:hideMark/>
          </w:tcPr>
          <w:p w:rsidR="00224A1F" w:rsidRPr="00E26B35" w:rsidRDefault="00224A1F" w:rsidP="00994221">
            <w:pPr>
              <w:spacing w:line="240" w:lineRule="auto"/>
              <w:jc w:val="center"/>
              <w:rPr>
                <w:rFonts w:ascii="Times New Roman" w:hAnsi="Times New Roman" w:cs="Times New Roman"/>
              </w:rPr>
            </w:pPr>
            <w:r w:rsidRPr="00E26B35">
              <w:rPr>
                <w:rFonts w:ascii="Times New Roman" w:hAnsi="Times New Roman" w:cs="Times New Roman"/>
                <w:b/>
                <w:bCs/>
                <w:color w:val="000000"/>
              </w:rPr>
              <w:t>FY16</w:t>
            </w:r>
          </w:p>
        </w:tc>
        <w:tc>
          <w:tcPr>
            <w:tcW w:w="736" w:type="pct"/>
            <w:tcBorders>
              <w:top w:val="nil"/>
              <w:left w:val="nil"/>
              <w:bottom w:val="single" w:sz="8" w:space="0" w:color="auto"/>
              <w:right w:val="single" w:sz="8" w:space="0" w:color="auto"/>
            </w:tcBorders>
            <w:shd w:val="clear" w:color="auto" w:fill="D8D8D8"/>
            <w:noWrap/>
            <w:tcMar>
              <w:top w:w="0" w:type="dxa"/>
              <w:left w:w="108" w:type="dxa"/>
              <w:bottom w:w="0" w:type="dxa"/>
              <w:right w:w="108" w:type="dxa"/>
            </w:tcMar>
            <w:vAlign w:val="bottom"/>
            <w:hideMark/>
          </w:tcPr>
          <w:p w:rsidR="00224A1F" w:rsidRPr="00E26B35" w:rsidRDefault="00224A1F" w:rsidP="00994221">
            <w:pPr>
              <w:spacing w:line="240" w:lineRule="auto"/>
              <w:jc w:val="center"/>
              <w:rPr>
                <w:rFonts w:ascii="Times New Roman" w:hAnsi="Times New Roman" w:cs="Times New Roman"/>
              </w:rPr>
            </w:pPr>
            <w:r w:rsidRPr="00E26B35">
              <w:rPr>
                <w:rFonts w:ascii="Times New Roman" w:hAnsi="Times New Roman" w:cs="Times New Roman"/>
                <w:b/>
                <w:bCs/>
                <w:color w:val="000000"/>
              </w:rPr>
              <w:t>FY16</w:t>
            </w:r>
          </w:p>
        </w:tc>
        <w:tc>
          <w:tcPr>
            <w:tcW w:w="610" w:type="pct"/>
            <w:tcBorders>
              <w:top w:val="nil"/>
              <w:left w:val="nil"/>
              <w:bottom w:val="single" w:sz="8" w:space="0" w:color="auto"/>
              <w:right w:val="single" w:sz="8" w:space="0" w:color="auto"/>
            </w:tcBorders>
            <w:shd w:val="clear" w:color="auto" w:fill="D8D8D8"/>
            <w:noWrap/>
            <w:tcMar>
              <w:top w:w="0" w:type="dxa"/>
              <w:left w:w="108" w:type="dxa"/>
              <w:bottom w:w="0" w:type="dxa"/>
              <w:right w:w="108" w:type="dxa"/>
            </w:tcMar>
            <w:vAlign w:val="bottom"/>
            <w:hideMark/>
          </w:tcPr>
          <w:p w:rsidR="00224A1F" w:rsidRPr="00E26B35" w:rsidRDefault="00224A1F" w:rsidP="00994221">
            <w:pPr>
              <w:spacing w:line="240" w:lineRule="auto"/>
              <w:jc w:val="center"/>
              <w:rPr>
                <w:rFonts w:ascii="Times New Roman" w:hAnsi="Times New Roman" w:cs="Times New Roman"/>
              </w:rPr>
            </w:pPr>
          </w:p>
        </w:tc>
        <w:tc>
          <w:tcPr>
            <w:tcW w:w="736" w:type="pct"/>
            <w:tcBorders>
              <w:top w:val="nil"/>
              <w:left w:val="nil"/>
              <w:bottom w:val="single" w:sz="8" w:space="0" w:color="auto"/>
              <w:right w:val="single" w:sz="8" w:space="0" w:color="auto"/>
            </w:tcBorders>
            <w:shd w:val="clear" w:color="auto" w:fill="D8D8D8"/>
            <w:noWrap/>
            <w:tcMar>
              <w:top w:w="0" w:type="dxa"/>
              <w:left w:w="108" w:type="dxa"/>
              <w:bottom w:w="0" w:type="dxa"/>
              <w:right w:w="108" w:type="dxa"/>
            </w:tcMar>
            <w:vAlign w:val="bottom"/>
            <w:hideMark/>
          </w:tcPr>
          <w:p w:rsidR="00224A1F" w:rsidRPr="00E26B35" w:rsidRDefault="00224A1F" w:rsidP="00994221">
            <w:pPr>
              <w:spacing w:line="240" w:lineRule="auto"/>
              <w:jc w:val="center"/>
              <w:rPr>
                <w:rFonts w:ascii="Times New Roman" w:hAnsi="Times New Roman" w:cs="Times New Roman"/>
              </w:rPr>
            </w:pPr>
            <w:r w:rsidRPr="00E26B35">
              <w:rPr>
                <w:rFonts w:ascii="Times New Roman" w:hAnsi="Times New Roman" w:cs="Times New Roman"/>
                <w:b/>
                <w:bCs/>
                <w:color w:val="000000"/>
              </w:rPr>
              <w:t>FY16</w:t>
            </w:r>
          </w:p>
        </w:tc>
        <w:tc>
          <w:tcPr>
            <w:tcW w:w="610" w:type="pct"/>
            <w:tcBorders>
              <w:top w:val="nil"/>
              <w:left w:val="nil"/>
              <w:bottom w:val="single" w:sz="8" w:space="0" w:color="auto"/>
              <w:right w:val="single" w:sz="8" w:space="0" w:color="auto"/>
            </w:tcBorders>
            <w:shd w:val="clear" w:color="auto" w:fill="D8D8D8"/>
            <w:noWrap/>
            <w:tcMar>
              <w:top w:w="0" w:type="dxa"/>
              <w:left w:w="108" w:type="dxa"/>
              <w:bottom w:w="0" w:type="dxa"/>
              <w:right w:w="108" w:type="dxa"/>
            </w:tcMar>
            <w:vAlign w:val="bottom"/>
            <w:hideMark/>
          </w:tcPr>
          <w:p w:rsidR="00224A1F" w:rsidRPr="00E26B35" w:rsidRDefault="00224A1F" w:rsidP="00994221">
            <w:pPr>
              <w:spacing w:line="240" w:lineRule="auto"/>
              <w:jc w:val="center"/>
              <w:rPr>
                <w:rFonts w:ascii="Times New Roman" w:hAnsi="Times New Roman" w:cs="Times New Roman"/>
              </w:rPr>
            </w:pPr>
          </w:p>
        </w:tc>
      </w:tr>
      <w:tr w:rsidR="00224A1F" w:rsidRPr="00E26B35" w:rsidTr="00D2348F">
        <w:trPr>
          <w:trHeight w:val="276"/>
        </w:trPr>
        <w:tc>
          <w:tcPr>
            <w:tcW w:w="1572" w:type="pct"/>
            <w:tcBorders>
              <w:top w:val="nil"/>
              <w:left w:val="single" w:sz="8" w:space="0" w:color="auto"/>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224A1F" w:rsidRPr="00E26B35" w:rsidRDefault="00224A1F" w:rsidP="00994221">
            <w:pPr>
              <w:spacing w:line="240" w:lineRule="auto"/>
              <w:rPr>
                <w:rFonts w:ascii="Times New Roman" w:hAnsi="Times New Roman" w:cs="Times New Roman"/>
              </w:rPr>
            </w:pPr>
            <w:r w:rsidRPr="00E26B35">
              <w:rPr>
                <w:rFonts w:ascii="Times New Roman" w:hAnsi="Times New Roman" w:cs="Times New Roman"/>
                <w:b/>
                <w:bCs/>
                <w:color w:val="000000"/>
              </w:rPr>
              <w:t>Enrollment</w:t>
            </w:r>
          </w:p>
        </w:tc>
        <w:tc>
          <w:tcPr>
            <w:tcW w:w="7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24A1F" w:rsidRPr="00E26B35" w:rsidRDefault="00224A1F" w:rsidP="00994221">
            <w:pPr>
              <w:spacing w:line="240" w:lineRule="auto"/>
              <w:jc w:val="right"/>
              <w:rPr>
                <w:rFonts w:ascii="Times New Roman" w:hAnsi="Times New Roman" w:cs="Times New Roman"/>
              </w:rPr>
            </w:pPr>
            <w:r w:rsidRPr="00E26B35">
              <w:rPr>
                <w:rFonts w:ascii="Times New Roman" w:hAnsi="Times New Roman" w:cs="Times New Roman"/>
                <w:color w:val="000000"/>
              </w:rPr>
              <w:t>942,120</w:t>
            </w:r>
          </w:p>
        </w:tc>
        <w:tc>
          <w:tcPr>
            <w:tcW w:w="7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24A1F" w:rsidRPr="00E26B35" w:rsidRDefault="00224A1F" w:rsidP="00994221">
            <w:pPr>
              <w:spacing w:line="240" w:lineRule="auto"/>
              <w:jc w:val="right"/>
              <w:rPr>
                <w:rFonts w:ascii="Times New Roman" w:hAnsi="Times New Roman" w:cs="Times New Roman"/>
              </w:rPr>
            </w:pPr>
            <w:r w:rsidRPr="00E26B35">
              <w:rPr>
                <w:rFonts w:ascii="Times New Roman" w:hAnsi="Times New Roman" w:cs="Times New Roman"/>
                <w:color w:val="000000"/>
              </w:rPr>
              <w:t>942,120</w:t>
            </w:r>
          </w:p>
        </w:tc>
        <w:tc>
          <w:tcPr>
            <w:tcW w:w="610" w:type="pct"/>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bottom"/>
            <w:hideMark/>
          </w:tcPr>
          <w:p w:rsidR="00224A1F" w:rsidRPr="00E26B35" w:rsidRDefault="00224A1F" w:rsidP="00994221">
            <w:pPr>
              <w:spacing w:line="240" w:lineRule="auto"/>
              <w:jc w:val="right"/>
              <w:rPr>
                <w:rFonts w:ascii="Times New Roman" w:hAnsi="Times New Roman" w:cs="Times New Roman"/>
              </w:rPr>
            </w:pPr>
            <w:r w:rsidRPr="00E26B35">
              <w:rPr>
                <w:rFonts w:ascii="Times New Roman" w:hAnsi="Times New Roman" w:cs="Times New Roman"/>
                <w:color w:val="000000"/>
              </w:rPr>
              <w:t>0</w:t>
            </w:r>
          </w:p>
        </w:tc>
        <w:tc>
          <w:tcPr>
            <w:tcW w:w="7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24A1F" w:rsidRPr="00E26B35" w:rsidRDefault="00224A1F" w:rsidP="00994221">
            <w:pPr>
              <w:spacing w:line="240" w:lineRule="auto"/>
              <w:jc w:val="right"/>
              <w:rPr>
                <w:rFonts w:ascii="Times New Roman" w:hAnsi="Times New Roman" w:cs="Times New Roman"/>
              </w:rPr>
            </w:pPr>
            <w:r w:rsidRPr="00E26B35">
              <w:rPr>
                <w:rFonts w:ascii="Times New Roman" w:hAnsi="Times New Roman" w:cs="Times New Roman"/>
                <w:color w:val="000000"/>
              </w:rPr>
              <w:t>942,120</w:t>
            </w:r>
          </w:p>
        </w:tc>
        <w:tc>
          <w:tcPr>
            <w:tcW w:w="610" w:type="pct"/>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bottom"/>
            <w:hideMark/>
          </w:tcPr>
          <w:p w:rsidR="00224A1F" w:rsidRPr="00E26B35" w:rsidRDefault="00224A1F" w:rsidP="00994221">
            <w:pPr>
              <w:spacing w:line="240" w:lineRule="auto"/>
              <w:jc w:val="right"/>
              <w:rPr>
                <w:rFonts w:ascii="Times New Roman" w:hAnsi="Times New Roman" w:cs="Times New Roman"/>
              </w:rPr>
            </w:pPr>
            <w:r w:rsidRPr="00E26B35">
              <w:rPr>
                <w:rFonts w:ascii="Times New Roman" w:hAnsi="Times New Roman" w:cs="Times New Roman"/>
                <w:color w:val="000000"/>
              </w:rPr>
              <w:t>0</w:t>
            </w:r>
          </w:p>
        </w:tc>
      </w:tr>
      <w:tr w:rsidR="00224A1F" w:rsidRPr="00E26B35" w:rsidTr="00D2348F">
        <w:trPr>
          <w:trHeight w:val="276"/>
        </w:trPr>
        <w:tc>
          <w:tcPr>
            <w:tcW w:w="1572" w:type="pct"/>
            <w:tcBorders>
              <w:top w:val="nil"/>
              <w:left w:val="single" w:sz="8" w:space="0" w:color="auto"/>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224A1F" w:rsidRPr="00E26B35" w:rsidRDefault="00224A1F" w:rsidP="00994221">
            <w:pPr>
              <w:spacing w:line="240" w:lineRule="auto"/>
              <w:rPr>
                <w:rFonts w:ascii="Times New Roman" w:hAnsi="Times New Roman" w:cs="Times New Roman"/>
              </w:rPr>
            </w:pPr>
            <w:r w:rsidRPr="00E26B35">
              <w:rPr>
                <w:rFonts w:ascii="Times New Roman" w:hAnsi="Times New Roman" w:cs="Times New Roman"/>
                <w:b/>
                <w:bCs/>
                <w:color w:val="000000"/>
              </w:rPr>
              <w:t>Foundation budget</w:t>
            </w:r>
          </w:p>
        </w:tc>
        <w:tc>
          <w:tcPr>
            <w:tcW w:w="7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24A1F" w:rsidRPr="00E26B35" w:rsidRDefault="00224A1F" w:rsidP="00994221">
            <w:pPr>
              <w:spacing w:line="240" w:lineRule="auto"/>
              <w:jc w:val="right"/>
              <w:rPr>
                <w:rFonts w:ascii="Times New Roman" w:hAnsi="Times New Roman" w:cs="Times New Roman"/>
              </w:rPr>
            </w:pPr>
            <w:r w:rsidRPr="00E26B35">
              <w:rPr>
                <w:rFonts w:ascii="Times New Roman" w:hAnsi="Times New Roman" w:cs="Times New Roman"/>
                <w:color w:val="000000"/>
              </w:rPr>
              <w:t>10,090,177,272</w:t>
            </w:r>
          </w:p>
        </w:tc>
        <w:tc>
          <w:tcPr>
            <w:tcW w:w="7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24A1F" w:rsidRPr="00E26B35" w:rsidRDefault="00224A1F" w:rsidP="00994221">
            <w:pPr>
              <w:spacing w:line="240" w:lineRule="auto"/>
              <w:jc w:val="right"/>
              <w:rPr>
                <w:rFonts w:ascii="Times New Roman" w:hAnsi="Times New Roman" w:cs="Times New Roman"/>
              </w:rPr>
            </w:pPr>
            <w:r w:rsidRPr="00E26B35">
              <w:rPr>
                <w:rFonts w:ascii="Times New Roman" w:hAnsi="Times New Roman" w:cs="Times New Roman"/>
                <w:color w:val="000000"/>
              </w:rPr>
              <w:t>10,340,927,612</w:t>
            </w:r>
          </w:p>
        </w:tc>
        <w:tc>
          <w:tcPr>
            <w:tcW w:w="610" w:type="pct"/>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bottom"/>
            <w:hideMark/>
          </w:tcPr>
          <w:p w:rsidR="00224A1F" w:rsidRPr="00E26B35" w:rsidRDefault="00224A1F" w:rsidP="00994221">
            <w:pPr>
              <w:spacing w:line="240" w:lineRule="auto"/>
              <w:jc w:val="right"/>
              <w:rPr>
                <w:rFonts w:ascii="Times New Roman" w:hAnsi="Times New Roman" w:cs="Times New Roman"/>
              </w:rPr>
            </w:pPr>
            <w:r w:rsidRPr="00E26B35">
              <w:rPr>
                <w:rFonts w:ascii="Times New Roman" w:hAnsi="Times New Roman" w:cs="Times New Roman"/>
                <w:color w:val="000000"/>
              </w:rPr>
              <w:t>250,750,340</w:t>
            </w:r>
          </w:p>
        </w:tc>
        <w:tc>
          <w:tcPr>
            <w:tcW w:w="7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24A1F" w:rsidRPr="00E26B35" w:rsidRDefault="00224A1F" w:rsidP="00994221">
            <w:pPr>
              <w:spacing w:line="240" w:lineRule="auto"/>
              <w:jc w:val="right"/>
              <w:rPr>
                <w:rFonts w:ascii="Times New Roman" w:hAnsi="Times New Roman" w:cs="Times New Roman"/>
              </w:rPr>
            </w:pPr>
            <w:r w:rsidRPr="00E26B35">
              <w:rPr>
                <w:rFonts w:ascii="Times New Roman" w:hAnsi="Times New Roman" w:cs="Times New Roman"/>
                <w:color w:val="000000"/>
              </w:rPr>
              <w:t>10,912,226,442</w:t>
            </w:r>
          </w:p>
        </w:tc>
        <w:tc>
          <w:tcPr>
            <w:tcW w:w="610" w:type="pct"/>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bottom"/>
            <w:hideMark/>
          </w:tcPr>
          <w:p w:rsidR="00224A1F" w:rsidRPr="00E26B35" w:rsidRDefault="00224A1F" w:rsidP="00994221">
            <w:pPr>
              <w:spacing w:line="240" w:lineRule="auto"/>
              <w:jc w:val="right"/>
              <w:rPr>
                <w:rFonts w:ascii="Times New Roman" w:hAnsi="Times New Roman" w:cs="Times New Roman"/>
              </w:rPr>
            </w:pPr>
            <w:r w:rsidRPr="00E26B35">
              <w:rPr>
                <w:rFonts w:ascii="Times New Roman" w:hAnsi="Times New Roman" w:cs="Times New Roman"/>
                <w:color w:val="000000"/>
              </w:rPr>
              <w:t>822,049,170</w:t>
            </w:r>
          </w:p>
        </w:tc>
      </w:tr>
      <w:tr w:rsidR="00224A1F" w:rsidRPr="00E26B35" w:rsidTr="00D2348F">
        <w:trPr>
          <w:trHeight w:val="276"/>
        </w:trPr>
        <w:tc>
          <w:tcPr>
            <w:tcW w:w="1572" w:type="pct"/>
            <w:tcBorders>
              <w:top w:val="nil"/>
              <w:left w:val="single" w:sz="8" w:space="0" w:color="auto"/>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224A1F" w:rsidRPr="00E26B35" w:rsidRDefault="00224A1F" w:rsidP="00994221">
            <w:pPr>
              <w:spacing w:line="240" w:lineRule="auto"/>
              <w:rPr>
                <w:rFonts w:ascii="Times New Roman" w:hAnsi="Times New Roman" w:cs="Times New Roman"/>
              </w:rPr>
            </w:pPr>
            <w:r w:rsidRPr="00E26B35">
              <w:rPr>
                <w:rFonts w:ascii="Times New Roman" w:hAnsi="Times New Roman" w:cs="Times New Roman"/>
                <w:b/>
                <w:bCs/>
                <w:color w:val="000000"/>
              </w:rPr>
              <w:t>Required district contribution</w:t>
            </w:r>
          </w:p>
        </w:tc>
        <w:tc>
          <w:tcPr>
            <w:tcW w:w="7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24A1F" w:rsidRPr="00E26B35" w:rsidRDefault="00224A1F" w:rsidP="00994221">
            <w:pPr>
              <w:spacing w:line="240" w:lineRule="auto"/>
              <w:jc w:val="right"/>
              <w:rPr>
                <w:rFonts w:ascii="Times New Roman" w:hAnsi="Times New Roman" w:cs="Times New Roman"/>
              </w:rPr>
            </w:pPr>
            <w:r w:rsidRPr="00E26B35">
              <w:rPr>
                <w:rFonts w:ascii="Times New Roman" w:hAnsi="Times New Roman" w:cs="Times New Roman"/>
                <w:color w:val="000000"/>
              </w:rPr>
              <w:t>5,943,909,031</w:t>
            </w:r>
          </w:p>
        </w:tc>
        <w:tc>
          <w:tcPr>
            <w:tcW w:w="7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24A1F" w:rsidRPr="00E26B35" w:rsidRDefault="00224A1F" w:rsidP="00994221">
            <w:pPr>
              <w:spacing w:line="240" w:lineRule="auto"/>
              <w:jc w:val="right"/>
              <w:rPr>
                <w:rFonts w:ascii="Times New Roman" w:hAnsi="Times New Roman" w:cs="Times New Roman"/>
              </w:rPr>
            </w:pPr>
            <w:r w:rsidRPr="00E26B35">
              <w:rPr>
                <w:rFonts w:ascii="Times New Roman" w:hAnsi="Times New Roman" w:cs="Times New Roman"/>
                <w:color w:val="000000"/>
              </w:rPr>
              <w:t>6,002,726,108</w:t>
            </w:r>
          </w:p>
        </w:tc>
        <w:tc>
          <w:tcPr>
            <w:tcW w:w="610" w:type="pct"/>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bottom"/>
            <w:hideMark/>
          </w:tcPr>
          <w:p w:rsidR="00224A1F" w:rsidRPr="00E26B35" w:rsidRDefault="00224A1F" w:rsidP="00994221">
            <w:pPr>
              <w:spacing w:line="240" w:lineRule="auto"/>
              <w:jc w:val="right"/>
              <w:rPr>
                <w:rFonts w:ascii="Times New Roman" w:hAnsi="Times New Roman" w:cs="Times New Roman"/>
              </w:rPr>
            </w:pPr>
            <w:r w:rsidRPr="00E26B35">
              <w:rPr>
                <w:rFonts w:ascii="Times New Roman" w:hAnsi="Times New Roman" w:cs="Times New Roman"/>
                <w:color w:val="000000"/>
              </w:rPr>
              <w:t>58,817,077</w:t>
            </w:r>
          </w:p>
        </w:tc>
        <w:tc>
          <w:tcPr>
            <w:tcW w:w="7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24A1F" w:rsidRPr="00E26B35" w:rsidRDefault="00224A1F" w:rsidP="00994221">
            <w:pPr>
              <w:spacing w:line="240" w:lineRule="auto"/>
              <w:jc w:val="right"/>
              <w:rPr>
                <w:rFonts w:ascii="Times New Roman" w:hAnsi="Times New Roman" w:cs="Times New Roman"/>
              </w:rPr>
            </w:pPr>
            <w:r w:rsidRPr="00E26B35">
              <w:rPr>
                <w:rFonts w:ascii="Times New Roman" w:hAnsi="Times New Roman" w:cs="Times New Roman"/>
                <w:color w:val="000000"/>
              </w:rPr>
              <w:t>6,080,502,587</w:t>
            </w:r>
          </w:p>
        </w:tc>
        <w:tc>
          <w:tcPr>
            <w:tcW w:w="610" w:type="pct"/>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bottom"/>
            <w:hideMark/>
          </w:tcPr>
          <w:p w:rsidR="00224A1F" w:rsidRPr="00E26B35" w:rsidRDefault="00224A1F" w:rsidP="00994221">
            <w:pPr>
              <w:spacing w:line="240" w:lineRule="auto"/>
              <w:jc w:val="right"/>
              <w:rPr>
                <w:rFonts w:ascii="Times New Roman" w:hAnsi="Times New Roman" w:cs="Times New Roman"/>
              </w:rPr>
            </w:pPr>
            <w:r w:rsidRPr="00E26B35">
              <w:rPr>
                <w:rFonts w:ascii="Times New Roman" w:hAnsi="Times New Roman" w:cs="Times New Roman"/>
                <w:color w:val="000000"/>
              </w:rPr>
              <w:t>136,593,556</w:t>
            </w:r>
          </w:p>
        </w:tc>
      </w:tr>
      <w:tr w:rsidR="00224A1F" w:rsidRPr="00E26B35" w:rsidTr="00D2348F">
        <w:trPr>
          <w:trHeight w:val="276"/>
        </w:trPr>
        <w:tc>
          <w:tcPr>
            <w:tcW w:w="1572" w:type="pct"/>
            <w:tcBorders>
              <w:top w:val="nil"/>
              <w:left w:val="single" w:sz="8" w:space="0" w:color="auto"/>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224A1F" w:rsidRPr="00E26B35" w:rsidRDefault="00224A1F" w:rsidP="00994221">
            <w:pPr>
              <w:spacing w:line="240" w:lineRule="auto"/>
              <w:rPr>
                <w:rFonts w:ascii="Times New Roman" w:hAnsi="Times New Roman" w:cs="Times New Roman"/>
              </w:rPr>
            </w:pPr>
            <w:r w:rsidRPr="00E26B35">
              <w:rPr>
                <w:rFonts w:ascii="Times New Roman" w:hAnsi="Times New Roman" w:cs="Times New Roman"/>
                <w:b/>
                <w:bCs/>
                <w:color w:val="000000"/>
              </w:rPr>
              <w:t xml:space="preserve">Chapter 70 aid </w:t>
            </w:r>
          </w:p>
        </w:tc>
        <w:tc>
          <w:tcPr>
            <w:tcW w:w="7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24A1F" w:rsidRPr="00E26B35" w:rsidRDefault="00224A1F" w:rsidP="00994221">
            <w:pPr>
              <w:spacing w:line="240" w:lineRule="auto"/>
              <w:jc w:val="right"/>
              <w:rPr>
                <w:rFonts w:ascii="Times New Roman" w:hAnsi="Times New Roman" w:cs="Times New Roman"/>
              </w:rPr>
            </w:pPr>
            <w:r w:rsidRPr="00E26B35">
              <w:rPr>
                <w:rFonts w:ascii="Times New Roman" w:hAnsi="Times New Roman" w:cs="Times New Roman"/>
                <w:color w:val="000000"/>
              </w:rPr>
              <w:t>4,511,521,973</w:t>
            </w:r>
          </w:p>
        </w:tc>
        <w:tc>
          <w:tcPr>
            <w:tcW w:w="7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24A1F" w:rsidRPr="00E26B35" w:rsidRDefault="00224A1F" w:rsidP="00994221">
            <w:pPr>
              <w:spacing w:line="240" w:lineRule="auto"/>
              <w:jc w:val="right"/>
              <w:rPr>
                <w:rFonts w:ascii="Times New Roman" w:hAnsi="Times New Roman" w:cs="Times New Roman"/>
              </w:rPr>
            </w:pPr>
            <w:r w:rsidRPr="00E26B35">
              <w:rPr>
                <w:rFonts w:ascii="Times New Roman" w:hAnsi="Times New Roman" w:cs="Times New Roman"/>
                <w:color w:val="000000"/>
              </w:rPr>
              <w:t>4,607,300,066</w:t>
            </w:r>
          </w:p>
        </w:tc>
        <w:tc>
          <w:tcPr>
            <w:tcW w:w="610" w:type="pct"/>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bottom"/>
            <w:hideMark/>
          </w:tcPr>
          <w:p w:rsidR="00224A1F" w:rsidRPr="00E26B35" w:rsidRDefault="00224A1F" w:rsidP="00994221">
            <w:pPr>
              <w:spacing w:line="240" w:lineRule="auto"/>
              <w:jc w:val="right"/>
              <w:rPr>
                <w:rFonts w:ascii="Times New Roman" w:hAnsi="Times New Roman" w:cs="Times New Roman"/>
              </w:rPr>
            </w:pPr>
            <w:r w:rsidRPr="00E26B35">
              <w:rPr>
                <w:rFonts w:ascii="Times New Roman" w:hAnsi="Times New Roman" w:cs="Times New Roman"/>
                <w:color w:val="000000"/>
              </w:rPr>
              <w:t>95,778,093</w:t>
            </w:r>
          </w:p>
        </w:tc>
        <w:tc>
          <w:tcPr>
            <w:tcW w:w="7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24A1F" w:rsidRPr="00E26B35" w:rsidRDefault="00224A1F" w:rsidP="00994221">
            <w:pPr>
              <w:spacing w:line="240" w:lineRule="auto"/>
              <w:jc w:val="right"/>
              <w:rPr>
                <w:rFonts w:ascii="Times New Roman" w:hAnsi="Times New Roman" w:cs="Times New Roman"/>
              </w:rPr>
            </w:pPr>
            <w:r w:rsidRPr="00E26B35">
              <w:rPr>
                <w:rFonts w:ascii="Times New Roman" w:hAnsi="Times New Roman" w:cs="Times New Roman"/>
                <w:color w:val="000000"/>
              </w:rPr>
              <w:t>4,943,298,626</w:t>
            </w:r>
          </w:p>
        </w:tc>
        <w:tc>
          <w:tcPr>
            <w:tcW w:w="610" w:type="pct"/>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bottom"/>
            <w:hideMark/>
          </w:tcPr>
          <w:p w:rsidR="00224A1F" w:rsidRPr="00E26B35" w:rsidRDefault="00224A1F" w:rsidP="00994221">
            <w:pPr>
              <w:spacing w:line="240" w:lineRule="auto"/>
              <w:jc w:val="right"/>
              <w:rPr>
                <w:rFonts w:ascii="Times New Roman" w:hAnsi="Times New Roman" w:cs="Times New Roman"/>
              </w:rPr>
            </w:pPr>
            <w:r w:rsidRPr="00E26B35">
              <w:rPr>
                <w:rFonts w:ascii="Times New Roman" w:hAnsi="Times New Roman" w:cs="Times New Roman"/>
                <w:color w:val="000000"/>
              </w:rPr>
              <w:t>431,776,654</w:t>
            </w:r>
          </w:p>
        </w:tc>
      </w:tr>
      <w:tr w:rsidR="00224A1F" w:rsidRPr="00E26B35" w:rsidTr="00D2348F">
        <w:trPr>
          <w:trHeight w:val="276"/>
        </w:trPr>
        <w:tc>
          <w:tcPr>
            <w:tcW w:w="1572" w:type="pct"/>
            <w:tcBorders>
              <w:top w:val="nil"/>
              <w:left w:val="single" w:sz="8" w:space="0" w:color="auto"/>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224A1F" w:rsidRPr="00E26B35" w:rsidRDefault="00224A1F" w:rsidP="00994221">
            <w:pPr>
              <w:spacing w:line="240" w:lineRule="auto"/>
              <w:rPr>
                <w:rFonts w:ascii="Times New Roman" w:hAnsi="Times New Roman" w:cs="Times New Roman"/>
              </w:rPr>
            </w:pPr>
            <w:r w:rsidRPr="00E26B35">
              <w:rPr>
                <w:rFonts w:ascii="Times New Roman" w:hAnsi="Times New Roman" w:cs="Times New Roman"/>
                <w:b/>
                <w:bCs/>
                <w:color w:val="000000"/>
              </w:rPr>
              <w:t>Required net school spending (NSS)</w:t>
            </w:r>
          </w:p>
        </w:tc>
        <w:tc>
          <w:tcPr>
            <w:tcW w:w="7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24A1F" w:rsidRPr="00E26B35" w:rsidRDefault="00224A1F" w:rsidP="00994221">
            <w:pPr>
              <w:spacing w:line="240" w:lineRule="auto"/>
              <w:jc w:val="right"/>
              <w:rPr>
                <w:rFonts w:ascii="Times New Roman" w:hAnsi="Times New Roman" w:cs="Times New Roman"/>
              </w:rPr>
            </w:pPr>
            <w:r w:rsidRPr="00E26B35">
              <w:rPr>
                <w:rFonts w:ascii="Times New Roman" w:hAnsi="Times New Roman" w:cs="Times New Roman"/>
                <w:color w:val="000000"/>
              </w:rPr>
              <w:t>10,455,431,004</w:t>
            </w:r>
          </w:p>
        </w:tc>
        <w:tc>
          <w:tcPr>
            <w:tcW w:w="7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24A1F" w:rsidRPr="00E26B35" w:rsidRDefault="00224A1F" w:rsidP="00994221">
            <w:pPr>
              <w:spacing w:line="240" w:lineRule="auto"/>
              <w:jc w:val="right"/>
              <w:rPr>
                <w:rFonts w:ascii="Times New Roman" w:hAnsi="Times New Roman" w:cs="Times New Roman"/>
              </w:rPr>
            </w:pPr>
            <w:r w:rsidRPr="00E26B35">
              <w:rPr>
                <w:rFonts w:ascii="Times New Roman" w:hAnsi="Times New Roman" w:cs="Times New Roman"/>
                <w:color w:val="000000"/>
              </w:rPr>
              <w:t>10,610,026,174</w:t>
            </w:r>
          </w:p>
        </w:tc>
        <w:tc>
          <w:tcPr>
            <w:tcW w:w="610" w:type="pct"/>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bottom"/>
            <w:hideMark/>
          </w:tcPr>
          <w:p w:rsidR="00224A1F" w:rsidRPr="00E26B35" w:rsidRDefault="00224A1F" w:rsidP="00994221">
            <w:pPr>
              <w:spacing w:line="240" w:lineRule="auto"/>
              <w:jc w:val="right"/>
              <w:rPr>
                <w:rFonts w:ascii="Times New Roman" w:hAnsi="Times New Roman" w:cs="Times New Roman"/>
              </w:rPr>
            </w:pPr>
            <w:r w:rsidRPr="00E26B35">
              <w:rPr>
                <w:rFonts w:ascii="Times New Roman" w:hAnsi="Times New Roman" w:cs="Times New Roman"/>
                <w:color w:val="000000"/>
              </w:rPr>
              <w:t>154,595,170</w:t>
            </w:r>
          </w:p>
        </w:tc>
        <w:tc>
          <w:tcPr>
            <w:tcW w:w="7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24A1F" w:rsidRPr="00E26B35" w:rsidRDefault="00224A1F" w:rsidP="00994221">
            <w:pPr>
              <w:spacing w:line="240" w:lineRule="auto"/>
              <w:jc w:val="right"/>
              <w:rPr>
                <w:rFonts w:ascii="Times New Roman" w:hAnsi="Times New Roman" w:cs="Times New Roman"/>
              </w:rPr>
            </w:pPr>
            <w:r w:rsidRPr="00E26B35">
              <w:rPr>
                <w:rFonts w:ascii="Times New Roman" w:hAnsi="Times New Roman" w:cs="Times New Roman"/>
                <w:color w:val="000000"/>
              </w:rPr>
              <w:t>11,023,801,213</w:t>
            </w:r>
          </w:p>
        </w:tc>
        <w:tc>
          <w:tcPr>
            <w:tcW w:w="610" w:type="pct"/>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bottom"/>
            <w:hideMark/>
          </w:tcPr>
          <w:p w:rsidR="00224A1F" w:rsidRPr="00E26B35" w:rsidRDefault="00224A1F" w:rsidP="00994221">
            <w:pPr>
              <w:spacing w:line="240" w:lineRule="auto"/>
              <w:jc w:val="right"/>
              <w:rPr>
                <w:rFonts w:ascii="Times New Roman" w:hAnsi="Times New Roman" w:cs="Times New Roman"/>
              </w:rPr>
            </w:pPr>
            <w:r w:rsidRPr="00E26B35">
              <w:rPr>
                <w:rFonts w:ascii="Times New Roman" w:hAnsi="Times New Roman" w:cs="Times New Roman"/>
                <w:color w:val="000000"/>
              </w:rPr>
              <w:t>568,370,210</w:t>
            </w:r>
          </w:p>
        </w:tc>
      </w:tr>
    </w:tbl>
    <w:p w:rsidR="00486888" w:rsidRDefault="00486888" w:rsidP="00994221">
      <w:pPr>
        <w:spacing w:line="240" w:lineRule="auto"/>
        <w:rPr>
          <w:color w:val="1F497D"/>
        </w:rPr>
      </w:pPr>
    </w:p>
    <w:p w:rsidR="00224A1F" w:rsidRPr="00D42C76" w:rsidRDefault="00224A1F" w:rsidP="00994221">
      <w:pPr>
        <w:spacing w:line="240" w:lineRule="auto"/>
        <w:rPr>
          <w:rFonts w:ascii="Calibri" w:hAnsi="Calibri"/>
        </w:rPr>
      </w:pPr>
      <w:r w:rsidRPr="007E1FCF">
        <w:rPr>
          <w:rFonts w:ascii="Times New Roman" w:hAnsi="Times New Roman" w:cs="Times New Roman"/>
          <w:sz w:val="24"/>
          <w:szCs w:val="24"/>
        </w:rPr>
        <w:t xml:space="preserve">The </w:t>
      </w:r>
      <w:r>
        <w:rPr>
          <w:rFonts w:ascii="Times New Roman" w:hAnsi="Times New Roman" w:cs="Times New Roman"/>
          <w:sz w:val="24"/>
          <w:szCs w:val="24"/>
        </w:rPr>
        <w:t xml:space="preserve">chart above </w:t>
      </w:r>
      <w:r w:rsidRPr="007E1FCF">
        <w:rPr>
          <w:rFonts w:ascii="Times New Roman" w:hAnsi="Times New Roman" w:cs="Times New Roman"/>
          <w:sz w:val="24"/>
          <w:szCs w:val="24"/>
        </w:rPr>
        <w:t>illustrate</w:t>
      </w:r>
      <w:r>
        <w:rPr>
          <w:rFonts w:ascii="Times New Roman" w:hAnsi="Times New Roman" w:cs="Times New Roman"/>
          <w:sz w:val="24"/>
          <w:szCs w:val="24"/>
        </w:rPr>
        <w:t>s</w:t>
      </w:r>
      <w:r w:rsidRPr="007E1FCF">
        <w:rPr>
          <w:rFonts w:ascii="Times New Roman" w:hAnsi="Times New Roman" w:cs="Times New Roman"/>
          <w:sz w:val="24"/>
          <w:szCs w:val="24"/>
        </w:rPr>
        <w:t xml:space="preserve"> the estimated impact of the Commission’s recommended adjustments to the foundation budget</w:t>
      </w:r>
      <w:r>
        <w:rPr>
          <w:rFonts w:ascii="Times New Roman" w:hAnsi="Times New Roman" w:cs="Times New Roman"/>
          <w:sz w:val="24"/>
          <w:szCs w:val="24"/>
        </w:rPr>
        <w:t xml:space="preserve"> categories for health insurance and special education, expressed both as a one year cost and based on a four year phase-in. Note that because of the structural changes recommended to both the ELL and low income rates below, further work would be needed to ensure that the Chapter 70 spreadsheets accurately reflected those changes</w:t>
      </w:r>
      <w:r w:rsidRPr="007E1FCF">
        <w:rPr>
          <w:rFonts w:ascii="Times New Roman" w:hAnsi="Times New Roman" w:cs="Times New Roman"/>
          <w:b/>
          <w:sz w:val="24"/>
          <w:szCs w:val="24"/>
        </w:rPr>
        <w:t>.</w:t>
      </w:r>
      <w:r>
        <w:rPr>
          <w:rFonts w:ascii="Times New Roman" w:hAnsi="Times New Roman" w:cs="Times New Roman"/>
          <w:b/>
          <w:sz w:val="24"/>
          <w:szCs w:val="24"/>
        </w:rPr>
        <w:t xml:space="preserve"> </w:t>
      </w:r>
      <w:r w:rsidR="00203B3B">
        <w:rPr>
          <w:rFonts w:ascii="Times New Roman" w:hAnsi="Times New Roman" w:cs="Times New Roman"/>
          <w:sz w:val="24"/>
          <w:szCs w:val="24"/>
        </w:rPr>
        <w:t>T</w:t>
      </w:r>
      <w:r w:rsidR="00A97E17" w:rsidRPr="00D42C76">
        <w:rPr>
          <w:rFonts w:ascii="Times New Roman" w:hAnsi="Times New Roman" w:cs="Times New Roman"/>
          <w:sz w:val="24"/>
          <w:szCs w:val="24"/>
        </w:rPr>
        <w:t>hose recommendations would</w:t>
      </w:r>
      <w:r w:rsidR="00A97E17">
        <w:rPr>
          <w:rFonts w:ascii="Times New Roman" w:hAnsi="Times New Roman" w:cs="Times New Roman"/>
          <w:sz w:val="24"/>
          <w:szCs w:val="24"/>
        </w:rPr>
        <w:t xml:space="preserve"> </w:t>
      </w:r>
      <w:r w:rsidR="00203B3B">
        <w:rPr>
          <w:rFonts w:ascii="Times New Roman" w:hAnsi="Times New Roman" w:cs="Times New Roman"/>
          <w:sz w:val="24"/>
          <w:szCs w:val="24"/>
        </w:rPr>
        <w:t>also entail an</w:t>
      </w:r>
      <w:r w:rsidR="00486888">
        <w:rPr>
          <w:rFonts w:ascii="Times New Roman" w:hAnsi="Times New Roman" w:cs="Times New Roman"/>
          <w:sz w:val="24"/>
          <w:szCs w:val="24"/>
        </w:rPr>
        <w:t xml:space="preserve"> </w:t>
      </w:r>
      <w:r w:rsidR="00A97E17">
        <w:rPr>
          <w:rFonts w:ascii="Times New Roman" w:hAnsi="Times New Roman" w:cs="Times New Roman"/>
          <w:sz w:val="24"/>
          <w:szCs w:val="24"/>
        </w:rPr>
        <w:t xml:space="preserve">increase </w:t>
      </w:r>
      <w:r w:rsidR="00203B3B">
        <w:rPr>
          <w:rFonts w:ascii="Times New Roman" w:hAnsi="Times New Roman" w:cs="Times New Roman"/>
          <w:sz w:val="24"/>
          <w:szCs w:val="24"/>
        </w:rPr>
        <w:t xml:space="preserve">in </w:t>
      </w:r>
      <w:r w:rsidR="00A97E17">
        <w:rPr>
          <w:rFonts w:ascii="Times New Roman" w:hAnsi="Times New Roman" w:cs="Times New Roman"/>
          <w:sz w:val="24"/>
          <w:szCs w:val="24"/>
        </w:rPr>
        <w:t>the amount of Chapter 70 aid</w:t>
      </w:r>
      <w:r w:rsidR="00203B3B">
        <w:rPr>
          <w:rFonts w:ascii="Times New Roman" w:hAnsi="Times New Roman" w:cs="Times New Roman"/>
          <w:sz w:val="24"/>
          <w:szCs w:val="24"/>
        </w:rPr>
        <w:t>, not reflected in this chart.</w:t>
      </w:r>
      <w:r w:rsidR="00A97E17">
        <w:rPr>
          <w:rFonts w:ascii="Times New Roman" w:hAnsi="Times New Roman" w:cs="Times New Roman"/>
          <w:sz w:val="24"/>
          <w:szCs w:val="24"/>
        </w:rPr>
        <w:t xml:space="preserve"> </w:t>
      </w:r>
      <w:r w:rsidR="00A97E17" w:rsidRPr="00D42C76">
        <w:rPr>
          <w:rFonts w:ascii="Times New Roman" w:hAnsi="Times New Roman" w:cs="Times New Roman"/>
          <w:sz w:val="24"/>
          <w:szCs w:val="24"/>
        </w:rPr>
        <w:t xml:space="preserve"> </w:t>
      </w:r>
      <w:r w:rsidRPr="00D42C76">
        <w:rPr>
          <w:rFonts w:ascii="Times New Roman" w:hAnsi="Times New Roman" w:cs="Times New Roman"/>
          <w:sz w:val="24"/>
          <w:szCs w:val="24"/>
        </w:rPr>
        <w:t>In addition, if the legislature chose to incorporate</w:t>
      </w:r>
      <w:r>
        <w:rPr>
          <w:rFonts w:ascii="Times New Roman" w:hAnsi="Times New Roman" w:cs="Times New Roman"/>
          <w:sz w:val="24"/>
          <w:szCs w:val="24"/>
        </w:rPr>
        <w:t xml:space="preserve"> any of the issues raised in </w:t>
      </w:r>
      <w:r w:rsidR="00A97E17">
        <w:rPr>
          <w:rFonts w:ascii="Times New Roman" w:hAnsi="Times New Roman" w:cs="Times New Roman"/>
          <w:sz w:val="24"/>
          <w:szCs w:val="24"/>
        </w:rPr>
        <w:t>Part C of this report as being worthy of further study and consideration, the final cost to the state would increase further.</w:t>
      </w:r>
    </w:p>
    <w:p w:rsidR="00224A1F" w:rsidRPr="00D42C76" w:rsidRDefault="00224A1F" w:rsidP="00994221">
      <w:pPr>
        <w:spacing w:after="0" w:line="240" w:lineRule="auto"/>
        <w:rPr>
          <w:rFonts w:ascii="Times New Roman" w:hAnsi="Times New Roman" w:cs="Times New Roman"/>
          <w:b/>
          <w:sz w:val="32"/>
          <w:szCs w:val="32"/>
        </w:rPr>
      </w:pPr>
    </w:p>
    <w:p w:rsidR="00224A1F" w:rsidRDefault="00224A1F" w:rsidP="00994221">
      <w:pPr>
        <w:pStyle w:val="ListParagraph"/>
        <w:spacing w:after="0" w:line="240" w:lineRule="auto"/>
        <w:ind w:left="360"/>
        <w:rPr>
          <w:rFonts w:ascii="Times New Roman" w:hAnsi="Times New Roman" w:cs="Times New Roman"/>
          <w:b/>
          <w:sz w:val="32"/>
          <w:szCs w:val="32"/>
        </w:rPr>
      </w:pPr>
    </w:p>
    <w:p w:rsidR="00F61E4B" w:rsidRDefault="00F61E4B" w:rsidP="00994221">
      <w:pPr>
        <w:pStyle w:val="ListParagraph"/>
        <w:numPr>
          <w:ilvl w:val="0"/>
          <w:numId w:val="18"/>
        </w:numPr>
        <w:spacing w:after="0" w:line="240" w:lineRule="auto"/>
        <w:rPr>
          <w:rFonts w:ascii="Times New Roman" w:hAnsi="Times New Roman" w:cs="Times New Roman"/>
          <w:b/>
          <w:sz w:val="32"/>
          <w:szCs w:val="32"/>
        </w:rPr>
      </w:pPr>
      <w:r>
        <w:rPr>
          <w:rFonts w:ascii="Times New Roman" w:hAnsi="Times New Roman" w:cs="Times New Roman"/>
          <w:b/>
          <w:sz w:val="32"/>
          <w:szCs w:val="32"/>
        </w:rPr>
        <w:t>English Language Learners</w:t>
      </w:r>
    </w:p>
    <w:p w:rsidR="00F61E4B" w:rsidRDefault="00F61E4B" w:rsidP="00994221">
      <w:pPr>
        <w:pStyle w:val="ListParagraph"/>
        <w:spacing w:after="0" w:line="240" w:lineRule="auto"/>
        <w:ind w:left="360"/>
        <w:rPr>
          <w:rFonts w:ascii="Times New Roman" w:hAnsi="Times New Roman" w:cs="Times New Roman"/>
          <w:b/>
          <w:sz w:val="32"/>
          <w:szCs w:val="32"/>
        </w:rPr>
      </w:pPr>
    </w:p>
    <w:p w:rsidR="00F61E4B" w:rsidRDefault="00F61E4B" w:rsidP="00994221">
      <w:pPr>
        <w:spacing w:after="120" w:line="240" w:lineRule="auto"/>
        <w:contextualSpacing/>
        <w:rPr>
          <w:rFonts w:ascii="Times New Roman" w:eastAsiaTheme="minorEastAsia" w:hAnsi="Times New Roman" w:cs="Times New Roman"/>
          <w:b/>
          <w:iCs/>
          <w:sz w:val="24"/>
          <w:szCs w:val="24"/>
          <w:u w:val="single"/>
          <w:lang w:eastAsia="ru-RU"/>
        </w:rPr>
      </w:pPr>
      <w:r w:rsidRPr="00321F16">
        <w:rPr>
          <w:rFonts w:ascii="Times New Roman" w:eastAsiaTheme="minorEastAsia" w:hAnsi="Times New Roman" w:cs="Times New Roman"/>
          <w:b/>
          <w:iCs/>
          <w:sz w:val="24"/>
          <w:szCs w:val="24"/>
          <w:u w:val="single"/>
          <w:lang w:eastAsia="ru-RU"/>
        </w:rPr>
        <w:t>Findings</w:t>
      </w:r>
    </w:p>
    <w:p w:rsidR="00E26B35" w:rsidRPr="00C10402" w:rsidRDefault="00E26B35" w:rsidP="00994221">
      <w:pPr>
        <w:spacing w:after="120" w:line="240" w:lineRule="auto"/>
        <w:contextualSpacing/>
        <w:rPr>
          <w:rFonts w:ascii="Times New Roman" w:eastAsiaTheme="minorEastAsia" w:hAnsi="Times New Roman" w:cs="Times New Roman"/>
          <w:b/>
          <w:iCs/>
          <w:sz w:val="24"/>
          <w:szCs w:val="24"/>
          <w:u w:val="single"/>
          <w:lang w:eastAsia="ru-RU"/>
        </w:rPr>
      </w:pPr>
    </w:p>
    <w:p w:rsidR="00F61E4B" w:rsidRDefault="00F61E4B" w:rsidP="00994221">
      <w:pPr>
        <w:spacing w:after="0" w:line="240" w:lineRule="auto"/>
        <w:rPr>
          <w:rFonts w:ascii="Times New Roman" w:eastAsia="Times New Roman" w:hAnsi="Times New Roman" w:cs="Times New Roman"/>
          <w:sz w:val="24"/>
          <w:szCs w:val="24"/>
        </w:rPr>
      </w:pPr>
      <w:r w:rsidRPr="00F61E4B">
        <w:rPr>
          <w:rFonts w:ascii="Times New Roman" w:eastAsia="Times New Roman" w:hAnsi="Times New Roman" w:cs="Times New Roman"/>
          <w:sz w:val="24"/>
          <w:szCs w:val="24"/>
        </w:rPr>
        <w:t>A review of national literature</w:t>
      </w:r>
      <w:r>
        <w:rPr>
          <w:rFonts w:ascii="Times New Roman" w:eastAsia="Times New Roman" w:hAnsi="Times New Roman" w:cs="Times New Roman"/>
          <w:sz w:val="24"/>
          <w:szCs w:val="24"/>
        </w:rPr>
        <w:t xml:space="preserve"> showed that the weights for states with funding formulas that made adjustments </w:t>
      </w:r>
      <w:r w:rsidR="00F925BA">
        <w:rPr>
          <w:rFonts w:ascii="Times New Roman" w:eastAsia="Times New Roman" w:hAnsi="Times New Roman" w:cs="Times New Roman"/>
          <w:sz w:val="24"/>
          <w:szCs w:val="24"/>
        </w:rPr>
        <w:t>for ELL students had weightings of between 9.6% and 99%. Although Massachusetts uses rates rather than weightings, those rates contain an implied weighting of between 7</w:t>
      </w:r>
      <w:r w:rsidR="006A6B63">
        <w:rPr>
          <w:rFonts w:ascii="Times New Roman" w:eastAsia="Times New Roman" w:hAnsi="Times New Roman" w:cs="Times New Roman"/>
          <w:sz w:val="24"/>
          <w:szCs w:val="24"/>
        </w:rPr>
        <w:t>%</w:t>
      </w:r>
      <w:r w:rsidR="00F925BA">
        <w:rPr>
          <w:rFonts w:ascii="Times New Roman" w:eastAsia="Times New Roman" w:hAnsi="Times New Roman" w:cs="Times New Roman"/>
          <w:sz w:val="24"/>
          <w:szCs w:val="24"/>
        </w:rPr>
        <w:t xml:space="preserve"> and 34%. In general, then, MA weightings for ELL are well within the national range, with the exception of the high school </w:t>
      </w:r>
      <w:r w:rsidR="00AD695E">
        <w:rPr>
          <w:rFonts w:ascii="Times New Roman" w:eastAsia="Times New Roman" w:hAnsi="Times New Roman" w:cs="Times New Roman"/>
          <w:sz w:val="24"/>
          <w:szCs w:val="24"/>
        </w:rPr>
        <w:t xml:space="preserve">rates of 7% </w:t>
      </w:r>
      <w:r w:rsidR="00AD695E" w:rsidRPr="00E46BE0">
        <w:rPr>
          <w:rFonts w:ascii="Times New Roman" w:eastAsia="Times New Roman" w:hAnsi="Times New Roman" w:cs="Times New Roman"/>
          <w:sz w:val="24"/>
          <w:szCs w:val="24"/>
        </w:rPr>
        <w:t>and 40% respectively</w:t>
      </w:r>
      <w:r w:rsidR="00AD695E">
        <w:rPr>
          <w:rFonts w:ascii="Times New Roman" w:eastAsia="Times New Roman" w:hAnsi="Times New Roman" w:cs="Times New Roman"/>
          <w:sz w:val="24"/>
          <w:szCs w:val="24"/>
        </w:rPr>
        <w:t>.</w:t>
      </w:r>
    </w:p>
    <w:p w:rsidR="00AD695E" w:rsidRDefault="00AD695E" w:rsidP="00994221">
      <w:pPr>
        <w:spacing w:after="0" w:line="240" w:lineRule="auto"/>
        <w:rPr>
          <w:rFonts w:ascii="Times New Roman" w:eastAsia="Times New Roman" w:hAnsi="Times New Roman" w:cs="Times New Roman"/>
          <w:sz w:val="24"/>
          <w:szCs w:val="24"/>
        </w:rPr>
      </w:pPr>
    </w:p>
    <w:p w:rsidR="00AD695E" w:rsidRDefault="00AD695E" w:rsidP="009942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the origin of the high school rate differential is based in legitimately different class size assumptions in a historic iteration of the formula, it presents a challenge to the effective provision of services to the ELL population. A consistent point made by the superintendents and educators with whom we spoke was the sharp rise in students with interrupted education (SIFE) and students with limited or interrupted formal education (SLIFE), often children from war torn regions, or refugees, who have serious social and emotional needs, and arrive at school with little to no formal education for school districts to build upon. This challenge is exacerbated at the high school</w:t>
      </w:r>
      <w:r w:rsidR="006A6B63">
        <w:rPr>
          <w:rFonts w:ascii="Times New Roman" w:eastAsia="Times New Roman" w:hAnsi="Times New Roman" w:cs="Times New Roman"/>
          <w:sz w:val="24"/>
          <w:szCs w:val="24"/>
        </w:rPr>
        <w:t xml:space="preserve"> level</w:t>
      </w:r>
      <w:r>
        <w:rPr>
          <w:rFonts w:ascii="Times New Roman" w:eastAsia="Times New Roman" w:hAnsi="Times New Roman" w:cs="Times New Roman"/>
          <w:sz w:val="24"/>
          <w:szCs w:val="24"/>
        </w:rPr>
        <w:t xml:space="preserve">, where such gaps in learning must be made up in an extremely short time frame, often with highly staff-intensive interventions involving class size of 10 or less per teacher, and support </w:t>
      </w:r>
      <w:r>
        <w:rPr>
          <w:rFonts w:ascii="Times New Roman" w:eastAsia="Times New Roman" w:hAnsi="Times New Roman" w:cs="Times New Roman"/>
          <w:sz w:val="24"/>
          <w:szCs w:val="24"/>
        </w:rPr>
        <w:lastRenderedPageBreak/>
        <w:t xml:space="preserve">staff as well. </w:t>
      </w:r>
      <w:r w:rsidR="00397E34">
        <w:rPr>
          <w:rFonts w:ascii="Times New Roman" w:eastAsia="Times New Roman" w:hAnsi="Times New Roman" w:cs="Times New Roman"/>
          <w:sz w:val="24"/>
          <w:szCs w:val="24"/>
        </w:rPr>
        <w:t>Next</w:t>
      </w:r>
      <w:r>
        <w:rPr>
          <w:rFonts w:ascii="Times New Roman" w:eastAsia="Times New Roman" w:hAnsi="Times New Roman" w:cs="Times New Roman"/>
          <w:sz w:val="24"/>
          <w:szCs w:val="24"/>
        </w:rPr>
        <w:t>, vocational schools which serve significant numbers of ELL students have frequently pointed out to the Commission that they receive no additional support in meeting their students’ needs through the formula, because the ELL student amount is calculated as a base rate per student rather than as an a</w:t>
      </w:r>
      <w:r w:rsidR="00EC7A9C">
        <w:rPr>
          <w:rFonts w:ascii="Times New Roman" w:eastAsia="Times New Roman" w:hAnsi="Times New Roman" w:cs="Times New Roman"/>
          <w:sz w:val="24"/>
          <w:szCs w:val="24"/>
        </w:rPr>
        <w:t xml:space="preserve">dded increment. Therefore, no ELL increment is applied to the vocational foundation budget, despite </w:t>
      </w:r>
      <w:r w:rsidR="0037106E">
        <w:rPr>
          <w:rFonts w:ascii="Times New Roman" w:eastAsia="Times New Roman" w:hAnsi="Times New Roman" w:cs="Times New Roman"/>
          <w:sz w:val="24"/>
          <w:szCs w:val="24"/>
        </w:rPr>
        <w:t>the significant needs some vocational districts face in educating this population.</w:t>
      </w:r>
      <w:r w:rsidR="00397E34">
        <w:rPr>
          <w:rFonts w:ascii="Times New Roman" w:eastAsia="Times New Roman" w:hAnsi="Times New Roman" w:cs="Times New Roman"/>
          <w:sz w:val="24"/>
          <w:szCs w:val="24"/>
        </w:rPr>
        <w:t xml:space="preserve"> Finally, smaller districts and their advocates urged that funding and flexibility remain in the formula in recognition of the fact that they too often have ELL learners, but, due to low incidence, may meet those needs in creative and cost-sharing ways with other districts.</w:t>
      </w:r>
    </w:p>
    <w:p w:rsidR="00EA5248" w:rsidRDefault="00EA5248" w:rsidP="00994221">
      <w:pPr>
        <w:spacing w:after="0" w:line="240" w:lineRule="auto"/>
        <w:rPr>
          <w:rFonts w:ascii="Times New Roman" w:eastAsia="Times New Roman" w:hAnsi="Times New Roman" w:cs="Times New Roman"/>
          <w:sz w:val="24"/>
          <w:szCs w:val="24"/>
        </w:rPr>
      </w:pPr>
    </w:p>
    <w:p w:rsidR="00994221" w:rsidRDefault="00994221" w:rsidP="00994221">
      <w:pPr>
        <w:spacing w:after="0" w:line="240" w:lineRule="auto"/>
        <w:rPr>
          <w:rFonts w:ascii="Times New Roman" w:eastAsia="Times New Roman" w:hAnsi="Times New Roman" w:cs="Times New Roman"/>
          <w:sz w:val="24"/>
          <w:szCs w:val="24"/>
        </w:rPr>
      </w:pPr>
    </w:p>
    <w:p w:rsidR="00EA5248" w:rsidRPr="00C10402" w:rsidRDefault="00EA5248" w:rsidP="00994221">
      <w:pPr>
        <w:spacing w:after="120" w:line="240" w:lineRule="auto"/>
        <w:rPr>
          <w:rFonts w:ascii="Times New Roman" w:hAnsi="Times New Roman" w:cs="Times New Roman"/>
          <w:b/>
          <w:sz w:val="24"/>
          <w:szCs w:val="24"/>
          <w:u w:val="single"/>
        </w:rPr>
      </w:pPr>
      <w:r w:rsidRPr="00321F16">
        <w:rPr>
          <w:rFonts w:ascii="Times New Roman" w:hAnsi="Times New Roman" w:cs="Times New Roman"/>
          <w:b/>
          <w:sz w:val="24"/>
          <w:szCs w:val="24"/>
          <w:u w:val="single"/>
        </w:rPr>
        <w:t>Recommendatio</w:t>
      </w:r>
      <w:r>
        <w:rPr>
          <w:rFonts w:ascii="Times New Roman" w:hAnsi="Times New Roman" w:cs="Times New Roman"/>
          <w:b/>
          <w:sz w:val="24"/>
          <w:szCs w:val="24"/>
          <w:u w:val="single"/>
        </w:rPr>
        <w:t>ns</w:t>
      </w:r>
    </w:p>
    <w:p w:rsidR="00EA5248" w:rsidRDefault="00EA5248" w:rsidP="00994221">
      <w:pPr>
        <w:pStyle w:val="ListParagraph"/>
        <w:numPr>
          <w:ilvl w:val="0"/>
          <w:numId w:val="31"/>
        </w:numPr>
        <w:spacing w:after="0" w:line="240" w:lineRule="auto"/>
        <w:rPr>
          <w:rFonts w:ascii="Times New Roman" w:hAnsi="Times New Roman" w:cs="Times New Roman"/>
          <w:sz w:val="24"/>
          <w:szCs w:val="24"/>
        </w:rPr>
      </w:pPr>
      <w:r w:rsidRPr="00EA5248">
        <w:rPr>
          <w:rFonts w:ascii="Times New Roman" w:hAnsi="Times New Roman" w:cs="Times New Roman"/>
          <w:sz w:val="24"/>
          <w:szCs w:val="24"/>
        </w:rPr>
        <w:t>Convert the ELL increase from a base rate to an increment on the base rate.</w:t>
      </w:r>
    </w:p>
    <w:p w:rsidR="00E26B35" w:rsidRPr="00EA5248" w:rsidRDefault="00E26B35" w:rsidP="00994221">
      <w:pPr>
        <w:pStyle w:val="ListParagraph"/>
        <w:spacing w:after="0" w:line="240" w:lineRule="auto"/>
        <w:ind w:left="360"/>
        <w:rPr>
          <w:rFonts w:ascii="Times New Roman" w:hAnsi="Times New Roman" w:cs="Times New Roman"/>
          <w:sz w:val="24"/>
          <w:szCs w:val="24"/>
        </w:rPr>
      </w:pPr>
    </w:p>
    <w:p w:rsidR="00EA5248" w:rsidRDefault="00EA5248" w:rsidP="00994221">
      <w:pPr>
        <w:numPr>
          <w:ilvl w:val="0"/>
          <w:numId w:val="31"/>
        </w:numPr>
        <w:spacing w:after="0" w:line="240" w:lineRule="auto"/>
        <w:contextualSpacing/>
        <w:rPr>
          <w:rFonts w:ascii="Times New Roman" w:hAnsi="Times New Roman" w:cs="Times New Roman"/>
          <w:sz w:val="24"/>
          <w:szCs w:val="24"/>
        </w:rPr>
      </w:pPr>
      <w:r w:rsidRPr="00EA5248">
        <w:rPr>
          <w:rFonts w:ascii="Times New Roman" w:hAnsi="Times New Roman" w:cs="Times New Roman"/>
          <w:sz w:val="24"/>
          <w:szCs w:val="24"/>
        </w:rPr>
        <w:t>Apply the increment to vocational school ELL students as well.</w:t>
      </w:r>
    </w:p>
    <w:p w:rsidR="00E26B35" w:rsidRPr="00EA5248" w:rsidRDefault="00E26B35" w:rsidP="00994221">
      <w:pPr>
        <w:spacing w:after="0" w:line="240" w:lineRule="auto"/>
        <w:ind w:left="360"/>
        <w:contextualSpacing/>
        <w:rPr>
          <w:rFonts w:ascii="Times New Roman" w:hAnsi="Times New Roman" w:cs="Times New Roman"/>
          <w:sz w:val="24"/>
          <w:szCs w:val="24"/>
        </w:rPr>
      </w:pPr>
    </w:p>
    <w:p w:rsidR="00EA5248" w:rsidRPr="00EA5248" w:rsidRDefault="00224A1F" w:rsidP="00994221">
      <w:pPr>
        <w:numPr>
          <w:ilvl w:val="0"/>
          <w:numId w:val="3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Increase</w:t>
      </w:r>
      <w:r w:rsidRPr="00EA5248">
        <w:rPr>
          <w:rFonts w:ascii="Times New Roman" w:hAnsi="Times New Roman" w:cs="Times New Roman"/>
          <w:sz w:val="24"/>
          <w:szCs w:val="24"/>
        </w:rPr>
        <w:t xml:space="preserve"> </w:t>
      </w:r>
      <w:r w:rsidR="00EA5248" w:rsidRPr="00EA5248">
        <w:rPr>
          <w:rFonts w:ascii="Times New Roman" w:hAnsi="Times New Roman" w:cs="Times New Roman"/>
          <w:sz w:val="24"/>
          <w:szCs w:val="24"/>
        </w:rPr>
        <w:t xml:space="preserve">the increment for </w:t>
      </w:r>
      <w:r>
        <w:rPr>
          <w:rFonts w:ascii="Times New Roman" w:hAnsi="Times New Roman" w:cs="Times New Roman"/>
          <w:sz w:val="24"/>
          <w:szCs w:val="24"/>
        </w:rPr>
        <w:t>all grade levels,</w:t>
      </w:r>
      <w:r w:rsidR="00EA5248" w:rsidRPr="00EA5248">
        <w:rPr>
          <w:rFonts w:ascii="Times New Roman" w:hAnsi="Times New Roman" w:cs="Times New Roman"/>
          <w:sz w:val="24"/>
          <w:szCs w:val="24"/>
        </w:rPr>
        <w:t xml:space="preserve"> including high school</w:t>
      </w:r>
      <w:r>
        <w:rPr>
          <w:rFonts w:ascii="Times New Roman" w:hAnsi="Times New Roman" w:cs="Times New Roman"/>
          <w:sz w:val="24"/>
          <w:szCs w:val="24"/>
        </w:rPr>
        <w:t>,</w:t>
      </w:r>
      <w:r w:rsidR="00EA5248" w:rsidRPr="00EA5248">
        <w:rPr>
          <w:rFonts w:ascii="Times New Roman" w:hAnsi="Times New Roman" w:cs="Times New Roman"/>
          <w:sz w:val="24"/>
          <w:szCs w:val="24"/>
        </w:rPr>
        <w:t xml:space="preserve"> to the current </w:t>
      </w:r>
      <w:r w:rsidR="00A80CD6">
        <w:rPr>
          <w:rFonts w:ascii="Times New Roman" w:hAnsi="Times New Roman" w:cs="Times New Roman"/>
          <w:sz w:val="24"/>
          <w:szCs w:val="24"/>
        </w:rPr>
        <w:t xml:space="preserve">effective </w:t>
      </w:r>
      <w:r w:rsidR="00EA5248" w:rsidRPr="00EA5248">
        <w:rPr>
          <w:rFonts w:ascii="Times New Roman" w:hAnsi="Times New Roman" w:cs="Times New Roman"/>
          <w:sz w:val="24"/>
          <w:szCs w:val="24"/>
        </w:rPr>
        <w:t xml:space="preserve">middle school </w:t>
      </w:r>
      <w:r w:rsidR="00A80CD6">
        <w:rPr>
          <w:rFonts w:ascii="Times New Roman" w:hAnsi="Times New Roman" w:cs="Times New Roman"/>
          <w:sz w:val="24"/>
          <w:szCs w:val="24"/>
        </w:rPr>
        <w:t xml:space="preserve">increment </w:t>
      </w:r>
      <w:r w:rsidR="00C91E9A">
        <w:rPr>
          <w:rFonts w:ascii="Times New Roman" w:hAnsi="Times New Roman" w:cs="Times New Roman"/>
          <w:sz w:val="24"/>
          <w:szCs w:val="24"/>
        </w:rPr>
        <w:t>of $</w:t>
      </w:r>
      <w:r w:rsidR="00A80CD6">
        <w:rPr>
          <w:rFonts w:ascii="Times New Roman" w:hAnsi="Times New Roman" w:cs="Times New Roman"/>
          <w:sz w:val="24"/>
          <w:szCs w:val="24"/>
        </w:rPr>
        <w:t>2,361</w:t>
      </w:r>
      <w:r w:rsidR="00C91E9A">
        <w:rPr>
          <w:rFonts w:ascii="Times New Roman" w:hAnsi="Times New Roman" w:cs="Times New Roman"/>
          <w:sz w:val="24"/>
          <w:szCs w:val="24"/>
        </w:rPr>
        <w:t>.</w:t>
      </w:r>
      <w:r w:rsidR="00EA5248" w:rsidRPr="00EA5248">
        <w:rPr>
          <w:rFonts w:ascii="Times New Roman" w:hAnsi="Times New Roman" w:cs="Times New Roman"/>
          <w:sz w:val="24"/>
          <w:szCs w:val="24"/>
        </w:rPr>
        <w:t xml:space="preserve"> </w:t>
      </w:r>
      <w:r w:rsidR="00EA5248">
        <w:rPr>
          <w:rFonts w:ascii="Times New Roman" w:hAnsi="Times New Roman" w:cs="Times New Roman"/>
          <w:sz w:val="24"/>
          <w:szCs w:val="24"/>
        </w:rPr>
        <w:t>This would increase the range of ELL-only weightings and expand available funds for staff-intensive high school age interventions.</w:t>
      </w:r>
    </w:p>
    <w:p w:rsidR="00EA5248" w:rsidRPr="00F61E4B" w:rsidRDefault="00EA5248" w:rsidP="00994221">
      <w:pPr>
        <w:spacing w:after="0" w:line="240" w:lineRule="auto"/>
        <w:rPr>
          <w:rFonts w:ascii="Times New Roman" w:eastAsia="Times New Roman" w:hAnsi="Times New Roman" w:cs="Times New Roman"/>
          <w:sz w:val="24"/>
          <w:szCs w:val="24"/>
        </w:rPr>
      </w:pPr>
    </w:p>
    <w:p w:rsidR="00F61E4B" w:rsidRDefault="00F61E4B" w:rsidP="00994221">
      <w:pPr>
        <w:pStyle w:val="ListParagraph"/>
        <w:spacing w:after="0" w:line="240" w:lineRule="auto"/>
        <w:ind w:left="360"/>
        <w:rPr>
          <w:rFonts w:ascii="Times New Roman" w:eastAsia="Times New Roman" w:hAnsi="Times New Roman" w:cs="Times New Roman"/>
          <w:sz w:val="24"/>
          <w:szCs w:val="24"/>
        </w:rPr>
      </w:pPr>
    </w:p>
    <w:p w:rsidR="00994221" w:rsidRPr="00F61E4B" w:rsidRDefault="00994221" w:rsidP="00994221">
      <w:pPr>
        <w:pStyle w:val="ListParagraph"/>
        <w:spacing w:after="0" w:line="240" w:lineRule="auto"/>
        <w:ind w:left="360"/>
        <w:rPr>
          <w:rFonts w:ascii="Times New Roman" w:eastAsia="Times New Roman" w:hAnsi="Times New Roman" w:cs="Times New Roman"/>
          <w:sz w:val="24"/>
          <w:szCs w:val="24"/>
        </w:rPr>
      </w:pPr>
    </w:p>
    <w:p w:rsidR="008E65AC" w:rsidRDefault="00F61E4B" w:rsidP="00994221">
      <w:pPr>
        <w:pStyle w:val="ListParagraph"/>
        <w:numPr>
          <w:ilvl w:val="0"/>
          <w:numId w:val="18"/>
        </w:numPr>
        <w:spacing w:after="0" w:line="240" w:lineRule="auto"/>
        <w:rPr>
          <w:rFonts w:ascii="Times New Roman" w:hAnsi="Times New Roman" w:cs="Times New Roman"/>
          <w:b/>
          <w:sz w:val="32"/>
          <w:szCs w:val="32"/>
        </w:rPr>
      </w:pPr>
      <w:r>
        <w:rPr>
          <w:rFonts w:ascii="Times New Roman" w:hAnsi="Times New Roman" w:cs="Times New Roman"/>
          <w:b/>
          <w:sz w:val="32"/>
          <w:szCs w:val="32"/>
        </w:rPr>
        <w:t>Low</w:t>
      </w:r>
      <w:r w:rsidR="00670EDD">
        <w:rPr>
          <w:rFonts w:ascii="Times New Roman" w:hAnsi="Times New Roman" w:cs="Times New Roman"/>
          <w:b/>
          <w:sz w:val="32"/>
          <w:szCs w:val="32"/>
        </w:rPr>
        <w:t>-</w:t>
      </w:r>
      <w:r>
        <w:rPr>
          <w:rFonts w:ascii="Times New Roman" w:hAnsi="Times New Roman" w:cs="Times New Roman"/>
          <w:b/>
          <w:sz w:val="32"/>
          <w:szCs w:val="32"/>
        </w:rPr>
        <w:t>Income Students</w:t>
      </w:r>
    </w:p>
    <w:p w:rsidR="008E65AC" w:rsidRDefault="008E65AC" w:rsidP="00994221">
      <w:pPr>
        <w:spacing w:after="0" w:line="240" w:lineRule="auto"/>
        <w:rPr>
          <w:rFonts w:ascii="Times New Roman" w:hAnsi="Times New Roman" w:cs="Times New Roman"/>
          <w:b/>
          <w:sz w:val="32"/>
          <w:szCs w:val="32"/>
        </w:rPr>
      </w:pPr>
    </w:p>
    <w:p w:rsidR="008E65AC" w:rsidRDefault="008E65AC" w:rsidP="00994221">
      <w:pPr>
        <w:spacing w:after="120" w:line="240" w:lineRule="auto"/>
        <w:contextualSpacing/>
        <w:rPr>
          <w:rFonts w:ascii="Times New Roman" w:eastAsiaTheme="minorEastAsia" w:hAnsi="Times New Roman" w:cs="Times New Roman"/>
          <w:b/>
          <w:iCs/>
          <w:sz w:val="24"/>
          <w:szCs w:val="24"/>
          <w:u w:val="single"/>
          <w:lang w:eastAsia="ru-RU"/>
        </w:rPr>
      </w:pPr>
      <w:r w:rsidRPr="00321F16">
        <w:rPr>
          <w:rFonts w:ascii="Times New Roman" w:eastAsiaTheme="minorEastAsia" w:hAnsi="Times New Roman" w:cs="Times New Roman"/>
          <w:b/>
          <w:iCs/>
          <w:sz w:val="24"/>
          <w:szCs w:val="24"/>
          <w:u w:val="single"/>
          <w:lang w:eastAsia="ru-RU"/>
        </w:rPr>
        <w:t>Findings</w:t>
      </w:r>
    </w:p>
    <w:p w:rsidR="00E26B35" w:rsidRPr="00C10402" w:rsidRDefault="00E26B35" w:rsidP="00994221">
      <w:pPr>
        <w:spacing w:after="120" w:line="240" w:lineRule="auto"/>
        <w:contextualSpacing/>
        <w:rPr>
          <w:rFonts w:ascii="Times New Roman" w:eastAsiaTheme="minorEastAsia" w:hAnsi="Times New Roman" w:cs="Times New Roman"/>
          <w:b/>
          <w:iCs/>
          <w:sz w:val="24"/>
          <w:szCs w:val="24"/>
          <w:u w:val="single"/>
          <w:lang w:eastAsia="ru-RU"/>
        </w:rPr>
      </w:pPr>
    </w:p>
    <w:p w:rsidR="008E65AC" w:rsidRDefault="008E65AC" w:rsidP="00994221">
      <w:pPr>
        <w:spacing w:after="0" w:line="240" w:lineRule="auto"/>
        <w:rPr>
          <w:rFonts w:ascii="Times New Roman" w:hAnsi="Times New Roman" w:cs="Times New Roman"/>
          <w:sz w:val="24"/>
          <w:szCs w:val="24"/>
        </w:rPr>
      </w:pPr>
      <w:r w:rsidRPr="008E65AC">
        <w:rPr>
          <w:rFonts w:ascii="Times New Roman" w:hAnsi="Times New Roman" w:cs="Times New Roman"/>
          <w:sz w:val="24"/>
          <w:szCs w:val="24"/>
        </w:rPr>
        <w:t xml:space="preserve">Recommended weightings for low income students in the national literature range from an </w:t>
      </w:r>
      <w:r w:rsidR="00C40C61">
        <w:rPr>
          <w:rFonts w:ascii="Times New Roman" w:hAnsi="Times New Roman" w:cs="Times New Roman"/>
          <w:sz w:val="24"/>
          <w:szCs w:val="24"/>
        </w:rPr>
        <w:t xml:space="preserve">(admittedly conservative) </w:t>
      </w:r>
      <w:r w:rsidRPr="008E65AC">
        <w:rPr>
          <w:rFonts w:ascii="Times New Roman" w:hAnsi="Times New Roman" w:cs="Times New Roman"/>
          <w:sz w:val="24"/>
          <w:szCs w:val="24"/>
        </w:rPr>
        <w:t xml:space="preserve">40% more than </w:t>
      </w:r>
      <w:r>
        <w:rPr>
          <w:rFonts w:ascii="Times New Roman" w:hAnsi="Times New Roman" w:cs="Times New Roman"/>
          <w:sz w:val="24"/>
          <w:szCs w:val="24"/>
        </w:rPr>
        <w:t xml:space="preserve">the base per student rate to 100% more. The low income increments in MA range from 32% at the high school level to </w:t>
      </w:r>
      <w:r w:rsidR="00870CAA">
        <w:rPr>
          <w:rFonts w:ascii="Times New Roman" w:hAnsi="Times New Roman" w:cs="Times New Roman"/>
          <w:sz w:val="24"/>
          <w:szCs w:val="24"/>
        </w:rPr>
        <w:t>50%</w:t>
      </w:r>
      <w:r w:rsidR="00C40C61">
        <w:rPr>
          <w:rFonts w:ascii="Times New Roman" w:hAnsi="Times New Roman" w:cs="Times New Roman"/>
          <w:sz w:val="24"/>
          <w:szCs w:val="24"/>
        </w:rPr>
        <w:t xml:space="preserve"> at the</w:t>
      </w:r>
      <w:r w:rsidR="003E5544">
        <w:rPr>
          <w:rFonts w:ascii="Times New Roman" w:hAnsi="Times New Roman" w:cs="Times New Roman"/>
          <w:sz w:val="24"/>
          <w:szCs w:val="24"/>
        </w:rPr>
        <w:t xml:space="preserve"> junior high/ middle school</w:t>
      </w:r>
      <w:r w:rsidR="00E46BE0">
        <w:rPr>
          <w:rFonts w:ascii="Times New Roman" w:hAnsi="Times New Roman" w:cs="Times New Roman"/>
          <w:sz w:val="24"/>
          <w:szCs w:val="24"/>
        </w:rPr>
        <w:t xml:space="preserve"> l</w:t>
      </w:r>
      <w:r w:rsidR="00C40C61">
        <w:rPr>
          <w:rFonts w:ascii="Times New Roman" w:hAnsi="Times New Roman" w:cs="Times New Roman"/>
          <w:sz w:val="24"/>
          <w:szCs w:val="24"/>
        </w:rPr>
        <w:t>evel</w:t>
      </w:r>
      <w:r w:rsidR="00870CAA">
        <w:rPr>
          <w:rFonts w:ascii="Times New Roman" w:hAnsi="Times New Roman" w:cs="Times New Roman"/>
          <w:sz w:val="24"/>
          <w:szCs w:val="24"/>
        </w:rPr>
        <w:t xml:space="preserve">, with low income ELL  running between 30% and 84%. In our effort to determine where in the broader range of weightings MA should fall, the Commission reviewed the testimony made at public hearings and </w:t>
      </w:r>
      <w:r w:rsidR="00C40C61">
        <w:rPr>
          <w:rFonts w:ascii="Times New Roman" w:hAnsi="Times New Roman" w:cs="Times New Roman"/>
          <w:sz w:val="24"/>
          <w:szCs w:val="24"/>
        </w:rPr>
        <w:t xml:space="preserve">undertook </w:t>
      </w:r>
      <w:r w:rsidR="00870CAA">
        <w:rPr>
          <w:rFonts w:ascii="Times New Roman" w:hAnsi="Times New Roman" w:cs="Times New Roman"/>
          <w:sz w:val="24"/>
          <w:szCs w:val="24"/>
        </w:rPr>
        <w:t>focus</w:t>
      </w:r>
      <w:r w:rsidR="00C40C61">
        <w:rPr>
          <w:rFonts w:ascii="Times New Roman" w:hAnsi="Times New Roman" w:cs="Times New Roman"/>
          <w:sz w:val="24"/>
          <w:szCs w:val="24"/>
        </w:rPr>
        <w:t>ed</w:t>
      </w:r>
      <w:r w:rsidR="00870CAA">
        <w:rPr>
          <w:rFonts w:ascii="Times New Roman" w:hAnsi="Times New Roman" w:cs="Times New Roman"/>
          <w:sz w:val="24"/>
          <w:szCs w:val="24"/>
        </w:rPr>
        <w:t xml:space="preserve"> interviews with successful educators in the fall. Among districts which had successfully carried out turnaround efforts, either district wide, or at select schools within the district identified as Level Four schools, many common themes and best practices emerged as worthy of replication in the </w:t>
      </w:r>
      <w:r w:rsidR="00397E34">
        <w:rPr>
          <w:rFonts w:ascii="Times New Roman" w:hAnsi="Times New Roman" w:cs="Times New Roman"/>
          <w:sz w:val="24"/>
          <w:szCs w:val="24"/>
        </w:rPr>
        <w:t>effort t</w:t>
      </w:r>
      <w:r w:rsidR="00870CAA">
        <w:rPr>
          <w:rFonts w:ascii="Times New Roman" w:hAnsi="Times New Roman" w:cs="Times New Roman"/>
          <w:sz w:val="24"/>
          <w:szCs w:val="24"/>
        </w:rPr>
        <w:t xml:space="preserve">o better meet the needs of ELL and low income learners, </w:t>
      </w:r>
      <w:r w:rsidR="00397E34">
        <w:rPr>
          <w:rFonts w:ascii="Times New Roman" w:hAnsi="Times New Roman" w:cs="Times New Roman"/>
          <w:sz w:val="24"/>
          <w:szCs w:val="24"/>
        </w:rPr>
        <w:t xml:space="preserve">and reduce remaining achievement gaps, </w:t>
      </w:r>
      <w:r w:rsidR="00870CAA">
        <w:rPr>
          <w:rFonts w:ascii="Times New Roman" w:hAnsi="Times New Roman" w:cs="Times New Roman"/>
          <w:sz w:val="24"/>
          <w:szCs w:val="24"/>
        </w:rPr>
        <w:t>a few of which follow:</w:t>
      </w:r>
    </w:p>
    <w:p w:rsidR="00870CAA" w:rsidRDefault="00870CAA" w:rsidP="00994221">
      <w:pPr>
        <w:spacing w:after="0" w:line="240" w:lineRule="auto"/>
        <w:rPr>
          <w:rFonts w:ascii="Times New Roman" w:hAnsi="Times New Roman" w:cs="Times New Roman"/>
          <w:sz w:val="24"/>
          <w:szCs w:val="24"/>
        </w:rPr>
      </w:pPr>
    </w:p>
    <w:p w:rsidR="00870CAA" w:rsidRDefault="00870CAA" w:rsidP="00994221">
      <w:pPr>
        <w:pStyle w:val="ListParagraph"/>
        <w:numPr>
          <w:ilvl w:val="0"/>
          <w:numId w:val="46"/>
        </w:numPr>
        <w:spacing w:after="0" w:line="240" w:lineRule="auto"/>
        <w:rPr>
          <w:rFonts w:ascii="Times New Roman" w:hAnsi="Times New Roman" w:cs="Times New Roman"/>
          <w:sz w:val="24"/>
          <w:szCs w:val="24"/>
        </w:rPr>
      </w:pPr>
      <w:r w:rsidRPr="00BB3973">
        <w:rPr>
          <w:rFonts w:ascii="Times New Roman" w:hAnsi="Times New Roman" w:cs="Times New Roman"/>
          <w:sz w:val="24"/>
          <w:szCs w:val="24"/>
        </w:rPr>
        <w:t>Exte</w:t>
      </w:r>
      <w:r>
        <w:rPr>
          <w:rFonts w:ascii="Times New Roman" w:hAnsi="Times New Roman" w:cs="Times New Roman"/>
          <w:sz w:val="24"/>
          <w:szCs w:val="24"/>
        </w:rPr>
        <w:t>nding the school day or year</w:t>
      </w:r>
      <w:r w:rsidR="00397E34">
        <w:rPr>
          <w:rFonts w:ascii="Times New Roman" w:hAnsi="Times New Roman" w:cs="Times New Roman"/>
          <w:sz w:val="24"/>
          <w:szCs w:val="24"/>
        </w:rPr>
        <w:t>: This was among the top of the strategies identified as having been successful in the schools where it is tried. It is often extended to al</w:t>
      </w:r>
      <w:r w:rsidR="00994221">
        <w:rPr>
          <w:rFonts w:ascii="Times New Roman" w:hAnsi="Times New Roman" w:cs="Times New Roman"/>
          <w:sz w:val="24"/>
          <w:szCs w:val="24"/>
        </w:rPr>
        <w:t xml:space="preserve">low both more learning time for </w:t>
      </w:r>
      <w:proofErr w:type="gramStart"/>
      <w:r w:rsidR="00397E34">
        <w:rPr>
          <w:rFonts w:ascii="Times New Roman" w:hAnsi="Times New Roman" w:cs="Times New Roman"/>
          <w:sz w:val="24"/>
          <w:szCs w:val="24"/>
        </w:rPr>
        <w:t>students,</w:t>
      </w:r>
      <w:proofErr w:type="gramEnd"/>
      <w:r w:rsidR="00397E34">
        <w:rPr>
          <w:rFonts w:ascii="Times New Roman" w:hAnsi="Times New Roman" w:cs="Times New Roman"/>
          <w:sz w:val="24"/>
          <w:szCs w:val="24"/>
        </w:rPr>
        <w:t xml:space="preserve"> and common planning time for teachers and staff. More time is frequently viewed as essential to overcome existing deficits in learning and achievement.</w:t>
      </w:r>
    </w:p>
    <w:p w:rsidR="00397E34" w:rsidRDefault="00397E34" w:rsidP="0099422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Social and Emotional Needs/ Mental and Physical (including </w:t>
      </w:r>
      <w:r w:rsidR="00E46BE0">
        <w:rPr>
          <w:rFonts w:ascii="Times New Roman" w:hAnsi="Times New Roman" w:cs="Times New Roman"/>
          <w:sz w:val="24"/>
          <w:szCs w:val="24"/>
        </w:rPr>
        <w:t>O</w:t>
      </w:r>
      <w:r>
        <w:rPr>
          <w:rFonts w:ascii="Times New Roman" w:hAnsi="Times New Roman" w:cs="Times New Roman"/>
          <w:sz w:val="24"/>
          <w:szCs w:val="24"/>
        </w:rPr>
        <w:t>ral) Health: Although educators are quick to stress that social and emotional needs are different and distinct from mental health, almost everyone interviewed stressed that the growth of need in this area has been staggering. Many asserted that they could not have accurately predicted in 1993, or even ten years ago, how much more effort and cost would be needed to ensure an adequate supply of social workers, guidance and adjustment counselors, wraparound coordinators, and other staff to ensure that the needs of their students are met, and that students arrive school stable and ready to learn.</w:t>
      </w:r>
    </w:p>
    <w:p w:rsidR="00397E34" w:rsidRDefault="00397E34" w:rsidP="0099422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Instructional Improvement: Improving instruction is </w:t>
      </w:r>
      <w:r w:rsidR="00DE27BB">
        <w:rPr>
          <w:rFonts w:ascii="Times New Roman" w:hAnsi="Times New Roman" w:cs="Times New Roman"/>
          <w:sz w:val="24"/>
          <w:szCs w:val="24"/>
        </w:rPr>
        <w:t>usua</w:t>
      </w:r>
      <w:r w:rsidR="003E5544">
        <w:rPr>
          <w:rFonts w:ascii="Times New Roman" w:hAnsi="Times New Roman" w:cs="Times New Roman"/>
          <w:sz w:val="24"/>
          <w:szCs w:val="24"/>
        </w:rPr>
        <w:t>l</w:t>
      </w:r>
      <w:r>
        <w:rPr>
          <w:rFonts w:ascii="Times New Roman" w:hAnsi="Times New Roman" w:cs="Times New Roman"/>
          <w:sz w:val="24"/>
          <w:szCs w:val="24"/>
        </w:rPr>
        <w:t xml:space="preserve">ly key to any successful school turnaround, and several strategies emerge as valuable here: </w:t>
      </w:r>
      <w:r w:rsidR="00C94C9D">
        <w:rPr>
          <w:rFonts w:ascii="Times New Roman" w:hAnsi="Times New Roman" w:cs="Times New Roman"/>
          <w:sz w:val="24"/>
          <w:szCs w:val="24"/>
        </w:rPr>
        <w:t xml:space="preserve">increased and </w:t>
      </w:r>
      <w:r>
        <w:rPr>
          <w:rFonts w:ascii="Times New Roman" w:hAnsi="Times New Roman" w:cs="Times New Roman"/>
          <w:sz w:val="24"/>
          <w:szCs w:val="24"/>
        </w:rPr>
        <w:t>improved professional development, common planning time</w:t>
      </w:r>
      <w:r w:rsidR="00C94C9D">
        <w:rPr>
          <w:rFonts w:ascii="Times New Roman" w:hAnsi="Times New Roman" w:cs="Times New Roman"/>
          <w:sz w:val="24"/>
          <w:szCs w:val="24"/>
        </w:rPr>
        <w:t xml:space="preserve"> for teachers and staff</w:t>
      </w:r>
      <w:r>
        <w:rPr>
          <w:rFonts w:ascii="Times New Roman" w:hAnsi="Times New Roman" w:cs="Times New Roman"/>
          <w:sz w:val="24"/>
          <w:szCs w:val="24"/>
        </w:rPr>
        <w:t>, and the use of instructional teams and instructional coaches.</w:t>
      </w:r>
    </w:p>
    <w:p w:rsidR="00397E34" w:rsidRDefault="00397E34" w:rsidP="0099422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Targeted Class Size Reductions for the Highest Need Populations: Although the formula’s assumptions for K-3 class size, and for high needs students, are fairly low, several educators </w:t>
      </w:r>
      <w:r w:rsidR="00C94C9D">
        <w:rPr>
          <w:rFonts w:ascii="Times New Roman" w:hAnsi="Times New Roman" w:cs="Times New Roman"/>
          <w:sz w:val="24"/>
          <w:szCs w:val="24"/>
        </w:rPr>
        <w:t>stressed that, for certain of the highest need populations, such as the SIFE/SLIFE ELL students mentioned above, or other high school students with significant gaps to redress in a short time, or students with significant social-emotional needs, or who are at high risk of dropping out, or have a high history of truancy, who need intensive staff attention to help keep them in school and on task</w:t>
      </w:r>
      <w:r w:rsidR="003E5544">
        <w:rPr>
          <w:rFonts w:ascii="Times New Roman" w:hAnsi="Times New Roman" w:cs="Times New Roman"/>
          <w:sz w:val="24"/>
          <w:szCs w:val="24"/>
        </w:rPr>
        <w:t>, class sizes lower than 10 to 1 were often necessary to increase achievement rapidly</w:t>
      </w:r>
      <w:r w:rsidR="00C91E9A">
        <w:rPr>
          <w:rFonts w:ascii="Times New Roman" w:hAnsi="Times New Roman" w:cs="Times New Roman"/>
          <w:sz w:val="24"/>
          <w:szCs w:val="24"/>
        </w:rPr>
        <w:t>.</w:t>
      </w:r>
    </w:p>
    <w:p w:rsidR="00C94C9D" w:rsidRDefault="00C94C9D" w:rsidP="0099422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Early Education: Full Day Kindergarten and Full Day Pre-K. Many of the educators indicated both that bringing full day K into their districts had significantly impacted and improved school readiness, and that high on their wish list was the extension of full day pre-K and other early learning services in their districts.</w:t>
      </w:r>
    </w:p>
    <w:p w:rsidR="00DB7B90" w:rsidRDefault="00DB7B90" w:rsidP="00994221">
      <w:pPr>
        <w:pStyle w:val="ListParagraph"/>
        <w:spacing w:after="0" w:line="240" w:lineRule="auto"/>
        <w:rPr>
          <w:rFonts w:ascii="Times New Roman" w:hAnsi="Times New Roman" w:cs="Times New Roman"/>
          <w:sz w:val="24"/>
          <w:szCs w:val="24"/>
        </w:rPr>
      </w:pPr>
    </w:p>
    <w:p w:rsidR="00C94C9D" w:rsidRDefault="00C94C9D" w:rsidP="00994221">
      <w:pPr>
        <w:spacing w:after="0" w:line="240" w:lineRule="auto"/>
        <w:rPr>
          <w:rFonts w:ascii="Times New Roman" w:hAnsi="Times New Roman" w:cs="Times New Roman"/>
          <w:sz w:val="24"/>
          <w:szCs w:val="24"/>
        </w:rPr>
      </w:pPr>
      <w:r>
        <w:rPr>
          <w:rFonts w:ascii="Times New Roman" w:hAnsi="Times New Roman" w:cs="Times New Roman"/>
          <w:sz w:val="24"/>
          <w:szCs w:val="24"/>
        </w:rPr>
        <w:t>For some of these strategies, the Commission was presented with solid and det</w:t>
      </w:r>
      <w:r w:rsidR="00CB2D94">
        <w:rPr>
          <w:rFonts w:ascii="Times New Roman" w:hAnsi="Times New Roman" w:cs="Times New Roman"/>
          <w:sz w:val="24"/>
          <w:szCs w:val="24"/>
        </w:rPr>
        <w:t>ailed estimates for what these implementations cost. MA 2020 presented evidence that extended learning time (or ELT) costs approximately $1300-1500 per student. The Mass Budget and Policy Center (MBPC) presented a costing out of comprehensive wraparound services that was estimated at $1300 per student. Worcester school officials presented evidence that their successful efforts at turning around Level 4 school cost about $2000 more per student than other school</w:t>
      </w:r>
      <w:r w:rsidR="003E5544">
        <w:rPr>
          <w:rFonts w:ascii="Times New Roman" w:hAnsi="Times New Roman" w:cs="Times New Roman"/>
          <w:sz w:val="24"/>
          <w:szCs w:val="24"/>
        </w:rPr>
        <w:t>s in the</w:t>
      </w:r>
      <w:r w:rsidR="00CB2D94">
        <w:rPr>
          <w:rFonts w:ascii="Times New Roman" w:hAnsi="Times New Roman" w:cs="Times New Roman"/>
          <w:sz w:val="24"/>
          <w:szCs w:val="24"/>
        </w:rPr>
        <w:t xml:space="preserve"> district received. Other strategies proved more elusive to cost out</w:t>
      </w:r>
      <w:r w:rsidR="00E46BE0">
        <w:rPr>
          <w:rFonts w:ascii="Times New Roman" w:hAnsi="Times New Roman" w:cs="Times New Roman"/>
          <w:sz w:val="24"/>
          <w:szCs w:val="24"/>
        </w:rPr>
        <w:t>, although the range of weightings found in literature ranged from a conservative 40% in the Education Trust review, to 50% in the work of the Education Reform Review Commission of 2002, to almost 100% in Maryland</w:t>
      </w:r>
      <w:r w:rsidR="00CB2D94">
        <w:rPr>
          <w:rFonts w:ascii="Times New Roman" w:hAnsi="Times New Roman" w:cs="Times New Roman"/>
          <w:sz w:val="24"/>
          <w:szCs w:val="24"/>
        </w:rPr>
        <w:t>.</w:t>
      </w:r>
      <w:r w:rsidR="00DE27BB">
        <w:rPr>
          <w:rFonts w:ascii="Times New Roman" w:hAnsi="Times New Roman" w:cs="Times New Roman"/>
          <w:sz w:val="24"/>
          <w:szCs w:val="24"/>
        </w:rPr>
        <w:t xml:space="preserve"> </w:t>
      </w:r>
      <w:r w:rsidR="0061617B">
        <w:rPr>
          <w:rFonts w:ascii="Times New Roman" w:hAnsi="Times New Roman" w:cs="Times New Roman"/>
          <w:sz w:val="24"/>
          <w:szCs w:val="24"/>
        </w:rPr>
        <w:t xml:space="preserve"> It was also clear from our interviews</w:t>
      </w:r>
      <w:r w:rsidR="00DE27BB">
        <w:rPr>
          <w:rFonts w:ascii="Times New Roman" w:hAnsi="Times New Roman" w:cs="Times New Roman"/>
          <w:sz w:val="24"/>
          <w:szCs w:val="24"/>
        </w:rPr>
        <w:t xml:space="preserve"> and </w:t>
      </w:r>
      <w:r w:rsidR="00684F75">
        <w:rPr>
          <w:rFonts w:ascii="Times New Roman" w:hAnsi="Times New Roman" w:cs="Times New Roman"/>
          <w:sz w:val="24"/>
          <w:szCs w:val="24"/>
        </w:rPr>
        <w:t>emerging practices in other states</w:t>
      </w:r>
      <w:r w:rsidR="0061617B">
        <w:rPr>
          <w:rFonts w:ascii="Times New Roman" w:hAnsi="Times New Roman" w:cs="Times New Roman"/>
          <w:sz w:val="24"/>
          <w:szCs w:val="24"/>
        </w:rPr>
        <w:t xml:space="preserve"> that districts with the highest concentrations of poverty had a correspondingly high need for funding</w:t>
      </w:r>
      <w:r w:rsidR="00684F75">
        <w:rPr>
          <w:rFonts w:ascii="Times New Roman" w:hAnsi="Times New Roman" w:cs="Times New Roman"/>
          <w:sz w:val="24"/>
          <w:szCs w:val="24"/>
        </w:rPr>
        <w:t>. T</w:t>
      </w:r>
      <w:r w:rsidR="00DE27BB">
        <w:rPr>
          <w:rFonts w:ascii="Times New Roman" w:hAnsi="Times New Roman" w:cs="Times New Roman"/>
          <w:sz w:val="24"/>
          <w:szCs w:val="24"/>
        </w:rPr>
        <w:t xml:space="preserve">he fact of concentration of challenging populations </w:t>
      </w:r>
      <w:r w:rsidR="00DE27BB" w:rsidRPr="00684F75">
        <w:rPr>
          <w:rFonts w:ascii="Times New Roman" w:hAnsi="Times New Roman" w:cs="Times New Roman"/>
          <w:sz w:val="24"/>
          <w:szCs w:val="24"/>
        </w:rPr>
        <w:t>itself</w:t>
      </w:r>
      <w:r w:rsidR="00DE27BB">
        <w:rPr>
          <w:rFonts w:ascii="Times New Roman" w:hAnsi="Times New Roman" w:cs="Times New Roman"/>
          <w:sz w:val="24"/>
          <w:szCs w:val="24"/>
        </w:rPr>
        <w:t xml:space="preserve"> caused a change in the asset mix available to, and the expenditures required of, districts. </w:t>
      </w:r>
      <w:r w:rsidR="0061617B">
        <w:rPr>
          <w:rFonts w:ascii="Times New Roman" w:hAnsi="Times New Roman" w:cs="Times New Roman"/>
          <w:sz w:val="24"/>
          <w:szCs w:val="24"/>
        </w:rPr>
        <w:t xml:space="preserve"> </w:t>
      </w:r>
      <w:r w:rsidR="00684F75">
        <w:rPr>
          <w:rFonts w:ascii="Times New Roman" w:hAnsi="Times New Roman" w:cs="Times New Roman"/>
          <w:sz w:val="24"/>
          <w:szCs w:val="24"/>
        </w:rPr>
        <w:t>T</w:t>
      </w:r>
      <w:r w:rsidR="0061617B">
        <w:rPr>
          <w:rFonts w:ascii="Times New Roman" w:hAnsi="Times New Roman" w:cs="Times New Roman"/>
          <w:sz w:val="24"/>
          <w:szCs w:val="24"/>
        </w:rPr>
        <w:t>hey especially needed the educational and pedagogical synergies created by making more than one reform happen at a time.</w:t>
      </w:r>
    </w:p>
    <w:p w:rsidR="00CB2D94" w:rsidRDefault="00CB2D94" w:rsidP="00994221">
      <w:pPr>
        <w:spacing w:after="0" w:line="240" w:lineRule="auto"/>
        <w:rPr>
          <w:rFonts w:ascii="Times New Roman" w:hAnsi="Times New Roman" w:cs="Times New Roman"/>
          <w:sz w:val="24"/>
          <w:szCs w:val="24"/>
        </w:rPr>
      </w:pPr>
    </w:p>
    <w:p w:rsidR="00CB2D94" w:rsidRPr="00C94C9D" w:rsidRDefault="00CB2D94" w:rsidP="009942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other challenge faced by the Commission was this: No one strategy or group of </w:t>
      </w:r>
      <w:r w:rsidR="005E3CD4">
        <w:rPr>
          <w:rFonts w:ascii="Times New Roman" w:hAnsi="Times New Roman" w:cs="Times New Roman"/>
          <w:sz w:val="24"/>
          <w:szCs w:val="24"/>
        </w:rPr>
        <w:t>strategies</w:t>
      </w:r>
      <w:r>
        <w:rPr>
          <w:rFonts w:ascii="Times New Roman" w:hAnsi="Times New Roman" w:cs="Times New Roman"/>
          <w:sz w:val="24"/>
          <w:szCs w:val="24"/>
        </w:rPr>
        <w:t xml:space="preserve"> is used consistently in every school district, but no </w:t>
      </w:r>
      <w:r w:rsidR="00684F75">
        <w:rPr>
          <w:rFonts w:ascii="Times New Roman" w:hAnsi="Times New Roman" w:cs="Times New Roman"/>
          <w:sz w:val="24"/>
          <w:szCs w:val="24"/>
        </w:rPr>
        <w:t xml:space="preserve">model </w:t>
      </w:r>
      <w:r>
        <w:rPr>
          <w:rFonts w:ascii="Times New Roman" w:hAnsi="Times New Roman" w:cs="Times New Roman"/>
          <w:sz w:val="24"/>
          <w:szCs w:val="24"/>
        </w:rPr>
        <w:t>district limit</w:t>
      </w:r>
      <w:r w:rsidR="00684F75">
        <w:rPr>
          <w:rFonts w:ascii="Times New Roman" w:hAnsi="Times New Roman" w:cs="Times New Roman"/>
          <w:sz w:val="24"/>
          <w:szCs w:val="24"/>
        </w:rPr>
        <w:t>ed</w:t>
      </w:r>
      <w:r>
        <w:rPr>
          <w:rFonts w:ascii="Times New Roman" w:hAnsi="Times New Roman" w:cs="Times New Roman"/>
          <w:sz w:val="24"/>
          <w:szCs w:val="24"/>
        </w:rPr>
        <w:t xml:space="preserve"> so itself to one strategy only. Successful districts, and successful school turnarounds, require multiple concurrent, overlapping and reinforcing strategies, the exact details of which will vary from district to district. The question before the Commission was: How shall we account for the varying costs of diverse strategic educational choices through a standardized formula without simply summing the costs of every possible strategy, or limiting </w:t>
      </w:r>
      <w:r w:rsidR="0061617B">
        <w:rPr>
          <w:rFonts w:ascii="Times New Roman" w:hAnsi="Times New Roman" w:cs="Times New Roman"/>
          <w:sz w:val="24"/>
          <w:szCs w:val="24"/>
        </w:rPr>
        <w:t xml:space="preserve">districts to one strategy at a time? The recommendations below attempt to find a way through that question by recommending that the </w:t>
      </w:r>
      <w:proofErr w:type="gramStart"/>
      <w:r w:rsidR="0061617B">
        <w:rPr>
          <w:rFonts w:ascii="Times New Roman" w:hAnsi="Times New Roman" w:cs="Times New Roman"/>
          <w:sz w:val="24"/>
          <w:szCs w:val="24"/>
        </w:rPr>
        <w:t>low income</w:t>
      </w:r>
      <w:proofErr w:type="gramEnd"/>
      <w:r w:rsidR="0061617B">
        <w:rPr>
          <w:rFonts w:ascii="Times New Roman" w:hAnsi="Times New Roman" w:cs="Times New Roman"/>
          <w:sz w:val="24"/>
          <w:szCs w:val="24"/>
        </w:rPr>
        <w:t xml:space="preserve"> increment be increased based on concentration of poverty, and that the poorest districts be provided enough per student to ensure that </w:t>
      </w:r>
      <w:r w:rsidR="00684F75">
        <w:rPr>
          <w:rFonts w:ascii="Times New Roman" w:hAnsi="Times New Roman" w:cs="Times New Roman"/>
          <w:sz w:val="24"/>
          <w:szCs w:val="24"/>
        </w:rPr>
        <w:t>two to three</w:t>
      </w:r>
      <w:r w:rsidR="0061617B">
        <w:rPr>
          <w:rFonts w:ascii="Times New Roman" w:hAnsi="Times New Roman" w:cs="Times New Roman"/>
          <w:sz w:val="24"/>
          <w:szCs w:val="24"/>
        </w:rPr>
        <w:t xml:space="preserve"> reforms might be carried out simultaneously.</w:t>
      </w:r>
    </w:p>
    <w:p w:rsidR="008E65AC" w:rsidRPr="008E65AC" w:rsidRDefault="008E65AC" w:rsidP="00994221">
      <w:pPr>
        <w:spacing w:after="0" w:line="240" w:lineRule="auto"/>
        <w:rPr>
          <w:rFonts w:ascii="Times New Roman" w:hAnsi="Times New Roman" w:cs="Times New Roman"/>
          <w:sz w:val="24"/>
          <w:szCs w:val="24"/>
        </w:rPr>
      </w:pPr>
    </w:p>
    <w:p w:rsidR="00BD23A4" w:rsidRDefault="00BD23A4" w:rsidP="00994221">
      <w:pPr>
        <w:spacing w:after="120" w:line="240" w:lineRule="auto"/>
        <w:rPr>
          <w:rFonts w:ascii="Times New Roman" w:hAnsi="Times New Roman" w:cs="Times New Roman"/>
          <w:b/>
          <w:sz w:val="24"/>
          <w:szCs w:val="24"/>
          <w:u w:val="single"/>
        </w:rPr>
      </w:pPr>
    </w:p>
    <w:p w:rsidR="00E26B35" w:rsidRPr="00C10402" w:rsidRDefault="008E65AC" w:rsidP="00994221">
      <w:pPr>
        <w:spacing w:after="120" w:line="240" w:lineRule="auto"/>
        <w:rPr>
          <w:rFonts w:ascii="Times New Roman" w:hAnsi="Times New Roman" w:cs="Times New Roman"/>
          <w:b/>
          <w:sz w:val="24"/>
          <w:szCs w:val="24"/>
          <w:u w:val="single"/>
        </w:rPr>
      </w:pPr>
      <w:r w:rsidRPr="00321F16">
        <w:rPr>
          <w:rFonts w:ascii="Times New Roman" w:hAnsi="Times New Roman" w:cs="Times New Roman"/>
          <w:b/>
          <w:sz w:val="24"/>
          <w:szCs w:val="24"/>
          <w:u w:val="single"/>
        </w:rPr>
        <w:t>Recommendatio</w:t>
      </w:r>
      <w:r>
        <w:rPr>
          <w:rFonts w:ascii="Times New Roman" w:hAnsi="Times New Roman" w:cs="Times New Roman"/>
          <w:b/>
          <w:sz w:val="24"/>
          <w:szCs w:val="24"/>
          <w:u w:val="single"/>
        </w:rPr>
        <w:t>ns</w:t>
      </w:r>
    </w:p>
    <w:p w:rsidR="008E65AC" w:rsidRDefault="008E65AC" w:rsidP="00994221">
      <w:pPr>
        <w:pStyle w:val="ListParagraph"/>
        <w:numPr>
          <w:ilvl w:val="0"/>
          <w:numId w:val="45"/>
        </w:numPr>
        <w:spacing w:after="0" w:line="240" w:lineRule="auto"/>
        <w:rPr>
          <w:rFonts w:ascii="Times New Roman" w:hAnsi="Times New Roman" w:cs="Times New Roman"/>
          <w:sz w:val="24"/>
          <w:szCs w:val="24"/>
        </w:rPr>
      </w:pPr>
      <w:r w:rsidRPr="008E65AC">
        <w:rPr>
          <w:rFonts w:ascii="Times New Roman" w:hAnsi="Times New Roman" w:cs="Times New Roman"/>
          <w:sz w:val="24"/>
          <w:szCs w:val="24"/>
        </w:rPr>
        <w:t>Increase the increment for districts with high concentrations of low income students.</w:t>
      </w:r>
      <w:r w:rsidR="00684F75">
        <w:rPr>
          <w:rFonts w:ascii="Times New Roman" w:hAnsi="Times New Roman" w:cs="Times New Roman"/>
          <w:sz w:val="24"/>
          <w:szCs w:val="24"/>
        </w:rPr>
        <w:t xml:space="preserve"> The Legislature will need to determine specific increments </w:t>
      </w:r>
      <w:r w:rsidR="00684F75" w:rsidRPr="008E65AC">
        <w:rPr>
          <w:rFonts w:ascii="Times New Roman" w:hAnsi="Times New Roman" w:cs="Times New Roman"/>
          <w:sz w:val="24"/>
          <w:szCs w:val="24"/>
        </w:rPr>
        <w:t>based on further review of data and debate, but</w:t>
      </w:r>
      <w:r w:rsidR="00684F75">
        <w:rPr>
          <w:rFonts w:ascii="Times New Roman" w:hAnsi="Times New Roman" w:cs="Times New Roman"/>
          <w:sz w:val="24"/>
          <w:szCs w:val="24"/>
        </w:rPr>
        <w:t xml:space="preserve"> based on its review of national literature, practices in other states, and model districts within our own state, the Commission offers the guidance that that</w:t>
      </w:r>
      <w:r w:rsidR="00684F75" w:rsidRPr="008E65AC">
        <w:rPr>
          <w:rFonts w:ascii="Times New Roman" w:hAnsi="Times New Roman" w:cs="Times New Roman"/>
          <w:sz w:val="24"/>
          <w:szCs w:val="24"/>
        </w:rPr>
        <w:t xml:space="preserve"> weighting </w:t>
      </w:r>
      <w:r w:rsidR="00684F75">
        <w:rPr>
          <w:rFonts w:ascii="Times New Roman" w:hAnsi="Times New Roman" w:cs="Times New Roman"/>
          <w:sz w:val="24"/>
          <w:szCs w:val="24"/>
        </w:rPr>
        <w:t>should fall within the range of</w:t>
      </w:r>
      <w:r w:rsidR="00684F75" w:rsidRPr="008E65AC">
        <w:rPr>
          <w:rFonts w:ascii="Times New Roman" w:hAnsi="Times New Roman" w:cs="Times New Roman"/>
          <w:sz w:val="24"/>
          <w:szCs w:val="24"/>
        </w:rPr>
        <w:t xml:space="preserve"> </w:t>
      </w:r>
      <w:r w:rsidR="00684F75">
        <w:rPr>
          <w:rFonts w:ascii="Times New Roman" w:hAnsi="Times New Roman" w:cs="Times New Roman"/>
          <w:sz w:val="24"/>
          <w:szCs w:val="24"/>
        </w:rPr>
        <w:t>5</w:t>
      </w:r>
      <w:r w:rsidR="00684F75" w:rsidRPr="008E65AC">
        <w:rPr>
          <w:rFonts w:ascii="Times New Roman" w:hAnsi="Times New Roman" w:cs="Times New Roman"/>
          <w:sz w:val="24"/>
          <w:szCs w:val="24"/>
        </w:rPr>
        <w:t xml:space="preserve">0%-100% and that multiple concurrent interventions are necessary to effectively close achievement gaps. </w:t>
      </w:r>
      <w:r w:rsidR="00684F75">
        <w:rPr>
          <w:rFonts w:ascii="Times New Roman" w:hAnsi="Times New Roman" w:cs="Times New Roman"/>
          <w:sz w:val="24"/>
          <w:szCs w:val="24"/>
        </w:rPr>
        <w:t>The final decision should provide high poverty school districts with enough funding to pursue several turnaround strategies at once.</w:t>
      </w:r>
    </w:p>
    <w:p w:rsidR="00994221" w:rsidRPr="008E65AC" w:rsidRDefault="00994221" w:rsidP="00994221">
      <w:pPr>
        <w:pStyle w:val="ListParagraph"/>
        <w:spacing w:after="0" w:line="240" w:lineRule="auto"/>
        <w:ind w:left="360"/>
        <w:rPr>
          <w:rFonts w:ascii="Times New Roman" w:hAnsi="Times New Roman" w:cs="Times New Roman"/>
          <w:sz w:val="24"/>
          <w:szCs w:val="24"/>
        </w:rPr>
      </w:pPr>
    </w:p>
    <w:p w:rsidR="008E65AC" w:rsidRDefault="008E65AC" w:rsidP="00994221">
      <w:pPr>
        <w:pStyle w:val="ListParagraph"/>
        <w:numPr>
          <w:ilvl w:val="0"/>
          <w:numId w:val="45"/>
        </w:numPr>
        <w:spacing w:after="0" w:line="240" w:lineRule="auto"/>
        <w:rPr>
          <w:rFonts w:ascii="Times New Roman" w:hAnsi="Times New Roman" w:cs="Times New Roman"/>
          <w:sz w:val="24"/>
          <w:szCs w:val="24"/>
        </w:rPr>
      </w:pPr>
      <w:r w:rsidRPr="008E65AC">
        <w:rPr>
          <w:rFonts w:ascii="Times New Roman" w:hAnsi="Times New Roman" w:cs="Times New Roman"/>
          <w:sz w:val="24"/>
          <w:szCs w:val="24"/>
        </w:rPr>
        <w:t>Ensure</w:t>
      </w:r>
      <w:r w:rsidR="006D7236">
        <w:rPr>
          <w:rFonts w:ascii="Times New Roman" w:hAnsi="Times New Roman" w:cs="Times New Roman"/>
          <w:sz w:val="24"/>
          <w:szCs w:val="24"/>
        </w:rPr>
        <w:t xml:space="preserve"> </w:t>
      </w:r>
      <w:r w:rsidRPr="008E65AC">
        <w:rPr>
          <w:rFonts w:ascii="Times New Roman" w:hAnsi="Times New Roman" w:cs="Times New Roman"/>
          <w:sz w:val="24"/>
          <w:szCs w:val="24"/>
        </w:rPr>
        <w:t xml:space="preserve">that any new definition of economically disadvantaged </w:t>
      </w:r>
      <w:r w:rsidR="00684F75">
        <w:rPr>
          <w:rFonts w:ascii="Times New Roman" w:hAnsi="Times New Roman" w:cs="Times New Roman"/>
          <w:sz w:val="24"/>
          <w:szCs w:val="24"/>
        </w:rPr>
        <w:t xml:space="preserve">(necessitated by districts’ shift away from collection of free and reduced school lunch eligibility data) </w:t>
      </w:r>
      <w:r w:rsidRPr="008E65AC">
        <w:rPr>
          <w:rFonts w:ascii="Times New Roman" w:hAnsi="Times New Roman" w:cs="Times New Roman"/>
          <w:sz w:val="24"/>
          <w:szCs w:val="24"/>
        </w:rPr>
        <w:t xml:space="preserve">properly </w:t>
      </w:r>
      <w:r w:rsidR="00224A1F">
        <w:rPr>
          <w:rFonts w:ascii="Times New Roman" w:hAnsi="Times New Roman" w:cs="Times New Roman"/>
          <w:sz w:val="24"/>
          <w:szCs w:val="24"/>
        </w:rPr>
        <w:t xml:space="preserve">and </w:t>
      </w:r>
      <w:r w:rsidR="00174F8E">
        <w:rPr>
          <w:rFonts w:ascii="Times New Roman" w:hAnsi="Times New Roman" w:cs="Times New Roman"/>
          <w:sz w:val="24"/>
          <w:szCs w:val="24"/>
        </w:rPr>
        <w:t>accurate</w:t>
      </w:r>
      <w:r w:rsidR="00224A1F">
        <w:rPr>
          <w:rFonts w:ascii="Times New Roman" w:hAnsi="Times New Roman" w:cs="Times New Roman"/>
          <w:sz w:val="24"/>
          <w:szCs w:val="24"/>
        </w:rPr>
        <w:t xml:space="preserve">ly </w:t>
      </w:r>
      <w:proofErr w:type="gramStart"/>
      <w:r w:rsidRPr="008E65AC">
        <w:rPr>
          <w:rFonts w:ascii="Times New Roman" w:hAnsi="Times New Roman" w:cs="Times New Roman"/>
          <w:sz w:val="24"/>
          <w:szCs w:val="24"/>
        </w:rPr>
        <w:t xml:space="preserve">count </w:t>
      </w:r>
      <w:r w:rsidR="00224A1F">
        <w:rPr>
          <w:rFonts w:ascii="Times New Roman" w:hAnsi="Times New Roman" w:cs="Times New Roman"/>
          <w:sz w:val="24"/>
          <w:szCs w:val="24"/>
        </w:rPr>
        <w:t xml:space="preserve"> </w:t>
      </w:r>
      <w:r w:rsidR="00203B3B">
        <w:rPr>
          <w:rFonts w:ascii="Times New Roman" w:hAnsi="Times New Roman" w:cs="Times New Roman"/>
          <w:sz w:val="24"/>
          <w:szCs w:val="24"/>
        </w:rPr>
        <w:t>all</w:t>
      </w:r>
      <w:proofErr w:type="gramEnd"/>
      <w:r w:rsidR="00203B3B">
        <w:rPr>
          <w:rFonts w:ascii="Times New Roman" w:hAnsi="Times New Roman" w:cs="Times New Roman"/>
          <w:sz w:val="24"/>
          <w:szCs w:val="24"/>
        </w:rPr>
        <w:t xml:space="preserve"> </w:t>
      </w:r>
      <w:r w:rsidR="00224A1F">
        <w:rPr>
          <w:rFonts w:ascii="Times New Roman" w:hAnsi="Times New Roman" w:cs="Times New Roman"/>
          <w:sz w:val="24"/>
          <w:szCs w:val="24"/>
        </w:rPr>
        <w:t xml:space="preserve">economically </w:t>
      </w:r>
      <w:r w:rsidR="00203B3B">
        <w:rPr>
          <w:rFonts w:ascii="Times New Roman" w:hAnsi="Times New Roman" w:cs="Times New Roman"/>
          <w:sz w:val="24"/>
          <w:szCs w:val="24"/>
        </w:rPr>
        <w:t>needful</w:t>
      </w:r>
      <w:r w:rsidR="00224A1F">
        <w:rPr>
          <w:rFonts w:ascii="Times New Roman" w:hAnsi="Times New Roman" w:cs="Times New Roman"/>
          <w:sz w:val="24"/>
          <w:szCs w:val="24"/>
        </w:rPr>
        <w:t xml:space="preserve"> </w:t>
      </w:r>
      <w:r w:rsidRPr="008E65AC">
        <w:rPr>
          <w:rFonts w:ascii="Times New Roman" w:hAnsi="Times New Roman" w:cs="Times New Roman"/>
          <w:sz w:val="24"/>
          <w:szCs w:val="24"/>
        </w:rPr>
        <w:t>students.</w:t>
      </w:r>
    </w:p>
    <w:p w:rsidR="00994221" w:rsidRPr="008E65AC" w:rsidRDefault="00994221" w:rsidP="00994221">
      <w:pPr>
        <w:pStyle w:val="ListParagraph"/>
        <w:spacing w:after="0" w:line="240" w:lineRule="auto"/>
        <w:ind w:left="360"/>
        <w:rPr>
          <w:rFonts w:ascii="Times New Roman" w:hAnsi="Times New Roman" w:cs="Times New Roman"/>
          <w:sz w:val="24"/>
          <w:szCs w:val="24"/>
        </w:rPr>
      </w:pPr>
    </w:p>
    <w:p w:rsidR="008E65AC" w:rsidRDefault="008E65AC" w:rsidP="00994221">
      <w:pPr>
        <w:pStyle w:val="ListParagraph"/>
        <w:numPr>
          <w:ilvl w:val="0"/>
          <w:numId w:val="45"/>
        </w:numPr>
        <w:spacing w:after="0" w:line="240" w:lineRule="auto"/>
        <w:rPr>
          <w:rFonts w:ascii="Times New Roman" w:hAnsi="Times New Roman" w:cs="Times New Roman"/>
          <w:sz w:val="24"/>
          <w:szCs w:val="24"/>
        </w:rPr>
      </w:pPr>
      <w:r w:rsidRPr="008E65AC">
        <w:rPr>
          <w:rFonts w:ascii="Times New Roman" w:hAnsi="Times New Roman" w:cs="Times New Roman"/>
          <w:sz w:val="24"/>
          <w:szCs w:val="24"/>
        </w:rPr>
        <w:t>Leave the exact calculation of each increment to legislative action</w:t>
      </w:r>
      <w:r w:rsidR="007B710D">
        <w:rPr>
          <w:rFonts w:ascii="Times New Roman" w:hAnsi="Times New Roman" w:cs="Times New Roman"/>
          <w:sz w:val="24"/>
          <w:szCs w:val="24"/>
        </w:rPr>
        <w:t>.</w:t>
      </w:r>
      <w:r w:rsidRPr="008E65AC">
        <w:rPr>
          <w:rFonts w:ascii="Times New Roman" w:hAnsi="Times New Roman" w:cs="Times New Roman"/>
          <w:sz w:val="24"/>
          <w:szCs w:val="24"/>
        </w:rPr>
        <w:t xml:space="preserve"> </w:t>
      </w:r>
    </w:p>
    <w:p w:rsidR="00994221" w:rsidRDefault="00994221" w:rsidP="00994221">
      <w:pPr>
        <w:pStyle w:val="ListParagraph"/>
        <w:spacing w:after="0" w:line="240" w:lineRule="auto"/>
        <w:ind w:left="360"/>
        <w:rPr>
          <w:rFonts w:ascii="Times New Roman" w:hAnsi="Times New Roman" w:cs="Times New Roman"/>
          <w:sz w:val="24"/>
          <w:szCs w:val="24"/>
        </w:rPr>
      </w:pPr>
    </w:p>
    <w:p w:rsidR="005E3CD4" w:rsidRDefault="005E3CD4" w:rsidP="00994221">
      <w:pPr>
        <w:pStyle w:val="ListParagraph"/>
        <w:numPr>
          <w:ilvl w:val="0"/>
          <w:numId w:val="45"/>
        </w:numPr>
        <w:spacing w:after="0" w:line="240" w:lineRule="auto"/>
        <w:rPr>
          <w:rFonts w:ascii="Times New Roman" w:hAnsi="Times New Roman" w:cs="Times New Roman"/>
          <w:sz w:val="24"/>
          <w:szCs w:val="24"/>
        </w:rPr>
      </w:pPr>
      <w:r w:rsidRPr="004F5DC8">
        <w:rPr>
          <w:rFonts w:ascii="Times New Roman" w:hAnsi="Times New Roman" w:cs="Times New Roman"/>
          <w:sz w:val="24"/>
          <w:szCs w:val="24"/>
        </w:rPr>
        <w:t>Require each district to post a plan online</w:t>
      </w:r>
      <w:r>
        <w:rPr>
          <w:rFonts w:ascii="Times New Roman" w:hAnsi="Times New Roman" w:cs="Times New Roman"/>
          <w:sz w:val="24"/>
          <w:szCs w:val="24"/>
        </w:rPr>
        <w:t>, on a highly accessible and visible state website as well as their district site,</w:t>
      </w:r>
      <w:r w:rsidRPr="004F5DC8">
        <w:rPr>
          <w:rFonts w:ascii="Times New Roman" w:hAnsi="Times New Roman" w:cs="Times New Roman"/>
          <w:sz w:val="24"/>
          <w:szCs w:val="24"/>
        </w:rPr>
        <w:t xml:space="preserve"> about how it will use the funds calculated in the ELL and low income allotments to serve the intended populations, what outcome metrics they will use to measure the success of the programs so funded, </w:t>
      </w:r>
      <w:r w:rsidR="00224A1F">
        <w:rPr>
          <w:rFonts w:ascii="Times New Roman" w:hAnsi="Times New Roman" w:cs="Times New Roman"/>
          <w:sz w:val="24"/>
          <w:szCs w:val="24"/>
        </w:rPr>
        <w:t xml:space="preserve">performance against those metrics, </w:t>
      </w:r>
      <w:r w:rsidRPr="004F5DC8">
        <w:rPr>
          <w:rFonts w:ascii="Times New Roman" w:hAnsi="Times New Roman" w:cs="Times New Roman"/>
          <w:sz w:val="24"/>
          <w:szCs w:val="24"/>
        </w:rPr>
        <w:t>and</w:t>
      </w:r>
      <w:r w:rsidR="0032432D">
        <w:rPr>
          <w:rFonts w:ascii="Times New Roman" w:hAnsi="Times New Roman" w:cs="Times New Roman"/>
          <w:sz w:val="24"/>
          <w:szCs w:val="24"/>
        </w:rPr>
        <w:t>, subsequent</w:t>
      </w:r>
      <w:r w:rsidR="00224A1F">
        <w:rPr>
          <w:rFonts w:ascii="Times New Roman" w:hAnsi="Times New Roman" w:cs="Times New Roman"/>
          <w:sz w:val="24"/>
          <w:szCs w:val="24"/>
        </w:rPr>
        <w:t>ly</w:t>
      </w:r>
      <w:r w:rsidR="0032432D">
        <w:rPr>
          <w:rFonts w:ascii="Times New Roman" w:hAnsi="Times New Roman" w:cs="Times New Roman"/>
          <w:sz w:val="24"/>
          <w:szCs w:val="24"/>
        </w:rPr>
        <w:t>,</w:t>
      </w:r>
      <w:r w:rsidRPr="004F5DC8">
        <w:rPr>
          <w:rFonts w:ascii="Times New Roman" w:hAnsi="Times New Roman" w:cs="Times New Roman"/>
          <w:sz w:val="24"/>
          <w:szCs w:val="24"/>
        </w:rPr>
        <w:t xml:space="preserve"> the results of the funding on improving student achievement. The plan will be public</w:t>
      </w:r>
      <w:r w:rsidR="00DB7B90">
        <w:rPr>
          <w:rFonts w:ascii="Times New Roman" w:hAnsi="Times New Roman" w:cs="Times New Roman"/>
          <w:sz w:val="24"/>
          <w:szCs w:val="24"/>
        </w:rPr>
        <w:t>,</w:t>
      </w:r>
      <w:r w:rsidRPr="004F5DC8">
        <w:rPr>
          <w:rFonts w:ascii="Times New Roman" w:hAnsi="Times New Roman" w:cs="Times New Roman"/>
          <w:sz w:val="24"/>
          <w:szCs w:val="24"/>
        </w:rPr>
        <w:t xml:space="preserve"> but not subject to approval by DESE. The plan, which can be part of required school improvement plans, should detail how funds are being used to improve instructional quality, and</w:t>
      </w:r>
      <w:r>
        <w:rPr>
          <w:rFonts w:ascii="Times New Roman" w:hAnsi="Times New Roman" w:cs="Times New Roman"/>
          <w:sz w:val="24"/>
          <w:szCs w:val="24"/>
        </w:rPr>
        <w:t>/or</w:t>
      </w:r>
      <w:r w:rsidRPr="004F5DC8">
        <w:rPr>
          <w:rFonts w:ascii="Times New Roman" w:hAnsi="Times New Roman" w:cs="Times New Roman"/>
          <w:sz w:val="24"/>
          <w:szCs w:val="24"/>
        </w:rPr>
        <w:t xml:space="preserve"> ensure that services are provided that allow every student to arrive at school physical</w:t>
      </w:r>
      <w:r w:rsidR="0032432D">
        <w:rPr>
          <w:rFonts w:ascii="Times New Roman" w:hAnsi="Times New Roman" w:cs="Times New Roman"/>
          <w:sz w:val="24"/>
          <w:szCs w:val="24"/>
        </w:rPr>
        <w:t>ly</w:t>
      </w:r>
      <w:r w:rsidRPr="004F5DC8">
        <w:rPr>
          <w:rFonts w:ascii="Times New Roman" w:hAnsi="Times New Roman" w:cs="Times New Roman"/>
          <w:sz w:val="24"/>
          <w:szCs w:val="24"/>
        </w:rPr>
        <w:t xml:space="preserve"> and mentally healthy, with their social and emotional needs met, and ready to learn.</w:t>
      </w:r>
    </w:p>
    <w:p w:rsidR="00994221" w:rsidRPr="008E65AC" w:rsidRDefault="00994221" w:rsidP="00994221">
      <w:pPr>
        <w:pStyle w:val="ListParagraph"/>
        <w:spacing w:after="0" w:line="240" w:lineRule="auto"/>
        <w:ind w:left="360"/>
        <w:rPr>
          <w:rFonts w:ascii="Times New Roman" w:hAnsi="Times New Roman" w:cs="Times New Roman"/>
          <w:sz w:val="24"/>
          <w:szCs w:val="24"/>
        </w:rPr>
      </w:pPr>
    </w:p>
    <w:p w:rsidR="005E3CD4" w:rsidRPr="005E3CD4" w:rsidRDefault="008E65AC" w:rsidP="00994221">
      <w:pPr>
        <w:pStyle w:val="ListParagraph"/>
        <w:numPr>
          <w:ilvl w:val="0"/>
          <w:numId w:val="45"/>
        </w:numPr>
        <w:spacing w:after="0" w:line="240" w:lineRule="auto"/>
        <w:rPr>
          <w:rFonts w:ascii="Times New Roman" w:hAnsi="Times New Roman" w:cs="Times New Roman"/>
          <w:b/>
          <w:sz w:val="32"/>
          <w:szCs w:val="32"/>
        </w:rPr>
      </w:pPr>
      <w:r w:rsidRPr="008E65AC">
        <w:rPr>
          <w:rFonts w:ascii="Times New Roman" w:hAnsi="Times New Roman" w:cs="Times New Roman"/>
          <w:sz w:val="24"/>
          <w:szCs w:val="24"/>
        </w:rPr>
        <w:t>Consistent with testimony</w:t>
      </w:r>
      <w:r w:rsidR="005E3CD4">
        <w:rPr>
          <w:rFonts w:ascii="Times New Roman" w:hAnsi="Times New Roman" w:cs="Times New Roman"/>
          <w:sz w:val="24"/>
          <w:szCs w:val="24"/>
        </w:rPr>
        <w:t xml:space="preserve"> provided to the Commission</w:t>
      </w:r>
      <w:r w:rsidR="00DB7B90">
        <w:rPr>
          <w:rFonts w:ascii="Times New Roman" w:hAnsi="Times New Roman" w:cs="Times New Roman"/>
          <w:sz w:val="24"/>
          <w:szCs w:val="24"/>
        </w:rPr>
        <w:t>,</w:t>
      </w:r>
      <w:r w:rsidRPr="008E65AC">
        <w:rPr>
          <w:rFonts w:ascii="Times New Roman" w:hAnsi="Times New Roman" w:cs="Times New Roman"/>
          <w:sz w:val="24"/>
          <w:szCs w:val="24"/>
        </w:rPr>
        <w:t xml:space="preserve"> the interviews conducted by Commission staff, </w:t>
      </w:r>
      <w:r w:rsidR="005E3CD4">
        <w:rPr>
          <w:rFonts w:ascii="Times New Roman" w:hAnsi="Times New Roman" w:cs="Times New Roman"/>
          <w:sz w:val="24"/>
          <w:szCs w:val="24"/>
        </w:rPr>
        <w:t xml:space="preserve">and a national literature review to identify best practices, </w:t>
      </w:r>
      <w:r w:rsidRPr="008E65AC">
        <w:rPr>
          <w:rFonts w:ascii="Times New Roman" w:hAnsi="Times New Roman" w:cs="Times New Roman"/>
          <w:sz w:val="24"/>
          <w:szCs w:val="24"/>
        </w:rPr>
        <w:t xml:space="preserve">we anticipate that districts will use funding flexibility for one or more of the following best practices: a) expanded learning time, in the form of a longer day and/or year, and inclusive, where appropriate, of common planning time for teachers, b) wraparound services that improve and maintain the health of our students, including </w:t>
      </w:r>
      <w:r w:rsidR="005E3CD4">
        <w:rPr>
          <w:rFonts w:ascii="Times New Roman" w:hAnsi="Times New Roman" w:cs="Times New Roman"/>
          <w:sz w:val="24"/>
          <w:szCs w:val="24"/>
        </w:rPr>
        <w:t xml:space="preserve">social and emotional health and skills, </w:t>
      </w:r>
      <w:r w:rsidRPr="008E65AC">
        <w:rPr>
          <w:rFonts w:ascii="Times New Roman" w:hAnsi="Times New Roman" w:cs="Times New Roman"/>
          <w:sz w:val="24"/>
          <w:szCs w:val="24"/>
        </w:rPr>
        <w:t xml:space="preserve">mental health and oral health, c) </w:t>
      </w:r>
      <w:r w:rsidR="005E3CD4">
        <w:rPr>
          <w:rFonts w:ascii="Times New Roman" w:hAnsi="Times New Roman" w:cs="Times New Roman"/>
          <w:sz w:val="24"/>
          <w:szCs w:val="24"/>
        </w:rPr>
        <w:t xml:space="preserve">hiring staff at levels that support improved student performance and the development of the whole child, d) </w:t>
      </w:r>
      <w:r w:rsidRPr="008E65AC">
        <w:rPr>
          <w:rFonts w:ascii="Times New Roman" w:hAnsi="Times New Roman" w:cs="Times New Roman"/>
          <w:sz w:val="24"/>
          <w:szCs w:val="24"/>
        </w:rPr>
        <w:t xml:space="preserve">increased or improved professional development rooted in pedagogical research, and focused on instructional improvement, including evidence-based practices such as hiring instructional coaches, </w:t>
      </w:r>
      <w:r w:rsidR="005E3CD4">
        <w:rPr>
          <w:rFonts w:ascii="Times New Roman" w:hAnsi="Times New Roman" w:cs="Times New Roman"/>
          <w:sz w:val="24"/>
          <w:szCs w:val="24"/>
        </w:rPr>
        <w:t>e</w:t>
      </w:r>
      <w:r w:rsidRPr="008E65AC">
        <w:rPr>
          <w:rFonts w:ascii="Times New Roman" w:hAnsi="Times New Roman" w:cs="Times New Roman"/>
          <w:sz w:val="24"/>
          <w:szCs w:val="24"/>
        </w:rPr>
        <w:t>) purchase of up-to-date curriculum materials and equipment, incl</w:t>
      </w:r>
      <w:r w:rsidR="005E3CD4">
        <w:rPr>
          <w:rFonts w:ascii="Times New Roman" w:hAnsi="Times New Roman" w:cs="Times New Roman"/>
          <w:sz w:val="24"/>
          <w:szCs w:val="24"/>
        </w:rPr>
        <w:t>uding instructional technology</w:t>
      </w:r>
      <w:r w:rsidR="00224A1F">
        <w:rPr>
          <w:rFonts w:ascii="Times New Roman" w:hAnsi="Times New Roman" w:cs="Times New Roman"/>
          <w:sz w:val="24"/>
          <w:szCs w:val="24"/>
        </w:rPr>
        <w:t>, and f) expanding kindergarten, pre-school, and early education options within the district</w:t>
      </w:r>
      <w:r w:rsidR="005E3CD4">
        <w:rPr>
          <w:rFonts w:ascii="Times New Roman" w:hAnsi="Times New Roman" w:cs="Times New Roman"/>
          <w:sz w:val="24"/>
          <w:szCs w:val="24"/>
        </w:rPr>
        <w:t>.</w:t>
      </w:r>
    </w:p>
    <w:p w:rsidR="005E3CD4" w:rsidRDefault="005E3CD4" w:rsidP="00994221">
      <w:pPr>
        <w:pStyle w:val="ListParagraph"/>
        <w:spacing w:after="0" w:line="240" w:lineRule="auto"/>
        <w:jc w:val="center"/>
        <w:rPr>
          <w:rFonts w:ascii="Times New Roman" w:hAnsi="Times New Roman" w:cs="Times New Roman"/>
          <w:sz w:val="24"/>
          <w:szCs w:val="24"/>
        </w:rPr>
      </w:pPr>
    </w:p>
    <w:p w:rsidR="00EA5248" w:rsidRPr="004213E2" w:rsidRDefault="00DB7B90" w:rsidP="004213E2">
      <w:pPr>
        <w:spacing w:after="0" w:line="240" w:lineRule="auto"/>
        <w:jc w:val="center"/>
        <w:rPr>
          <w:rFonts w:ascii="Times New Roman" w:hAnsi="Times New Roman" w:cs="Times New Roman"/>
          <w:b/>
          <w:sz w:val="32"/>
          <w:szCs w:val="32"/>
        </w:rPr>
      </w:pPr>
      <w:r w:rsidRPr="004213E2">
        <w:rPr>
          <w:rFonts w:ascii="Times New Roman" w:hAnsi="Times New Roman" w:cs="Times New Roman"/>
          <w:b/>
          <w:sz w:val="32"/>
          <w:szCs w:val="32"/>
        </w:rPr>
        <w:br w:type="page"/>
      </w:r>
      <w:r w:rsidR="00994221" w:rsidRPr="004213E2">
        <w:rPr>
          <w:rFonts w:ascii="Times New Roman" w:hAnsi="Times New Roman" w:cs="Times New Roman"/>
          <w:b/>
          <w:sz w:val="32"/>
          <w:szCs w:val="32"/>
        </w:rPr>
        <w:lastRenderedPageBreak/>
        <w:t>–</w:t>
      </w:r>
      <w:r w:rsidR="004213E2" w:rsidRPr="004213E2">
        <w:rPr>
          <w:rFonts w:ascii="Times New Roman" w:hAnsi="Times New Roman" w:cs="Times New Roman"/>
          <w:b/>
          <w:sz w:val="32"/>
          <w:szCs w:val="32"/>
        </w:rPr>
        <w:t xml:space="preserve"> </w:t>
      </w:r>
      <w:r w:rsidR="00EA5248" w:rsidRPr="004213E2">
        <w:rPr>
          <w:rFonts w:ascii="Times New Roman" w:hAnsi="Times New Roman" w:cs="Times New Roman"/>
          <w:b/>
          <w:sz w:val="32"/>
          <w:szCs w:val="32"/>
        </w:rPr>
        <w:t>PART B –</w:t>
      </w:r>
    </w:p>
    <w:p w:rsidR="00994221" w:rsidRDefault="00994221" w:rsidP="00994221">
      <w:pPr>
        <w:spacing w:after="0" w:line="240" w:lineRule="auto"/>
        <w:jc w:val="center"/>
        <w:rPr>
          <w:rFonts w:ascii="Times New Roman" w:hAnsi="Times New Roman" w:cs="Times New Roman"/>
          <w:b/>
          <w:sz w:val="32"/>
          <w:szCs w:val="32"/>
        </w:rPr>
      </w:pPr>
    </w:p>
    <w:p w:rsidR="0037106E" w:rsidRDefault="00EA5248" w:rsidP="00994221">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EFFI</w:t>
      </w:r>
      <w:r w:rsidR="00944B19">
        <w:rPr>
          <w:rFonts w:ascii="Times New Roman" w:hAnsi="Times New Roman" w:cs="Times New Roman"/>
          <w:b/>
          <w:sz w:val="32"/>
          <w:szCs w:val="32"/>
        </w:rPr>
        <w:t>CI</w:t>
      </w:r>
      <w:r>
        <w:rPr>
          <w:rFonts w:ascii="Times New Roman" w:hAnsi="Times New Roman" w:cs="Times New Roman"/>
          <w:b/>
          <w:sz w:val="32"/>
          <w:szCs w:val="32"/>
        </w:rPr>
        <w:t>ENT AND EFFECTIVE RESOURCE ALLOCATION</w:t>
      </w:r>
    </w:p>
    <w:p w:rsidR="00944B19" w:rsidRDefault="00944B19" w:rsidP="00994221">
      <w:pPr>
        <w:spacing w:after="0" w:line="240" w:lineRule="auto"/>
        <w:jc w:val="center"/>
        <w:rPr>
          <w:rFonts w:ascii="Times New Roman" w:hAnsi="Times New Roman" w:cs="Times New Roman"/>
          <w:b/>
          <w:sz w:val="32"/>
          <w:szCs w:val="32"/>
        </w:rPr>
      </w:pPr>
    </w:p>
    <w:p w:rsidR="00944B19" w:rsidRDefault="00944B19" w:rsidP="00994221">
      <w:pPr>
        <w:spacing w:after="0" w:line="240" w:lineRule="auto"/>
        <w:rPr>
          <w:rFonts w:ascii="Times New Roman" w:hAnsi="Times New Roman" w:cs="Times New Roman"/>
          <w:sz w:val="24"/>
          <w:szCs w:val="24"/>
        </w:rPr>
      </w:pPr>
      <w:r w:rsidRPr="00944B19">
        <w:rPr>
          <w:rFonts w:ascii="Times New Roman" w:hAnsi="Times New Roman" w:cs="Times New Roman"/>
          <w:sz w:val="24"/>
          <w:szCs w:val="24"/>
        </w:rPr>
        <w:t>In the course of deliberations, Commission mem</w:t>
      </w:r>
      <w:r>
        <w:rPr>
          <w:rFonts w:ascii="Times New Roman" w:hAnsi="Times New Roman" w:cs="Times New Roman"/>
          <w:sz w:val="24"/>
          <w:szCs w:val="24"/>
        </w:rPr>
        <w:t>be</w:t>
      </w:r>
      <w:r w:rsidRPr="00944B19">
        <w:rPr>
          <w:rFonts w:ascii="Times New Roman" w:hAnsi="Times New Roman" w:cs="Times New Roman"/>
          <w:sz w:val="24"/>
          <w:szCs w:val="24"/>
        </w:rPr>
        <w:t>rs often found the</w:t>
      </w:r>
      <w:r>
        <w:rPr>
          <w:rFonts w:ascii="Times New Roman" w:hAnsi="Times New Roman" w:cs="Times New Roman"/>
          <w:sz w:val="24"/>
          <w:szCs w:val="24"/>
        </w:rPr>
        <w:t xml:space="preserve">mselves desiring even more detailed information than that immediately available. In addition, in approving foundation budget increases, they wanted to ensure the funding was used effectively and accountably to meet the educational needs of our most vulnerable children and high needs students. </w:t>
      </w:r>
      <w:r w:rsidR="004F5DC8">
        <w:rPr>
          <w:rFonts w:ascii="Times New Roman" w:hAnsi="Times New Roman" w:cs="Times New Roman"/>
          <w:sz w:val="24"/>
          <w:szCs w:val="24"/>
        </w:rPr>
        <w:t xml:space="preserve"> The first part of the recommendations below represents specific recommendations relative to the low income and ELL increment increases proposed</w:t>
      </w:r>
      <w:r w:rsidR="00A97E17">
        <w:rPr>
          <w:rFonts w:ascii="Times New Roman" w:hAnsi="Times New Roman" w:cs="Times New Roman"/>
          <w:sz w:val="24"/>
          <w:szCs w:val="24"/>
        </w:rPr>
        <w:t xml:space="preserve"> in Part A of this report</w:t>
      </w:r>
      <w:r w:rsidR="004F5DC8">
        <w:rPr>
          <w:rFonts w:ascii="Times New Roman" w:hAnsi="Times New Roman" w:cs="Times New Roman"/>
          <w:sz w:val="24"/>
          <w:szCs w:val="24"/>
        </w:rPr>
        <w:t>, and</w:t>
      </w:r>
      <w:r w:rsidR="00994221">
        <w:rPr>
          <w:rFonts w:ascii="Times New Roman" w:hAnsi="Times New Roman" w:cs="Times New Roman"/>
          <w:sz w:val="24"/>
          <w:szCs w:val="24"/>
        </w:rPr>
        <w:t xml:space="preserve"> about school-based budgeting, </w:t>
      </w:r>
      <w:r w:rsidR="004F5DC8">
        <w:rPr>
          <w:rFonts w:ascii="Times New Roman" w:hAnsi="Times New Roman" w:cs="Times New Roman"/>
          <w:sz w:val="24"/>
          <w:szCs w:val="24"/>
        </w:rPr>
        <w:t>the second part is the recommendation of a data working group that made recommendations to the Commission in September</w:t>
      </w:r>
      <w:r w:rsidR="00A97E17">
        <w:rPr>
          <w:rFonts w:ascii="Times New Roman" w:hAnsi="Times New Roman" w:cs="Times New Roman"/>
          <w:sz w:val="24"/>
          <w:szCs w:val="24"/>
        </w:rPr>
        <w:t xml:space="preserve">, and the third section contains the recommendations of the Commission relative to early </w:t>
      </w:r>
      <w:r w:rsidR="00174F8E">
        <w:rPr>
          <w:rFonts w:ascii="Times New Roman" w:hAnsi="Times New Roman" w:cs="Times New Roman"/>
          <w:sz w:val="24"/>
          <w:szCs w:val="24"/>
        </w:rPr>
        <w:t>education.</w:t>
      </w:r>
    </w:p>
    <w:p w:rsidR="004F5DC8" w:rsidRDefault="004F5DC8" w:rsidP="00994221">
      <w:pPr>
        <w:spacing w:after="0" w:line="240" w:lineRule="auto"/>
        <w:rPr>
          <w:rFonts w:ascii="Times New Roman" w:hAnsi="Times New Roman" w:cs="Times New Roman"/>
          <w:sz w:val="24"/>
          <w:szCs w:val="24"/>
        </w:rPr>
      </w:pPr>
    </w:p>
    <w:p w:rsidR="004F5DC8" w:rsidRDefault="005E3CD4" w:rsidP="00994221">
      <w:pPr>
        <w:spacing w:after="120" w:line="240" w:lineRule="auto"/>
        <w:rPr>
          <w:rFonts w:ascii="Times New Roman" w:hAnsi="Times New Roman" w:cs="Times New Roman"/>
          <w:b/>
          <w:sz w:val="24"/>
          <w:szCs w:val="24"/>
          <w:u w:val="single"/>
        </w:rPr>
      </w:pPr>
      <w:r>
        <w:rPr>
          <w:rFonts w:ascii="Times New Roman" w:hAnsi="Times New Roman" w:cs="Times New Roman"/>
          <w:b/>
          <w:sz w:val="24"/>
          <w:szCs w:val="24"/>
          <w:u w:val="single"/>
        </w:rPr>
        <w:t>Data Collection</w:t>
      </w:r>
      <w:r w:rsidR="004F5DC8">
        <w:rPr>
          <w:rFonts w:ascii="Times New Roman" w:hAnsi="Times New Roman" w:cs="Times New Roman"/>
          <w:b/>
          <w:sz w:val="24"/>
          <w:szCs w:val="24"/>
          <w:u w:val="single"/>
        </w:rPr>
        <w:t xml:space="preserve"> </w:t>
      </w:r>
      <w:r w:rsidR="004F5DC8" w:rsidRPr="00321F16">
        <w:rPr>
          <w:rFonts w:ascii="Times New Roman" w:hAnsi="Times New Roman" w:cs="Times New Roman"/>
          <w:b/>
          <w:sz w:val="24"/>
          <w:szCs w:val="24"/>
          <w:u w:val="single"/>
        </w:rPr>
        <w:t>Recommendatio</w:t>
      </w:r>
      <w:r w:rsidR="004F5DC8">
        <w:rPr>
          <w:rFonts w:ascii="Times New Roman" w:hAnsi="Times New Roman" w:cs="Times New Roman"/>
          <w:b/>
          <w:sz w:val="24"/>
          <w:szCs w:val="24"/>
          <w:u w:val="single"/>
        </w:rPr>
        <w:t>ns</w:t>
      </w:r>
    </w:p>
    <w:p w:rsidR="004F5DC8" w:rsidRDefault="004F5DC8" w:rsidP="00994221">
      <w:pPr>
        <w:pStyle w:val="ListParagraph"/>
        <w:numPr>
          <w:ilvl w:val="0"/>
          <w:numId w:val="36"/>
        </w:numPr>
        <w:spacing w:line="240" w:lineRule="auto"/>
        <w:rPr>
          <w:rFonts w:ascii="Times New Roman" w:hAnsi="Times New Roman" w:cs="Times New Roman"/>
          <w:sz w:val="24"/>
          <w:szCs w:val="24"/>
        </w:rPr>
      </w:pPr>
      <w:r w:rsidRPr="004F5DC8">
        <w:rPr>
          <w:rFonts w:ascii="Times New Roman" w:hAnsi="Times New Roman" w:cs="Times New Roman"/>
          <w:sz w:val="24"/>
          <w:szCs w:val="24"/>
        </w:rPr>
        <w:t>Establish a data collection and reporting system that tracks funding allocated for ELL and Low Income students to ensure that spending is targeted to the intended populations, and to provide a better data source to future Foundation Budget Review Commissions about the accuracy and adequacy of the low income and ELL increments.</w:t>
      </w:r>
    </w:p>
    <w:p w:rsidR="005E3CD4" w:rsidRPr="005E3CD4" w:rsidRDefault="005E3CD4" w:rsidP="00994221">
      <w:pPr>
        <w:pStyle w:val="ListParagraph"/>
        <w:spacing w:line="240" w:lineRule="auto"/>
        <w:rPr>
          <w:rFonts w:ascii="Times New Roman" w:hAnsi="Times New Roman" w:cs="Times New Roman"/>
          <w:sz w:val="24"/>
          <w:szCs w:val="24"/>
        </w:rPr>
      </w:pPr>
    </w:p>
    <w:p w:rsidR="004F5DC8" w:rsidRDefault="004F5DC8" w:rsidP="00994221">
      <w:pPr>
        <w:pStyle w:val="ListParagraph"/>
        <w:numPr>
          <w:ilvl w:val="0"/>
          <w:numId w:val="36"/>
        </w:numPr>
        <w:spacing w:after="0" w:line="240" w:lineRule="auto"/>
        <w:rPr>
          <w:rFonts w:ascii="Times New Roman" w:hAnsi="Times New Roman" w:cs="Times New Roman"/>
          <w:sz w:val="24"/>
          <w:szCs w:val="24"/>
        </w:rPr>
      </w:pPr>
      <w:r w:rsidRPr="004F5DC8">
        <w:rPr>
          <w:rFonts w:ascii="Times New Roman" w:hAnsi="Times New Roman" w:cs="Times New Roman"/>
          <w:sz w:val="24"/>
          <w:szCs w:val="24"/>
        </w:rPr>
        <w:t>Establish a data collection and reporting system that allows for greater access to school-level expenditures and data across all districts to increase the understanding of state level policy makes about effective school-level interventions and investments, and which connects that data to student achievement data so more informed decisions can be made about the productivity, efficiency , and effectiveness</w:t>
      </w:r>
      <w:r w:rsidR="00DB7B90">
        <w:rPr>
          <w:rFonts w:ascii="Times New Roman" w:hAnsi="Times New Roman" w:cs="Times New Roman"/>
          <w:sz w:val="24"/>
          <w:szCs w:val="24"/>
        </w:rPr>
        <w:t xml:space="preserve"> of state expenditures.</w:t>
      </w:r>
    </w:p>
    <w:p w:rsidR="004F5DC8" w:rsidRDefault="004F5DC8" w:rsidP="00994221">
      <w:pPr>
        <w:spacing w:after="0" w:line="240" w:lineRule="auto"/>
        <w:rPr>
          <w:rFonts w:ascii="Times New Roman" w:hAnsi="Times New Roman" w:cs="Times New Roman"/>
          <w:sz w:val="24"/>
          <w:szCs w:val="24"/>
        </w:rPr>
      </w:pPr>
    </w:p>
    <w:p w:rsidR="004F5DC8" w:rsidRDefault="00084800" w:rsidP="0099422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Stakeholder Data Advisory Group Recommendations</w:t>
      </w:r>
    </w:p>
    <w:p w:rsidR="00156AB9" w:rsidRDefault="00156AB9" w:rsidP="00994221">
      <w:pPr>
        <w:pStyle w:val="ListParagraph"/>
        <w:spacing w:after="0" w:line="240" w:lineRule="auto"/>
        <w:ind w:left="360"/>
        <w:rPr>
          <w:b/>
        </w:rPr>
      </w:pPr>
    </w:p>
    <w:p w:rsidR="00994221" w:rsidRPr="00994221" w:rsidRDefault="004F5DC8" w:rsidP="00994221">
      <w:pPr>
        <w:pStyle w:val="ListParagraph"/>
        <w:numPr>
          <w:ilvl w:val="0"/>
          <w:numId w:val="39"/>
        </w:numPr>
        <w:spacing w:after="0" w:line="240" w:lineRule="auto"/>
        <w:rPr>
          <w:rFonts w:ascii="Times New Roman" w:hAnsi="Times New Roman" w:cs="Times New Roman"/>
          <w:i/>
          <w:sz w:val="24"/>
          <w:szCs w:val="24"/>
        </w:rPr>
      </w:pPr>
      <w:r w:rsidRPr="00994221">
        <w:rPr>
          <w:rFonts w:ascii="Times New Roman" w:hAnsi="Times New Roman" w:cs="Times New Roman"/>
          <w:i/>
          <w:sz w:val="24"/>
          <w:szCs w:val="24"/>
        </w:rPr>
        <w:t>Establish Stakeholder Data Advisory Committee</w:t>
      </w:r>
    </w:p>
    <w:p w:rsidR="00DB7B90" w:rsidRPr="00994221" w:rsidRDefault="00156AB9" w:rsidP="00994221">
      <w:pPr>
        <w:pStyle w:val="ListParagraph"/>
        <w:spacing w:after="0" w:line="240" w:lineRule="auto"/>
        <w:ind w:left="360"/>
        <w:rPr>
          <w:rFonts w:ascii="Times New Roman" w:hAnsi="Times New Roman" w:cs="Times New Roman"/>
          <w:sz w:val="24"/>
          <w:szCs w:val="24"/>
        </w:rPr>
      </w:pPr>
      <w:r w:rsidRPr="00994221">
        <w:rPr>
          <w:rFonts w:ascii="Times New Roman" w:hAnsi="Times New Roman" w:cs="Times New Roman"/>
          <w:sz w:val="24"/>
          <w:szCs w:val="24"/>
        </w:rPr>
        <w:t>T</w:t>
      </w:r>
      <w:r w:rsidR="004F5DC8" w:rsidRPr="00994221">
        <w:rPr>
          <w:rFonts w:ascii="Times New Roman" w:hAnsi="Times New Roman" w:cs="Times New Roman"/>
          <w:sz w:val="24"/>
          <w:szCs w:val="24"/>
        </w:rPr>
        <w:t xml:space="preserve">he Department of Elementary and Secondary Education (DESE), in collaboration with the Executive Office of Education (EOE), </w:t>
      </w:r>
      <w:r w:rsidRPr="00994221">
        <w:rPr>
          <w:rFonts w:ascii="Times New Roman" w:hAnsi="Times New Roman" w:cs="Times New Roman"/>
          <w:sz w:val="24"/>
          <w:szCs w:val="24"/>
        </w:rPr>
        <w:t xml:space="preserve">should </w:t>
      </w:r>
      <w:r w:rsidR="004F5DC8" w:rsidRPr="00994221">
        <w:rPr>
          <w:rFonts w:ascii="Times New Roman" w:hAnsi="Times New Roman" w:cs="Times New Roman"/>
          <w:sz w:val="24"/>
          <w:szCs w:val="24"/>
        </w:rPr>
        <w:t>convene a Stakeholder Data Advisory Committee to promote effective resource allocation decisions at the local level</w:t>
      </w:r>
    </w:p>
    <w:p w:rsidR="00DB7B90" w:rsidRDefault="00DB7B90" w:rsidP="00994221">
      <w:pPr>
        <w:spacing w:after="0" w:line="240" w:lineRule="auto"/>
        <w:rPr>
          <w:rFonts w:ascii="Times New Roman" w:hAnsi="Times New Roman" w:cs="Times New Roman"/>
          <w:sz w:val="24"/>
          <w:szCs w:val="24"/>
        </w:rPr>
      </w:pPr>
    </w:p>
    <w:p w:rsidR="00994221" w:rsidRDefault="004F5DC8" w:rsidP="00994221">
      <w:pPr>
        <w:pStyle w:val="ListParagraph"/>
        <w:numPr>
          <w:ilvl w:val="0"/>
          <w:numId w:val="39"/>
        </w:numPr>
        <w:spacing w:after="0" w:line="240" w:lineRule="auto"/>
        <w:rPr>
          <w:rFonts w:ascii="Times New Roman" w:hAnsi="Times New Roman" w:cs="Times New Roman"/>
          <w:i/>
          <w:sz w:val="24"/>
          <w:szCs w:val="24"/>
        </w:rPr>
      </w:pPr>
      <w:r w:rsidRPr="00994221">
        <w:rPr>
          <w:rFonts w:ascii="Times New Roman" w:hAnsi="Times New Roman" w:cs="Times New Roman"/>
          <w:i/>
          <w:sz w:val="24"/>
          <w:szCs w:val="24"/>
        </w:rPr>
        <w:t>Purpose of Data Advisory Committee</w:t>
      </w:r>
    </w:p>
    <w:p w:rsidR="004F5DC8" w:rsidRPr="00994221" w:rsidRDefault="004F5DC8" w:rsidP="00994221">
      <w:pPr>
        <w:pStyle w:val="ListParagraph"/>
        <w:spacing w:after="0" w:line="240" w:lineRule="auto"/>
        <w:ind w:left="360"/>
        <w:rPr>
          <w:rFonts w:ascii="Times New Roman" w:hAnsi="Times New Roman" w:cs="Times New Roman"/>
          <w:i/>
          <w:sz w:val="24"/>
          <w:szCs w:val="24"/>
        </w:rPr>
      </w:pPr>
      <w:r w:rsidRPr="00994221">
        <w:rPr>
          <w:rFonts w:ascii="Times New Roman" w:hAnsi="Times New Roman" w:cs="Times New Roman"/>
          <w:sz w:val="24"/>
          <w:szCs w:val="24"/>
        </w:rPr>
        <w:t>The Data Advisory Committee will assist DESE to identify, implement and assess cost-effective ways to achieve three goals:</w:t>
      </w:r>
    </w:p>
    <w:p w:rsidR="004F5DC8" w:rsidRPr="00156AB9" w:rsidRDefault="004F5DC8" w:rsidP="00994221">
      <w:pPr>
        <w:pStyle w:val="ListParagraph"/>
        <w:numPr>
          <w:ilvl w:val="0"/>
          <w:numId w:val="42"/>
        </w:numPr>
        <w:spacing w:after="0" w:line="240" w:lineRule="auto"/>
        <w:rPr>
          <w:rFonts w:ascii="Times New Roman" w:hAnsi="Times New Roman" w:cs="Times New Roman"/>
          <w:sz w:val="24"/>
          <w:szCs w:val="24"/>
        </w:rPr>
      </w:pPr>
      <w:r w:rsidRPr="00156AB9">
        <w:rPr>
          <w:rFonts w:ascii="Times New Roman" w:hAnsi="Times New Roman" w:cs="Times New Roman"/>
          <w:sz w:val="24"/>
          <w:szCs w:val="24"/>
        </w:rPr>
        <w:t>Streamline financial reporting, eliminate duplicate reporting requirements, and improve data quality</w:t>
      </w:r>
    </w:p>
    <w:p w:rsidR="004F5DC8" w:rsidRPr="00156AB9" w:rsidRDefault="004F5DC8" w:rsidP="00994221">
      <w:pPr>
        <w:pStyle w:val="ListParagraph"/>
        <w:numPr>
          <w:ilvl w:val="0"/>
          <w:numId w:val="42"/>
        </w:numPr>
        <w:spacing w:after="0" w:line="240" w:lineRule="auto"/>
        <w:rPr>
          <w:rFonts w:ascii="Times New Roman" w:hAnsi="Times New Roman" w:cs="Times New Roman"/>
          <w:sz w:val="24"/>
          <w:szCs w:val="24"/>
        </w:rPr>
      </w:pPr>
      <w:r w:rsidRPr="00156AB9">
        <w:rPr>
          <w:rFonts w:ascii="Times New Roman" w:hAnsi="Times New Roman" w:cs="Times New Roman"/>
          <w:sz w:val="24"/>
          <w:szCs w:val="24"/>
        </w:rPr>
        <w:t xml:space="preserve">Strengthen DESE capacity to analyze and report staffing, scheduling and financial data in ways that support strategic resource allocation decisions at the </w:t>
      </w:r>
      <w:r w:rsidR="00A97E17">
        <w:rPr>
          <w:rFonts w:ascii="Times New Roman" w:hAnsi="Times New Roman" w:cs="Times New Roman"/>
          <w:sz w:val="24"/>
          <w:szCs w:val="24"/>
        </w:rPr>
        <w:t>district and school</w:t>
      </w:r>
      <w:r w:rsidR="00A97E17" w:rsidRPr="00156AB9">
        <w:rPr>
          <w:rFonts w:ascii="Times New Roman" w:hAnsi="Times New Roman" w:cs="Times New Roman"/>
          <w:sz w:val="24"/>
          <w:szCs w:val="24"/>
        </w:rPr>
        <w:t xml:space="preserve"> </w:t>
      </w:r>
      <w:r w:rsidRPr="00156AB9">
        <w:rPr>
          <w:rFonts w:ascii="Times New Roman" w:hAnsi="Times New Roman" w:cs="Times New Roman"/>
          <w:sz w:val="24"/>
          <w:szCs w:val="24"/>
        </w:rPr>
        <w:t>level</w:t>
      </w:r>
    </w:p>
    <w:p w:rsidR="004F5DC8" w:rsidRPr="00156AB9" w:rsidRDefault="004F5DC8" w:rsidP="00994221">
      <w:pPr>
        <w:pStyle w:val="ListParagraph"/>
        <w:numPr>
          <w:ilvl w:val="0"/>
          <w:numId w:val="42"/>
        </w:numPr>
        <w:spacing w:after="0" w:line="240" w:lineRule="auto"/>
        <w:rPr>
          <w:rFonts w:ascii="Times New Roman" w:hAnsi="Times New Roman" w:cs="Times New Roman"/>
          <w:sz w:val="24"/>
          <w:szCs w:val="24"/>
        </w:rPr>
      </w:pPr>
      <w:r w:rsidRPr="00156AB9">
        <w:rPr>
          <w:rFonts w:ascii="Times New Roman" w:hAnsi="Times New Roman" w:cs="Times New Roman"/>
          <w:sz w:val="24"/>
          <w:szCs w:val="24"/>
        </w:rPr>
        <w:t>Strengthen district capacity to use data to make strategic resource allocation decisions</w:t>
      </w:r>
    </w:p>
    <w:p w:rsidR="00156AB9" w:rsidRDefault="00156AB9" w:rsidP="00994221">
      <w:pPr>
        <w:spacing w:after="0" w:line="240" w:lineRule="auto"/>
        <w:rPr>
          <w:rFonts w:ascii="Times New Roman" w:hAnsi="Times New Roman" w:cs="Times New Roman"/>
          <w:sz w:val="24"/>
          <w:szCs w:val="24"/>
        </w:rPr>
      </w:pPr>
    </w:p>
    <w:p w:rsidR="00994221" w:rsidRDefault="004F5DC8" w:rsidP="00994221">
      <w:pPr>
        <w:pStyle w:val="ListParagraph"/>
        <w:numPr>
          <w:ilvl w:val="0"/>
          <w:numId w:val="39"/>
        </w:numPr>
        <w:spacing w:after="0" w:line="240" w:lineRule="auto"/>
        <w:rPr>
          <w:rFonts w:ascii="Times New Roman" w:hAnsi="Times New Roman" w:cs="Times New Roman"/>
          <w:i/>
          <w:sz w:val="24"/>
          <w:szCs w:val="24"/>
        </w:rPr>
      </w:pPr>
      <w:r w:rsidRPr="00994221">
        <w:rPr>
          <w:rFonts w:ascii="Times New Roman" w:hAnsi="Times New Roman" w:cs="Times New Roman"/>
          <w:i/>
          <w:sz w:val="24"/>
          <w:szCs w:val="24"/>
        </w:rPr>
        <w:t>Reports to the Board and Joint Education Committee</w:t>
      </w:r>
    </w:p>
    <w:p w:rsidR="004F5DC8" w:rsidRPr="00994221" w:rsidRDefault="004F5DC8" w:rsidP="00994221">
      <w:pPr>
        <w:pStyle w:val="ListParagraph"/>
        <w:spacing w:after="0" w:line="240" w:lineRule="auto"/>
        <w:ind w:left="360"/>
        <w:rPr>
          <w:rFonts w:ascii="Times New Roman" w:hAnsi="Times New Roman" w:cs="Times New Roman"/>
          <w:i/>
          <w:sz w:val="24"/>
          <w:szCs w:val="24"/>
        </w:rPr>
      </w:pPr>
      <w:r w:rsidRPr="00994221">
        <w:rPr>
          <w:rFonts w:ascii="Times New Roman" w:hAnsi="Times New Roman" w:cs="Times New Roman"/>
          <w:sz w:val="24"/>
          <w:szCs w:val="24"/>
        </w:rPr>
        <w:t>The Data Advisory Committee will report its progress to the Board of Elementary and Secondary Education and to the Co-chairs of the Joint Committee on Education at least semi-annually, and will make such recommendations for new funding as are necessary for DESE to achieve the goals.</w:t>
      </w:r>
    </w:p>
    <w:p w:rsidR="004F5DC8" w:rsidRPr="00156AB9" w:rsidRDefault="004F5DC8" w:rsidP="00994221">
      <w:pPr>
        <w:pStyle w:val="ListParagraph"/>
        <w:spacing w:after="0" w:line="240" w:lineRule="auto"/>
        <w:rPr>
          <w:rFonts w:ascii="Times New Roman" w:hAnsi="Times New Roman" w:cs="Times New Roman"/>
          <w:sz w:val="24"/>
          <w:szCs w:val="24"/>
        </w:rPr>
      </w:pPr>
    </w:p>
    <w:p w:rsidR="00994221" w:rsidRDefault="004F5DC8" w:rsidP="00994221">
      <w:pPr>
        <w:pStyle w:val="ListParagraph"/>
        <w:numPr>
          <w:ilvl w:val="0"/>
          <w:numId w:val="39"/>
        </w:numPr>
        <w:spacing w:after="0" w:line="240" w:lineRule="auto"/>
        <w:rPr>
          <w:rFonts w:ascii="Times New Roman" w:hAnsi="Times New Roman" w:cs="Times New Roman"/>
          <w:i/>
          <w:sz w:val="24"/>
          <w:szCs w:val="24"/>
        </w:rPr>
      </w:pPr>
      <w:r w:rsidRPr="00994221">
        <w:rPr>
          <w:rFonts w:ascii="Times New Roman" w:hAnsi="Times New Roman" w:cs="Times New Roman"/>
          <w:i/>
          <w:sz w:val="24"/>
          <w:szCs w:val="24"/>
        </w:rPr>
        <w:t>Work of the DESE</w:t>
      </w:r>
    </w:p>
    <w:p w:rsidR="004F5DC8" w:rsidRPr="00994221" w:rsidRDefault="004F5DC8" w:rsidP="00994221">
      <w:pPr>
        <w:pStyle w:val="ListParagraph"/>
        <w:spacing w:after="0" w:line="240" w:lineRule="auto"/>
        <w:ind w:left="360"/>
        <w:rPr>
          <w:rFonts w:ascii="Times New Roman" w:hAnsi="Times New Roman" w:cs="Times New Roman"/>
          <w:i/>
          <w:sz w:val="24"/>
          <w:szCs w:val="24"/>
        </w:rPr>
      </w:pPr>
      <w:r w:rsidRPr="00994221">
        <w:rPr>
          <w:rFonts w:ascii="Times New Roman" w:hAnsi="Times New Roman" w:cs="Times New Roman"/>
          <w:sz w:val="24"/>
          <w:szCs w:val="24"/>
        </w:rPr>
        <w:t>DESE actions to achieve these three goals may include:</w:t>
      </w:r>
    </w:p>
    <w:p w:rsidR="004F5DC8" w:rsidRPr="00156AB9" w:rsidRDefault="004F5DC8" w:rsidP="00994221">
      <w:pPr>
        <w:pStyle w:val="ListParagraph"/>
        <w:numPr>
          <w:ilvl w:val="0"/>
          <w:numId w:val="43"/>
        </w:numPr>
        <w:spacing w:after="0" w:line="240" w:lineRule="auto"/>
        <w:rPr>
          <w:rFonts w:ascii="Times New Roman" w:hAnsi="Times New Roman" w:cs="Times New Roman"/>
          <w:sz w:val="24"/>
          <w:szCs w:val="24"/>
        </w:rPr>
      </w:pPr>
      <w:r w:rsidRPr="00156AB9">
        <w:rPr>
          <w:rFonts w:ascii="Times New Roman" w:hAnsi="Times New Roman" w:cs="Times New Roman"/>
          <w:sz w:val="24"/>
          <w:szCs w:val="24"/>
        </w:rPr>
        <w:t>Work with MTRS to obtain individual teacher salary information</w:t>
      </w:r>
    </w:p>
    <w:p w:rsidR="004F5DC8" w:rsidRPr="00156AB9" w:rsidRDefault="004F5DC8" w:rsidP="00994221">
      <w:pPr>
        <w:pStyle w:val="ListParagraph"/>
        <w:numPr>
          <w:ilvl w:val="0"/>
          <w:numId w:val="43"/>
        </w:numPr>
        <w:spacing w:after="0" w:line="240" w:lineRule="auto"/>
        <w:rPr>
          <w:rFonts w:ascii="Times New Roman" w:hAnsi="Times New Roman" w:cs="Times New Roman"/>
          <w:sz w:val="24"/>
          <w:szCs w:val="24"/>
        </w:rPr>
      </w:pPr>
      <w:r w:rsidRPr="00156AB9">
        <w:rPr>
          <w:rFonts w:ascii="Times New Roman" w:hAnsi="Times New Roman" w:cs="Times New Roman"/>
          <w:sz w:val="24"/>
          <w:szCs w:val="24"/>
        </w:rPr>
        <w:lastRenderedPageBreak/>
        <w:t>Develop strategies for securing more school-level financial data, including, where appropriate, developing ways to apportion more district expenditures to schools automatically</w:t>
      </w:r>
    </w:p>
    <w:p w:rsidR="004F5DC8" w:rsidRPr="00156AB9" w:rsidRDefault="004F5DC8" w:rsidP="00994221">
      <w:pPr>
        <w:pStyle w:val="ListParagraph"/>
        <w:numPr>
          <w:ilvl w:val="0"/>
          <w:numId w:val="43"/>
        </w:numPr>
        <w:spacing w:after="0" w:line="240" w:lineRule="auto"/>
        <w:rPr>
          <w:rFonts w:ascii="Times New Roman" w:hAnsi="Times New Roman" w:cs="Times New Roman"/>
          <w:sz w:val="24"/>
          <w:szCs w:val="24"/>
        </w:rPr>
      </w:pPr>
      <w:r w:rsidRPr="00156AB9">
        <w:rPr>
          <w:rFonts w:ascii="Times New Roman" w:hAnsi="Times New Roman" w:cs="Times New Roman"/>
          <w:sz w:val="24"/>
          <w:szCs w:val="24"/>
        </w:rPr>
        <w:t xml:space="preserve">Improve data accuracy by identifying more ways to “automate” the identification of “outlier” data on EPIMS staffing and EOY financial reports from districts to prompt district review </w:t>
      </w:r>
    </w:p>
    <w:p w:rsidR="004F5DC8" w:rsidRPr="00156AB9" w:rsidRDefault="004F5DC8" w:rsidP="00994221">
      <w:pPr>
        <w:pStyle w:val="ListParagraph"/>
        <w:numPr>
          <w:ilvl w:val="0"/>
          <w:numId w:val="43"/>
        </w:numPr>
        <w:spacing w:after="0" w:line="240" w:lineRule="auto"/>
        <w:rPr>
          <w:rFonts w:ascii="Times New Roman" w:hAnsi="Times New Roman" w:cs="Times New Roman"/>
          <w:sz w:val="24"/>
          <w:szCs w:val="24"/>
        </w:rPr>
      </w:pPr>
      <w:r w:rsidRPr="00156AB9">
        <w:rPr>
          <w:rFonts w:ascii="Times New Roman" w:hAnsi="Times New Roman" w:cs="Times New Roman"/>
          <w:sz w:val="24"/>
          <w:szCs w:val="24"/>
        </w:rPr>
        <w:t xml:space="preserve">Strengthen its training for district staff to improve accuracy and consistency of data reporting with special attention to:  a) the use of clear and consistent definitions, and b) expected use of “Reports Tab” to explain significant changes and/or “outlier” data </w:t>
      </w:r>
    </w:p>
    <w:p w:rsidR="004F5DC8" w:rsidRPr="00156AB9" w:rsidRDefault="004F5DC8" w:rsidP="00994221">
      <w:pPr>
        <w:pStyle w:val="ListParagraph"/>
        <w:numPr>
          <w:ilvl w:val="0"/>
          <w:numId w:val="43"/>
        </w:numPr>
        <w:spacing w:after="0" w:line="240" w:lineRule="auto"/>
        <w:rPr>
          <w:rFonts w:ascii="Times New Roman" w:hAnsi="Times New Roman" w:cs="Times New Roman"/>
          <w:sz w:val="24"/>
          <w:szCs w:val="24"/>
        </w:rPr>
      </w:pPr>
      <w:r w:rsidRPr="00156AB9">
        <w:rPr>
          <w:rFonts w:ascii="Times New Roman" w:hAnsi="Times New Roman" w:cs="Times New Roman"/>
          <w:sz w:val="24"/>
          <w:szCs w:val="24"/>
        </w:rPr>
        <w:t xml:space="preserve">Eliminate duplication of effort at state and local levels by:  a) aligning finance data with staffing (EPIMS) and enrollment (SIMS) data collections, and b) aligning grants management and reporting with EOY financial reporting </w:t>
      </w:r>
    </w:p>
    <w:p w:rsidR="004F5DC8" w:rsidRPr="00156AB9" w:rsidRDefault="004F5DC8" w:rsidP="00994221">
      <w:pPr>
        <w:pStyle w:val="ListParagraph"/>
        <w:numPr>
          <w:ilvl w:val="0"/>
          <w:numId w:val="43"/>
        </w:numPr>
        <w:spacing w:after="0" w:line="240" w:lineRule="auto"/>
        <w:rPr>
          <w:rFonts w:ascii="Times New Roman" w:hAnsi="Times New Roman" w:cs="Times New Roman"/>
          <w:sz w:val="24"/>
          <w:szCs w:val="24"/>
        </w:rPr>
      </w:pPr>
      <w:r w:rsidRPr="00156AB9">
        <w:rPr>
          <w:rFonts w:ascii="Times New Roman" w:hAnsi="Times New Roman" w:cs="Times New Roman"/>
          <w:sz w:val="24"/>
          <w:szCs w:val="24"/>
        </w:rPr>
        <w:t xml:space="preserve">Identify potential models, requirements, impacts, and estimated cost for a new financial reporting system </w:t>
      </w:r>
    </w:p>
    <w:p w:rsidR="004F5DC8" w:rsidRPr="00156AB9" w:rsidRDefault="004F5DC8" w:rsidP="00994221">
      <w:pPr>
        <w:pStyle w:val="ListParagraph"/>
        <w:numPr>
          <w:ilvl w:val="0"/>
          <w:numId w:val="43"/>
        </w:numPr>
        <w:spacing w:after="0" w:line="240" w:lineRule="auto"/>
        <w:rPr>
          <w:rFonts w:ascii="Times New Roman" w:hAnsi="Times New Roman" w:cs="Times New Roman"/>
          <w:sz w:val="24"/>
          <w:szCs w:val="24"/>
        </w:rPr>
      </w:pPr>
      <w:r w:rsidRPr="00156AB9">
        <w:rPr>
          <w:rFonts w:ascii="Times New Roman" w:hAnsi="Times New Roman" w:cs="Times New Roman"/>
          <w:sz w:val="24"/>
          <w:szCs w:val="24"/>
        </w:rPr>
        <w:t xml:space="preserve">Develop more powerful, actionable and publicly-available information and reports that combine and benchmark staffing, scheduling, and district/school-level funding data to support strategic resource allocation decisions at the local level </w:t>
      </w:r>
    </w:p>
    <w:p w:rsidR="004F5DC8" w:rsidRPr="00156AB9" w:rsidRDefault="004F5DC8" w:rsidP="00994221">
      <w:pPr>
        <w:pStyle w:val="ListParagraph"/>
        <w:numPr>
          <w:ilvl w:val="0"/>
          <w:numId w:val="43"/>
        </w:numPr>
        <w:spacing w:after="0" w:line="240" w:lineRule="auto"/>
        <w:rPr>
          <w:rFonts w:ascii="Times New Roman" w:hAnsi="Times New Roman" w:cs="Times New Roman"/>
          <w:sz w:val="24"/>
          <w:szCs w:val="24"/>
        </w:rPr>
      </w:pPr>
      <w:r w:rsidRPr="00156AB9">
        <w:rPr>
          <w:rFonts w:ascii="Times New Roman" w:hAnsi="Times New Roman" w:cs="Times New Roman"/>
          <w:sz w:val="24"/>
          <w:szCs w:val="24"/>
        </w:rPr>
        <w:t xml:space="preserve">Expand research focused on identifying promising practices for efficient and effective district and school resource allocation </w:t>
      </w:r>
    </w:p>
    <w:p w:rsidR="004F5DC8" w:rsidRPr="00156AB9" w:rsidRDefault="004F5DC8" w:rsidP="00994221">
      <w:pPr>
        <w:pStyle w:val="ListParagraph"/>
        <w:numPr>
          <w:ilvl w:val="0"/>
          <w:numId w:val="43"/>
        </w:numPr>
        <w:spacing w:after="0" w:line="240" w:lineRule="auto"/>
        <w:rPr>
          <w:rFonts w:ascii="Times New Roman" w:hAnsi="Times New Roman" w:cs="Times New Roman"/>
          <w:sz w:val="24"/>
          <w:szCs w:val="24"/>
        </w:rPr>
      </w:pPr>
      <w:r w:rsidRPr="00156AB9">
        <w:rPr>
          <w:rFonts w:ascii="Times New Roman" w:hAnsi="Times New Roman" w:cs="Times New Roman"/>
          <w:sz w:val="24"/>
          <w:szCs w:val="24"/>
        </w:rPr>
        <w:t xml:space="preserve">Collaborate closely with MASBO and MASS to develop the on-line (and other) training and support that DESE, education </w:t>
      </w:r>
      <w:proofErr w:type="spellStart"/>
      <w:r w:rsidRPr="00156AB9">
        <w:rPr>
          <w:rFonts w:ascii="Times New Roman" w:hAnsi="Times New Roman" w:cs="Times New Roman"/>
          <w:sz w:val="24"/>
          <w:szCs w:val="24"/>
        </w:rPr>
        <w:t>collaboratives</w:t>
      </w:r>
      <w:proofErr w:type="spellEnd"/>
      <w:r w:rsidRPr="00156AB9">
        <w:rPr>
          <w:rFonts w:ascii="Times New Roman" w:hAnsi="Times New Roman" w:cs="Times New Roman"/>
          <w:sz w:val="24"/>
          <w:szCs w:val="24"/>
        </w:rPr>
        <w:t xml:space="preserve">, and local district and school staff need to make effective use of the current and new data and research </w:t>
      </w:r>
    </w:p>
    <w:p w:rsidR="004F5DC8" w:rsidRPr="00156AB9" w:rsidRDefault="004F5DC8" w:rsidP="00994221">
      <w:pPr>
        <w:pStyle w:val="ListParagraph"/>
        <w:numPr>
          <w:ilvl w:val="0"/>
          <w:numId w:val="43"/>
        </w:numPr>
        <w:spacing w:after="0" w:line="240" w:lineRule="auto"/>
        <w:rPr>
          <w:rFonts w:ascii="Times New Roman" w:hAnsi="Times New Roman" w:cs="Times New Roman"/>
          <w:sz w:val="24"/>
          <w:szCs w:val="24"/>
        </w:rPr>
      </w:pPr>
      <w:r w:rsidRPr="00156AB9">
        <w:rPr>
          <w:rFonts w:ascii="Times New Roman" w:hAnsi="Times New Roman" w:cs="Times New Roman"/>
          <w:sz w:val="24"/>
          <w:szCs w:val="24"/>
        </w:rPr>
        <w:t xml:space="preserve">Take other actions deemed necessary to achieve the goals </w:t>
      </w:r>
    </w:p>
    <w:p w:rsidR="004F5DC8" w:rsidRPr="00156AB9" w:rsidRDefault="004F5DC8" w:rsidP="00994221">
      <w:pPr>
        <w:pStyle w:val="ListParagraph"/>
        <w:spacing w:after="0" w:line="240" w:lineRule="auto"/>
        <w:rPr>
          <w:rFonts w:ascii="Times New Roman" w:hAnsi="Times New Roman" w:cs="Times New Roman"/>
          <w:sz w:val="24"/>
          <w:szCs w:val="24"/>
        </w:rPr>
      </w:pPr>
    </w:p>
    <w:p w:rsidR="00994221" w:rsidRDefault="004F5DC8" w:rsidP="00994221">
      <w:pPr>
        <w:pStyle w:val="ListParagraph"/>
        <w:numPr>
          <w:ilvl w:val="0"/>
          <w:numId w:val="39"/>
        </w:numPr>
        <w:spacing w:after="0" w:line="240" w:lineRule="auto"/>
        <w:rPr>
          <w:rFonts w:ascii="Times New Roman" w:hAnsi="Times New Roman" w:cs="Times New Roman"/>
          <w:i/>
          <w:sz w:val="24"/>
          <w:szCs w:val="24"/>
        </w:rPr>
      </w:pPr>
      <w:r w:rsidRPr="00994221">
        <w:rPr>
          <w:rFonts w:ascii="Times New Roman" w:hAnsi="Times New Roman" w:cs="Times New Roman"/>
          <w:i/>
          <w:sz w:val="24"/>
          <w:szCs w:val="24"/>
        </w:rPr>
        <w:t>Implications for Future State Funding</w:t>
      </w:r>
    </w:p>
    <w:p w:rsidR="00E46BE0" w:rsidRPr="00994221" w:rsidRDefault="004F5DC8" w:rsidP="00994221">
      <w:pPr>
        <w:pStyle w:val="ListParagraph"/>
        <w:spacing w:after="0" w:line="240" w:lineRule="auto"/>
        <w:ind w:left="360"/>
        <w:rPr>
          <w:rFonts w:ascii="Times New Roman" w:hAnsi="Times New Roman" w:cs="Times New Roman"/>
          <w:i/>
          <w:sz w:val="24"/>
          <w:szCs w:val="24"/>
        </w:rPr>
      </w:pPr>
      <w:r w:rsidRPr="00994221">
        <w:rPr>
          <w:rFonts w:ascii="Times New Roman" w:hAnsi="Times New Roman" w:cs="Times New Roman"/>
          <w:sz w:val="24"/>
          <w:szCs w:val="24"/>
        </w:rPr>
        <w:t>Many of the above actions will require a cost-benefit analysis of a range of options. For some chosen options, new state funding will need to be recommended and secured.</w:t>
      </w:r>
    </w:p>
    <w:p w:rsidR="00E46BE0" w:rsidRDefault="00E46BE0" w:rsidP="00994221">
      <w:pPr>
        <w:spacing w:after="0" w:line="240" w:lineRule="auto"/>
        <w:rPr>
          <w:rFonts w:ascii="Times New Roman" w:hAnsi="Times New Roman" w:cs="Times New Roman"/>
          <w:sz w:val="24"/>
          <w:szCs w:val="24"/>
        </w:rPr>
      </w:pPr>
    </w:p>
    <w:p w:rsidR="00994221" w:rsidRDefault="00994221" w:rsidP="00994221">
      <w:pPr>
        <w:spacing w:after="0" w:line="240" w:lineRule="auto"/>
        <w:rPr>
          <w:rFonts w:ascii="Times New Roman" w:hAnsi="Times New Roman" w:cs="Times New Roman"/>
          <w:sz w:val="24"/>
          <w:szCs w:val="24"/>
        </w:rPr>
      </w:pPr>
    </w:p>
    <w:p w:rsidR="00D90B53" w:rsidRDefault="00E46BE0" w:rsidP="00994221">
      <w:pPr>
        <w:spacing w:after="0" w:line="240" w:lineRule="auto"/>
        <w:rPr>
          <w:rFonts w:ascii="Times New Roman" w:hAnsi="Times New Roman" w:cs="Times New Roman"/>
          <w:b/>
          <w:sz w:val="24"/>
          <w:szCs w:val="24"/>
          <w:u w:val="single"/>
        </w:rPr>
      </w:pPr>
      <w:r w:rsidRPr="00E46BE0">
        <w:rPr>
          <w:rFonts w:ascii="Times New Roman" w:hAnsi="Times New Roman" w:cs="Times New Roman"/>
          <w:b/>
          <w:sz w:val="24"/>
          <w:szCs w:val="24"/>
          <w:u w:val="single"/>
        </w:rPr>
        <w:t>E</w:t>
      </w:r>
      <w:r w:rsidR="00D90B53">
        <w:rPr>
          <w:rFonts w:ascii="Times New Roman" w:hAnsi="Times New Roman" w:cs="Times New Roman"/>
          <w:b/>
          <w:sz w:val="24"/>
          <w:szCs w:val="24"/>
          <w:u w:val="single"/>
        </w:rPr>
        <w:t>arly Education</w:t>
      </w:r>
    </w:p>
    <w:p w:rsidR="007E1FCF" w:rsidRDefault="007E1FCF" w:rsidP="00994221">
      <w:pPr>
        <w:spacing w:after="0" w:line="240" w:lineRule="auto"/>
        <w:rPr>
          <w:rFonts w:ascii="Times New Roman" w:hAnsi="Times New Roman" w:cs="Times New Roman"/>
          <w:b/>
          <w:sz w:val="24"/>
          <w:szCs w:val="24"/>
          <w:u w:val="single"/>
        </w:rPr>
      </w:pPr>
    </w:p>
    <w:p w:rsidR="007E1FCF" w:rsidRPr="00944B19" w:rsidRDefault="007E1FCF" w:rsidP="00994221">
      <w:pPr>
        <w:spacing w:line="240" w:lineRule="auto"/>
        <w:rPr>
          <w:rFonts w:ascii="Times New Roman" w:hAnsi="Times New Roman" w:cs="Times New Roman"/>
          <w:b/>
          <w:sz w:val="32"/>
          <w:szCs w:val="32"/>
        </w:rPr>
      </w:pPr>
      <w:r w:rsidRPr="00944B19">
        <w:rPr>
          <w:rFonts w:ascii="Times New Roman" w:hAnsi="Times New Roman" w:cs="Times New Roman"/>
          <w:sz w:val="24"/>
          <w:szCs w:val="24"/>
        </w:rPr>
        <w:t>High-quality preschool is a</w:t>
      </w:r>
      <w:r w:rsidR="00D90B53">
        <w:rPr>
          <w:rFonts w:ascii="Times New Roman" w:hAnsi="Times New Roman" w:cs="Times New Roman"/>
          <w:sz w:val="24"/>
          <w:szCs w:val="24"/>
        </w:rPr>
        <w:t>n effective</w:t>
      </w:r>
      <w:r w:rsidRPr="00944B19">
        <w:rPr>
          <w:rFonts w:ascii="Times New Roman" w:hAnsi="Times New Roman" w:cs="Times New Roman"/>
          <w:sz w:val="24"/>
          <w:szCs w:val="24"/>
        </w:rPr>
        <w:t xml:space="preserve"> practice identified by most school districts as one which increases the school readiness of students, especially high need students, and which is therefore worthy of further consideration and action by the legislature as it updates the structure and financing of public education for the 21st Century. While the Commission did not have sufficient time or resources to undertake specific recommendations on early education, it was a practice that was frequently highlighted in both national literature and in feedback from model districts within the Commonwealth—both for closing achievement gaps for disadvantaged students and in reducing special education costs for districts and the state. The state is current</w:t>
      </w:r>
      <w:r w:rsidR="003616E7">
        <w:rPr>
          <w:rFonts w:ascii="Times New Roman" w:hAnsi="Times New Roman" w:cs="Times New Roman"/>
          <w:sz w:val="24"/>
          <w:szCs w:val="24"/>
        </w:rPr>
        <w:t>ly</w:t>
      </w:r>
      <w:r w:rsidRPr="00944B19">
        <w:rPr>
          <w:rFonts w:ascii="Times New Roman" w:hAnsi="Times New Roman" w:cs="Times New Roman"/>
          <w:sz w:val="24"/>
          <w:szCs w:val="24"/>
        </w:rPr>
        <w:t xml:space="preserve"> using federal funds from the Preschool Expansion Grant (PEG) program, and some supplemental state funds, to examine </w:t>
      </w:r>
      <w:r w:rsidR="007E281E">
        <w:rPr>
          <w:rFonts w:ascii="Times New Roman" w:hAnsi="Times New Roman" w:cs="Times New Roman"/>
          <w:sz w:val="24"/>
          <w:szCs w:val="24"/>
        </w:rPr>
        <w:t xml:space="preserve">and </w:t>
      </w:r>
      <w:r w:rsidRPr="00944B19">
        <w:rPr>
          <w:rFonts w:ascii="Times New Roman" w:hAnsi="Times New Roman" w:cs="Times New Roman"/>
          <w:sz w:val="24"/>
          <w:szCs w:val="24"/>
        </w:rPr>
        <w:t xml:space="preserve">explore ways in which early education can be provided and expanded through the existing and robust mixed delivery system of public and private providers. </w:t>
      </w:r>
      <w:r w:rsidR="002A4227">
        <w:rPr>
          <w:rFonts w:ascii="Times New Roman" w:hAnsi="Times New Roman" w:cs="Times New Roman"/>
          <w:sz w:val="24"/>
          <w:szCs w:val="24"/>
        </w:rPr>
        <w:t xml:space="preserve">As it considers </w:t>
      </w:r>
      <w:r w:rsidR="002A4227" w:rsidRPr="00944B19">
        <w:rPr>
          <w:rFonts w:ascii="Times New Roman" w:hAnsi="Times New Roman" w:cs="Times New Roman"/>
          <w:sz w:val="24"/>
          <w:szCs w:val="24"/>
        </w:rPr>
        <w:t>whether the Chapter 70 funding formula can be adapted appropriately as a funding vehicle for the ongoing provision of pre-school</w:t>
      </w:r>
      <w:r w:rsidR="002A4227">
        <w:rPr>
          <w:rFonts w:ascii="Times New Roman" w:hAnsi="Times New Roman" w:cs="Times New Roman"/>
          <w:sz w:val="24"/>
          <w:szCs w:val="24"/>
        </w:rPr>
        <w:t>, t</w:t>
      </w:r>
      <w:r w:rsidRPr="00944B19">
        <w:rPr>
          <w:rFonts w:ascii="Times New Roman" w:hAnsi="Times New Roman" w:cs="Times New Roman"/>
          <w:sz w:val="24"/>
          <w:szCs w:val="24"/>
        </w:rPr>
        <w:t xml:space="preserve">he Commission encourages the </w:t>
      </w:r>
      <w:r w:rsidR="003616E7">
        <w:rPr>
          <w:rFonts w:ascii="Times New Roman" w:hAnsi="Times New Roman" w:cs="Times New Roman"/>
          <w:sz w:val="24"/>
          <w:szCs w:val="24"/>
        </w:rPr>
        <w:t>L</w:t>
      </w:r>
      <w:r w:rsidRPr="00944B19">
        <w:rPr>
          <w:rFonts w:ascii="Times New Roman" w:hAnsi="Times New Roman" w:cs="Times New Roman"/>
          <w:sz w:val="24"/>
          <w:szCs w:val="24"/>
        </w:rPr>
        <w:t xml:space="preserve">egislature to </w:t>
      </w:r>
      <w:r w:rsidR="003616E7">
        <w:rPr>
          <w:rFonts w:ascii="Times New Roman" w:hAnsi="Times New Roman" w:cs="Times New Roman"/>
          <w:sz w:val="24"/>
          <w:szCs w:val="24"/>
        </w:rPr>
        <w:t xml:space="preserve">incorporate </w:t>
      </w:r>
      <w:r w:rsidRPr="00944B19">
        <w:rPr>
          <w:rFonts w:ascii="Times New Roman" w:hAnsi="Times New Roman" w:cs="Times New Roman"/>
          <w:sz w:val="24"/>
          <w:szCs w:val="24"/>
        </w:rPr>
        <w:t xml:space="preserve">the </w:t>
      </w:r>
      <w:r w:rsidR="003616E7">
        <w:rPr>
          <w:rFonts w:ascii="Times New Roman" w:hAnsi="Times New Roman" w:cs="Times New Roman"/>
          <w:sz w:val="24"/>
          <w:szCs w:val="24"/>
        </w:rPr>
        <w:t>implementation wisdom gained through</w:t>
      </w:r>
      <w:r w:rsidRPr="00944B19">
        <w:rPr>
          <w:rFonts w:ascii="Times New Roman" w:hAnsi="Times New Roman" w:cs="Times New Roman"/>
          <w:sz w:val="24"/>
          <w:szCs w:val="24"/>
        </w:rPr>
        <w:t xml:space="preserve"> the</w:t>
      </w:r>
      <w:r w:rsidR="002A4227">
        <w:rPr>
          <w:rFonts w:ascii="Times New Roman" w:hAnsi="Times New Roman" w:cs="Times New Roman"/>
          <w:sz w:val="24"/>
          <w:szCs w:val="24"/>
        </w:rPr>
        <w:t xml:space="preserve"> PEG</w:t>
      </w:r>
      <w:r w:rsidRPr="00944B19">
        <w:rPr>
          <w:rFonts w:ascii="Times New Roman" w:hAnsi="Times New Roman" w:cs="Times New Roman"/>
          <w:sz w:val="24"/>
          <w:szCs w:val="24"/>
        </w:rPr>
        <w:t xml:space="preserve"> pilot programs </w:t>
      </w:r>
      <w:r w:rsidR="00A97E17">
        <w:rPr>
          <w:rFonts w:ascii="Times New Roman" w:hAnsi="Times New Roman" w:cs="Times New Roman"/>
          <w:sz w:val="24"/>
          <w:szCs w:val="24"/>
        </w:rPr>
        <w:t xml:space="preserve">and the Commonwealth’s other early education program, quality, and access initiatives </w:t>
      </w:r>
      <w:r w:rsidR="003616E7">
        <w:rPr>
          <w:rFonts w:ascii="Times New Roman" w:hAnsi="Times New Roman" w:cs="Times New Roman"/>
          <w:sz w:val="24"/>
          <w:szCs w:val="24"/>
        </w:rPr>
        <w:t>as it rolls out any effort</w:t>
      </w:r>
      <w:r w:rsidRPr="00944B19">
        <w:rPr>
          <w:rFonts w:ascii="Times New Roman" w:hAnsi="Times New Roman" w:cs="Times New Roman"/>
          <w:sz w:val="24"/>
          <w:szCs w:val="24"/>
        </w:rPr>
        <w:t xml:space="preserve"> to provide these services</w:t>
      </w:r>
      <w:r w:rsidR="002A4227">
        <w:rPr>
          <w:rFonts w:ascii="Times New Roman" w:hAnsi="Times New Roman" w:cs="Times New Roman"/>
          <w:sz w:val="24"/>
          <w:szCs w:val="24"/>
        </w:rPr>
        <w:t xml:space="preserve"> more widely.</w:t>
      </w:r>
      <w:r w:rsidRPr="00944B19">
        <w:rPr>
          <w:rFonts w:ascii="Times New Roman" w:hAnsi="Times New Roman" w:cs="Times New Roman"/>
          <w:sz w:val="24"/>
          <w:szCs w:val="24"/>
        </w:rPr>
        <w:t xml:space="preserve"> </w:t>
      </w:r>
    </w:p>
    <w:p w:rsidR="007E1FCF" w:rsidRDefault="007E1FCF" w:rsidP="00994221">
      <w:pPr>
        <w:spacing w:after="0" w:line="240" w:lineRule="auto"/>
        <w:jc w:val="center"/>
        <w:rPr>
          <w:rFonts w:ascii="Times New Roman" w:hAnsi="Times New Roman" w:cs="Times New Roman"/>
          <w:b/>
          <w:sz w:val="32"/>
          <w:szCs w:val="32"/>
        </w:rPr>
      </w:pPr>
    </w:p>
    <w:p w:rsidR="00EA5248" w:rsidRDefault="00DB7B90" w:rsidP="00994221">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br w:type="page"/>
      </w:r>
      <w:r w:rsidR="00994221">
        <w:rPr>
          <w:rFonts w:ascii="Times New Roman" w:hAnsi="Times New Roman" w:cs="Times New Roman"/>
          <w:b/>
          <w:sz w:val="32"/>
          <w:szCs w:val="32"/>
        </w:rPr>
        <w:lastRenderedPageBreak/>
        <w:t xml:space="preserve">– </w:t>
      </w:r>
      <w:r w:rsidR="00EA5248" w:rsidRPr="00644102">
        <w:rPr>
          <w:rFonts w:ascii="Times New Roman" w:hAnsi="Times New Roman" w:cs="Times New Roman"/>
          <w:b/>
          <w:sz w:val="32"/>
          <w:szCs w:val="32"/>
        </w:rPr>
        <w:t xml:space="preserve">PART </w:t>
      </w:r>
      <w:r w:rsidR="00D90B53">
        <w:rPr>
          <w:rFonts w:ascii="Times New Roman" w:hAnsi="Times New Roman" w:cs="Times New Roman"/>
          <w:b/>
          <w:sz w:val="32"/>
          <w:szCs w:val="32"/>
        </w:rPr>
        <w:t>C</w:t>
      </w:r>
      <w:r w:rsidR="00EA5248">
        <w:rPr>
          <w:rFonts w:ascii="Times New Roman" w:hAnsi="Times New Roman" w:cs="Times New Roman"/>
          <w:b/>
          <w:sz w:val="32"/>
          <w:szCs w:val="32"/>
        </w:rPr>
        <w:t xml:space="preserve"> –</w:t>
      </w:r>
    </w:p>
    <w:p w:rsidR="00994221" w:rsidRDefault="00994221" w:rsidP="00994221">
      <w:pPr>
        <w:spacing w:after="0" w:line="240" w:lineRule="auto"/>
        <w:jc w:val="center"/>
        <w:rPr>
          <w:rFonts w:ascii="Times New Roman" w:hAnsi="Times New Roman" w:cs="Times New Roman"/>
          <w:b/>
          <w:sz w:val="32"/>
          <w:szCs w:val="32"/>
        </w:rPr>
      </w:pPr>
    </w:p>
    <w:p w:rsidR="0037106E" w:rsidRPr="00994221" w:rsidRDefault="0037106E" w:rsidP="00994221">
      <w:pPr>
        <w:spacing w:after="0" w:line="240" w:lineRule="auto"/>
        <w:jc w:val="center"/>
        <w:rPr>
          <w:rFonts w:ascii="Times New Roman" w:hAnsi="Times New Roman" w:cs="Times New Roman"/>
          <w:b/>
          <w:i/>
          <w:sz w:val="32"/>
          <w:szCs w:val="32"/>
          <w:u w:val="single"/>
        </w:rPr>
      </w:pPr>
      <w:r w:rsidRPr="00994221">
        <w:rPr>
          <w:rFonts w:ascii="Times New Roman" w:hAnsi="Times New Roman" w:cs="Times New Roman"/>
          <w:b/>
          <w:i/>
          <w:sz w:val="32"/>
          <w:szCs w:val="32"/>
          <w:u w:val="single"/>
        </w:rPr>
        <w:t>OTHER</w:t>
      </w:r>
    </w:p>
    <w:p w:rsidR="0037106E" w:rsidRDefault="0037106E" w:rsidP="00994221">
      <w:pPr>
        <w:spacing w:after="0" w:line="240" w:lineRule="auto"/>
        <w:jc w:val="center"/>
        <w:rPr>
          <w:rFonts w:ascii="Times New Roman" w:hAnsi="Times New Roman" w:cs="Times New Roman"/>
          <w:b/>
          <w:sz w:val="32"/>
          <w:szCs w:val="32"/>
        </w:rPr>
      </w:pPr>
    </w:p>
    <w:p w:rsidR="00994221" w:rsidRDefault="0037106E" w:rsidP="00994221">
      <w:pPr>
        <w:spacing w:line="240" w:lineRule="auto"/>
        <w:rPr>
          <w:rFonts w:ascii="Times New Roman" w:eastAsia="Times New Roman" w:hAnsi="Times New Roman" w:cs="Times New Roman"/>
          <w:sz w:val="24"/>
          <w:szCs w:val="24"/>
        </w:rPr>
      </w:pPr>
      <w:r w:rsidRPr="00944B19">
        <w:rPr>
          <w:rFonts w:ascii="Times New Roman" w:eastAsia="Times New Roman" w:hAnsi="Times New Roman" w:cs="Times New Roman"/>
          <w:sz w:val="24"/>
          <w:szCs w:val="24"/>
        </w:rPr>
        <w:t>The Commission wishes to make the following observations and recognitions, which due to time constraints, and limited resources, it has been unable to address more extensively:</w:t>
      </w:r>
    </w:p>
    <w:p w:rsidR="00994221" w:rsidRDefault="00994221" w:rsidP="00994221">
      <w:pPr>
        <w:spacing w:after="0" w:line="240" w:lineRule="auto"/>
        <w:rPr>
          <w:rFonts w:ascii="Times New Roman" w:eastAsia="Times New Roman" w:hAnsi="Times New Roman" w:cs="Times New Roman"/>
          <w:sz w:val="24"/>
          <w:szCs w:val="24"/>
        </w:rPr>
      </w:pPr>
    </w:p>
    <w:p w:rsidR="0037106E" w:rsidRDefault="0037106E" w:rsidP="00994221">
      <w:pPr>
        <w:pStyle w:val="ListParagraph"/>
        <w:numPr>
          <w:ilvl w:val="0"/>
          <w:numId w:val="47"/>
        </w:numPr>
        <w:spacing w:after="0" w:line="240" w:lineRule="auto"/>
        <w:rPr>
          <w:rFonts w:ascii="Times New Roman" w:hAnsi="Times New Roman" w:cs="Times New Roman"/>
          <w:b/>
          <w:sz w:val="32"/>
          <w:szCs w:val="32"/>
        </w:rPr>
      </w:pPr>
      <w:r w:rsidRPr="007E1FCF">
        <w:rPr>
          <w:rFonts w:ascii="Times New Roman" w:hAnsi="Times New Roman" w:cs="Times New Roman"/>
          <w:b/>
          <w:sz w:val="32"/>
          <w:szCs w:val="32"/>
        </w:rPr>
        <w:t>IN-DISTRICT SPECIAL EDUCATION</w:t>
      </w:r>
    </w:p>
    <w:p w:rsidR="00994221" w:rsidRPr="00994221" w:rsidRDefault="00994221" w:rsidP="00994221">
      <w:pPr>
        <w:pStyle w:val="ListParagraph"/>
        <w:spacing w:after="0" w:line="240" w:lineRule="auto"/>
        <w:rPr>
          <w:rFonts w:ascii="Times New Roman" w:hAnsi="Times New Roman" w:cs="Times New Roman"/>
          <w:b/>
          <w:sz w:val="32"/>
          <w:szCs w:val="32"/>
        </w:rPr>
      </w:pPr>
    </w:p>
    <w:p w:rsidR="0037106E" w:rsidRDefault="005E3CD4" w:rsidP="00994221">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A</w:t>
      </w:r>
      <w:r w:rsidR="0037106E" w:rsidRPr="004F5DC8">
        <w:rPr>
          <w:rFonts w:ascii="Times New Roman" w:hAnsi="Times New Roman" w:cs="Times New Roman"/>
          <w:sz w:val="24"/>
          <w:szCs w:val="24"/>
        </w:rPr>
        <w:t xml:space="preserve"> review </w:t>
      </w:r>
      <w:r>
        <w:rPr>
          <w:rFonts w:ascii="Times New Roman" w:hAnsi="Times New Roman" w:cs="Times New Roman"/>
          <w:sz w:val="24"/>
          <w:szCs w:val="24"/>
        </w:rPr>
        <w:t xml:space="preserve">at the September meeting </w:t>
      </w:r>
      <w:r w:rsidR="0037106E" w:rsidRPr="004F5DC8">
        <w:rPr>
          <w:rFonts w:ascii="Times New Roman" w:hAnsi="Times New Roman" w:cs="Times New Roman"/>
          <w:sz w:val="24"/>
          <w:szCs w:val="24"/>
        </w:rPr>
        <w:t>of in-district SPED spending data confirms that the average expenditure per pupil exceeds the r</w:t>
      </w:r>
      <w:r w:rsidR="00E26B35">
        <w:rPr>
          <w:rFonts w:ascii="Times New Roman" w:hAnsi="Times New Roman" w:cs="Times New Roman"/>
          <w:sz w:val="24"/>
          <w:szCs w:val="24"/>
        </w:rPr>
        <w:t>ate currently included in the foundation budget</w:t>
      </w:r>
      <w:r w:rsidR="0037106E" w:rsidRPr="004F5DC8">
        <w:rPr>
          <w:rFonts w:ascii="Times New Roman" w:hAnsi="Times New Roman" w:cs="Times New Roman"/>
          <w:sz w:val="24"/>
          <w:szCs w:val="24"/>
        </w:rPr>
        <w:t xml:space="preserve">, and that, </w:t>
      </w:r>
      <w:r w:rsidR="00084800">
        <w:rPr>
          <w:rFonts w:ascii="Times New Roman" w:hAnsi="Times New Roman" w:cs="Times New Roman"/>
          <w:sz w:val="24"/>
          <w:szCs w:val="24"/>
        </w:rPr>
        <w:t xml:space="preserve">even </w:t>
      </w:r>
      <w:r w:rsidR="0037106E" w:rsidRPr="004F5DC8">
        <w:rPr>
          <w:rFonts w:ascii="Times New Roman" w:hAnsi="Times New Roman" w:cs="Times New Roman"/>
          <w:sz w:val="24"/>
          <w:szCs w:val="24"/>
        </w:rPr>
        <w:t>upon adoption of the changes</w:t>
      </w:r>
      <w:r w:rsidR="00084800">
        <w:rPr>
          <w:rFonts w:ascii="Times New Roman" w:hAnsi="Times New Roman" w:cs="Times New Roman"/>
          <w:sz w:val="24"/>
          <w:szCs w:val="24"/>
        </w:rPr>
        <w:t xml:space="preserve"> recommended in this report</w:t>
      </w:r>
      <w:r w:rsidR="0037106E" w:rsidRPr="004F5DC8">
        <w:rPr>
          <w:rFonts w:ascii="Times New Roman" w:hAnsi="Times New Roman" w:cs="Times New Roman"/>
          <w:sz w:val="24"/>
          <w:szCs w:val="24"/>
        </w:rPr>
        <w:t>, a gap will remain of approximately $700M between foundation budget assumptions, and district reported spending, and between foundation budget assumptions about staffing (assuming 4,394 teachers, or 8 special ed</w:t>
      </w:r>
      <w:r w:rsidR="00E26B35">
        <w:rPr>
          <w:rFonts w:ascii="Times New Roman" w:hAnsi="Times New Roman" w:cs="Times New Roman"/>
          <w:sz w:val="24"/>
          <w:szCs w:val="24"/>
        </w:rPr>
        <w:t>ucation</w:t>
      </w:r>
      <w:r w:rsidR="0037106E" w:rsidRPr="004F5DC8">
        <w:rPr>
          <w:rFonts w:ascii="Times New Roman" w:hAnsi="Times New Roman" w:cs="Times New Roman"/>
          <w:sz w:val="24"/>
          <w:szCs w:val="24"/>
        </w:rPr>
        <w:t xml:space="preserve"> FTEs to one teacher), and current practice (9,915 special education teachers, or approximately 5 special ed</w:t>
      </w:r>
      <w:r w:rsidR="00E26B35">
        <w:rPr>
          <w:rFonts w:ascii="Times New Roman" w:hAnsi="Times New Roman" w:cs="Times New Roman"/>
          <w:sz w:val="24"/>
          <w:szCs w:val="24"/>
        </w:rPr>
        <w:t>ucation</w:t>
      </w:r>
      <w:r w:rsidR="0037106E" w:rsidRPr="004F5DC8">
        <w:rPr>
          <w:rFonts w:ascii="Times New Roman" w:hAnsi="Times New Roman" w:cs="Times New Roman"/>
          <w:sz w:val="24"/>
          <w:szCs w:val="24"/>
        </w:rPr>
        <w:t xml:space="preserve"> FTEs to one teacher). </w:t>
      </w:r>
      <w:r w:rsidR="00084800">
        <w:rPr>
          <w:rFonts w:ascii="Times New Roman" w:hAnsi="Times New Roman" w:cs="Times New Roman"/>
          <w:sz w:val="24"/>
          <w:szCs w:val="24"/>
        </w:rPr>
        <w:t>Some</w:t>
      </w:r>
      <w:r w:rsidR="0037106E" w:rsidRPr="004F5DC8">
        <w:rPr>
          <w:rFonts w:ascii="Times New Roman" w:hAnsi="Times New Roman" w:cs="Times New Roman"/>
          <w:sz w:val="24"/>
          <w:szCs w:val="24"/>
        </w:rPr>
        <w:t xml:space="preserve"> evidence and testimony was presented that the central change driving this gap was that the original foundation budget for in-district special education was built on a model of substantially separate instruction, which has changed significantly over time to reflect the growing use of inclusion as the preferred pedagogical model in the Commonwealth. Since that model involves special education students spending most or all of their day in regular education classrooms, with special education (and para-professionals) coming into the classroom to provide extra help for struggling students, the working hypothesis of several Commissioners is that the added staffing needs of that model account for the significant difference in staffing and funding levels between the foundation budget and reported spending. </w:t>
      </w:r>
      <w:r w:rsidR="007E1FCF">
        <w:rPr>
          <w:rFonts w:ascii="Times New Roman" w:hAnsi="Times New Roman" w:cs="Times New Roman"/>
          <w:sz w:val="24"/>
          <w:szCs w:val="24"/>
        </w:rPr>
        <w:t xml:space="preserve">Commissioners also </w:t>
      </w:r>
      <w:r w:rsidR="0037106E" w:rsidRPr="004F5DC8">
        <w:rPr>
          <w:rFonts w:ascii="Times New Roman" w:hAnsi="Times New Roman" w:cs="Times New Roman"/>
          <w:sz w:val="24"/>
          <w:szCs w:val="24"/>
        </w:rPr>
        <w:t>noted</w:t>
      </w:r>
      <w:r w:rsidR="0037106E" w:rsidRPr="004F5DC8">
        <w:rPr>
          <w:rFonts w:ascii="Times New Roman" w:eastAsia="Times New Roman" w:hAnsi="Times New Roman" w:cs="Times New Roman"/>
          <w:sz w:val="24"/>
          <w:szCs w:val="24"/>
        </w:rPr>
        <w:t xml:space="preserve"> the following challenges related to the data as presented: a) actual reported special education costs</w:t>
      </w:r>
      <w:r w:rsidR="007E1FCF">
        <w:rPr>
          <w:rFonts w:ascii="Times New Roman" w:eastAsia="Times New Roman" w:hAnsi="Times New Roman" w:cs="Times New Roman"/>
          <w:sz w:val="24"/>
          <w:szCs w:val="24"/>
        </w:rPr>
        <w:t xml:space="preserve">, </w:t>
      </w:r>
      <w:r w:rsidR="00E26B35">
        <w:rPr>
          <w:rFonts w:ascii="Times New Roman" w:eastAsia="Times New Roman" w:hAnsi="Times New Roman" w:cs="Times New Roman"/>
          <w:sz w:val="24"/>
          <w:szCs w:val="24"/>
        </w:rPr>
        <w:t xml:space="preserve">including the counting of staff </w:t>
      </w:r>
      <w:r w:rsidR="007E1FCF">
        <w:rPr>
          <w:rFonts w:ascii="Times New Roman" w:eastAsia="Times New Roman" w:hAnsi="Times New Roman" w:cs="Times New Roman"/>
          <w:sz w:val="24"/>
          <w:szCs w:val="24"/>
        </w:rPr>
        <w:t>FTEs,</w:t>
      </w:r>
      <w:r w:rsidR="0037106E" w:rsidRPr="004F5DC8">
        <w:rPr>
          <w:rFonts w:ascii="Times New Roman" w:eastAsia="Times New Roman" w:hAnsi="Times New Roman" w:cs="Times New Roman"/>
          <w:sz w:val="24"/>
          <w:szCs w:val="24"/>
        </w:rPr>
        <w:t xml:space="preserve"> don’t line up precisely with functional categories in the foundation budget, </w:t>
      </w:r>
      <w:r w:rsidR="007E1FCF">
        <w:rPr>
          <w:rFonts w:ascii="Times New Roman" w:eastAsia="Times New Roman" w:hAnsi="Times New Roman" w:cs="Times New Roman"/>
          <w:sz w:val="24"/>
          <w:szCs w:val="24"/>
        </w:rPr>
        <w:t xml:space="preserve">and </w:t>
      </w:r>
      <w:r w:rsidR="0037106E" w:rsidRPr="004F5DC8">
        <w:rPr>
          <w:rFonts w:ascii="Times New Roman" w:eastAsia="Times New Roman" w:hAnsi="Times New Roman" w:cs="Times New Roman"/>
          <w:sz w:val="24"/>
          <w:szCs w:val="24"/>
        </w:rPr>
        <w:t>b) not all functional categories are collected by program, leaving key dat</w:t>
      </w:r>
      <w:r w:rsidR="007E1FCF">
        <w:rPr>
          <w:rFonts w:ascii="Times New Roman" w:eastAsia="Times New Roman" w:hAnsi="Times New Roman" w:cs="Times New Roman"/>
          <w:sz w:val="24"/>
          <w:szCs w:val="24"/>
        </w:rPr>
        <w:t>a missing for special education.</w:t>
      </w:r>
      <w:r w:rsidR="0037106E" w:rsidRPr="004F5DC8">
        <w:rPr>
          <w:rFonts w:ascii="Times New Roman" w:eastAsia="Times New Roman" w:hAnsi="Times New Roman" w:cs="Times New Roman"/>
          <w:sz w:val="24"/>
          <w:szCs w:val="24"/>
        </w:rPr>
        <w:t xml:space="preserve"> In addition, s</w:t>
      </w:r>
      <w:r w:rsidR="00084800">
        <w:rPr>
          <w:rFonts w:ascii="Times New Roman" w:eastAsia="Times New Roman" w:hAnsi="Times New Roman" w:cs="Times New Roman"/>
          <w:sz w:val="24"/>
          <w:szCs w:val="24"/>
        </w:rPr>
        <w:t>ome</w:t>
      </w:r>
      <w:r w:rsidR="0037106E" w:rsidRPr="004F5DC8">
        <w:rPr>
          <w:rFonts w:ascii="Times New Roman" w:eastAsia="Times New Roman" w:hAnsi="Times New Roman" w:cs="Times New Roman"/>
          <w:sz w:val="24"/>
          <w:szCs w:val="24"/>
        </w:rPr>
        <w:t xml:space="preserve"> Commissioners expressed a desire for a more detailed review of district practice to confirm that inclusion, and its </w:t>
      </w:r>
      <w:r w:rsidR="00084800">
        <w:rPr>
          <w:rFonts w:ascii="Times New Roman" w:eastAsia="Times New Roman" w:hAnsi="Times New Roman" w:cs="Times New Roman"/>
          <w:sz w:val="24"/>
          <w:szCs w:val="24"/>
        </w:rPr>
        <w:t>broad adoption at the district level</w:t>
      </w:r>
      <w:r w:rsidR="0037106E" w:rsidRPr="004F5DC8">
        <w:rPr>
          <w:rFonts w:ascii="Times New Roman" w:eastAsia="Times New Roman" w:hAnsi="Times New Roman" w:cs="Times New Roman"/>
          <w:sz w:val="24"/>
          <w:szCs w:val="24"/>
        </w:rPr>
        <w:t>, is the chief reason for any remaining funding shortfall</w:t>
      </w:r>
      <w:r w:rsidR="007E1FCF">
        <w:rPr>
          <w:rFonts w:ascii="Times New Roman" w:eastAsia="Times New Roman" w:hAnsi="Times New Roman" w:cs="Times New Roman"/>
          <w:sz w:val="24"/>
          <w:szCs w:val="24"/>
        </w:rPr>
        <w:t>, and to further examine how best to a</w:t>
      </w:r>
      <w:r w:rsidR="00084800">
        <w:rPr>
          <w:rFonts w:ascii="Times New Roman" w:eastAsia="Times New Roman" w:hAnsi="Times New Roman" w:cs="Times New Roman"/>
          <w:sz w:val="24"/>
          <w:szCs w:val="24"/>
        </w:rPr>
        <w:t>ccount for reported costs that may be</w:t>
      </w:r>
      <w:r w:rsidR="007E1FCF">
        <w:rPr>
          <w:rFonts w:ascii="Times New Roman" w:eastAsia="Times New Roman" w:hAnsi="Times New Roman" w:cs="Times New Roman"/>
          <w:sz w:val="24"/>
          <w:szCs w:val="24"/>
        </w:rPr>
        <w:t xml:space="preserve"> shared between regular and special education</w:t>
      </w:r>
      <w:r w:rsidR="0037106E" w:rsidRPr="004F5DC8">
        <w:rPr>
          <w:rFonts w:ascii="Times New Roman" w:eastAsia="Times New Roman" w:hAnsi="Times New Roman" w:cs="Times New Roman"/>
          <w:sz w:val="24"/>
          <w:szCs w:val="24"/>
        </w:rPr>
        <w:t>. The Commission simply did not have sufficient time or resources to further analyze and review district teaching and funding practices in order to inform more specific recomme</w:t>
      </w:r>
      <w:r w:rsidR="00E26B35">
        <w:rPr>
          <w:rFonts w:ascii="Times New Roman" w:eastAsia="Times New Roman" w:hAnsi="Times New Roman" w:cs="Times New Roman"/>
          <w:sz w:val="24"/>
          <w:szCs w:val="24"/>
        </w:rPr>
        <w:t>ndations. The gap between the foundation budget</w:t>
      </w:r>
      <w:r w:rsidR="0037106E" w:rsidRPr="004F5DC8">
        <w:rPr>
          <w:rFonts w:ascii="Times New Roman" w:eastAsia="Times New Roman" w:hAnsi="Times New Roman" w:cs="Times New Roman"/>
          <w:sz w:val="24"/>
          <w:szCs w:val="24"/>
        </w:rPr>
        <w:t xml:space="preserve"> in-district SPED rate and actual district-level </w:t>
      </w:r>
      <w:r w:rsidR="00116295">
        <w:rPr>
          <w:rFonts w:ascii="Times New Roman" w:eastAsia="Times New Roman" w:hAnsi="Times New Roman" w:cs="Times New Roman"/>
          <w:sz w:val="24"/>
          <w:szCs w:val="24"/>
        </w:rPr>
        <w:t xml:space="preserve">per pupil </w:t>
      </w:r>
      <w:r w:rsidR="0037106E" w:rsidRPr="004F5DC8">
        <w:rPr>
          <w:rFonts w:ascii="Times New Roman" w:eastAsia="Times New Roman" w:hAnsi="Times New Roman" w:cs="Times New Roman"/>
          <w:sz w:val="24"/>
          <w:szCs w:val="24"/>
        </w:rPr>
        <w:t>costs needs further attention by the legislature, in order to ensure that Chapter 70 supports best practices in creating and maintaining a 21st century special education system.</w:t>
      </w:r>
    </w:p>
    <w:p w:rsidR="00A97E17" w:rsidRDefault="00A97E17" w:rsidP="00994221">
      <w:pPr>
        <w:spacing w:after="0" w:line="240" w:lineRule="auto"/>
        <w:rPr>
          <w:rFonts w:ascii="Times New Roman" w:eastAsia="Times New Roman" w:hAnsi="Times New Roman" w:cs="Times New Roman"/>
          <w:sz w:val="24"/>
          <w:szCs w:val="24"/>
        </w:rPr>
      </w:pPr>
    </w:p>
    <w:p w:rsidR="00A97E17" w:rsidRPr="004F5DC8" w:rsidRDefault="00A97E17" w:rsidP="009942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Commission further notes that, while any increase made to the foundation budget to reflect special education costs </w:t>
      </w:r>
      <w:r w:rsidR="00174F8E">
        <w:rPr>
          <w:rFonts w:ascii="Times New Roman" w:eastAsia="Times New Roman" w:hAnsi="Times New Roman" w:cs="Times New Roman"/>
          <w:sz w:val="24"/>
          <w:szCs w:val="24"/>
        </w:rPr>
        <w:t>would result</w:t>
      </w:r>
      <w:r>
        <w:rPr>
          <w:rFonts w:ascii="Times New Roman" w:eastAsia="Times New Roman" w:hAnsi="Times New Roman" w:cs="Times New Roman"/>
          <w:sz w:val="24"/>
          <w:szCs w:val="24"/>
        </w:rPr>
        <w:t xml:space="preserve"> in increased Chapter 70 aid for many districts, such additional funding would not need to be spent on special education services solely. </w:t>
      </w:r>
      <w:r w:rsidR="001A1927">
        <w:rPr>
          <w:rFonts w:ascii="Times New Roman" w:eastAsia="Times New Roman" w:hAnsi="Times New Roman" w:cs="Times New Roman"/>
          <w:sz w:val="24"/>
          <w:szCs w:val="24"/>
        </w:rPr>
        <w:t>Because special education is a</w:t>
      </w:r>
      <w:r w:rsidR="00174F8E">
        <w:rPr>
          <w:rFonts w:ascii="Times New Roman" w:eastAsia="Times New Roman" w:hAnsi="Times New Roman" w:cs="Times New Roman"/>
          <w:sz w:val="24"/>
          <w:szCs w:val="24"/>
        </w:rPr>
        <w:t xml:space="preserve"> legal</w:t>
      </w:r>
      <w:r w:rsidR="001A1927">
        <w:rPr>
          <w:rFonts w:ascii="Times New Roman" w:eastAsia="Times New Roman" w:hAnsi="Times New Roman" w:cs="Times New Roman"/>
          <w:sz w:val="24"/>
          <w:szCs w:val="24"/>
        </w:rPr>
        <w:t xml:space="preserve"> entitlement, districts must fund individual </w:t>
      </w:r>
      <w:r w:rsidR="00174F8E">
        <w:rPr>
          <w:rFonts w:ascii="Times New Roman" w:eastAsia="Times New Roman" w:hAnsi="Times New Roman" w:cs="Times New Roman"/>
          <w:sz w:val="24"/>
          <w:szCs w:val="24"/>
        </w:rPr>
        <w:t>education plans for all students in special education</w:t>
      </w:r>
      <w:r w:rsidR="001A1927">
        <w:rPr>
          <w:rFonts w:ascii="Times New Roman" w:eastAsia="Times New Roman" w:hAnsi="Times New Roman" w:cs="Times New Roman"/>
          <w:sz w:val="24"/>
          <w:szCs w:val="24"/>
        </w:rPr>
        <w:t xml:space="preserve">. Therefore, any gap between the foundation budget categories and actual </w:t>
      </w:r>
      <w:r w:rsidR="00E80B2A">
        <w:rPr>
          <w:rFonts w:ascii="Times New Roman" w:eastAsia="Times New Roman" w:hAnsi="Times New Roman" w:cs="Times New Roman"/>
          <w:sz w:val="24"/>
          <w:szCs w:val="24"/>
        </w:rPr>
        <w:t>legal obligations</w:t>
      </w:r>
      <w:r w:rsidR="001A1927">
        <w:rPr>
          <w:rFonts w:ascii="Times New Roman" w:eastAsia="Times New Roman" w:hAnsi="Times New Roman" w:cs="Times New Roman"/>
          <w:sz w:val="24"/>
          <w:szCs w:val="24"/>
        </w:rPr>
        <w:t xml:space="preserve"> results in funds being diverted from other instructional priorities of the district</w:t>
      </w:r>
      <w:r w:rsidR="00174F8E">
        <w:rPr>
          <w:rFonts w:ascii="Times New Roman" w:eastAsia="Times New Roman" w:hAnsi="Times New Roman" w:cs="Times New Roman"/>
          <w:sz w:val="24"/>
          <w:szCs w:val="24"/>
        </w:rPr>
        <w:t xml:space="preserve"> to fund obligatory special education costs</w:t>
      </w:r>
      <w:r w:rsidR="001A1927">
        <w:rPr>
          <w:rFonts w:ascii="Times New Roman" w:eastAsia="Times New Roman" w:hAnsi="Times New Roman" w:cs="Times New Roman"/>
          <w:sz w:val="24"/>
          <w:szCs w:val="24"/>
        </w:rPr>
        <w:t xml:space="preserve">. Any increase in the Chapter 70 assumptions about special education that increases Chapter 70 aid to a district also frees up </w:t>
      </w:r>
      <w:r w:rsidR="00E80B2A">
        <w:rPr>
          <w:rFonts w:ascii="Times New Roman" w:eastAsia="Times New Roman" w:hAnsi="Times New Roman" w:cs="Times New Roman"/>
          <w:sz w:val="24"/>
          <w:szCs w:val="24"/>
        </w:rPr>
        <w:t xml:space="preserve">“other” </w:t>
      </w:r>
      <w:r w:rsidR="001A1927">
        <w:rPr>
          <w:rFonts w:ascii="Times New Roman" w:eastAsia="Times New Roman" w:hAnsi="Times New Roman" w:cs="Times New Roman"/>
          <w:sz w:val="24"/>
          <w:szCs w:val="24"/>
        </w:rPr>
        <w:t xml:space="preserve">funds currently being spent on </w:t>
      </w:r>
      <w:r w:rsidR="00E80B2A">
        <w:rPr>
          <w:rFonts w:ascii="Times New Roman" w:eastAsia="Times New Roman" w:hAnsi="Times New Roman" w:cs="Times New Roman"/>
          <w:sz w:val="24"/>
          <w:szCs w:val="24"/>
        </w:rPr>
        <w:t>special education</w:t>
      </w:r>
      <w:r w:rsidR="001A1927">
        <w:rPr>
          <w:rFonts w:ascii="Times New Roman" w:eastAsia="Times New Roman" w:hAnsi="Times New Roman" w:cs="Times New Roman"/>
          <w:sz w:val="24"/>
          <w:szCs w:val="24"/>
        </w:rPr>
        <w:t xml:space="preserve"> services, and allows districts to make a broader set of investments in core instructional services</w:t>
      </w:r>
      <w:r w:rsidR="00116295">
        <w:rPr>
          <w:rFonts w:ascii="Times New Roman" w:eastAsia="Times New Roman" w:hAnsi="Times New Roman" w:cs="Times New Roman"/>
          <w:sz w:val="24"/>
          <w:szCs w:val="24"/>
        </w:rPr>
        <w:t xml:space="preserve"> and other supports that benefit the entire learning community of that district</w:t>
      </w:r>
      <w:r w:rsidR="00E80B2A">
        <w:rPr>
          <w:rFonts w:ascii="Times New Roman" w:eastAsia="Times New Roman" w:hAnsi="Times New Roman" w:cs="Times New Roman"/>
          <w:sz w:val="24"/>
          <w:szCs w:val="24"/>
        </w:rPr>
        <w:t>, should the district so choose</w:t>
      </w:r>
      <w:r w:rsidR="00116295">
        <w:rPr>
          <w:rFonts w:ascii="Times New Roman" w:eastAsia="Times New Roman" w:hAnsi="Times New Roman" w:cs="Times New Roman"/>
          <w:sz w:val="24"/>
          <w:szCs w:val="24"/>
        </w:rPr>
        <w:t>. It is the expectation of the Commission th</w:t>
      </w:r>
      <w:r w:rsidR="00174F8E">
        <w:rPr>
          <w:rFonts w:ascii="Times New Roman" w:eastAsia="Times New Roman" w:hAnsi="Times New Roman" w:cs="Times New Roman"/>
          <w:sz w:val="24"/>
          <w:szCs w:val="24"/>
        </w:rPr>
        <w:t>at by</w:t>
      </w:r>
      <w:r w:rsidR="00116295">
        <w:rPr>
          <w:rFonts w:ascii="Times New Roman" w:eastAsia="Times New Roman" w:hAnsi="Times New Roman" w:cs="Times New Roman"/>
          <w:sz w:val="24"/>
          <w:szCs w:val="24"/>
        </w:rPr>
        <w:t xml:space="preserve"> more accurately reflecting special education (and health insurance costs) in the Chapter 70 formula</w:t>
      </w:r>
      <w:r w:rsidR="00174F8E">
        <w:rPr>
          <w:rFonts w:ascii="Times New Roman" w:eastAsia="Times New Roman" w:hAnsi="Times New Roman" w:cs="Times New Roman"/>
          <w:sz w:val="24"/>
          <w:szCs w:val="24"/>
        </w:rPr>
        <w:t xml:space="preserve">, </w:t>
      </w:r>
      <w:r w:rsidR="00E80B2A">
        <w:rPr>
          <w:rFonts w:ascii="Times New Roman" w:eastAsia="Times New Roman" w:hAnsi="Times New Roman" w:cs="Times New Roman"/>
          <w:sz w:val="24"/>
          <w:szCs w:val="24"/>
        </w:rPr>
        <w:t>the Legislature</w:t>
      </w:r>
      <w:r w:rsidR="00116295">
        <w:rPr>
          <w:rFonts w:ascii="Times New Roman" w:eastAsia="Times New Roman" w:hAnsi="Times New Roman" w:cs="Times New Roman"/>
          <w:sz w:val="24"/>
          <w:szCs w:val="24"/>
        </w:rPr>
        <w:t xml:space="preserve"> will make possible numerous exciting reforms </w:t>
      </w:r>
      <w:r w:rsidR="00174F8E">
        <w:rPr>
          <w:rFonts w:ascii="Times New Roman" w:eastAsia="Times New Roman" w:hAnsi="Times New Roman" w:cs="Times New Roman"/>
          <w:sz w:val="24"/>
          <w:szCs w:val="24"/>
        </w:rPr>
        <w:t xml:space="preserve">and instructional improvements </w:t>
      </w:r>
      <w:r w:rsidR="00116295">
        <w:rPr>
          <w:rFonts w:ascii="Times New Roman" w:eastAsia="Times New Roman" w:hAnsi="Times New Roman" w:cs="Times New Roman"/>
          <w:sz w:val="24"/>
          <w:szCs w:val="24"/>
        </w:rPr>
        <w:t>that are currently beyond the fiscal capacity of the Commonwealth’s school districts.</w:t>
      </w:r>
    </w:p>
    <w:p w:rsidR="0037106E" w:rsidRPr="0037106E" w:rsidRDefault="0037106E" w:rsidP="00994221">
      <w:pPr>
        <w:pStyle w:val="ListParagraph"/>
        <w:spacing w:line="240" w:lineRule="auto"/>
        <w:rPr>
          <w:rFonts w:ascii="Times New Roman" w:eastAsia="Times New Roman" w:hAnsi="Times New Roman" w:cs="Times New Roman"/>
          <w:sz w:val="24"/>
          <w:szCs w:val="24"/>
        </w:rPr>
      </w:pPr>
    </w:p>
    <w:p w:rsidR="00116295" w:rsidRPr="00D42C76" w:rsidRDefault="00116295" w:rsidP="00994221">
      <w:pPr>
        <w:spacing w:after="0" w:line="240" w:lineRule="auto"/>
        <w:ind w:left="360"/>
        <w:rPr>
          <w:rFonts w:ascii="Times New Roman" w:hAnsi="Times New Roman" w:cs="Times New Roman"/>
          <w:b/>
          <w:sz w:val="32"/>
          <w:szCs w:val="32"/>
        </w:rPr>
      </w:pPr>
    </w:p>
    <w:p w:rsidR="0037106E" w:rsidRDefault="0037106E" w:rsidP="004213E2">
      <w:pPr>
        <w:pStyle w:val="ListParagraph"/>
        <w:numPr>
          <w:ilvl w:val="0"/>
          <w:numId w:val="49"/>
        </w:numPr>
        <w:spacing w:after="0" w:line="240" w:lineRule="auto"/>
        <w:rPr>
          <w:rFonts w:ascii="Times New Roman" w:hAnsi="Times New Roman" w:cs="Times New Roman"/>
          <w:b/>
          <w:sz w:val="32"/>
          <w:szCs w:val="32"/>
        </w:rPr>
      </w:pPr>
      <w:r>
        <w:rPr>
          <w:rFonts w:ascii="Times New Roman" w:hAnsi="Times New Roman" w:cs="Times New Roman"/>
          <w:b/>
          <w:sz w:val="32"/>
          <w:szCs w:val="32"/>
        </w:rPr>
        <w:t>INFLATION FACTORS</w:t>
      </w:r>
    </w:p>
    <w:p w:rsidR="0037106E" w:rsidRPr="0037106E" w:rsidRDefault="0037106E" w:rsidP="00994221">
      <w:pPr>
        <w:pStyle w:val="ListParagraph"/>
        <w:spacing w:after="0" w:line="240" w:lineRule="auto"/>
        <w:rPr>
          <w:rFonts w:ascii="Times New Roman" w:hAnsi="Times New Roman" w:cs="Times New Roman"/>
          <w:b/>
          <w:sz w:val="32"/>
          <w:szCs w:val="32"/>
        </w:rPr>
      </w:pPr>
      <w:r w:rsidRPr="0037106E">
        <w:rPr>
          <w:rFonts w:ascii="Times New Roman" w:hAnsi="Times New Roman" w:cs="Times New Roman"/>
          <w:b/>
          <w:sz w:val="32"/>
          <w:szCs w:val="32"/>
        </w:rPr>
        <w:t xml:space="preserve"> </w:t>
      </w:r>
    </w:p>
    <w:p w:rsidR="0037106E" w:rsidRPr="00944B19" w:rsidRDefault="0037106E" w:rsidP="00994221">
      <w:pPr>
        <w:spacing w:after="0" w:line="240" w:lineRule="auto"/>
        <w:ind w:firstLine="360"/>
        <w:rPr>
          <w:rFonts w:ascii="Times New Roman" w:eastAsia="Times New Roman" w:hAnsi="Times New Roman" w:cs="Times New Roman"/>
          <w:sz w:val="24"/>
          <w:szCs w:val="24"/>
        </w:rPr>
      </w:pPr>
      <w:r w:rsidRPr="00944B19">
        <w:rPr>
          <w:rFonts w:ascii="Times New Roman" w:eastAsia="Times New Roman" w:hAnsi="Times New Roman" w:cs="Times New Roman"/>
          <w:sz w:val="24"/>
          <w:szCs w:val="24"/>
        </w:rPr>
        <w:t xml:space="preserve">The Commission also recognizes that, although the Chapter 70 formula contains an inflation adjustment, which has </w:t>
      </w:r>
      <w:r w:rsidR="00174F8E" w:rsidRPr="00944B19">
        <w:rPr>
          <w:rFonts w:ascii="Times New Roman" w:eastAsia="Times New Roman" w:hAnsi="Times New Roman" w:cs="Times New Roman"/>
          <w:sz w:val="24"/>
          <w:szCs w:val="24"/>
        </w:rPr>
        <w:t>been applied</w:t>
      </w:r>
      <w:r w:rsidRPr="00944B19">
        <w:rPr>
          <w:rFonts w:ascii="Times New Roman" w:eastAsia="Times New Roman" w:hAnsi="Times New Roman" w:cs="Times New Roman"/>
          <w:sz w:val="24"/>
          <w:szCs w:val="24"/>
        </w:rPr>
        <w:t xml:space="preserve"> in most years since 1993, in 2010, </w:t>
      </w:r>
      <w:r w:rsidR="007E1FCF">
        <w:rPr>
          <w:rFonts w:ascii="Times New Roman" w:eastAsia="Times New Roman" w:hAnsi="Times New Roman" w:cs="Times New Roman"/>
          <w:sz w:val="24"/>
          <w:szCs w:val="24"/>
        </w:rPr>
        <w:t xml:space="preserve">faced with a sharp downturn in revenues, and the serious budget challenge that resulted, the final budget used a </w:t>
      </w:r>
      <w:r w:rsidRPr="00944B19">
        <w:rPr>
          <w:rFonts w:ascii="Times New Roman" w:eastAsia="Times New Roman" w:hAnsi="Times New Roman" w:cs="Times New Roman"/>
          <w:sz w:val="24"/>
          <w:szCs w:val="24"/>
        </w:rPr>
        <w:t xml:space="preserve">lower inflation number (3.04%) from a </w:t>
      </w:r>
      <w:r w:rsidR="007E1FCF">
        <w:rPr>
          <w:rFonts w:ascii="Times New Roman" w:eastAsia="Times New Roman" w:hAnsi="Times New Roman" w:cs="Times New Roman"/>
          <w:sz w:val="24"/>
          <w:szCs w:val="24"/>
        </w:rPr>
        <w:t xml:space="preserve">different quarter </w:t>
      </w:r>
      <w:r w:rsidRPr="00944B19">
        <w:rPr>
          <w:rFonts w:ascii="Times New Roman" w:eastAsia="Times New Roman" w:hAnsi="Times New Roman" w:cs="Times New Roman"/>
          <w:sz w:val="24"/>
          <w:szCs w:val="24"/>
        </w:rPr>
        <w:t xml:space="preserve">than the quarter required by statute (6.75%).  A correction for this “missed” quarter that acknowledges the statutory cap on inflation of 4.5% results in an adjustment of 1.4 % in FY16, and would have required additional Chapter 70 aid of almost $55 million.  A correction that suspended the statutory cap results in an adjustment of 3.6 % in FY16, and would have required additional Chapter 70 aid of almost $158 million. </w:t>
      </w:r>
      <w:r w:rsidR="00116295">
        <w:rPr>
          <w:rFonts w:ascii="Times New Roman" w:eastAsia="Times New Roman" w:hAnsi="Times New Roman" w:cs="Times New Roman"/>
          <w:sz w:val="24"/>
          <w:szCs w:val="24"/>
        </w:rPr>
        <w:t>Note, however, that these estimates were calculated separately from the recommendations made in Part A of this report. Were th</w:t>
      </w:r>
      <w:r w:rsidR="00174F8E">
        <w:rPr>
          <w:rFonts w:ascii="Times New Roman" w:eastAsia="Times New Roman" w:hAnsi="Times New Roman" w:cs="Times New Roman"/>
          <w:sz w:val="24"/>
          <w:szCs w:val="24"/>
        </w:rPr>
        <w:t>o</w:t>
      </w:r>
      <w:r w:rsidR="00116295">
        <w:rPr>
          <w:rFonts w:ascii="Times New Roman" w:eastAsia="Times New Roman" w:hAnsi="Times New Roman" w:cs="Times New Roman"/>
          <w:sz w:val="24"/>
          <w:szCs w:val="24"/>
        </w:rPr>
        <w:t xml:space="preserve">se changes adopted, there would be no need to make a corrective fix to those elements of the formula, which would lower the estimates above, and allow an inflation adjustment to be made </w:t>
      </w:r>
      <w:r w:rsidR="00174F8E">
        <w:rPr>
          <w:rFonts w:ascii="Times New Roman" w:eastAsia="Times New Roman" w:hAnsi="Times New Roman" w:cs="Times New Roman"/>
          <w:sz w:val="24"/>
          <w:szCs w:val="24"/>
        </w:rPr>
        <w:t xml:space="preserve">to remaining categories </w:t>
      </w:r>
      <w:r w:rsidR="00116295">
        <w:rPr>
          <w:rFonts w:ascii="Times New Roman" w:eastAsia="Times New Roman" w:hAnsi="Times New Roman" w:cs="Times New Roman"/>
          <w:sz w:val="24"/>
          <w:szCs w:val="24"/>
        </w:rPr>
        <w:t>for a lower cost in Chapter 70</w:t>
      </w:r>
      <w:r w:rsidR="00D2348F">
        <w:rPr>
          <w:rFonts w:ascii="Times New Roman" w:eastAsia="Times New Roman" w:hAnsi="Times New Roman" w:cs="Times New Roman"/>
          <w:sz w:val="24"/>
          <w:szCs w:val="24"/>
        </w:rPr>
        <w:t xml:space="preserve"> aid</w:t>
      </w:r>
      <w:r w:rsidR="00116295">
        <w:rPr>
          <w:rFonts w:ascii="Times New Roman" w:eastAsia="Times New Roman" w:hAnsi="Times New Roman" w:cs="Times New Roman"/>
          <w:sz w:val="24"/>
          <w:szCs w:val="24"/>
        </w:rPr>
        <w:t>.</w:t>
      </w:r>
    </w:p>
    <w:p w:rsidR="0037106E" w:rsidRPr="00644102" w:rsidRDefault="0037106E" w:rsidP="00994221">
      <w:pPr>
        <w:spacing w:after="0" w:line="240" w:lineRule="auto"/>
        <w:jc w:val="center"/>
        <w:rPr>
          <w:rFonts w:ascii="Times New Roman" w:hAnsi="Times New Roman" w:cs="Times New Roman"/>
          <w:b/>
          <w:sz w:val="32"/>
          <w:szCs w:val="32"/>
        </w:rPr>
      </w:pPr>
    </w:p>
    <w:p w:rsidR="009E5EB5" w:rsidRPr="00E8202C" w:rsidRDefault="009E5EB5" w:rsidP="00994221">
      <w:pPr>
        <w:spacing w:after="0" w:line="240" w:lineRule="auto"/>
        <w:jc w:val="center"/>
        <w:rPr>
          <w:rFonts w:ascii="Times New Roman" w:hAnsi="Times New Roman" w:cs="Times New Roman"/>
          <w:b/>
          <w:sz w:val="24"/>
          <w:szCs w:val="24"/>
        </w:rPr>
      </w:pPr>
    </w:p>
    <w:p w:rsidR="00847CBD" w:rsidRDefault="00847CBD" w:rsidP="00994221">
      <w:pPr>
        <w:pStyle w:val="ListParagraph"/>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47CBD" w:rsidRDefault="00994221" w:rsidP="00994221">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00847CBD" w:rsidRPr="00644102">
        <w:rPr>
          <w:rFonts w:ascii="Times New Roman" w:hAnsi="Times New Roman" w:cs="Times New Roman"/>
          <w:b/>
          <w:sz w:val="32"/>
          <w:szCs w:val="32"/>
        </w:rPr>
        <w:t xml:space="preserve">PART </w:t>
      </w:r>
      <w:r w:rsidR="00847CBD">
        <w:rPr>
          <w:rFonts w:ascii="Times New Roman" w:hAnsi="Times New Roman" w:cs="Times New Roman"/>
          <w:b/>
          <w:sz w:val="32"/>
          <w:szCs w:val="32"/>
        </w:rPr>
        <w:t>D –</w:t>
      </w:r>
    </w:p>
    <w:p w:rsidR="00994221" w:rsidRDefault="00994221" w:rsidP="00994221">
      <w:pPr>
        <w:spacing w:after="0" w:line="240" w:lineRule="auto"/>
        <w:jc w:val="center"/>
        <w:rPr>
          <w:rFonts w:ascii="Times New Roman" w:hAnsi="Times New Roman" w:cs="Times New Roman"/>
          <w:b/>
          <w:sz w:val="32"/>
          <w:szCs w:val="32"/>
        </w:rPr>
      </w:pPr>
    </w:p>
    <w:p w:rsidR="00847CBD" w:rsidRDefault="00847CBD" w:rsidP="00994221">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CONCLUSION AND NEXT STEPS</w:t>
      </w:r>
    </w:p>
    <w:p w:rsidR="00847CBD" w:rsidRDefault="00847CBD" w:rsidP="00994221">
      <w:pPr>
        <w:spacing w:after="0" w:line="240" w:lineRule="auto"/>
        <w:jc w:val="center"/>
        <w:rPr>
          <w:rFonts w:ascii="Times New Roman" w:hAnsi="Times New Roman" w:cs="Times New Roman"/>
          <w:b/>
          <w:sz w:val="32"/>
          <w:szCs w:val="32"/>
        </w:rPr>
      </w:pPr>
    </w:p>
    <w:p w:rsidR="00847CBD" w:rsidRDefault="00847CBD" w:rsidP="00994221">
      <w:pPr>
        <w:spacing w:after="0" w:line="240" w:lineRule="auto"/>
        <w:rPr>
          <w:rFonts w:ascii="Times New Roman" w:hAnsi="Times New Roman" w:cs="Times New Roman"/>
          <w:sz w:val="24"/>
          <w:szCs w:val="24"/>
        </w:rPr>
      </w:pPr>
      <w:r w:rsidRPr="00D42C76">
        <w:rPr>
          <w:rFonts w:ascii="Times New Roman" w:hAnsi="Times New Roman" w:cs="Times New Roman"/>
          <w:sz w:val="24"/>
          <w:szCs w:val="24"/>
        </w:rPr>
        <w:t xml:space="preserve">As the Commission’s work </w:t>
      </w:r>
      <w:r>
        <w:rPr>
          <w:rFonts w:ascii="Times New Roman" w:hAnsi="Times New Roman" w:cs="Times New Roman"/>
          <w:sz w:val="24"/>
          <w:szCs w:val="24"/>
        </w:rPr>
        <w:t xml:space="preserve">draws to a </w:t>
      </w:r>
      <w:r w:rsidRPr="00847CBD">
        <w:rPr>
          <w:rFonts w:ascii="Times New Roman" w:hAnsi="Times New Roman" w:cs="Times New Roman"/>
          <w:sz w:val="24"/>
          <w:szCs w:val="24"/>
        </w:rPr>
        <w:t>close</w:t>
      </w:r>
      <w:r w:rsidRPr="00D42C76">
        <w:rPr>
          <w:rFonts w:ascii="Times New Roman" w:hAnsi="Times New Roman" w:cs="Times New Roman"/>
          <w:sz w:val="24"/>
          <w:szCs w:val="24"/>
        </w:rPr>
        <w:t>,</w:t>
      </w:r>
      <w:r>
        <w:rPr>
          <w:rFonts w:ascii="Times New Roman" w:hAnsi="Times New Roman" w:cs="Times New Roman"/>
          <w:sz w:val="24"/>
          <w:szCs w:val="24"/>
        </w:rPr>
        <w:t xml:space="preserve"> the legislature’s </w:t>
      </w:r>
      <w:r w:rsidR="00174F8E">
        <w:rPr>
          <w:rFonts w:ascii="Times New Roman" w:hAnsi="Times New Roman" w:cs="Times New Roman"/>
          <w:sz w:val="24"/>
          <w:szCs w:val="24"/>
        </w:rPr>
        <w:t xml:space="preserve">work </w:t>
      </w:r>
      <w:r>
        <w:rPr>
          <w:rFonts w:ascii="Times New Roman" w:hAnsi="Times New Roman" w:cs="Times New Roman"/>
          <w:sz w:val="24"/>
          <w:szCs w:val="24"/>
        </w:rPr>
        <w:t xml:space="preserve">begins. We submit this </w:t>
      </w:r>
      <w:r w:rsidR="00174F8E">
        <w:rPr>
          <w:rFonts w:ascii="Times New Roman" w:hAnsi="Times New Roman" w:cs="Times New Roman"/>
          <w:sz w:val="24"/>
          <w:szCs w:val="24"/>
        </w:rPr>
        <w:t>report to</w:t>
      </w:r>
      <w:r>
        <w:rPr>
          <w:rFonts w:ascii="Times New Roman" w:hAnsi="Times New Roman" w:cs="Times New Roman"/>
          <w:sz w:val="24"/>
          <w:szCs w:val="24"/>
        </w:rPr>
        <w:t xml:space="preserve"> the legislature with full recognition of the continued fiscal challenges of the Commonwealth, and the many competing priorities, and worthwhile goals, </w:t>
      </w:r>
      <w:r w:rsidR="00AC7548">
        <w:rPr>
          <w:rFonts w:ascii="Times New Roman" w:hAnsi="Times New Roman" w:cs="Times New Roman"/>
          <w:sz w:val="24"/>
          <w:szCs w:val="24"/>
        </w:rPr>
        <w:t xml:space="preserve">that </w:t>
      </w:r>
      <w:r>
        <w:rPr>
          <w:rFonts w:ascii="Times New Roman" w:hAnsi="Times New Roman" w:cs="Times New Roman"/>
          <w:sz w:val="24"/>
          <w:szCs w:val="24"/>
        </w:rPr>
        <w:t xml:space="preserve">the legislature must balance in </w:t>
      </w:r>
      <w:proofErr w:type="gramStart"/>
      <w:r w:rsidR="00174F8E">
        <w:rPr>
          <w:rFonts w:ascii="Times New Roman" w:hAnsi="Times New Roman" w:cs="Times New Roman"/>
          <w:sz w:val="24"/>
          <w:szCs w:val="24"/>
        </w:rPr>
        <w:t>crafting</w:t>
      </w:r>
      <w:proofErr w:type="gramEnd"/>
      <w:r w:rsidR="00174F8E">
        <w:rPr>
          <w:rFonts w:ascii="Times New Roman" w:hAnsi="Times New Roman" w:cs="Times New Roman"/>
          <w:sz w:val="24"/>
          <w:szCs w:val="24"/>
        </w:rPr>
        <w:t xml:space="preserve"> the annual state budget</w:t>
      </w:r>
      <w:r>
        <w:rPr>
          <w:rFonts w:ascii="Times New Roman" w:hAnsi="Times New Roman" w:cs="Times New Roman"/>
          <w:sz w:val="24"/>
          <w:szCs w:val="24"/>
        </w:rPr>
        <w:t xml:space="preserve">. </w:t>
      </w:r>
      <w:r w:rsidR="00D2348F">
        <w:rPr>
          <w:rFonts w:ascii="Times New Roman" w:hAnsi="Times New Roman" w:cs="Times New Roman"/>
          <w:sz w:val="24"/>
          <w:szCs w:val="24"/>
        </w:rPr>
        <w:t xml:space="preserve">We recognize that recommendations of this scope and size will need to be phased in to be affordable. </w:t>
      </w:r>
      <w:r>
        <w:rPr>
          <w:rFonts w:ascii="Times New Roman" w:hAnsi="Times New Roman" w:cs="Times New Roman"/>
          <w:sz w:val="24"/>
          <w:szCs w:val="24"/>
        </w:rPr>
        <w:t xml:space="preserve">However, we also note again what was stated at the beginning of this document: </w:t>
      </w:r>
      <w:r w:rsidR="00D2348F" w:rsidRPr="00555054">
        <w:rPr>
          <w:rFonts w:ascii="Times New Roman" w:hAnsi="Times New Roman" w:cs="Times New Roman"/>
          <w:sz w:val="24"/>
          <w:szCs w:val="24"/>
        </w:rPr>
        <w:t xml:space="preserve">that the </w:t>
      </w:r>
      <w:r w:rsidR="00D2348F">
        <w:rPr>
          <w:rFonts w:ascii="Times New Roman" w:hAnsi="Times New Roman" w:cs="Times New Roman"/>
          <w:sz w:val="24"/>
          <w:szCs w:val="24"/>
        </w:rPr>
        <w:t>good work begun by the education reform act of 1993, and the educational progre</w:t>
      </w:r>
      <w:r w:rsidR="0060036A">
        <w:rPr>
          <w:rFonts w:ascii="Times New Roman" w:hAnsi="Times New Roman" w:cs="Times New Roman"/>
          <w:sz w:val="24"/>
          <w:szCs w:val="24"/>
        </w:rPr>
        <w:t xml:space="preserve">ss made since, will be at risk </w:t>
      </w:r>
      <w:r w:rsidR="00D2348F">
        <w:rPr>
          <w:rFonts w:ascii="Times New Roman" w:hAnsi="Times New Roman" w:cs="Times New Roman"/>
          <w:sz w:val="24"/>
          <w:szCs w:val="24"/>
        </w:rPr>
        <w:t>s</w:t>
      </w:r>
      <w:r w:rsidR="0060036A">
        <w:rPr>
          <w:rFonts w:ascii="Times New Roman" w:hAnsi="Times New Roman" w:cs="Times New Roman"/>
          <w:sz w:val="24"/>
          <w:szCs w:val="24"/>
        </w:rPr>
        <w:t>o</w:t>
      </w:r>
      <w:r w:rsidR="00D2348F">
        <w:rPr>
          <w:rFonts w:ascii="Times New Roman" w:hAnsi="Times New Roman" w:cs="Times New Roman"/>
          <w:sz w:val="24"/>
          <w:szCs w:val="24"/>
        </w:rPr>
        <w:t xml:space="preserve"> long as our school </w:t>
      </w:r>
      <w:r w:rsidR="00D2348F" w:rsidRPr="00555054">
        <w:rPr>
          <w:rFonts w:ascii="Times New Roman" w:hAnsi="Times New Roman" w:cs="Times New Roman"/>
          <w:sz w:val="24"/>
          <w:szCs w:val="24"/>
        </w:rPr>
        <w:t>system</w:t>
      </w:r>
      <w:r w:rsidR="00D2348F">
        <w:rPr>
          <w:rFonts w:ascii="Times New Roman" w:hAnsi="Times New Roman" w:cs="Times New Roman"/>
          <w:sz w:val="24"/>
          <w:szCs w:val="24"/>
        </w:rPr>
        <w:t>s are</w:t>
      </w:r>
      <w:r w:rsidR="00D2348F" w:rsidRPr="00555054">
        <w:rPr>
          <w:rFonts w:ascii="Times New Roman" w:hAnsi="Times New Roman" w:cs="Times New Roman"/>
          <w:sz w:val="24"/>
          <w:szCs w:val="24"/>
        </w:rPr>
        <w:t xml:space="preserve"> fiscally strained by the </w:t>
      </w:r>
      <w:r w:rsidR="0060036A">
        <w:rPr>
          <w:rFonts w:ascii="Times New Roman" w:hAnsi="Times New Roman" w:cs="Times New Roman"/>
          <w:sz w:val="24"/>
          <w:szCs w:val="24"/>
        </w:rPr>
        <w:t xml:space="preserve">ongoing </w:t>
      </w:r>
      <w:r w:rsidR="00D2348F" w:rsidRPr="00555054">
        <w:rPr>
          <w:rFonts w:ascii="Times New Roman" w:hAnsi="Times New Roman" w:cs="Times New Roman"/>
          <w:sz w:val="24"/>
          <w:szCs w:val="24"/>
        </w:rPr>
        <w:t xml:space="preserve">failure to substantively </w:t>
      </w:r>
      <w:r w:rsidR="00D2348F" w:rsidRPr="008E237B">
        <w:rPr>
          <w:rFonts w:ascii="Times New Roman" w:hAnsi="Times New Roman" w:cs="Times New Roman"/>
          <w:sz w:val="24"/>
          <w:szCs w:val="24"/>
        </w:rPr>
        <w:t xml:space="preserve">reconsider the adequacy of </w:t>
      </w:r>
      <w:r w:rsidR="0060036A">
        <w:rPr>
          <w:rFonts w:ascii="Times New Roman" w:hAnsi="Times New Roman" w:cs="Times New Roman"/>
          <w:sz w:val="24"/>
          <w:szCs w:val="24"/>
        </w:rPr>
        <w:t>the foundation budget</w:t>
      </w:r>
      <w:r>
        <w:rPr>
          <w:rFonts w:ascii="Times New Roman" w:hAnsi="Times New Roman" w:cs="Times New Roman"/>
          <w:sz w:val="24"/>
          <w:szCs w:val="24"/>
        </w:rPr>
        <w:t xml:space="preserve">, </w:t>
      </w:r>
      <w:r w:rsidRPr="00D42C76">
        <w:rPr>
          <w:rFonts w:ascii="Times New Roman" w:hAnsi="Times New Roman" w:cs="Times New Roman"/>
          <w:sz w:val="24"/>
          <w:szCs w:val="24"/>
        </w:rPr>
        <w:t xml:space="preserve"> </w:t>
      </w:r>
      <w:r w:rsidR="00D2348F">
        <w:rPr>
          <w:rFonts w:ascii="Times New Roman" w:hAnsi="Times New Roman" w:cs="Times New Roman"/>
          <w:sz w:val="24"/>
          <w:szCs w:val="24"/>
        </w:rPr>
        <w:t xml:space="preserve">We therefore urge that the legislature act on these recommendations with a </w:t>
      </w:r>
      <w:r w:rsidR="00517F05">
        <w:rPr>
          <w:rFonts w:ascii="Times New Roman" w:hAnsi="Times New Roman" w:cs="Times New Roman"/>
          <w:sz w:val="24"/>
          <w:szCs w:val="24"/>
        </w:rPr>
        <w:t xml:space="preserve">profound </w:t>
      </w:r>
      <w:r w:rsidR="00D2348F">
        <w:rPr>
          <w:rFonts w:ascii="Times New Roman" w:hAnsi="Times New Roman" w:cs="Times New Roman"/>
          <w:sz w:val="24"/>
          <w:szCs w:val="24"/>
        </w:rPr>
        <w:t xml:space="preserve">sense of the </w:t>
      </w:r>
      <w:r w:rsidR="00517F05">
        <w:rPr>
          <w:rFonts w:ascii="Times New Roman" w:hAnsi="Times New Roman" w:cs="Times New Roman"/>
          <w:sz w:val="24"/>
          <w:szCs w:val="24"/>
        </w:rPr>
        <w:t>risks and opportunities at stake for our shared prosperity as a state and, as our constitution acknowledges, the critical nature of education to the health of our democracy. We advise a</w:t>
      </w:r>
      <w:r w:rsidR="00D2348F">
        <w:rPr>
          <w:rFonts w:ascii="Times New Roman" w:hAnsi="Times New Roman" w:cs="Times New Roman"/>
          <w:sz w:val="24"/>
          <w:szCs w:val="24"/>
        </w:rPr>
        <w:t xml:space="preserve"> </w:t>
      </w:r>
      <w:r w:rsidR="0060036A">
        <w:rPr>
          <w:rFonts w:ascii="Times New Roman" w:hAnsi="Times New Roman" w:cs="Times New Roman"/>
          <w:sz w:val="24"/>
          <w:szCs w:val="24"/>
        </w:rPr>
        <w:t xml:space="preserve">keen </w:t>
      </w:r>
      <w:r w:rsidR="00D2348F">
        <w:rPr>
          <w:rFonts w:ascii="Times New Roman" w:hAnsi="Times New Roman" w:cs="Times New Roman"/>
          <w:sz w:val="24"/>
          <w:szCs w:val="24"/>
        </w:rPr>
        <w:t xml:space="preserve">sense of the urgency </w:t>
      </w:r>
      <w:r w:rsidR="00517F05">
        <w:rPr>
          <w:rFonts w:ascii="Times New Roman" w:hAnsi="Times New Roman" w:cs="Times New Roman"/>
          <w:sz w:val="24"/>
          <w:szCs w:val="24"/>
        </w:rPr>
        <w:t>when it comes to</w:t>
      </w:r>
      <w:r w:rsidR="00D2348F">
        <w:rPr>
          <w:rFonts w:ascii="Times New Roman" w:hAnsi="Times New Roman" w:cs="Times New Roman"/>
          <w:sz w:val="24"/>
          <w:szCs w:val="24"/>
        </w:rPr>
        <w:t xml:space="preserve"> </w:t>
      </w:r>
      <w:r w:rsidR="0060036A">
        <w:rPr>
          <w:rFonts w:ascii="Times New Roman" w:hAnsi="Times New Roman" w:cs="Times New Roman"/>
          <w:sz w:val="24"/>
          <w:szCs w:val="24"/>
        </w:rPr>
        <w:t xml:space="preserve">addressing </w:t>
      </w:r>
      <w:r w:rsidR="00D2348F">
        <w:rPr>
          <w:rFonts w:ascii="Times New Roman" w:hAnsi="Times New Roman" w:cs="Times New Roman"/>
          <w:sz w:val="24"/>
          <w:szCs w:val="24"/>
        </w:rPr>
        <w:t xml:space="preserve">the </w:t>
      </w:r>
      <w:r w:rsidR="0060036A">
        <w:rPr>
          <w:rFonts w:ascii="Times New Roman" w:hAnsi="Times New Roman" w:cs="Times New Roman"/>
          <w:sz w:val="24"/>
          <w:szCs w:val="24"/>
        </w:rPr>
        <w:t xml:space="preserve">identified </w:t>
      </w:r>
      <w:r w:rsidR="00D2348F">
        <w:rPr>
          <w:rFonts w:ascii="Times New Roman" w:hAnsi="Times New Roman" w:cs="Times New Roman"/>
          <w:sz w:val="24"/>
          <w:szCs w:val="24"/>
        </w:rPr>
        <w:t xml:space="preserve">funding </w:t>
      </w:r>
      <w:r w:rsidR="0060036A">
        <w:rPr>
          <w:rFonts w:ascii="Times New Roman" w:hAnsi="Times New Roman" w:cs="Times New Roman"/>
          <w:sz w:val="24"/>
          <w:szCs w:val="24"/>
        </w:rPr>
        <w:t>gaps</w:t>
      </w:r>
      <w:r w:rsidR="00D2348F">
        <w:rPr>
          <w:rFonts w:ascii="Times New Roman" w:hAnsi="Times New Roman" w:cs="Times New Roman"/>
          <w:sz w:val="24"/>
          <w:szCs w:val="24"/>
        </w:rPr>
        <w:t xml:space="preserve">, and the moral imperative of reducing </w:t>
      </w:r>
      <w:r w:rsidR="0060036A">
        <w:rPr>
          <w:rFonts w:ascii="Times New Roman" w:hAnsi="Times New Roman" w:cs="Times New Roman"/>
          <w:sz w:val="24"/>
          <w:szCs w:val="24"/>
        </w:rPr>
        <w:t xml:space="preserve">the </w:t>
      </w:r>
      <w:r w:rsidR="00D2348F">
        <w:rPr>
          <w:rFonts w:ascii="Times New Roman" w:hAnsi="Times New Roman" w:cs="Times New Roman"/>
          <w:sz w:val="24"/>
          <w:szCs w:val="24"/>
        </w:rPr>
        <w:t>remaining achievement gaps.</w:t>
      </w:r>
    </w:p>
    <w:p w:rsidR="00752574" w:rsidRDefault="00752574" w:rsidP="00994221">
      <w:pPr>
        <w:spacing w:after="0" w:line="240" w:lineRule="auto"/>
        <w:rPr>
          <w:rFonts w:ascii="Times New Roman" w:hAnsi="Times New Roman" w:cs="Times New Roman"/>
          <w:sz w:val="24"/>
          <w:szCs w:val="24"/>
        </w:rPr>
      </w:pPr>
    </w:p>
    <w:p w:rsidR="00517F05" w:rsidRDefault="0060036A" w:rsidP="00994221">
      <w:pPr>
        <w:spacing w:after="0" w:line="240" w:lineRule="auto"/>
        <w:rPr>
          <w:rFonts w:ascii="Times New Roman" w:hAnsi="Times New Roman" w:cs="Times New Roman"/>
          <w:sz w:val="24"/>
          <w:szCs w:val="24"/>
        </w:rPr>
      </w:pPr>
      <w:r>
        <w:rPr>
          <w:rFonts w:ascii="Times New Roman" w:hAnsi="Times New Roman" w:cs="Times New Roman"/>
          <w:sz w:val="24"/>
          <w:szCs w:val="24"/>
        </w:rPr>
        <w:t>The Commission also hopes</w:t>
      </w:r>
      <w:r w:rsidR="00D2348F">
        <w:rPr>
          <w:rFonts w:ascii="Times New Roman" w:hAnsi="Times New Roman" w:cs="Times New Roman"/>
          <w:sz w:val="24"/>
          <w:szCs w:val="24"/>
        </w:rPr>
        <w:t xml:space="preserve">, after passage of any revisions to Chapter 70, </w:t>
      </w:r>
      <w:r w:rsidR="00174F8E">
        <w:rPr>
          <w:rFonts w:ascii="Times New Roman" w:hAnsi="Times New Roman" w:cs="Times New Roman"/>
          <w:sz w:val="24"/>
          <w:szCs w:val="24"/>
        </w:rPr>
        <w:t>that careful</w:t>
      </w:r>
      <w:r w:rsidR="00D2348F">
        <w:rPr>
          <w:rFonts w:ascii="Times New Roman" w:hAnsi="Times New Roman" w:cs="Times New Roman"/>
          <w:sz w:val="24"/>
          <w:szCs w:val="24"/>
        </w:rPr>
        <w:t xml:space="preserve"> and continued attention </w:t>
      </w:r>
      <w:r>
        <w:rPr>
          <w:rFonts w:ascii="Times New Roman" w:hAnsi="Times New Roman" w:cs="Times New Roman"/>
          <w:sz w:val="24"/>
          <w:szCs w:val="24"/>
        </w:rPr>
        <w:t xml:space="preserve">will </w:t>
      </w:r>
      <w:r w:rsidR="00D2348F">
        <w:rPr>
          <w:rFonts w:ascii="Times New Roman" w:hAnsi="Times New Roman" w:cs="Times New Roman"/>
          <w:sz w:val="24"/>
          <w:szCs w:val="24"/>
        </w:rPr>
        <w:t xml:space="preserve">be paid to the adequacy of the foundation budget, to the effectiveness of the implementation of </w:t>
      </w:r>
      <w:r w:rsidR="00AC7548">
        <w:rPr>
          <w:rFonts w:ascii="Times New Roman" w:hAnsi="Times New Roman" w:cs="Times New Roman"/>
          <w:sz w:val="24"/>
          <w:szCs w:val="24"/>
        </w:rPr>
        <w:t xml:space="preserve">any </w:t>
      </w:r>
      <w:r>
        <w:rPr>
          <w:rFonts w:ascii="Times New Roman" w:hAnsi="Times New Roman" w:cs="Times New Roman"/>
          <w:sz w:val="24"/>
          <w:szCs w:val="24"/>
        </w:rPr>
        <w:t>Chapter 70 revisions</w:t>
      </w:r>
      <w:r w:rsidR="00D2348F">
        <w:rPr>
          <w:rFonts w:ascii="Times New Roman" w:hAnsi="Times New Roman" w:cs="Times New Roman"/>
          <w:sz w:val="24"/>
          <w:szCs w:val="24"/>
        </w:rPr>
        <w:t xml:space="preserve">, and to best practices that emerge over coming years. We </w:t>
      </w:r>
      <w:r w:rsidR="006E37A0">
        <w:rPr>
          <w:rFonts w:ascii="Times New Roman" w:hAnsi="Times New Roman" w:cs="Times New Roman"/>
          <w:sz w:val="24"/>
          <w:szCs w:val="24"/>
        </w:rPr>
        <w:t>encourage the legislature to make the work of the Commission recurring, on some regular interval of years as was originally envisioned by the 1993 Act, since both pedagogical wisdom and relevant changes in our economy and society will always be emerging.</w:t>
      </w:r>
    </w:p>
    <w:p w:rsidR="00D2348F" w:rsidRDefault="006E37A0" w:rsidP="009942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t>
      </w:r>
      <w:r w:rsidR="00D2348F">
        <w:rPr>
          <w:rFonts w:ascii="Times New Roman" w:hAnsi="Times New Roman" w:cs="Times New Roman"/>
          <w:sz w:val="24"/>
          <w:szCs w:val="24"/>
        </w:rPr>
        <w:t>hope that</w:t>
      </w:r>
      <w:r w:rsidR="00752574">
        <w:rPr>
          <w:rFonts w:ascii="Times New Roman" w:hAnsi="Times New Roman" w:cs="Times New Roman"/>
          <w:sz w:val="24"/>
          <w:szCs w:val="24"/>
        </w:rPr>
        <w:t>,</w:t>
      </w:r>
      <w:r>
        <w:rPr>
          <w:rFonts w:ascii="Times New Roman" w:hAnsi="Times New Roman" w:cs="Times New Roman"/>
          <w:sz w:val="24"/>
          <w:szCs w:val="24"/>
        </w:rPr>
        <w:t xml:space="preserve"> with the assistance of such a reconvened commission,</w:t>
      </w:r>
      <w:r w:rsidR="00752574">
        <w:rPr>
          <w:rFonts w:ascii="Times New Roman" w:hAnsi="Times New Roman" w:cs="Times New Roman"/>
          <w:sz w:val="24"/>
          <w:szCs w:val="24"/>
        </w:rPr>
        <w:t xml:space="preserve"> the legislature will</w:t>
      </w:r>
      <w:r>
        <w:rPr>
          <w:rFonts w:ascii="Times New Roman" w:hAnsi="Times New Roman" w:cs="Times New Roman"/>
          <w:sz w:val="24"/>
          <w:szCs w:val="24"/>
        </w:rPr>
        <w:t xml:space="preserve"> be in a position to</w:t>
      </w:r>
      <w:r w:rsidR="00752574">
        <w:rPr>
          <w:rFonts w:ascii="Times New Roman" w:hAnsi="Times New Roman" w:cs="Times New Roman"/>
          <w:sz w:val="24"/>
          <w:szCs w:val="24"/>
        </w:rPr>
        <w:t xml:space="preserve"> act expeditiously on any new </w:t>
      </w:r>
      <w:r w:rsidR="0060036A">
        <w:rPr>
          <w:rFonts w:ascii="Times New Roman" w:hAnsi="Times New Roman" w:cs="Times New Roman"/>
          <w:sz w:val="24"/>
          <w:szCs w:val="24"/>
        </w:rPr>
        <w:t xml:space="preserve">fiscal </w:t>
      </w:r>
      <w:r w:rsidR="00752574">
        <w:rPr>
          <w:rFonts w:ascii="Times New Roman" w:hAnsi="Times New Roman" w:cs="Times New Roman"/>
          <w:sz w:val="24"/>
          <w:szCs w:val="24"/>
        </w:rPr>
        <w:t>needs</w:t>
      </w:r>
      <w:r w:rsidR="0060036A">
        <w:rPr>
          <w:rFonts w:ascii="Times New Roman" w:hAnsi="Times New Roman" w:cs="Times New Roman"/>
          <w:sz w:val="24"/>
          <w:szCs w:val="24"/>
        </w:rPr>
        <w:t xml:space="preserve"> or </w:t>
      </w:r>
      <w:r>
        <w:rPr>
          <w:rFonts w:ascii="Times New Roman" w:hAnsi="Times New Roman" w:cs="Times New Roman"/>
          <w:sz w:val="24"/>
          <w:szCs w:val="24"/>
        </w:rPr>
        <w:t>implementation challenges</w:t>
      </w:r>
      <w:r w:rsidR="0060036A">
        <w:rPr>
          <w:rFonts w:ascii="Times New Roman" w:hAnsi="Times New Roman" w:cs="Times New Roman"/>
          <w:sz w:val="24"/>
          <w:szCs w:val="24"/>
        </w:rPr>
        <w:t xml:space="preserve"> </w:t>
      </w:r>
      <w:r w:rsidR="00752574">
        <w:rPr>
          <w:rFonts w:ascii="Times New Roman" w:hAnsi="Times New Roman" w:cs="Times New Roman"/>
          <w:sz w:val="24"/>
          <w:szCs w:val="24"/>
        </w:rPr>
        <w:t xml:space="preserve">that have arisen in the </w:t>
      </w:r>
      <w:proofErr w:type="gramStart"/>
      <w:r w:rsidR="00752574">
        <w:rPr>
          <w:rFonts w:ascii="Times New Roman" w:hAnsi="Times New Roman" w:cs="Times New Roman"/>
          <w:sz w:val="24"/>
          <w:szCs w:val="24"/>
        </w:rPr>
        <w:t>interim,</w:t>
      </w:r>
      <w:proofErr w:type="gramEnd"/>
      <w:r w:rsidR="00752574">
        <w:rPr>
          <w:rFonts w:ascii="Times New Roman" w:hAnsi="Times New Roman" w:cs="Times New Roman"/>
          <w:sz w:val="24"/>
          <w:szCs w:val="24"/>
        </w:rPr>
        <w:t xml:space="preserve"> or new </w:t>
      </w:r>
      <w:r w:rsidR="00174F8E">
        <w:rPr>
          <w:rFonts w:ascii="Times New Roman" w:hAnsi="Times New Roman" w:cs="Times New Roman"/>
          <w:sz w:val="24"/>
          <w:szCs w:val="24"/>
        </w:rPr>
        <w:t>strategies</w:t>
      </w:r>
      <w:r w:rsidR="00752574">
        <w:rPr>
          <w:rFonts w:ascii="Times New Roman" w:hAnsi="Times New Roman" w:cs="Times New Roman"/>
          <w:sz w:val="24"/>
          <w:szCs w:val="24"/>
        </w:rPr>
        <w:t xml:space="preserve"> that permit more efficient and effective use of funds. Noting the challenges and frustrations faced by this Commission as the result of a lack of dedicated and funded staff, we strongly recommend that dedicated </w:t>
      </w:r>
      <w:r>
        <w:rPr>
          <w:rFonts w:ascii="Times New Roman" w:hAnsi="Times New Roman" w:cs="Times New Roman"/>
          <w:sz w:val="24"/>
          <w:szCs w:val="24"/>
        </w:rPr>
        <w:t xml:space="preserve">and timely </w:t>
      </w:r>
      <w:r w:rsidR="00752574">
        <w:rPr>
          <w:rFonts w:ascii="Times New Roman" w:hAnsi="Times New Roman" w:cs="Times New Roman"/>
          <w:sz w:val="24"/>
          <w:szCs w:val="24"/>
        </w:rPr>
        <w:t>funding be provided to any future Commission to allow a rigorous review of available data to make decisions that are in best long term interests of the Commonwealth both fiscally and educationally.</w:t>
      </w:r>
    </w:p>
    <w:p w:rsidR="00752574" w:rsidRDefault="00752574" w:rsidP="00994221">
      <w:pPr>
        <w:spacing w:after="0" w:line="240" w:lineRule="auto"/>
        <w:rPr>
          <w:rFonts w:ascii="Times New Roman" w:hAnsi="Times New Roman" w:cs="Times New Roman"/>
          <w:sz w:val="24"/>
          <w:szCs w:val="24"/>
        </w:rPr>
      </w:pPr>
    </w:p>
    <w:p w:rsidR="00752574" w:rsidRPr="00D42C76" w:rsidRDefault="00752574" w:rsidP="009942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Education reform in Massachusetts is now 22 years old, and its strength has derived from a solid bipartisan commitment both to high academic standards and to providing adequate funding to allow districts to meet those standards. As a Commission composed of members from the educational, business, philanthropic, governmental, and civic communities, we hope that our proposals represent another step in that journey towards academic excellence and educational equity, and we look forward to continuing our work </w:t>
      </w:r>
      <w:r w:rsidR="0060036A">
        <w:rPr>
          <w:rFonts w:ascii="Times New Roman" w:hAnsi="Times New Roman" w:cs="Times New Roman"/>
          <w:sz w:val="24"/>
          <w:szCs w:val="24"/>
        </w:rPr>
        <w:t xml:space="preserve">together </w:t>
      </w:r>
      <w:r>
        <w:rPr>
          <w:rFonts w:ascii="Times New Roman" w:hAnsi="Times New Roman" w:cs="Times New Roman"/>
          <w:sz w:val="24"/>
          <w:szCs w:val="24"/>
        </w:rPr>
        <w:t xml:space="preserve">to </w:t>
      </w:r>
      <w:r w:rsidR="00FE7C58">
        <w:rPr>
          <w:rFonts w:ascii="Times New Roman" w:hAnsi="Times New Roman" w:cs="Times New Roman"/>
          <w:sz w:val="24"/>
          <w:szCs w:val="24"/>
        </w:rPr>
        <w:t>see these changes enacted and signed into law.</w:t>
      </w:r>
    </w:p>
    <w:p w:rsidR="0037106E" w:rsidRDefault="0037106E" w:rsidP="00994221">
      <w:pPr>
        <w:pStyle w:val="ListParagraph"/>
        <w:spacing w:after="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36A3A" w:rsidRPr="006051DD" w:rsidRDefault="00636A3A" w:rsidP="00F954F0">
      <w:pPr>
        <w:pStyle w:val="Heading1"/>
      </w:pPr>
      <w:r w:rsidRPr="006051DD">
        <w:lastRenderedPageBreak/>
        <w:t>Appendix A</w:t>
      </w:r>
    </w:p>
    <w:p w:rsidR="00636A3A" w:rsidRPr="00994221" w:rsidRDefault="00527AEE" w:rsidP="00994221">
      <w:pPr>
        <w:spacing w:after="0" w:line="240" w:lineRule="auto"/>
        <w:rPr>
          <w:rFonts w:ascii="Times New Roman" w:hAnsi="Times New Roman" w:cs="Times New Roman"/>
          <w:i/>
          <w:sz w:val="24"/>
          <w:szCs w:val="24"/>
        </w:rPr>
      </w:pPr>
      <w:r>
        <w:rPr>
          <w:rFonts w:ascii="Times New Roman" w:hAnsi="Times New Roman" w:cs="Times New Roman"/>
          <w:sz w:val="24"/>
          <w:szCs w:val="24"/>
        </w:rPr>
        <w:t>The Commission held six</w:t>
      </w:r>
      <w:r w:rsidR="00636A3A" w:rsidRPr="00636A3A">
        <w:rPr>
          <w:rFonts w:ascii="Times New Roman" w:hAnsi="Times New Roman" w:cs="Times New Roman"/>
          <w:sz w:val="24"/>
          <w:szCs w:val="24"/>
        </w:rPr>
        <w:t xml:space="preserve"> public hearings across the state</w:t>
      </w:r>
      <w:r w:rsidR="00636A3A">
        <w:rPr>
          <w:rFonts w:ascii="Times New Roman" w:hAnsi="Times New Roman" w:cs="Times New Roman"/>
          <w:sz w:val="24"/>
          <w:szCs w:val="24"/>
        </w:rPr>
        <w:t xml:space="preserve"> to solicit testimony from members of the public</w:t>
      </w:r>
      <w:r w:rsidR="00636A3A" w:rsidRPr="00636A3A">
        <w:rPr>
          <w:rFonts w:ascii="Times New Roman" w:hAnsi="Times New Roman" w:cs="Times New Roman"/>
          <w:sz w:val="24"/>
          <w:szCs w:val="24"/>
        </w:rPr>
        <w:t xml:space="preserve">. A summary of the </w:t>
      </w:r>
      <w:r w:rsidR="00847CBD">
        <w:rPr>
          <w:rFonts w:ascii="Times New Roman" w:hAnsi="Times New Roman" w:cs="Times New Roman"/>
          <w:sz w:val="24"/>
          <w:szCs w:val="24"/>
        </w:rPr>
        <w:t xml:space="preserve">main </w:t>
      </w:r>
      <w:r w:rsidR="00636A3A" w:rsidRPr="00636A3A">
        <w:rPr>
          <w:rFonts w:ascii="Times New Roman" w:hAnsi="Times New Roman" w:cs="Times New Roman"/>
          <w:sz w:val="24"/>
          <w:szCs w:val="24"/>
        </w:rPr>
        <w:t>themes</w:t>
      </w:r>
      <w:r w:rsidR="00636A3A">
        <w:rPr>
          <w:rFonts w:ascii="Times New Roman" w:hAnsi="Times New Roman" w:cs="Times New Roman"/>
          <w:sz w:val="24"/>
          <w:szCs w:val="24"/>
        </w:rPr>
        <w:t xml:space="preserve"> and issues</w:t>
      </w:r>
      <w:r w:rsidR="00636A3A" w:rsidRPr="00636A3A">
        <w:rPr>
          <w:rFonts w:ascii="Times New Roman" w:hAnsi="Times New Roman" w:cs="Times New Roman"/>
          <w:sz w:val="24"/>
          <w:szCs w:val="24"/>
        </w:rPr>
        <w:t xml:space="preserve"> that were raised during the public hearings </w:t>
      </w:r>
      <w:r w:rsidR="00636A3A">
        <w:rPr>
          <w:rFonts w:ascii="Times New Roman" w:hAnsi="Times New Roman" w:cs="Times New Roman"/>
          <w:sz w:val="24"/>
          <w:szCs w:val="24"/>
        </w:rPr>
        <w:t xml:space="preserve">are listed below. </w:t>
      </w:r>
      <w:r w:rsidR="004452E8" w:rsidRPr="00994221">
        <w:rPr>
          <w:rFonts w:ascii="Times New Roman" w:hAnsi="Times New Roman" w:cs="Times New Roman"/>
          <w:b/>
          <w:i/>
          <w:sz w:val="24"/>
          <w:szCs w:val="24"/>
        </w:rPr>
        <w:t>This list reflects the testimony heard at the public hearings only and is not meant to convey the Commission’s formal findings or recommendations</w:t>
      </w:r>
      <w:r w:rsidR="004452E8" w:rsidRPr="00994221">
        <w:rPr>
          <w:rFonts w:ascii="Times New Roman" w:hAnsi="Times New Roman" w:cs="Times New Roman"/>
          <w:i/>
          <w:sz w:val="24"/>
          <w:szCs w:val="24"/>
        </w:rPr>
        <w:t xml:space="preserve">. </w:t>
      </w:r>
    </w:p>
    <w:p w:rsidR="00636A3A" w:rsidRPr="00636A3A" w:rsidRDefault="00636A3A" w:rsidP="00994221">
      <w:pPr>
        <w:spacing w:after="0" w:line="240" w:lineRule="auto"/>
        <w:rPr>
          <w:rFonts w:ascii="Times New Roman" w:hAnsi="Times New Roman" w:cs="Times New Roman"/>
          <w:b/>
          <w:i/>
          <w:sz w:val="32"/>
          <w:szCs w:val="32"/>
          <w:u w:val="single"/>
        </w:rPr>
      </w:pPr>
    </w:p>
    <w:p w:rsidR="007005C9" w:rsidRPr="00636A3A" w:rsidRDefault="007005C9" w:rsidP="00994221">
      <w:pPr>
        <w:spacing w:after="0" w:line="240" w:lineRule="auto"/>
        <w:rPr>
          <w:rFonts w:ascii="Times New Roman" w:hAnsi="Times New Roman" w:cs="Times New Roman"/>
          <w:b/>
          <w:i/>
          <w:sz w:val="32"/>
          <w:szCs w:val="32"/>
          <w:u w:val="single"/>
        </w:rPr>
      </w:pPr>
      <w:r w:rsidRPr="00636A3A">
        <w:rPr>
          <w:rFonts w:ascii="Times New Roman" w:hAnsi="Times New Roman" w:cs="Times New Roman"/>
          <w:b/>
          <w:i/>
          <w:sz w:val="32"/>
          <w:szCs w:val="32"/>
          <w:u w:val="single"/>
        </w:rPr>
        <w:t xml:space="preserve"> Public Hearings Summary </w:t>
      </w:r>
    </w:p>
    <w:p w:rsidR="00636A3A" w:rsidRPr="008A01FA" w:rsidRDefault="00636A3A" w:rsidP="00994221">
      <w:pPr>
        <w:pStyle w:val="ListParagraph"/>
        <w:numPr>
          <w:ilvl w:val="0"/>
          <w:numId w:val="27"/>
        </w:numPr>
        <w:autoSpaceDE w:val="0"/>
        <w:autoSpaceDN w:val="0"/>
        <w:adjustRightInd w:val="0"/>
        <w:spacing w:after="120" w:line="240" w:lineRule="auto"/>
        <w:rPr>
          <w:rFonts w:ascii="Times New Roman" w:hAnsi="Times New Roman" w:cs="Times New Roman"/>
          <w:color w:val="000000"/>
          <w:sz w:val="24"/>
          <w:szCs w:val="24"/>
        </w:rPr>
      </w:pPr>
      <w:r w:rsidRPr="008A01FA">
        <w:rPr>
          <w:rFonts w:ascii="Times New Roman" w:hAnsi="Times New Roman" w:cs="Times New Roman"/>
          <w:color w:val="000000"/>
          <w:sz w:val="24"/>
          <w:szCs w:val="24"/>
        </w:rPr>
        <w:t xml:space="preserve">Actual spending on Special Education and Health Insurance far exceeds the foundation budget assumptions. As a result, foundation spending is consumed by these under-funded fixed charges, leaving less funding available to support other educational programs. </w:t>
      </w:r>
    </w:p>
    <w:p w:rsidR="00636A3A" w:rsidRPr="00636A3A" w:rsidRDefault="00636A3A" w:rsidP="00994221">
      <w:pPr>
        <w:numPr>
          <w:ilvl w:val="0"/>
          <w:numId w:val="26"/>
        </w:numPr>
        <w:autoSpaceDE w:val="0"/>
        <w:autoSpaceDN w:val="0"/>
        <w:adjustRightInd w:val="0"/>
        <w:spacing w:after="120" w:line="240" w:lineRule="auto"/>
        <w:rPr>
          <w:rFonts w:ascii="Times New Roman" w:hAnsi="Times New Roman" w:cs="Times New Roman"/>
          <w:sz w:val="24"/>
          <w:szCs w:val="24"/>
        </w:rPr>
      </w:pPr>
      <w:r w:rsidRPr="00636A3A">
        <w:rPr>
          <w:rFonts w:ascii="Times New Roman" w:hAnsi="Times New Roman" w:cs="Times New Roman"/>
          <w:sz w:val="24"/>
          <w:szCs w:val="24"/>
        </w:rPr>
        <w:t xml:space="preserve">Need to increase funding for at-risk students – especially low income and ELL students. </w:t>
      </w:r>
    </w:p>
    <w:p w:rsidR="00636A3A" w:rsidRPr="00636A3A" w:rsidRDefault="00636A3A" w:rsidP="00994221">
      <w:pPr>
        <w:numPr>
          <w:ilvl w:val="0"/>
          <w:numId w:val="26"/>
        </w:numPr>
        <w:autoSpaceDE w:val="0"/>
        <w:autoSpaceDN w:val="0"/>
        <w:adjustRightInd w:val="0"/>
        <w:spacing w:after="120" w:line="240" w:lineRule="auto"/>
        <w:rPr>
          <w:rFonts w:ascii="Times New Roman" w:hAnsi="Times New Roman" w:cs="Times New Roman"/>
          <w:sz w:val="24"/>
          <w:szCs w:val="24"/>
        </w:rPr>
      </w:pPr>
      <w:r w:rsidRPr="00636A3A">
        <w:rPr>
          <w:rFonts w:ascii="Times New Roman" w:hAnsi="Times New Roman" w:cs="Times New Roman"/>
          <w:sz w:val="24"/>
          <w:szCs w:val="24"/>
        </w:rPr>
        <w:t>The foundation budget does not provide sufficient resources to address the mental health needs of today’s students.</w:t>
      </w:r>
    </w:p>
    <w:p w:rsidR="00636A3A" w:rsidRPr="00636A3A" w:rsidRDefault="00636A3A" w:rsidP="00994221">
      <w:pPr>
        <w:numPr>
          <w:ilvl w:val="0"/>
          <w:numId w:val="26"/>
        </w:numPr>
        <w:autoSpaceDE w:val="0"/>
        <w:autoSpaceDN w:val="0"/>
        <w:adjustRightInd w:val="0"/>
        <w:spacing w:after="120" w:line="240" w:lineRule="auto"/>
        <w:rPr>
          <w:rFonts w:ascii="Times New Roman" w:hAnsi="Times New Roman" w:cs="Times New Roman"/>
          <w:sz w:val="24"/>
          <w:szCs w:val="24"/>
        </w:rPr>
      </w:pPr>
      <w:r w:rsidRPr="00636A3A">
        <w:rPr>
          <w:rFonts w:ascii="Times New Roman" w:hAnsi="Times New Roman" w:cs="Times New Roman"/>
          <w:sz w:val="24"/>
          <w:szCs w:val="24"/>
        </w:rPr>
        <w:t>The foundation budget should provide greater support for wraparound services.</w:t>
      </w:r>
    </w:p>
    <w:p w:rsidR="00636A3A" w:rsidRPr="00636A3A" w:rsidRDefault="00636A3A" w:rsidP="00994221">
      <w:pPr>
        <w:numPr>
          <w:ilvl w:val="0"/>
          <w:numId w:val="26"/>
        </w:numPr>
        <w:autoSpaceDE w:val="0"/>
        <w:autoSpaceDN w:val="0"/>
        <w:adjustRightInd w:val="0"/>
        <w:spacing w:after="120" w:line="240" w:lineRule="auto"/>
        <w:rPr>
          <w:rFonts w:ascii="Times New Roman" w:hAnsi="Times New Roman" w:cs="Times New Roman"/>
          <w:sz w:val="24"/>
          <w:szCs w:val="24"/>
        </w:rPr>
      </w:pPr>
      <w:r w:rsidRPr="00636A3A">
        <w:rPr>
          <w:rFonts w:ascii="Times New Roman" w:hAnsi="Times New Roman" w:cs="Times New Roman"/>
          <w:sz w:val="24"/>
          <w:szCs w:val="24"/>
        </w:rPr>
        <w:t>The Commission should examine district allocation practices and efforts to remove barriers to efficient and adaptive uses of funds.</w:t>
      </w:r>
    </w:p>
    <w:p w:rsidR="00636A3A" w:rsidRPr="00636A3A" w:rsidRDefault="00636A3A" w:rsidP="00994221">
      <w:pPr>
        <w:numPr>
          <w:ilvl w:val="0"/>
          <w:numId w:val="26"/>
        </w:numPr>
        <w:autoSpaceDE w:val="0"/>
        <w:autoSpaceDN w:val="0"/>
        <w:adjustRightInd w:val="0"/>
        <w:spacing w:after="120" w:line="240" w:lineRule="auto"/>
        <w:rPr>
          <w:rFonts w:ascii="Times New Roman" w:hAnsi="Times New Roman" w:cs="Times New Roman"/>
          <w:sz w:val="24"/>
          <w:szCs w:val="24"/>
        </w:rPr>
      </w:pPr>
      <w:r w:rsidRPr="00636A3A">
        <w:rPr>
          <w:rFonts w:ascii="Times New Roman" w:hAnsi="Times New Roman" w:cs="Times New Roman"/>
          <w:sz w:val="24"/>
          <w:szCs w:val="24"/>
        </w:rPr>
        <w:t>Technology should be included in the foundation budget as such costs were not envisioned in the original foundation budget.</w:t>
      </w:r>
    </w:p>
    <w:p w:rsidR="00636A3A" w:rsidRPr="00636A3A" w:rsidRDefault="00636A3A" w:rsidP="00994221">
      <w:pPr>
        <w:numPr>
          <w:ilvl w:val="0"/>
          <w:numId w:val="26"/>
        </w:numPr>
        <w:autoSpaceDE w:val="0"/>
        <w:autoSpaceDN w:val="0"/>
        <w:adjustRightInd w:val="0"/>
        <w:spacing w:after="120" w:line="240" w:lineRule="auto"/>
        <w:rPr>
          <w:rFonts w:ascii="Times New Roman" w:hAnsi="Times New Roman" w:cs="Times New Roman"/>
          <w:sz w:val="24"/>
          <w:szCs w:val="24"/>
        </w:rPr>
      </w:pPr>
      <w:r w:rsidRPr="00636A3A">
        <w:rPr>
          <w:rFonts w:ascii="Times New Roman" w:hAnsi="Times New Roman" w:cs="Times New Roman"/>
          <w:sz w:val="24"/>
          <w:szCs w:val="24"/>
        </w:rPr>
        <w:t>The Commission should propose changes to simplify and clarify the foundation budget to make it easier for citizens to understand how funds are spent and whether these are bringing about results.</w:t>
      </w:r>
    </w:p>
    <w:p w:rsidR="00636A3A" w:rsidRPr="00636A3A" w:rsidRDefault="00636A3A" w:rsidP="00994221">
      <w:pPr>
        <w:numPr>
          <w:ilvl w:val="0"/>
          <w:numId w:val="26"/>
        </w:numPr>
        <w:autoSpaceDE w:val="0"/>
        <w:autoSpaceDN w:val="0"/>
        <w:adjustRightInd w:val="0"/>
        <w:spacing w:after="120" w:line="240" w:lineRule="auto"/>
        <w:rPr>
          <w:rFonts w:ascii="Times New Roman" w:hAnsi="Times New Roman" w:cs="Times New Roman"/>
          <w:sz w:val="24"/>
          <w:szCs w:val="24"/>
        </w:rPr>
      </w:pPr>
      <w:r w:rsidRPr="00636A3A">
        <w:rPr>
          <w:rFonts w:ascii="Times New Roman" w:hAnsi="Times New Roman" w:cs="Times New Roman"/>
          <w:sz w:val="24"/>
          <w:szCs w:val="24"/>
        </w:rPr>
        <w:t>Money should follow the student</w:t>
      </w:r>
      <w:r w:rsidR="00116295">
        <w:rPr>
          <w:rFonts w:ascii="Times New Roman" w:hAnsi="Times New Roman" w:cs="Times New Roman"/>
          <w:sz w:val="24"/>
          <w:szCs w:val="24"/>
        </w:rPr>
        <w:t xml:space="preserve"> at the school level, to ensure that additional aid is being spent on the students who it is intended to benefit</w:t>
      </w:r>
      <w:r w:rsidRPr="00636A3A">
        <w:rPr>
          <w:rFonts w:ascii="Times New Roman" w:hAnsi="Times New Roman" w:cs="Times New Roman"/>
          <w:sz w:val="24"/>
          <w:szCs w:val="24"/>
        </w:rPr>
        <w:t>.</w:t>
      </w:r>
    </w:p>
    <w:p w:rsidR="00636A3A" w:rsidRPr="00636A3A" w:rsidRDefault="00636A3A" w:rsidP="00994221">
      <w:pPr>
        <w:numPr>
          <w:ilvl w:val="0"/>
          <w:numId w:val="26"/>
        </w:numPr>
        <w:autoSpaceDE w:val="0"/>
        <w:autoSpaceDN w:val="0"/>
        <w:adjustRightInd w:val="0"/>
        <w:spacing w:after="120" w:line="240" w:lineRule="auto"/>
        <w:rPr>
          <w:rFonts w:ascii="Times New Roman" w:hAnsi="Times New Roman" w:cs="Times New Roman"/>
          <w:sz w:val="24"/>
          <w:szCs w:val="24"/>
        </w:rPr>
      </w:pPr>
      <w:r w:rsidRPr="00636A3A">
        <w:rPr>
          <w:rFonts w:ascii="Times New Roman" w:hAnsi="Times New Roman" w:cs="Times New Roman"/>
          <w:sz w:val="24"/>
          <w:szCs w:val="24"/>
        </w:rPr>
        <w:t>Reconsider the use of October 1</w:t>
      </w:r>
      <w:r w:rsidRPr="00636A3A">
        <w:rPr>
          <w:rFonts w:ascii="Times New Roman" w:hAnsi="Times New Roman" w:cs="Times New Roman"/>
          <w:sz w:val="24"/>
          <w:szCs w:val="24"/>
          <w:vertAlign w:val="superscript"/>
        </w:rPr>
        <w:t>st</w:t>
      </w:r>
      <w:r w:rsidRPr="00636A3A">
        <w:rPr>
          <w:rFonts w:ascii="Times New Roman" w:hAnsi="Times New Roman" w:cs="Times New Roman"/>
          <w:sz w:val="24"/>
          <w:szCs w:val="24"/>
        </w:rPr>
        <w:t xml:space="preserve"> enrollment data to calculate foundation budgets, which is especially problematic for districts that experience significant fluctuations in student enrollment throughout the year.</w:t>
      </w:r>
    </w:p>
    <w:p w:rsidR="00636A3A" w:rsidRPr="00636A3A" w:rsidRDefault="00636A3A" w:rsidP="00994221">
      <w:pPr>
        <w:numPr>
          <w:ilvl w:val="0"/>
          <w:numId w:val="26"/>
        </w:numPr>
        <w:autoSpaceDE w:val="0"/>
        <w:autoSpaceDN w:val="0"/>
        <w:adjustRightInd w:val="0"/>
        <w:spacing w:after="120" w:line="240" w:lineRule="auto"/>
        <w:rPr>
          <w:rFonts w:ascii="Times New Roman" w:hAnsi="Times New Roman" w:cs="Times New Roman"/>
          <w:sz w:val="24"/>
          <w:szCs w:val="24"/>
        </w:rPr>
      </w:pPr>
      <w:r w:rsidRPr="00636A3A">
        <w:rPr>
          <w:rFonts w:ascii="Times New Roman" w:hAnsi="Times New Roman" w:cs="Times New Roman"/>
          <w:sz w:val="24"/>
          <w:szCs w:val="24"/>
        </w:rPr>
        <w:t>The current method of funding charter schools is creating significant and growing financial difficulty for municipalities and school districts.</w:t>
      </w:r>
    </w:p>
    <w:p w:rsidR="00636A3A" w:rsidRPr="00636A3A" w:rsidRDefault="00636A3A" w:rsidP="00994221">
      <w:pPr>
        <w:numPr>
          <w:ilvl w:val="0"/>
          <w:numId w:val="26"/>
        </w:numPr>
        <w:autoSpaceDE w:val="0"/>
        <w:autoSpaceDN w:val="0"/>
        <w:adjustRightInd w:val="0"/>
        <w:spacing w:after="120" w:line="240" w:lineRule="auto"/>
        <w:rPr>
          <w:rFonts w:ascii="Times New Roman" w:hAnsi="Times New Roman" w:cs="Times New Roman"/>
          <w:sz w:val="24"/>
          <w:szCs w:val="24"/>
        </w:rPr>
      </w:pPr>
      <w:r w:rsidRPr="00636A3A">
        <w:rPr>
          <w:rFonts w:ascii="Times New Roman" w:hAnsi="Times New Roman" w:cs="Times New Roman"/>
          <w:sz w:val="24"/>
          <w:szCs w:val="24"/>
        </w:rPr>
        <w:t>The Commission should consider whether there is sufficient funding in the foundation budget for building maintenance.</w:t>
      </w:r>
    </w:p>
    <w:p w:rsidR="00636A3A" w:rsidRPr="00636A3A" w:rsidRDefault="00636A3A" w:rsidP="00994221">
      <w:pPr>
        <w:numPr>
          <w:ilvl w:val="0"/>
          <w:numId w:val="26"/>
        </w:numPr>
        <w:autoSpaceDE w:val="0"/>
        <w:autoSpaceDN w:val="0"/>
        <w:adjustRightInd w:val="0"/>
        <w:spacing w:after="120" w:line="240" w:lineRule="auto"/>
        <w:rPr>
          <w:rFonts w:ascii="Times New Roman" w:hAnsi="Times New Roman" w:cs="Times New Roman"/>
          <w:sz w:val="24"/>
          <w:szCs w:val="24"/>
        </w:rPr>
      </w:pPr>
      <w:r w:rsidRPr="00636A3A">
        <w:rPr>
          <w:rFonts w:ascii="Times New Roman" w:hAnsi="Times New Roman" w:cs="Times New Roman"/>
          <w:sz w:val="24"/>
          <w:szCs w:val="24"/>
        </w:rPr>
        <w:t>The foundation budget formula does not account for the cost of unfunded mandates.</w:t>
      </w:r>
    </w:p>
    <w:p w:rsidR="00636A3A" w:rsidRPr="00636A3A" w:rsidRDefault="00636A3A" w:rsidP="00994221">
      <w:pPr>
        <w:numPr>
          <w:ilvl w:val="0"/>
          <w:numId w:val="26"/>
        </w:numPr>
        <w:autoSpaceDE w:val="0"/>
        <w:autoSpaceDN w:val="0"/>
        <w:adjustRightInd w:val="0"/>
        <w:spacing w:after="120" w:line="240" w:lineRule="auto"/>
        <w:rPr>
          <w:rFonts w:ascii="Times New Roman" w:hAnsi="Times New Roman" w:cs="Times New Roman"/>
          <w:sz w:val="24"/>
          <w:szCs w:val="24"/>
        </w:rPr>
      </w:pPr>
      <w:r w:rsidRPr="00636A3A">
        <w:rPr>
          <w:rFonts w:ascii="Times New Roman" w:hAnsi="Times New Roman" w:cs="Times New Roman"/>
          <w:sz w:val="24"/>
          <w:szCs w:val="24"/>
        </w:rPr>
        <w:t xml:space="preserve">Need a better enforcement mechanism and/or greater clarity regarding a municipality’s obligation to appropriate sufficient funds to meet the required local contribution. </w:t>
      </w:r>
    </w:p>
    <w:p w:rsidR="00636A3A" w:rsidRDefault="00636A3A" w:rsidP="00994221">
      <w:pPr>
        <w:numPr>
          <w:ilvl w:val="0"/>
          <w:numId w:val="26"/>
        </w:numPr>
        <w:autoSpaceDE w:val="0"/>
        <w:autoSpaceDN w:val="0"/>
        <w:adjustRightInd w:val="0"/>
        <w:spacing w:after="120" w:line="240" w:lineRule="auto"/>
        <w:rPr>
          <w:rFonts w:ascii="Times New Roman" w:hAnsi="Times New Roman" w:cs="Times New Roman"/>
          <w:sz w:val="24"/>
          <w:szCs w:val="24"/>
        </w:rPr>
      </w:pPr>
      <w:r w:rsidRPr="00636A3A">
        <w:rPr>
          <w:rFonts w:ascii="Times New Roman" w:hAnsi="Times New Roman" w:cs="Times New Roman"/>
          <w:sz w:val="24"/>
          <w:szCs w:val="24"/>
        </w:rPr>
        <w:t>Transportation should be included and funded in the foundation budget</w:t>
      </w:r>
      <w:r>
        <w:rPr>
          <w:rFonts w:ascii="Times New Roman" w:hAnsi="Times New Roman" w:cs="Times New Roman"/>
          <w:sz w:val="24"/>
          <w:szCs w:val="24"/>
        </w:rPr>
        <w:t>.</w:t>
      </w:r>
    </w:p>
    <w:p w:rsidR="008A01FA" w:rsidRDefault="008A01FA" w:rsidP="00994221">
      <w:pPr>
        <w:pStyle w:val="BodyText"/>
        <w:numPr>
          <w:ilvl w:val="0"/>
          <w:numId w:val="26"/>
        </w:numPr>
        <w:spacing w:after="120"/>
      </w:pPr>
      <w:r>
        <w:t xml:space="preserve">Need to address “equity” issues – the Commission should review and adjust the local contribution and school aid calculation factors in the Chapter 70 formula. </w:t>
      </w:r>
    </w:p>
    <w:p w:rsidR="008A01FA" w:rsidRDefault="00636A3A" w:rsidP="00994221">
      <w:pPr>
        <w:pStyle w:val="BodyText"/>
        <w:numPr>
          <w:ilvl w:val="0"/>
          <w:numId w:val="26"/>
        </w:numPr>
        <w:spacing w:after="120"/>
      </w:pPr>
      <w:r w:rsidRPr="008A01FA">
        <w:t>The Commission should address concerns surrounding vocational education – i.e. how vocational education students are recruited and accepted, how tuition is calculated, and the high cost of student transportation.</w:t>
      </w:r>
    </w:p>
    <w:p w:rsidR="008A01FA" w:rsidRDefault="004452E8" w:rsidP="00994221">
      <w:pPr>
        <w:numPr>
          <w:ilvl w:val="0"/>
          <w:numId w:val="26"/>
        </w:numPr>
        <w:autoSpaceDE w:val="0"/>
        <w:autoSpaceDN w:val="0"/>
        <w:adjustRightInd w:val="0"/>
        <w:spacing w:after="120" w:line="240" w:lineRule="auto"/>
        <w:contextualSpacing/>
        <w:rPr>
          <w:rFonts w:ascii="Times New Roman" w:hAnsi="Times New Roman" w:cs="Times New Roman"/>
          <w:sz w:val="24"/>
          <w:szCs w:val="24"/>
        </w:rPr>
      </w:pPr>
      <w:r w:rsidRPr="008A01FA">
        <w:rPr>
          <w:rFonts w:ascii="Times New Roman" w:hAnsi="Times New Roman" w:cs="Times New Roman"/>
          <w:sz w:val="24"/>
          <w:szCs w:val="24"/>
        </w:rPr>
        <w:t>The foundation budget should include funding for school libraries.</w:t>
      </w:r>
    </w:p>
    <w:p w:rsidR="004452E8" w:rsidRPr="008A01FA" w:rsidRDefault="00636A3A" w:rsidP="00994221">
      <w:pPr>
        <w:pStyle w:val="BodyText"/>
        <w:numPr>
          <w:ilvl w:val="0"/>
          <w:numId w:val="26"/>
        </w:numPr>
      </w:pPr>
      <w:r w:rsidRPr="008A01FA">
        <w:t>The foundation budget should account for the differences in costs among smaller, rural districts.</w:t>
      </w:r>
    </w:p>
    <w:p w:rsidR="00636A3A" w:rsidRPr="006051DD" w:rsidRDefault="00636A3A" w:rsidP="00F954F0">
      <w:pPr>
        <w:pStyle w:val="Heading1"/>
      </w:pPr>
      <w:r w:rsidRPr="006051DD">
        <w:lastRenderedPageBreak/>
        <w:t>Appendix B</w:t>
      </w:r>
    </w:p>
    <w:p w:rsidR="00636A3A" w:rsidRDefault="00636A3A" w:rsidP="00994221">
      <w:pPr>
        <w:spacing w:after="0" w:line="240" w:lineRule="auto"/>
        <w:rPr>
          <w:rFonts w:ascii="Times New Roman" w:hAnsi="Times New Roman" w:cs="Times New Roman"/>
          <w:b/>
          <w:i/>
          <w:sz w:val="36"/>
          <w:szCs w:val="36"/>
        </w:rPr>
      </w:pPr>
    </w:p>
    <w:p w:rsidR="007005C9" w:rsidRPr="004240A0" w:rsidRDefault="00024662" w:rsidP="00994221">
      <w:pPr>
        <w:spacing w:after="0" w:line="240" w:lineRule="auto"/>
        <w:rPr>
          <w:rFonts w:ascii="Times New Roman" w:hAnsi="Times New Roman" w:cs="Times New Roman"/>
          <w:b/>
          <w:i/>
          <w:sz w:val="32"/>
          <w:szCs w:val="32"/>
          <w:u w:val="single"/>
        </w:rPr>
      </w:pPr>
      <w:r w:rsidRPr="004240A0">
        <w:rPr>
          <w:rFonts w:ascii="Times New Roman" w:hAnsi="Times New Roman" w:cs="Times New Roman"/>
          <w:b/>
          <w:i/>
          <w:sz w:val="32"/>
          <w:szCs w:val="32"/>
          <w:u w:val="single"/>
        </w:rPr>
        <w:t>Summary of Commissio</w:t>
      </w:r>
      <w:bookmarkStart w:id="0" w:name="_GoBack"/>
      <w:bookmarkEnd w:id="0"/>
      <w:r w:rsidRPr="004240A0">
        <w:rPr>
          <w:rFonts w:ascii="Times New Roman" w:hAnsi="Times New Roman" w:cs="Times New Roman"/>
          <w:b/>
          <w:i/>
          <w:sz w:val="32"/>
          <w:szCs w:val="32"/>
          <w:u w:val="single"/>
        </w:rPr>
        <w:t xml:space="preserve">n Meetings &amp; Materials </w:t>
      </w:r>
    </w:p>
    <w:p w:rsidR="0086062C" w:rsidRDefault="0086062C" w:rsidP="00994221">
      <w:pPr>
        <w:spacing w:after="0" w:line="240" w:lineRule="auto"/>
        <w:rPr>
          <w:rFonts w:ascii="Times New Roman" w:hAnsi="Times New Roman" w:cs="Times New Roman"/>
          <w:b/>
          <w:i/>
          <w:sz w:val="36"/>
          <w:szCs w:val="36"/>
        </w:rPr>
      </w:pPr>
    </w:p>
    <w:p w:rsidR="0086062C" w:rsidRPr="00A34CCF" w:rsidRDefault="00024662" w:rsidP="0099422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Meeting # 1</w:t>
      </w:r>
      <w:r w:rsidRPr="00024662">
        <w:rPr>
          <w:rFonts w:ascii="Times New Roman" w:hAnsi="Times New Roman" w:cs="Times New Roman"/>
          <w:b/>
          <w:sz w:val="24"/>
          <w:szCs w:val="24"/>
        </w:rPr>
        <w:t xml:space="preserve">: </w:t>
      </w:r>
      <w:r w:rsidR="0086062C" w:rsidRPr="00024662">
        <w:rPr>
          <w:rFonts w:ascii="Times New Roman" w:hAnsi="Times New Roman" w:cs="Times New Roman"/>
          <w:b/>
          <w:sz w:val="24"/>
          <w:szCs w:val="24"/>
        </w:rPr>
        <w:t>October 9, 2014</w:t>
      </w:r>
    </w:p>
    <w:p w:rsidR="00024662" w:rsidRDefault="005D2122" w:rsidP="00994221">
      <w:pPr>
        <w:spacing w:after="0" w:line="240" w:lineRule="auto"/>
        <w:contextualSpacing/>
        <w:rPr>
          <w:rFonts w:ascii="Times New Roman" w:eastAsiaTheme="minorEastAsia" w:hAnsi="Times New Roman"/>
          <w:iCs/>
          <w:color w:val="000000"/>
          <w:sz w:val="24"/>
          <w:szCs w:val="24"/>
          <w:lang w:eastAsia="ru-RU"/>
        </w:rPr>
      </w:pPr>
      <w:r>
        <w:rPr>
          <w:rFonts w:ascii="Times New Roman" w:eastAsiaTheme="minorEastAsia" w:hAnsi="Times New Roman"/>
          <w:iCs/>
          <w:color w:val="000000"/>
          <w:sz w:val="24"/>
          <w:szCs w:val="24"/>
          <w:lang w:eastAsia="ru-RU"/>
        </w:rPr>
        <w:t xml:space="preserve">Commission members </w:t>
      </w:r>
      <w:r w:rsidR="00A17A53" w:rsidRPr="00024662">
        <w:rPr>
          <w:rFonts w:ascii="Times New Roman" w:eastAsiaTheme="minorEastAsia" w:hAnsi="Times New Roman"/>
          <w:iCs/>
          <w:color w:val="000000"/>
          <w:sz w:val="24"/>
          <w:szCs w:val="24"/>
          <w:lang w:eastAsia="ru-RU"/>
        </w:rPr>
        <w:t xml:space="preserve">reviewed the </w:t>
      </w:r>
      <w:r>
        <w:rPr>
          <w:rFonts w:ascii="Times New Roman" w:eastAsiaTheme="minorEastAsia" w:hAnsi="Times New Roman"/>
          <w:iCs/>
          <w:color w:val="000000"/>
          <w:sz w:val="24"/>
          <w:szCs w:val="24"/>
          <w:lang w:eastAsia="ru-RU"/>
        </w:rPr>
        <w:t>charges set forth in the authorizing legislation (</w:t>
      </w:r>
      <w:r w:rsidRPr="005D2122">
        <w:rPr>
          <w:rFonts w:ascii="Times New Roman" w:eastAsiaTheme="minorEastAsia" w:hAnsi="Times New Roman"/>
          <w:i/>
          <w:iCs/>
          <w:color w:val="000000"/>
          <w:sz w:val="24"/>
          <w:szCs w:val="24"/>
          <w:lang w:eastAsia="ru-RU"/>
        </w:rPr>
        <w:t xml:space="preserve">Sections 124 &amp; 278 of </w:t>
      </w:r>
      <w:r w:rsidR="00A17A53" w:rsidRPr="005D2122">
        <w:rPr>
          <w:rFonts w:ascii="Times New Roman" w:eastAsiaTheme="minorEastAsia" w:hAnsi="Times New Roman"/>
          <w:i/>
          <w:iCs/>
          <w:color w:val="000000"/>
          <w:sz w:val="24"/>
          <w:szCs w:val="24"/>
          <w:lang w:eastAsia="ru-RU"/>
        </w:rPr>
        <w:t>C</w:t>
      </w:r>
      <w:r w:rsidRPr="005D2122">
        <w:rPr>
          <w:rFonts w:ascii="Times New Roman" w:eastAsiaTheme="minorEastAsia" w:hAnsi="Times New Roman"/>
          <w:i/>
          <w:iCs/>
          <w:color w:val="000000"/>
          <w:sz w:val="24"/>
          <w:szCs w:val="24"/>
          <w:lang w:eastAsia="ru-RU"/>
        </w:rPr>
        <w:t>hapter 165 of the Acts of 2014</w:t>
      </w:r>
      <w:r>
        <w:rPr>
          <w:rFonts w:ascii="Times New Roman" w:eastAsiaTheme="minorEastAsia" w:hAnsi="Times New Roman"/>
          <w:iCs/>
          <w:color w:val="000000"/>
          <w:sz w:val="24"/>
          <w:szCs w:val="24"/>
          <w:lang w:eastAsia="ru-RU"/>
        </w:rPr>
        <w:t>),</w:t>
      </w:r>
      <w:r w:rsidR="00024662" w:rsidRPr="00024662">
        <w:rPr>
          <w:rFonts w:ascii="Times New Roman" w:eastAsiaTheme="minorEastAsia" w:hAnsi="Times New Roman"/>
          <w:iCs/>
          <w:color w:val="000000"/>
          <w:sz w:val="24"/>
          <w:szCs w:val="24"/>
          <w:lang w:eastAsia="ru-RU"/>
        </w:rPr>
        <w:t xml:space="preserve"> viewed a presentation</w:t>
      </w:r>
      <w:r w:rsidR="009E1F0F">
        <w:rPr>
          <w:rFonts w:ascii="Times New Roman" w:eastAsiaTheme="minorEastAsia" w:hAnsi="Times New Roman"/>
          <w:iCs/>
          <w:color w:val="000000"/>
          <w:sz w:val="24"/>
          <w:szCs w:val="24"/>
          <w:lang w:eastAsia="ru-RU"/>
        </w:rPr>
        <w:t xml:space="preserve"> on the </w:t>
      </w:r>
      <w:r w:rsidR="00F55B5B">
        <w:rPr>
          <w:rFonts w:ascii="Times New Roman" w:eastAsiaTheme="minorEastAsia" w:hAnsi="Times New Roman"/>
          <w:iCs/>
          <w:color w:val="000000"/>
          <w:sz w:val="24"/>
          <w:szCs w:val="24"/>
          <w:lang w:eastAsia="ru-RU"/>
        </w:rPr>
        <w:t>foundation budget formula</w:t>
      </w:r>
      <w:r w:rsidR="00024662" w:rsidRPr="00024662">
        <w:rPr>
          <w:rFonts w:ascii="Times New Roman" w:eastAsiaTheme="minorEastAsia" w:hAnsi="Times New Roman"/>
          <w:iCs/>
          <w:color w:val="000000"/>
          <w:sz w:val="24"/>
          <w:szCs w:val="24"/>
          <w:lang w:eastAsia="ru-RU"/>
        </w:rPr>
        <w:t xml:space="preserve"> entitled “</w:t>
      </w:r>
      <w:r w:rsidR="00024662" w:rsidRPr="005D2122">
        <w:rPr>
          <w:rFonts w:ascii="Times New Roman" w:eastAsiaTheme="minorEastAsia" w:hAnsi="Times New Roman"/>
          <w:iCs/>
          <w:color w:val="000000"/>
          <w:sz w:val="24"/>
          <w:szCs w:val="24"/>
          <w:lang w:eastAsia="ru-RU"/>
        </w:rPr>
        <w:t>Measuring Adequacy – the Massachusetts Foundation Budget</w:t>
      </w:r>
      <w:r w:rsidR="00024662" w:rsidRPr="00024662">
        <w:rPr>
          <w:rFonts w:ascii="Times New Roman" w:eastAsiaTheme="minorEastAsia" w:hAnsi="Times New Roman"/>
          <w:iCs/>
          <w:color w:val="000000"/>
          <w:sz w:val="24"/>
          <w:szCs w:val="24"/>
          <w:lang w:eastAsia="ru-RU"/>
        </w:rPr>
        <w:t>” prepared by Melissa King and Roger Hatch from the Department of Elementary &amp; Secondary Education</w:t>
      </w:r>
      <w:r w:rsidR="00F55B5B">
        <w:rPr>
          <w:rFonts w:ascii="Times New Roman" w:eastAsiaTheme="minorEastAsia" w:hAnsi="Times New Roman"/>
          <w:iCs/>
          <w:color w:val="000000"/>
          <w:sz w:val="24"/>
          <w:szCs w:val="24"/>
          <w:lang w:eastAsia="ru-RU"/>
        </w:rPr>
        <w:t xml:space="preserve"> (DESE)</w:t>
      </w:r>
      <w:r>
        <w:rPr>
          <w:rFonts w:ascii="Times New Roman" w:eastAsiaTheme="minorEastAsia" w:hAnsi="Times New Roman"/>
          <w:iCs/>
          <w:color w:val="000000"/>
          <w:sz w:val="24"/>
          <w:szCs w:val="24"/>
          <w:lang w:eastAsia="ru-RU"/>
        </w:rPr>
        <w:t xml:space="preserve">, </w:t>
      </w:r>
      <w:r w:rsidR="00024662" w:rsidRPr="00024662">
        <w:rPr>
          <w:rFonts w:ascii="Times New Roman" w:eastAsiaTheme="minorEastAsia" w:hAnsi="Times New Roman"/>
          <w:iCs/>
          <w:color w:val="000000"/>
          <w:sz w:val="24"/>
          <w:szCs w:val="24"/>
          <w:lang w:eastAsia="ru-RU"/>
        </w:rPr>
        <w:t xml:space="preserve">and discussed the public hearing schedule. </w:t>
      </w:r>
      <w:r>
        <w:rPr>
          <w:rFonts w:ascii="Times New Roman" w:eastAsiaTheme="minorEastAsia" w:hAnsi="Times New Roman"/>
          <w:iCs/>
          <w:color w:val="000000"/>
          <w:sz w:val="24"/>
          <w:szCs w:val="24"/>
          <w:lang w:eastAsia="ru-RU"/>
        </w:rPr>
        <w:t xml:space="preserve">Commission members received the following materials: </w:t>
      </w:r>
      <w:r w:rsidR="00024662" w:rsidRPr="00024662">
        <w:rPr>
          <w:rFonts w:ascii="Times New Roman" w:eastAsiaTheme="minorEastAsia" w:hAnsi="Times New Roman"/>
          <w:iCs/>
          <w:color w:val="000000"/>
          <w:sz w:val="24"/>
          <w:szCs w:val="24"/>
          <w:lang w:eastAsia="ru-RU"/>
        </w:rPr>
        <w:t>A copy of the authorizing legislation (</w:t>
      </w:r>
      <w:r w:rsidR="00024662" w:rsidRPr="005D2122">
        <w:rPr>
          <w:rFonts w:ascii="Times New Roman" w:eastAsiaTheme="minorEastAsia" w:hAnsi="Times New Roman"/>
          <w:i/>
          <w:iCs/>
          <w:color w:val="000000"/>
          <w:sz w:val="24"/>
          <w:szCs w:val="24"/>
          <w:lang w:eastAsia="ru-RU"/>
        </w:rPr>
        <w:t>Section 124 &amp; 278 of Chapter 165 of the Acts of 2014</w:t>
      </w:r>
      <w:r w:rsidR="00024662" w:rsidRPr="00024662">
        <w:rPr>
          <w:rFonts w:ascii="Times New Roman" w:eastAsiaTheme="minorEastAsia" w:hAnsi="Times New Roman"/>
          <w:iCs/>
          <w:color w:val="000000"/>
          <w:sz w:val="24"/>
          <w:szCs w:val="24"/>
          <w:lang w:eastAsia="ru-RU"/>
        </w:rPr>
        <w:t xml:space="preserve">), a summary of the authorizing legislation, and a copy of the power point presentation entitled “Measuring Adequacy – the Massachusetts Foundation Budget”. </w:t>
      </w:r>
    </w:p>
    <w:p w:rsidR="00024662" w:rsidRDefault="00024662" w:rsidP="00994221">
      <w:pPr>
        <w:spacing w:after="0" w:line="240" w:lineRule="auto"/>
        <w:contextualSpacing/>
        <w:rPr>
          <w:rFonts w:ascii="Times New Roman" w:eastAsiaTheme="minorEastAsia" w:hAnsi="Times New Roman"/>
          <w:iCs/>
          <w:color w:val="000000"/>
          <w:sz w:val="24"/>
          <w:szCs w:val="24"/>
          <w:lang w:eastAsia="ru-RU"/>
        </w:rPr>
      </w:pPr>
    </w:p>
    <w:p w:rsidR="009E1F0F" w:rsidRPr="00A34CCF" w:rsidRDefault="009E1F0F" w:rsidP="00994221">
      <w:pPr>
        <w:spacing w:after="0" w:line="240" w:lineRule="auto"/>
        <w:rPr>
          <w:rFonts w:ascii="Times New Roman" w:eastAsiaTheme="minorEastAsia" w:hAnsi="Times New Roman"/>
          <w:b/>
          <w:iCs/>
          <w:color w:val="000000"/>
          <w:sz w:val="24"/>
          <w:szCs w:val="24"/>
          <w:lang w:eastAsia="ru-RU"/>
        </w:rPr>
      </w:pPr>
      <w:r w:rsidRPr="00A34CCF">
        <w:rPr>
          <w:rFonts w:ascii="Times New Roman" w:eastAsiaTheme="minorEastAsia" w:hAnsi="Times New Roman"/>
          <w:b/>
          <w:iCs/>
          <w:color w:val="000000"/>
          <w:sz w:val="24"/>
          <w:szCs w:val="24"/>
          <w:u w:val="single"/>
          <w:lang w:eastAsia="ru-RU"/>
        </w:rPr>
        <w:t>Meeting #2</w:t>
      </w:r>
      <w:r>
        <w:rPr>
          <w:rFonts w:ascii="Times New Roman" w:eastAsiaTheme="minorEastAsia" w:hAnsi="Times New Roman"/>
          <w:b/>
          <w:iCs/>
          <w:color w:val="000000"/>
          <w:sz w:val="24"/>
          <w:szCs w:val="24"/>
          <w:lang w:eastAsia="ru-RU"/>
        </w:rPr>
        <w:t>: March 10, 2015</w:t>
      </w:r>
    </w:p>
    <w:p w:rsidR="00A34CCF" w:rsidRDefault="009E1F0F" w:rsidP="00994221">
      <w:pPr>
        <w:spacing w:after="0" w:line="240" w:lineRule="auto"/>
        <w:rPr>
          <w:rFonts w:ascii="Times New Roman" w:eastAsia="Times New Roman" w:hAnsi="Times New Roman" w:cs="Times New Roman"/>
          <w:sz w:val="24"/>
          <w:szCs w:val="24"/>
          <w:lang w:bidi="en-US"/>
        </w:rPr>
      </w:pPr>
      <w:r w:rsidRPr="00F55B5B">
        <w:rPr>
          <w:rFonts w:ascii="Times New Roman" w:eastAsiaTheme="minorEastAsia" w:hAnsi="Times New Roman"/>
          <w:iCs/>
          <w:color w:val="000000"/>
          <w:sz w:val="24"/>
          <w:szCs w:val="24"/>
          <w:lang w:eastAsia="ru-RU"/>
        </w:rPr>
        <w:t>Commission members viewed a presentation</w:t>
      </w:r>
      <w:r w:rsidR="00F55B5B" w:rsidRPr="00F55B5B">
        <w:rPr>
          <w:rFonts w:ascii="Times New Roman" w:eastAsiaTheme="minorEastAsia" w:hAnsi="Times New Roman"/>
          <w:iCs/>
          <w:color w:val="000000"/>
          <w:sz w:val="24"/>
          <w:szCs w:val="24"/>
          <w:lang w:eastAsia="ru-RU"/>
        </w:rPr>
        <w:t xml:space="preserve"> on </w:t>
      </w:r>
      <w:r w:rsidR="00F55B5B">
        <w:rPr>
          <w:rFonts w:ascii="Times New Roman" w:eastAsiaTheme="minorEastAsia" w:hAnsi="Times New Roman"/>
          <w:iCs/>
          <w:color w:val="000000"/>
          <w:sz w:val="24"/>
          <w:szCs w:val="24"/>
          <w:lang w:eastAsia="ru-RU"/>
        </w:rPr>
        <w:t>special education and</w:t>
      </w:r>
      <w:r w:rsidR="00F55B5B" w:rsidRPr="00F55B5B">
        <w:rPr>
          <w:rFonts w:ascii="Times New Roman" w:eastAsiaTheme="minorEastAsia" w:hAnsi="Times New Roman"/>
          <w:iCs/>
          <w:color w:val="000000"/>
          <w:sz w:val="24"/>
          <w:szCs w:val="24"/>
          <w:lang w:eastAsia="ru-RU"/>
        </w:rPr>
        <w:t xml:space="preserve"> health insurance</w:t>
      </w:r>
      <w:r w:rsidR="00F55B5B">
        <w:rPr>
          <w:rFonts w:ascii="Times New Roman" w:eastAsiaTheme="minorEastAsia" w:hAnsi="Times New Roman"/>
          <w:iCs/>
          <w:color w:val="000000"/>
          <w:sz w:val="24"/>
          <w:szCs w:val="24"/>
          <w:lang w:eastAsia="ru-RU"/>
        </w:rPr>
        <w:t xml:space="preserve"> entitled “</w:t>
      </w:r>
      <w:r w:rsidR="00F55B5B">
        <w:rPr>
          <w:rFonts w:ascii="Times New Roman" w:eastAsia="Times New Roman" w:hAnsi="Times New Roman" w:cs="Times New Roman"/>
          <w:sz w:val="24"/>
          <w:szCs w:val="24"/>
          <w:lang w:bidi="en-US"/>
        </w:rPr>
        <w:t>Massachusetts Foundation Budget: Focus on Special Education and Health Insurance”</w:t>
      </w:r>
      <w:r w:rsidR="00123F4D">
        <w:rPr>
          <w:rFonts w:ascii="Times New Roman" w:eastAsia="Times New Roman" w:hAnsi="Times New Roman" w:cs="Times New Roman"/>
          <w:sz w:val="24"/>
          <w:szCs w:val="24"/>
          <w:lang w:bidi="en-US"/>
        </w:rPr>
        <w:t xml:space="preserve"> prepared by Melissa King and Roger Hatch from DESE, </w:t>
      </w:r>
      <w:r w:rsidR="00123F4D" w:rsidRPr="00F55B5B">
        <w:rPr>
          <w:rFonts w:ascii="Times New Roman" w:eastAsiaTheme="minorEastAsia" w:hAnsi="Times New Roman"/>
          <w:iCs/>
          <w:color w:val="000000"/>
          <w:sz w:val="24"/>
          <w:szCs w:val="24"/>
          <w:lang w:eastAsia="ru-RU"/>
        </w:rPr>
        <w:t>viewed a presentation on municipal health insurance trends prepared by Carolyn Ryan from the Massachusetts Taxpayers Foundation</w:t>
      </w:r>
      <w:r w:rsidR="00F55B5B">
        <w:rPr>
          <w:rFonts w:ascii="Times New Roman" w:eastAsia="Times New Roman" w:hAnsi="Times New Roman" w:cs="Times New Roman"/>
          <w:sz w:val="24"/>
          <w:szCs w:val="24"/>
          <w:lang w:bidi="en-US"/>
        </w:rPr>
        <w:t>, and reviewed the Commission’s meeting schedule and timeline. Commission members received the following materials: a copy of the power point presentation entitled “the Massachusetts Foundation Budget: Focus on Special Education and Health Insurance”, a copy of the power point presentation entitled “Municipal Health Insurance Trends”, and a copy of the Commission’</w:t>
      </w:r>
      <w:r w:rsidR="00123F4D">
        <w:rPr>
          <w:rFonts w:ascii="Times New Roman" w:eastAsia="Times New Roman" w:hAnsi="Times New Roman" w:cs="Times New Roman"/>
          <w:sz w:val="24"/>
          <w:szCs w:val="24"/>
          <w:lang w:bidi="en-US"/>
        </w:rPr>
        <w:t xml:space="preserve">s meeting schedule. </w:t>
      </w:r>
    </w:p>
    <w:p w:rsidR="00A34CCF" w:rsidRDefault="00A34CCF" w:rsidP="00994221">
      <w:pPr>
        <w:spacing w:after="0" w:line="240" w:lineRule="auto"/>
        <w:rPr>
          <w:rFonts w:ascii="Times New Roman" w:eastAsia="Times New Roman" w:hAnsi="Times New Roman" w:cs="Times New Roman"/>
          <w:sz w:val="24"/>
          <w:szCs w:val="24"/>
          <w:lang w:bidi="en-US"/>
        </w:rPr>
      </w:pPr>
    </w:p>
    <w:p w:rsidR="00A34CCF" w:rsidRPr="001519A7" w:rsidRDefault="00A34CCF" w:rsidP="00994221">
      <w:pPr>
        <w:spacing w:after="0" w:line="240" w:lineRule="auto"/>
        <w:rPr>
          <w:rFonts w:ascii="Times New Roman" w:eastAsia="Times New Roman" w:hAnsi="Times New Roman" w:cs="Times New Roman"/>
          <w:b/>
          <w:sz w:val="24"/>
          <w:szCs w:val="24"/>
          <w:lang w:bidi="en-US"/>
        </w:rPr>
      </w:pPr>
      <w:r w:rsidRPr="001519A7">
        <w:rPr>
          <w:rFonts w:ascii="Times New Roman" w:eastAsia="Times New Roman" w:hAnsi="Times New Roman" w:cs="Times New Roman"/>
          <w:b/>
          <w:sz w:val="24"/>
          <w:szCs w:val="24"/>
          <w:u w:val="single"/>
          <w:lang w:bidi="en-US"/>
        </w:rPr>
        <w:t>Meeting #3</w:t>
      </w:r>
      <w:r w:rsidRPr="001519A7">
        <w:rPr>
          <w:rFonts w:ascii="Times New Roman" w:eastAsia="Times New Roman" w:hAnsi="Times New Roman" w:cs="Times New Roman"/>
          <w:b/>
          <w:sz w:val="24"/>
          <w:szCs w:val="24"/>
          <w:lang w:bidi="en-US"/>
        </w:rPr>
        <w:t>: March 27, 2015</w:t>
      </w:r>
    </w:p>
    <w:p w:rsidR="00DC7533" w:rsidRDefault="00A34CCF" w:rsidP="00994221">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Commission members viewed a presentation on the other foundation budget categories and differences in spending among districts entitled “Further Analysis of the Foundation Budget” prepared by Melissa King from DESE, viewed a presentation on the wage adjustment factor prepared by Melissa King from DESE, and </w:t>
      </w:r>
      <w:r w:rsidR="001519A7">
        <w:rPr>
          <w:rFonts w:ascii="Times New Roman" w:eastAsia="Times New Roman" w:hAnsi="Times New Roman" w:cs="Times New Roman"/>
          <w:sz w:val="24"/>
          <w:szCs w:val="24"/>
          <w:lang w:bidi="en-US"/>
        </w:rPr>
        <w:t xml:space="preserve">considered information provided </w:t>
      </w:r>
      <w:r>
        <w:rPr>
          <w:rFonts w:ascii="Times New Roman" w:eastAsia="Times New Roman" w:hAnsi="Times New Roman" w:cs="Times New Roman"/>
          <w:sz w:val="24"/>
          <w:szCs w:val="24"/>
          <w:lang w:bidi="en-US"/>
        </w:rPr>
        <w:t xml:space="preserve">by </w:t>
      </w:r>
      <w:r w:rsidR="004D09E4">
        <w:rPr>
          <w:rFonts w:ascii="Times New Roman" w:eastAsia="Times New Roman" w:hAnsi="Times New Roman" w:cs="Times New Roman"/>
          <w:sz w:val="24"/>
          <w:szCs w:val="24"/>
          <w:lang w:bidi="en-US"/>
        </w:rPr>
        <w:t xml:space="preserve">DESE </w:t>
      </w:r>
      <w:r>
        <w:rPr>
          <w:rFonts w:ascii="Times New Roman" w:eastAsia="Times New Roman" w:hAnsi="Times New Roman" w:cs="Times New Roman"/>
          <w:sz w:val="24"/>
          <w:szCs w:val="24"/>
          <w:lang w:bidi="en-US"/>
        </w:rPr>
        <w:t>Commissioner Mitchel</w:t>
      </w:r>
      <w:r w:rsidR="001519A7">
        <w:rPr>
          <w:rFonts w:ascii="Times New Roman" w:eastAsia="Times New Roman" w:hAnsi="Times New Roman" w:cs="Times New Roman"/>
          <w:sz w:val="24"/>
          <w:szCs w:val="24"/>
          <w:lang w:bidi="en-US"/>
        </w:rPr>
        <w:t>l</w:t>
      </w:r>
      <w:r>
        <w:rPr>
          <w:rFonts w:ascii="Times New Roman" w:eastAsia="Times New Roman" w:hAnsi="Times New Roman" w:cs="Times New Roman"/>
          <w:sz w:val="24"/>
          <w:szCs w:val="24"/>
          <w:lang w:bidi="en-US"/>
        </w:rPr>
        <w:t xml:space="preserve"> Chester </w:t>
      </w:r>
      <w:r w:rsidR="001519A7">
        <w:rPr>
          <w:rFonts w:ascii="Times New Roman" w:eastAsia="Times New Roman" w:hAnsi="Times New Roman" w:cs="Times New Roman"/>
          <w:sz w:val="24"/>
          <w:szCs w:val="24"/>
          <w:lang w:bidi="en-US"/>
        </w:rPr>
        <w:t xml:space="preserve">on the relationship between spending and student outcomes. </w:t>
      </w:r>
      <w:r w:rsidR="004D09E4">
        <w:rPr>
          <w:rFonts w:ascii="Times New Roman" w:eastAsia="Times New Roman" w:hAnsi="Times New Roman" w:cs="Times New Roman"/>
          <w:sz w:val="24"/>
          <w:szCs w:val="24"/>
          <w:lang w:bidi="en-US"/>
        </w:rPr>
        <w:t xml:space="preserve">Commission members received the following materials: a copy of the power point presentation entitled “Further Analysis of the Foundation Budget”, a copy of the power point presentation entitled “Wage Adjustment Factor”, and a list of school districts by wealth and low-income quintile.  </w:t>
      </w:r>
    </w:p>
    <w:p w:rsidR="00DC7533" w:rsidRDefault="00DC7533" w:rsidP="00994221">
      <w:pPr>
        <w:spacing w:after="0" w:line="240" w:lineRule="auto"/>
        <w:rPr>
          <w:rFonts w:ascii="Times New Roman" w:eastAsia="Times New Roman" w:hAnsi="Times New Roman" w:cs="Times New Roman"/>
          <w:sz w:val="24"/>
          <w:szCs w:val="24"/>
          <w:lang w:bidi="en-US"/>
        </w:rPr>
      </w:pPr>
    </w:p>
    <w:p w:rsidR="00DC7533" w:rsidRDefault="00DC7533" w:rsidP="00994221">
      <w:pPr>
        <w:spacing w:after="0" w:line="240" w:lineRule="auto"/>
        <w:rPr>
          <w:rFonts w:ascii="Times New Roman" w:eastAsia="Times New Roman" w:hAnsi="Times New Roman" w:cs="Times New Roman"/>
          <w:b/>
          <w:sz w:val="24"/>
          <w:szCs w:val="24"/>
          <w:lang w:bidi="en-US"/>
        </w:rPr>
      </w:pPr>
      <w:r w:rsidRPr="009B5CD1">
        <w:rPr>
          <w:rFonts w:ascii="Times New Roman" w:eastAsia="Times New Roman" w:hAnsi="Times New Roman" w:cs="Times New Roman"/>
          <w:b/>
          <w:sz w:val="24"/>
          <w:szCs w:val="24"/>
          <w:u w:val="single"/>
          <w:lang w:bidi="en-US"/>
        </w:rPr>
        <w:t>Meeting #4</w:t>
      </w:r>
      <w:r w:rsidRPr="00DC7533">
        <w:rPr>
          <w:rFonts w:ascii="Times New Roman" w:eastAsia="Times New Roman" w:hAnsi="Times New Roman" w:cs="Times New Roman"/>
          <w:b/>
          <w:sz w:val="24"/>
          <w:szCs w:val="24"/>
          <w:lang w:bidi="en-US"/>
        </w:rPr>
        <w:t>: April 14, 2015</w:t>
      </w:r>
    </w:p>
    <w:p w:rsidR="009B5CD1" w:rsidRDefault="00DC7533" w:rsidP="00994221">
      <w:pPr>
        <w:spacing w:after="0" w:line="240" w:lineRule="auto"/>
        <w:rPr>
          <w:rFonts w:ascii="Times New Roman" w:eastAsia="Times New Roman" w:hAnsi="Times New Roman" w:cs="Times New Roman"/>
          <w:sz w:val="24"/>
          <w:szCs w:val="24"/>
          <w:lang w:bidi="en-US"/>
        </w:rPr>
      </w:pPr>
      <w:r w:rsidRPr="009B5CD1">
        <w:rPr>
          <w:rFonts w:ascii="Times New Roman" w:eastAsia="Times New Roman" w:hAnsi="Times New Roman" w:cs="Times New Roman"/>
          <w:sz w:val="24"/>
          <w:szCs w:val="24"/>
          <w:lang w:bidi="en-US"/>
        </w:rPr>
        <w:t>Commission members viewed a presentation on evidence-based strategies for improving student outcomes entitled “</w:t>
      </w:r>
      <w:r w:rsidR="009B5CD1" w:rsidRPr="009B5CD1">
        <w:rPr>
          <w:rFonts w:ascii="Times New Roman" w:eastAsia="Times New Roman" w:hAnsi="Times New Roman" w:cs="Times New Roman"/>
          <w:sz w:val="24"/>
          <w:szCs w:val="24"/>
          <w:lang w:bidi="en-US"/>
        </w:rPr>
        <w:t xml:space="preserve">Building a Foundation for Success” prepared by Chad </w:t>
      </w:r>
      <w:proofErr w:type="spellStart"/>
      <w:r w:rsidR="009B5CD1" w:rsidRPr="009B5CD1">
        <w:rPr>
          <w:rFonts w:ascii="Times New Roman" w:eastAsia="Times New Roman" w:hAnsi="Times New Roman" w:cs="Times New Roman"/>
          <w:sz w:val="24"/>
          <w:szCs w:val="24"/>
          <w:lang w:bidi="en-US"/>
        </w:rPr>
        <w:t>d'Entremont</w:t>
      </w:r>
      <w:proofErr w:type="spellEnd"/>
      <w:r w:rsidR="009B5CD1" w:rsidRPr="009B5CD1">
        <w:rPr>
          <w:rFonts w:ascii="Times New Roman" w:eastAsia="Times New Roman" w:hAnsi="Times New Roman" w:cs="Times New Roman"/>
          <w:sz w:val="24"/>
          <w:szCs w:val="24"/>
          <w:lang w:bidi="en-US"/>
        </w:rPr>
        <w:t xml:space="preserve"> and Luc Schuster from the Rennie Center and </w:t>
      </w:r>
      <w:r w:rsidR="005E3CD4" w:rsidRPr="009B5CD1">
        <w:rPr>
          <w:rFonts w:ascii="Times New Roman" w:eastAsia="Times New Roman" w:hAnsi="Times New Roman" w:cs="Times New Roman"/>
          <w:sz w:val="24"/>
          <w:szCs w:val="24"/>
          <w:lang w:bidi="en-US"/>
        </w:rPr>
        <w:t>Mass Budget</w:t>
      </w:r>
      <w:r w:rsidR="009B5CD1" w:rsidRPr="009B5CD1">
        <w:rPr>
          <w:rFonts w:ascii="Times New Roman" w:eastAsia="Times New Roman" w:hAnsi="Times New Roman" w:cs="Times New Roman"/>
          <w:sz w:val="24"/>
          <w:szCs w:val="24"/>
          <w:lang w:bidi="en-US"/>
        </w:rPr>
        <w:t xml:space="preserve"> and Policy Center, </w:t>
      </w:r>
      <w:r w:rsidR="009B5CD1">
        <w:rPr>
          <w:rFonts w:ascii="Times New Roman" w:eastAsia="Times New Roman" w:hAnsi="Times New Roman" w:cs="Times New Roman"/>
          <w:sz w:val="24"/>
          <w:szCs w:val="24"/>
          <w:lang w:bidi="en-US"/>
        </w:rPr>
        <w:t xml:space="preserve">considered information provided by Dr. Paul Dakin (Superintendent of Revere Public Schools) regarding the various investments and programs that have yielded positive outcomes in Revere, and discussed the process for reviewing and voting on recommendations </w:t>
      </w:r>
      <w:r w:rsidR="006447FC">
        <w:rPr>
          <w:rFonts w:ascii="Times New Roman" w:eastAsia="Times New Roman" w:hAnsi="Times New Roman" w:cs="Times New Roman"/>
          <w:sz w:val="24"/>
          <w:szCs w:val="24"/>
          <w:lang w:bidi="en-US"/>
        </w:rPr>
        <w:t>that would be</w:t>
      </w:r>
      <w:r w:rsidR="009B5CD1">
        <w:rPr>
          <w:rFonts w:ascii="Times New Roman" w:eastAsia="Times New Roman" w:hAnsi="Times New Roman" w:cs="Times New Roman"/>
          <w:sz w:val="24"/>
          <w:szCs w:val="24"/>
          <w:lang w:bidi="en-US"/>
        </w:rPr>
        <w:t xml:space="preserve"> included in the Commission’s final report. Commission members received the following materials: a copy of the power point presentation entitled “Building a Foundation for Success”</w:t>
      </w:r>
      <w:r w:rsidR="0023264E">
        <w:rPr>
          <w:rFonts w:ascii="Times New Roman" w:eastAsia="Times New Roman" w:hAnsi="Times New Roman" w:cs="Times New Roman"/>
          <w:sz w:val="24"/>
          <w:szCs w:val="24"/>
          <w:lang w:bidi="en-US"/>
        </w:rPr>
        <w:t>,</w:t>
      </w:r>
      <w:r w:rsidR="009B5CD1">
        <w:rPr>
          <w:rFonts w:ascii="Times New Roman" w:eastAsia="Times New Roman" w:hAnsi="Times New Roman" w:cs="Times New Roman"/>
          <w:sz w:val="24"/>
          <w:szCs w:val="24"/>
          <w:lang w:bidi="en-US"/>
        </w:rPr>
        <w:t xml:space="preserve"> and a handout on Revere Public Schools provided by Dr. Paul Dakin. </w:t>
      </w:r>
    </w:p>
    <w:p w:rsidR="009B5CD1" w:rsidRDefault="009B5CD1" w:rsidP="00994221">
      <w:pPr>
        <w:spacing w:after="0" w:line="240" w:lineRule="auto"/>
        <w:rPr>
          <w:rFonts w:ascii="Times New Roman" w:eastAsia="Times New Roman" w:hAnsi="Times New Roman" w:cs="Times New Roman"/>
          <w:sz w:val="24"/>
          <w:szCs w:val="24"/>
          <w:lang w:bidi="en-US"/>
        </w:rPr>
      </w:pPr>
    </w:p>
    <w:p w:rsidR="00DC7533" w:rsidRPr="0023264E" w:rsidRDefault="007902FE" w:rsidP="00994221">
      <w:pPr>
        <w:spacing w:after="0" w:line="240" w:lineRule="auto"/>
        <w:rPr>
          <w:rFonts w:ascii="Times New Roman" w:eastAsia="Times New Roman" w:hAnsi="Times New Roman" w:cs="Times New Roman"/>
          <w:b/>
          <w:sz w:val="24"/>
          <w:szCs w:val="24"/>
          <w:lang w:bidi="en-US"/>
        </w:rPr>
      </w:pPr>
      <w:r w:rsidRPr="0023264E">
        <w:rPr>
          <w:rFonts w:ascii="Times New Roman" w:eastAsia="Times New Roman" w:hAnsi="Times New Roman" w:cs="Times New Roman"/>
          <w:b/>
          <w:sz w:val="24"/>
          <w:szCs w:val="24"/>
          <w:u w:val="single"/>
          <w:lang w:bidi="en-US"/>
        </w:rPr>
        <w:t>Meeting #5</w:t>
      </w:r>
      <w:r w:rsidRPr="0023264E">
        <w:rPr>
          <w:rFonts w:ascii="Times New Roman" w:eastAsia="Times New Roman" w:hAnsi="Times New Roman" w:cs="Times New Roman"/>
          <w:b/>
          <w:sz w:val="24"/>
          <w:szCs w:val="24"/>
          <w:lang w:bidi="en-US"/>
        </w:rPr>
        <w:t>: May 5, 2015</w:t>
      </w:r>
    </w:p>
    <w:p w:rsidR="007902FE" w:rsidRDefault="007902FE" w:rsidP="00994221">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Commission members viewed a presentation on effective resource allocation entitled “</w:t>
      </w:r>
      <w:r w:rsidRPr="005812DB">
        <w:rPr>
          <w:rFonts w:ascii="Times New Roman" w:eastAsia="Times New Roman" w:hAnsi="Times New Roman" w:cs="Times New Roman"/>
          <w:sz w:val="24"/>
          <w:szCs w:val="24"/>
          <w:lang w:bidi="en-US"/>
        </w:rPr>
        <w:t>Effective &amp; Efficient Resource Allocation: A Framework to Consider”</w:t>
      </w:r>
      <w:r>
        <w:rPr>
          <w:rFonts w:ascii="Times New Roman" w:eastAsia="Times New Roman" w:hAnsi="Times New Roman" w:cs="Times New Roman"/>
          <w:sz w:val="24"/>
          <w:szCs w:val="24"/>
          <w:lang w:bidi="en-US"/>
        </w:rPr>
        <w:t xml:space="preserve"> prepared by Dr. Karla </w:t>
      </w:r>
      <w:proofErr w:type="spellStart"/>
      <w:r>
        <w:rPr>
          <w:rFonts w:ascii="Times New Roman" w:eastAsia="Times New Roman" w:hAnsi="Times New Roman" w:cs="Times New Roman"/>
          <w:sz w:val="24"/>
          <w:szCs w:val="24"/>
          <w:lang w:bidi="en-US"/>
        </w:rPr>
        <w:t>Baehr</w:t>
      </w:r>
      <w:proofErr w:type="spellEnd"/>
      <w:r>
        <w:rPr>
          <w:rFonts w:ascii="Times New Roman" w:eastAsia="Times New Roman" w:hAnsi="Times New Roman" w:cs="Times New Roman"/>
          <w:sz w:val="24"/>
          <w:szCs w:val="24"/>
          <w:lang w:bidi="en-US"/>
        </w:rPr>
        <w:t xml:space="preserve">, discussed and approved changes to the Commission’s timeline and work plan, and reviewed </w:t>
      </w:r>
      <w:r w:rsidR="0023264E">
        <w:rPr>
          <w:rFonts w:ascii="Times New Roman" w:eastAsia="Times New Roman" w:hAnsi="Times New Roman" w:cs="Times New Roman"/>
          <w:sz w:val="24"/>
          <w:szCs w:val="24"/>
          <w:lang w:bidi="en-US"/>
        </w:rPr>
        <w:t xml:space="preserve">a </w:t>
      </w:r>
      <w:r>
        <w:rPr>
          <w:rFonts w:ascii="Times New Roman" w:eastAsia="Times New Roman" w:hAnsi="Times New Roman" w:cs="Times New Roman"/>
          <w:sz w:val="24"/>
          <w:szCs w:val="24"/>
          <w:lang w:bidi="en-US"/>
        </w:rPr>
        <w:t xml:space="preserve">draft </w:t>
      </w:r>
      <w:r w:rsidR="0023264E">
        <w:rPr>
          <w:rFonts w:ascii="Times New Roman" w:eastAsia="Times New Roman" w:hAnsi="Times New Roman" w:cs="Times New Roman"/>
          <w:sz w:val="24"/>
          <w:szCs w:val="24"/>
          <w:lang w:bidi="en-US"/>
        </w:rPr>
        <w:t xml:space="preserve">proposal containing </w:t>
      </w:r>
      <w:r>
        <w:rPr>
          <w:rFonts w:ascii="Times New Roman" w:eastAsia="Times New Roman" w:hAnsi="Times New Roman" w:cs="Times New Roman"/>
          <w:sz w:val="24"/>
          <w:szCs w:val="24"/>
          <w:lang w:bidi="en-US"/>
        </w:rPr>
        <w:t xml:space="preserve">recommendations for </w:t>
      </w:r>
      <w:r>
        <w:rPr>
          <w:rFonts w:ascii="Times New Roman" w:eastAsia="Times New Roman" w:hAnsi="Times New Roman" w:cs="Times New Roman"/>
          <w:sz w:val="24"/>
          <w:szCs w:val="24"/>
          <w:lang w:bidi="en-US"/>
        </w:rPr>
        <w:lastRenderedPageBreak/>
        <w:t xml:space="preserve">health care and </w:t>
      </w:r>
      <w:r w:rsidR="0023264E">
        <w:rPr>
          <w:rFonts w:ascii="Times New Roman" w:eastAsia="Times New Roman" w:hAnsi="Times New Roman" w:cs="Times New Roman"/>
          <w:sz w:val="24"/>
          <w:szCs w:val="24"/>
          <w:lang w:bidi="en-US"/>
        </w:rPr>
        <w:t xml:space="preserve">SPED </w:t>
      </w:r>
      <w:r>
        <w:rPr>
          <w:rFonts w:ascii="Times New Roman" w:eastAsia="Times New Roman" w:hAnsi="Times New Roman" w:cs="Times New Roman"/>
          <w:sz w:val="24"/>
          <w:szCs w:val="24"/>
          <w:lang w:bidi="en-US"/>
        </w:rPr>
        <w:t>adjustments. Commission members received the following materials: a copy of the power point entitled “</w:t>
      </w:r>
      <w:r w:rsidRPr="005812DB">
        <w:rPr>
          <w:rFonts w:ascii="Times New Roman" w:eastAsia="Times New Roman" w:hAnsi="Times New Roman" w:cs="Times New Roman"/>
          <w:sz w:val="24"/>
          <w:szCs w:val="24"/>
          <w:lang w:bidi="en-US"/>
        </w:rPr>
        <w:t>Effective &amp; Efficient Resource Allocation: A Framework to Consider”</w:t>
      </w:r>
      <w:r>
        <w:rPr>
          <w:rFonts w:ascii="Times New Roman" w:eastAsia="Times New Roman" w:hAnsi="Times New Roman" w:cs="Times New Roman"/>
          <w:sz w:val="24"/>
          <w:szCs w:val="24"/>
          <w:lang w:bidi="en-US"/>
        </w:rPr>
        <w:t xml:space="preserve">, </w:t>
      </w:r>
      <w:r w:rsidR="0023264E">
        <w:rPr>
          <w:rFonts w:ascii="Times New Roman" w:eastAsia="Times New Roman" w:hAnsi="Times New Roman" w:cs="Times New Roman"/>
          <w:sz w:val="24"/>
          <w:szCs w:val="24"/>
          <w:lang w:bidi="en-US"/>
        </w:rPr>
        <w:t>a copy of the work plan proposed by Senator Chang-</w:t>
      </w:r>
      <w:proofErr w:type="spellStart"/>
      <w:r w:rsidR="0023264E">
        <w:rPr>
          <w:rFonts w:ascii="Times New Roman" w:eastAsia="Times New Roman" w:hAnsi="Times New Roman" w:cs="Times New Roman"/>
          <w:sz w:val="24"/>
          <w:szCs w:val="24"/>
          <w:lang w:bidi="en-US"/>
        </w:rPr>
        <w:t>Díaz</w:t>
      </w:r>
      <w:proofErr w:type="spellEnd"/>
      <w:r w:rsidR="0023264E">
        <w:rPr>
          <w:rFonts w:ascii="Times New Roman" w:eastAsia="Times New Roman" w:hAnsi="Times New Roman" w:cs="Times New Roman"/>
          <w:sz w:val="24"/>
          <w:szCs w:val="24"/>
          <w:lang w:bidi="en-US"/>
        </w:rPr>
        <w:t xml:space="preserve">, and a copy of the draft recommendations for health care and SPED adjustments.  </w:t>
      </w:r>
    </w:p>
    <w:p w:rsidR="00545FC0" w:rsidRDefault="00545FC0" w:rsidP="00994221">
      <w:pPr>
        <w:spacing w:after="0" w:line="240" w:lineRule="auto"/>
        <w:rPr>
          <w:rFonts w:ascii="Times New Roman" w:eastAsia="Times New Roman" w:hAnsi="Times New Roman" w:cs="Times New Roman"/>
          <w:sz w:val="24"/>
          <w:szCs w:val="24"/>
          <w:lang w:bidi="en-US"/>
        </w:rPr>
      </w:pPr>
    </w:p>
    <w:p w:rsidR="00545FC0" w:rsidRPr="003A596E" w:rsidRDefault="00545FC0" w:rsidP="00994221">
      <w:pPr>
        <w:spacing w:after="0" w:line="240" w:lineRule="auto"/>
        <w:rPr>
          <w:rFonts w:ascii="Times New Roman" w:eastAsia="Times New Roman" w:hAnsi="Times New Roman" w:cs="Times New Roman"/>
          <w:b/>
          <w:sz w:val="24"/>
          <w:szCs w:val="24"/>
          <w:lang w:bidi="en-US"/>
        </w:rPr>
      </w:pPr>
      <w:r w:rsidRPr="003A596E">
        <w:rPr>
          <w:rFonts w:ascii="Times New Roman" w:eastAsia="Times New Roman" w:hAnsi="Times New Roman" w:cs="Times New Roman"/>
          <w:b/>
          <w:sz w:val="24"/>
          <w:szCs w:val="24"/>
          <w:u w:val="single"/>
          <w:lang w:bidi="en-US"/>
        </w:rPr>
        <w:t>Meeting #6</w:t>
      </w:r>
      <w:r w:rsidRPr="003A596E">
        <w:rPr>
          <w:rFonts w:ascii="Times New Roman" w:eastAsia="Times New Roman" w:hAnsi="Times New Roman" w:cs="Times New Roman"/>
          <w:b/>
          <w:sz w:val="24"/>
          <w:szCs w:val="24"/>
          <w:lang w:bidi="en-US"/>
        </w:rPr>
        <w:t>: June 9, 2015</w:t>
      </w:r>
    </w:p>
    <w:p w:rsidR="00545FC0" w:rsidRDefault="00545FC0" w:rsidP="00994221">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Commission members reviewed and approved final recommendations for Health Care and SPED adjustments, considered proposals relative to full-day preschool and accountability, and discussed the other topics to be considered by the Commission during its extended deliberations. Commission members received the following materials: a copy of the </w:t>
      </w:r>
      <w:r w:rsidR="003A596E">
        <w:rPr>
          <w:rFonts w:ascii="Times New Roman" w:eastAsia="Times New Roman" w:hAnsi="Times New Roman" w:cs="Times New Roman"/>
          <w:sz w:val="24"/>
          <w:szCs w:val="24"/>
          <w:lang w:bidi="en-US"/>
        </w:rPr>
        <w:t xml:space="preserve">final recommendations for health care and SPED adjustments, a document containing draft proposals relative to full-day preschool and accountability, and a copy of the Commission’s updated work plan.  </w:t>
      </w:r>
    </w:p>
    <w:p w:rsidR="007135F9" w:rsidRDefault="007135F9" w:rsidP="00994221">
      <w:pPr>
        <w:spacing w:after="0" w:line="240" w:lineRule="auto"/>
        <w:rPr>
          <w:rFonts w:ascii="Times New Roman" w:eastAsia="Times New Roman" w:hAnsi="Times New Roman" w:cs="Times New Roman"/>
          <w:sz w:val="24"/>
          <w:szCs w:val="24"/>
          <w:lang w:bidi="en-US"/>
        </w:rPr>
      </w:pPr>
    </w:p>
    <w:p w:rsidR="007135F9" w:rsidRPr="000A2865" w:rsidRDefault="007135F9" w:rsidP="00994221">
      <w:pPr>
        <w:spacing w:after="0" w:line="240" w:lineRule="auto"/>
        <w:rPr>
          <w:rFonts w:ascii="Times New Roman" w:eastAsia="Times New Roman" w:hAnsi="Times New Roman" w:cs="Times New Roman"/>
          <w:b/>
          <w:sz w:val="24"/>
          <w:szCs w:val="24"/>
          <w:lang w:bidi="en-US"/>
        </w:rPr>
      </w:pPr>
      <w:r w:rsidRPr="000A2865">
        <w:rPr>
          <w:rFonts w:ascii="Times New Roman" w:eastAsia="Times New Roman" w:hAnsi="Times New Roman" w:cs="Times New Roman"/>
          <w:b/>
          <w:sz w:val="24"/>
          <w:szCs w:val="24"/>
          <w:u w:val="single"/>
          <w:lang w:bidi="en-US"/>
        </w:rPr>
        <w:t>Meeting #7</w:t>
      </w:r>
      <w:r w:rsidRPr="000A2865">
        <w:rPr>
          <w:rFonts w:ascii="Times New Roman" w:eastAsia="Times New Roman" w:hAnsi="Times New Roman" w:cs="Times New Roman"/>
          <w:b/>
          <w:sz w:val="24"/>
          <w:szCs w:val="24"/>
          <w:lang w:bidi="en-US"/>
        </w:rPr>
        <w:t>: June 23, 2015</w:t>
      </w:r>
    </w:p>
    <w:p w:rsidR="007135F9" w:rsidRDefault="007135F9" w:rsidP="00994221">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Commission members reviewed and approved edits to the preliminary report, discussed the process and methodology for analyzing the other topics to be considered during the Commission’s extended deliberations, and reviewed information presented by Roger Hatch from DESE on school-based data collection. Commission members received the following materials: a draft of the preliminary report, a </w:t>
      </w:r>
      <w:r w:rsidR="000A2865">
        <w:rPr>
          <w:rFonts w:ascii="Times New Roman" w:eastAsia="Times New Roman" w:hAnsi="Times New Roman" w:cs="Times New Roman"/>
          <w:sz w:val="24"/>
          <w:szCs w:val="24"/>
          <w:lang w:bidi="en-US"/>
        </w:rPr>
        <w:t>document explaining the</w:t>
      </w:r>
      <w:r>
        <w:rPr>
          <w:rFonts w:ascii="Times New Roman" w:eastAsia="Times New Roman" w:hAnsi="Times New Roman" w:cs="Times New Roman"/>
          <w:sz w:val="24"/>
          <w:szCs w:val="24"/>
          <w:lang w:bidi="en-US"/>
        </w:rPr>
        <w:t xml:space="preserve"> foundation budget comparison tool developed by Commission member </w:t>
      </w:r>
      <w:r w:rsidR="000A2865">
        <w:rPr>
          <w:rFonts w:ascii="Times New Roman" w:eastAsia="Times New Roman" w:hAnsi="Times New Roman" w:cs="Times New Roman"/>
          <w:sz w:val="24"/>
          <w:szCs w:val="24"/>
          <w:lang w:bidi="en-US"/>
        </w:rPr>
        <w:t>Ed Moscovitch, and a document on school-level finance data.</w:t>
      </w:r>
    </w:p>
    <w:p w:rsidR="007135F9" w:rsidRDefault="007135F9" w:rsidP="00994221">
      <w:pPr>
        <w:spacing w:after="0" w:line="240" w:lineRule="auto"/>
        <w:rPr>
          <w:rFonts w:ascii="Times New Roman" w:eastAsia="Times New Roman" w:hAnsi="Times New Roman" w:cs="Times New Roman"/>
          <w:sz w:val="24"/>
          <w:szCs w:val="24"/>
          <w:lang w:bidi="en-US"/>
        </w:rPr>
      </w:pPr>
    </w:p>
    <w:p w:rsidR="006F77AF" w:rsidRDefault="006F77AF" w:rsidP="00994221">
      <w:pPr>
        <w:spacing w:after="0" w:line="240" w:lineRule="auto"/>
        <w:rPr>
          <w:rFonts w:ascii="Times New Roman" w:eastAsia="Times New Roman" w:hAnsi="Times New Roman" w:cs="Times New Roman"/>
          <w:b/>
          <w:sz w:val="24"/>
          <w:szCs w:val="24"/>
          <w:u w:val="single"/>
          <w:lang w:bidi="en-US"/>
        </w:rPr>
      </w:pPr>
      <w:r w:rsidRPr="00BB3973">
        <w:rPr>
          <w:rFonts w:ascii="Times New Roman" w:eastAsia="Times New Roman" w:hAnsi="Times New Roman" w:cs="Times New Roman"/>
          <w:b/>
          <w:sz w:val="24"/>
          <w:szCs w:val="24"/>
          <w:u w:val="single"/>
          <w:lang w:bidi="en-US"/>
        </w:rPr>
        <w:t>Meeting #8</w:t>
      </w:r>
      <w:r>
        <w:rPr>
          <w:rFonts w:ascii="Times New Roman" w:eastAsia="Times New Roman" w:hAnsi="Times New Roman" w:cs="Times New Roman"/>
          <w:b/>
          <w:sz w:val="24"/>
          <w:szCs w:val="24"/>
          <w:u w:val="single"/>
          <w:lang w:bidi="en-US"/>
        </w:rPr>
        <w:t xml:space="preserve">: </w:t>
      </w:r>
      <w:r w:rsidRPr="00FD3EEC">
        <w:rPr>
          <w:rFonts w:ascii="Times New Roman" w:eastAsia="Times New Roman" w:hAnsi="Times New Roman" w:cs="Times New Roman"/>
          <w:b/>
          <w:sz w:val="24"/>
          <w:szCs w:val="24"/>
          <w:lang w:bidi="en-US"/>
        </w:rPr>
        <w:t>September 28, 2015</w:t>
      </w:r>
    </w:p>
    <w:p w:rsidR="006F77AF" w:rsidRDefault="006F77AF" w:rsidP="00994221">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Commission members were introduced to David Bunker, who was hired by the co-chairs to staff the commission and draft the final report. They also reviewed and commented on his work plan, which was centered </w:t>
      </w:r>
      <w:proofErr w:type="gramStart"/>
      <w:r>
        <w:rPr>
          <w:rFonts w:ascii="Times New Roman" w:eastAsia="Times New Roman" w:hAnsi="Times New Roman" w:cs="Times New Roman"/>
          <w:sz w:val="24"/>
          <w:szCs w:val="24"/>
          <w:lang w:bidi="en-US"/>
        </w:rPr>
        <w:t>around</w:t>
      </w:r>
      <w:proofErr w:type="gramEnd"/>
      <w:r>
        <w:rPr>
          <w:rFonts w:ascii="Times New Roman" w:eastAsia="Times New Roman" w:hAnsi="Times New Roman" w:cs="Times New Roman"/>
          <w:sz w:val="24"/>
          <w:szCs w:val="24"/>
          <w:lang w:bidi="en-US"/>
        </w:rPr>
        <w:t xml:space="preserve"> examining the adequacy of the low income and ELL adjustments in the formula.  Melissa King of DESE gave a presentation on in-district special education costs, members held a discussion on the “accountability” and “conditions” recommendations, and Dr. Karla </w:t>
      </w:r>
      <w:proofErr w:type="spellStart"/>
      <w:r>
        <w:rPr>
          <w:rFonts w:ascii="Times New Roman" w:eastAsia="Times New Roman" w:hAnsi="Times New Roman" w:cs="Times New Roman"/>
          <w:sz w:val="24"/>
          <w:szCs w:val="24"/>
          <w:lang w:bidi="en-US"/>
        </w:rPr>
        <w:t>Baehr</w:t>
      </w:r>
      <w:proofErr w:type="spellEnd"/>
      <w:r>
        <w:rPr>
          <w:rFonts w:ascii="Times New Roman" w:eastAsia="Times New Roman" w:hAnsi="Times New Roman" w:cs="Times New Roman"/>
          <w:sz w:val="24"/>
          <w:szCs w:val="24"/>
          <w:lang w:bidi="en-US"/>
        </w:rPr>
        <w:t xml:space="preserve"> gave a presentation of potential recommendations on data collection, which were unanimously approved by Commission members.  Commission members received: a </w:t>
      </w:r>
      <w:r w:rsidR="00174F8E">
        <w:rPr>
          <w:rFonts w:ascii="Times New Roman" w:eastAsia="Times New Roman" w:hAnsi="Times New Roman" w:cs="Times New Roman"/>
          <w:sz w:val="24"/>
          <w:szCs w:val="24"/>
          <w:lang w:bidi="en-US"/>
        </w:rPr>
        <w:t>copy of the</w:t>
      </w:r>
      <w:r>
        <w:rPr>
          <w:rFonts w:ascii="Times New Roman" w:eastAsia="Times New Roman" w:hAnsi="Times New Roman" w:cs="Times New Roman"/>
          <w:sz w:val="24"/>
          <w:szCs w:val="24"/>
          <w:lang w:bidi="en-US"/>
        </w:rPr>
        <w:t xml:space="preserve"> agenda, a copy of the work proposal prepared by David Bunker, a copy of the Power Point presentation on “In District </w:t>
      </w:r>
      <w:r w:rsidR="00174F8E">
        <w:rPr>
          <w:rFonts w:ascii="Times New Roman" w:eastAsia="Times New Roman" w:hAnsi="Times New Roman" w:cs="Times New Roman"/>
          <w:sz w:val="24"/>
          <w:szCs w:val="24"/>
          <w:lang w:bidi="en-US"/>
        </w:rPr>
        <w:t>Special</w:t>
      </w:r>
      <w:r>
        <w:rPr>
          <w:rFonts w:ascii="Times New Roman" w:eastAsia="Times New Roman" w:hAnsi="Times New Roman" w:cs="Times New Roman"/>
          <w:sz w:val="24"/>
          <w:szCs w:val="24"/>
          <w:lang w:bidi="en-US"/>
        </w:rPr>
        <w:t xml:space="preserve"> Education Costs” by Melissa King, a document prepared by Dr. Karla </w:t>
      </w:r>
      <w:proofErr w:type="spellStart"/>
      <w:r>
        <w:rPr>
          <w:rFonts w:ascii="Times New Roman" w:eastAsia="Times New Roman" w:hAnsi="Times New Roman" w:cs="Times New Roman"/>
          <w:sz w:val="24"/>
          <w:szCs w:val="24"/>
          <w:lang w:bidi="en-US"/>
        </w:rPr>
        <w:t>Baehr</w:t>
      </w:r>
      <w:proofErr w:type="spellEnd"/>
      <w:r>
        <w:rPr>
          <w:rFonts w:ascii="Times New Roman" w:eastAsia="Times New Roman" w:hAnsi="Times New Roman" w:cs="Times New Roman"/>
          <w:sz w:val="24"/>
          <w:szCs w:val="24"/>
          <w:lang w:bidi="en-US"/>
        </w:rPr>
        <w:t xml:space="preserve"> containing recommendations to support effective and efficient allocation of resources, and a document containing a list of the “Accountability” proposals that the Commission has considered to date.</w:t>
      </w:r>
    </w:p>
    <w:p w:rsidR="006F77AF" w:rsidRDefault="006F77AF" w:rsidP="00994221">
      <w:pPr>
        <w:spacing w:after="0" w:line="240" w:lineRule="auto"/>
        <w:rPr>
          <w:rFonts w:ascii="Times New Roman" w:eastAsia="Times New Roman" w:hAnsi="Times New Roman" w:cs="Times New Roman"/>
          <w:sz w:val="24"/>
          <w:szCs w:val="24"/>
          <w:lang w:bidi="en-US"/>
        </w:rPr>
      </w:pPr>
    </w:p>
    <w:p w:rsidR="006F77AF" w:rsidRPr="00FD3EEC" w:rsidRDefault="006F77AF" w:rsidP="00994221">
      <w:pPr>
        <w:spacing w:after="0" w:line="240"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u w:val="single"/>
          <w:lang w:bidi="en-US"/>
        </w:rPr>
        <w:t xml:space="preserve">Meeting #9: </w:t>
      </w:r>
      <w:r w:rsidRPr="00FD3EEC">
        <w:rPr>
          <w:rFonts w:ascii="Times New Roman" w:eastAsia="Times New Roman" w:hAnsi="Times New Roman" w:cs="Times New Roman"/>
          <w:b/>
          <w:sz w:val="24"/>
          <w:szCs w:val="24"/>
          <w:lang w:bidi="en-US"/>
        </w:rPr>
        <w:t xml:space="preserve">October 16, 2015 </w:t>
      </w:r>
    </w:p>
    <w:p w:rsidR="006F77AF" w:rsidRPr="006F77AF" w:rsidRDefault="006F77AF" w:rsidP="00994221">
      <w:pPr>
        <w:spacing w:after="0" w:line="240" w:lineRule="auto"/>
        <w:rPr>
          <w:rFonts w:ascii="Times New Roman" w:eastAsia="Times New Roman" w:hAnsi="Times New Roman" w:cs="Times New Roman"/>
          <w:sz w:val="24"/>
          <w:szCs w:val="24"/>
          <w:lang w:bidi="en-US"/>
        </w:rPr>
      </w:pPr>
      <w:r w:rsidRPr="00BB3973">
        <w:rPr>
          <w:rFonts w:ascii="Times New Roman" w:eastAsia="Times New Roman" w:hAnsi="Times New Roman" w:cs="Times New Roman"/>
          <w:sz w:val="24"/>
          <w:szCs w:val="24"/>
          <w:lang w:bidi="en-US"/>
        </w:rPr>
        <w:t>Commission members reviewed the recommendations of David Bunker rega</w:t>
      </w:r>
      <w:r>
        <w:rPr>
          <w:rFonts w:ascii="Times New Roman" w:eastAsia="Times New Roman" w:hAnsi="Times New Roman" w:cs="Times New Roman"/>
          <w:sz w:val="24"/>
          <w:szCs w:val="24"/>
          <w:lang w:bidi="en-US"/>
        </w:rPr>
        <w:t xml:space="preserve">rding the low income and ELL adjustments. They also discussed the issue of efficient resource allocation and reporting on spending. Finally, they had a follow-up discussion about in-district special education, and </w:t>
      </w:r>
      <w:r w:rsidR="00707E95">
        <w:rPr>
          <w:rFonts w:ascii="Times New Roman" w:eastAsia="Times New Roman" w:hAnsi="Times New Roman" w:cs="Times New Roman"/>
          <w:sz w:val="24"/>
          <w:szCs w:val="24"/>
          <w:lang w:bidi="en-US"/>
        </w:rPr>
        <w:t>other remaining concerns expressed by Commission members.</w:t>
      </w:r>
    </w:p>
    <w:sectPr w:rsidR="006F77AF" w:rsidRPr="006F77AF" w:rsidSect="0086062C">
      <w:footerReference w:type="default" r:id="rId13"/>
      <w:headerReference w:type="first" r:id="rId14"/>
      <w:footerReference w:type="first" r:id="rId15"/>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F31" w:rsidRDefault="00865F31" w:rsidP="009E5EB5">
      <w:pPr>
        <w:spacing w:after="0" w:line="240" w:lineRule="auto"/>
      </w:pPr>
      <w:r>
        <w:separator/>
      </w:r>
    </w:p>
  </w:endnote>
  <w:endnote w:type="continuationSeparator" w:id="0">
    <w:p w:rsidR="00865F31" w:rsidRDefault="00865F31" w:rsidP="009E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900464"/>
      <w:docPartObj>
        <w:docPartGallery w:val="Page Numbers (Bottom of Page)"/>
        <w:docPartUnique/>
      </w:docPartObj>
    </w:sdtPr>
    <w:sdtEndPr>
      <w:rPr>
        <w:rFonts w:ascii="Times New Roman" w:hAnsi="Times New Roman" w:cs="Times New Roman"/>
        <w:noProof/>
      </w:rPr>
    </w:sdtEndPr>
    <w:sdtContent>
      <w:p w:rsidR="00203B3B" w:rsidRPr="005A096D" w:rsidRDefault="00A60D79">
        <w:pPr>
          <w:pStyle w:val="Footer"/>
          <w:jc w:val="center"/>
          <w:rPr>
            <w:rFonts w:ascii="Times New Roman" w:hAnsi="Times New Roman" w:cs="Times New Roman"/>
          </w:rPr>
        </w:pPr>
        <w:r w:rsidRPr="005A096D">
          <w:rPr>
            <w:rFonts w:ascii="Times New Roman" w:hAnsi="Times New Roman" w:cs="Times New Roman"/>
          </w:rPr>
          <w:fldChar w:fldCharType="begin"/>
        </w:r>
        <w:r w:rsidR="00203B3B" w:rsidRPr="005A096D">
          <w:rPr>
            <w:rFonts w:ascii="Times New Roman" w:hAnsi="Times New Roman" w:cs="Times New Roman"/>
          </w:rPr>
          <w:instrText xml:space="preserve"> PAGE   \* MERGEFORMAT </w:instrText>
        </w:r>
        <w:r w:rsidRPr="005A096D">
          <w:rPr>
            <w:rFonts w:ascii="Times New Roman" w:hAnsi="Times New Roman" w:cs="Times New Roman"/>
          </w:rPr>
          <w:fldChar w:fldCharType="separate"/>
        </w:r>
        <w:r w:rsidR="00F954F0">
          <w:rPr>
            <w:rFonts w:ascii="Times New Roman" w:hAnsi="Times New Roman" w:cs="Times New Roman"/>
            <w:noProof/>
          </w:rPr>
          <w:t>17</w:t>
        </w:r>
        <w:r w:rsidRPr="005A096D">
          <w:rPr>
            <w:rFonts w:ascii="Times New Roman" w:hAnsi="Times New Roman" w:cs="Times New Roman"/>
            <w:noProof/>
          </w:rPr>
          <w:fldChar w:fldCharType="end"/>
        </w:r>
      </w:p>
    </w:sdtContent>
  </w:sdt>
  <w:p w:rsidR="00203B3B" w:rsidRDefault="00203B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B3B" w:rsidRDefault="00203B3B" w:rsidP="0086062C">
    <w:pPr>
      <w:pStyle w:val="Footer"/>
    </w:pPr>
  </w:p>
  <w:p w:rsidR="00203B3B" w:rsidRDefault="00203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F31" w:rsidRDefault="00865F31" w:rsidP="009E5EB5">
      <w:pPr>
        <w:spacing w:after="0" w:line="240" w:lineRule="auto"/>
      </w:pPr>
      <w:r>
        <w:separator/>
      </w:r>
    </w:p>
  </w:footnote>
  <w:footnote w:type="continuationSeparator" w:id="0">
    <w:p w:rsidR="00865F31" w:rsidRDefault="00865F31" w:rsidP="009E5EB5">
      <w:pPr>
        <w:spacing w:after="0" w:line="240" w:lineRule="auto"/>
      </w:pPr>
      <w:r>
        <w:continuationSeparator/>
      </w:r>
    </w:p>
  </w:footnote>
  <w:footnote w:id="1">
    <w:p w:rsidR="00203B3B" w:rsidRPr="00994221" w:rsidRDefault="00203B3B" w:rsidP="00CA6D7F">
      <w:pPr>
        <w:spacing w:after="0" w:line="240" w:lineRule="auto"/>
        <w:rPr>
          <w:rFonts w:ascii="Arial" w:hAnsi="Arial" w:cs="Arial"/>
          <w:sz w:val="16"/>
          <w:szCs w:val="16"/>
        </w:rPr>
      </w:pPr>
      <w:r w:rsidRPr="00994221">
        <w:rPr>
          <w:rStyle w:val="FootnoteReference"/>
          <w:rFonts w:ascii="Arial" w:hAnsi="Arial" w:cs="Arial"/>
          <w:sz w:val="16"/>
          <w:szCs w:val="16"/>
        </w:rPr>
        <w:footnoteRef/>
      </w:r>
      <w:r w:rsidRPr="00994221">
        <w:rPr>
          <w:rFonts w:ascii="Arial" w:hAnsi="Arial" w:cs="Arial"/>
          <w:sz w:val="16"/>
          <w:szCs w:val="16"/>
        </w:rPr>
        <w:t xml:space="preserve"> </w:t>
      </w:r>
      <w:proofErr w:type="gramStart"/>
      <w:r w:rsidRPr="00994221">
        <w:rPr>
          <w:rFonts w:ascii="Arial" w:hAnsi="Arial" w:cs="Arial"/>
          <w:sz w:val="16"/>
          <w:szCs w:val="16"/>
        </w:rPr>
        <w:t>Recent studies have estimated the gap between foundation and actual spending in these categories to be as high as $2.1 billion combined (</w:t>
      </w:r>
      <w:r w:rsidRPr="00994221">
        <w:rPr>
          <w:rFonts w:ascii="Arial" w:hAnsi="Arial" w:cs="Arial"/>
          <w:i/>
          <w:sz w:val="16"/>
          <w:szCs w:val="16"/>
        </w:rPr>
        <w:t>Massachusetts Budget &amp; Policy Center, “Cutting Class: Underfunding the Foundation Budget’s Core Education Program,” 2011; Massachusetts Business Alliance for Education, “School Funding Reality: A Bargain Not Kept,” 2010; Massachusetts Department of Elementary &amp; Secondary Education, “Report on the Status of the Public Education Financing System in Massachusetts,” 2013</w:t>
      </w:r>
      <w:r w:rsidRPr="00994221">
        <w:rPr>
          <w:rFonts w:ascii="Arial" w:hAnsi="Arial" w:cs="Arial"/>
          <w:sz w:val="16"/>
          <w:szCs w:val="16"/>
        </w:rPr>
        <w:t>).</w:t>
      </w:r>
      <w:proofErr w:type="gramEnd"/>
    </w:p>
  </w:footnote>
  <w:footnote w:id="2">
    <w:p w:rsidR="00203B3B" w:rsidRPr="00994221" w:rsidRDefault="00203B3B" w:rsidP="00CA6D7F">
      <w:pPr>
        <w:pStyle w:val="FootnoteText"/>
        <w:rPr>
          <w:rFonts w:ascii="Arial" w:hAnsi="Arial" w:cs="Arial"/>
          <w:sz w:val="16"/>
          <w:szCs w:val="16"/>
        </w:rPr>
      </w:pPr>
      <w:r w:rsidRPr="00994221">
        <w:rPr>
          <w:rStyle w:val="FootnoteReference"/>
          <w:rFonts w:ascii="Arial" w:hAnsi="Arial" w:cs="Arial"/>
          <w:sz w:val="16"/>
          <w:szCs w:val="16"/>
        </w:rPr>
        <w:footnoteRef/>
      </w:r>
      <w:r w:rsidRPr="00994221">
        <w:rPr>
          <w:rFonts w:ascii="Arial" w:hAnsi="Arial" w:cs="Arial"/>
          <w:sz w:val="16"/>
          <w:szCs w:val="16"/>
        </w:rPr>
        <w:t xml:space="preserve"> Ibid. </w:t>
      </w:r>
    </w:p>
  </w:footnote>
  <w:footnote w:id="3">
    <w:p w:rsidR="00203B3B" w:rsidRPr="00994221" w:rsidRDefault="00203B3B" w:rsidP="00CA6D7F">
      <w:pPr>
        <w:spacing w:after="0" w:line="240" w:lineRule="auto"/>
        <w:rPr>
          <w:rFonts w:ascii="Arial" w:hAnsi="Arial" w:cs="Arial"/>
          <w:sz w:val="16"/>
          <w:szCs w:val="16"/>
        </w:rPr>
      </w:pPr>
      <w:r w:rsidRPr="00994221">
        <w:rPr>
          <w:rStyle w:val="FootnoteReference"/>
          <w:rFonts w:ascii="Arial" w:hAnsi="Arial" w:cs="Arial"/>
          <w:sz w:val="16"/>
          <w:szCs w:val="16"/>
        </w:rPr>
        <w:footnoteRef/>
      </w:r>
      <w:r w:rsidRPr="00994221">
        <w:rPr>
          <w:rFonts w:ascii="Arial" w:hAnsi="Arial" w:cs="Arial"/>
          <w:sz w:val="16"/>
          <w:szCs w:val="16"/>
        </w:rPr>
        <w:t xml:space="preserve"> Melissa King &amp; Roger Hatch, DESE. “Massachusetts Foundation Budget: Focus on Special Education and Health Insurance.” March 2015. </w:t>
      </w:r>
      <w:proofErr w:type="spellStart"/>
      <w:r w:rsidRPr="00994221">
        <w:rPr>
          <w:rFonts w:ascii="Arial" w:hAnsi="Arial" w:cs="Arial"/>
          <w:sz w:val="16"/>
          <w:szCs w:val="16"/>
        </w:rPr>
        <w:t>Powerpoint</w:t>
      </w:r>
      <w:proofErr w:type="spellEnd"/>
      <w:r w:rsidRPr="00994221">
        <w:rPr>
          <w:rFonts w:ascii="Arial" w:hAnsi="Arial" w:cs="Arial"/>
          <w:sz w:val="16"/>
          <w:szCs w:val="16"/>
        </w:rPr>
        <w:t xml:space="preserve"> presentation.</w:t>
      </w:r>
    </w:p>
  </w:footnote>
  <w:footnote w:id="4">
    <w:p w:rsidR="00203B3B" w:rsidRPr="00994221" w:rsidRDefault="00203B3B" w:rsidP="00CA6D7F">
      <w:pPr>
        <w:spacing w:after="0" w:line="240" w:lineRule="auto"/>
        <w:rPr>
          <w:rFonts w:ascii="Arial" w:hAnsi="Arial" w:cs="Arial"/>
          <w:sz w:val="16"/>
          <w:szCs w:val="16"/>
        </w:rPr>
      </w:pPr>
      <w:r w:rsidRPr="00994221">
        <w:rPr>
          <w:rStyle w:val="FootnoteReference"/>
          <w:rFonts w:ascii="Arial" w:hAnsi="Arial" w:cs="Arial"/>
          <w:sz w:val="16"/>
          <w:szCs w:val="16"/>
        </w:rPr>
        <w:footnoteRef/>
      </w:r>
      <w:r w:rsidRPr="00994221">
        <w:rPr>
          <w:rFonts w:ascii="Arial" w:hAnsi="Arial" w:cs="Arial"/>
          <w:sz w:val="16"/>
          <w:szCs w:val="16"/>
        </w:rPr>
        <w:t xml:space="preserve"> While the Commission recommends using the average rate, it acknowledges that there may be other benchmarks that the Legislature may find more appropriate.</w:t>
      </w:r>
    </w:p>
  </w:footnote>
  <w:footnote w:id="5">
    <w:p w:rsidR="00203B3B" w:rsidRPr="009B02E9" w:rsidRDefault="00203B3B" w:rsidP="00CA6D7F">
      <w:pPr>
        <w:pStyle w:val="FootnoteText"/>
        <w:rPr>
          <w:rFonts w:ascii="Arial" w:hAnsi="Arial" w:cs="Arial"/>
        </w:rPr>
      </w:pPr>
      <w:r w:rsidRPr="00994221">
        <w:rPr>
          <w:rStyle w:val="FootnoteReference"/>
          <w:rFonts w:ascii="Arial" w:hAnsi="Arial" w:cs="Arial"/>
          <w:sz w:val="16"/>
          <w:szCs w:val="16"/>
        </w:rPr>
        <w:t>*</w:t>
      </w:r>
      <w:r w:rsidRPr="00994221">
        <w:rPr>
          <w:rFonts w:ascii="Arial" w:hAnsi="Arial" w:cs="Arial"/>
          <w:sz w:val="16"/>
          <w:szCs w:val="16"/>
        </w:rPr>
        <w:t>The increment representing the other parts of the “Employee Benefits/Fixed Charges” component would remain the same.</w:t>
      </w:r>
    </w:p>
  </w:footnote>
  <w:footnote w:id="6">
    <w:p w:rsidR="00203B3B" w:rsidRPr="00994221" w:rsidRDefault="00203B3B">
      <w:pPr>
        <w:pStyle w:val="FootnoteText"/>
        <w:rPr>
          <w:sz w:val="16"/>
          <w:szCs w:val="16"/>
        </w:rPr>
      </w:pPr>
      <w:r w:rsidRPr="00994221">
        <w:rPr>
          <w:rStyle w:val="FootnoteReference"/>
          <w:sz w:val="16"/>
          <w:szCs w:val="16"/>
        </w:rPr>
        <w:footnoteRef/>
      </w:r>
      <w:r w:rsidRPr="00994221">
        <w:rPr>
          <w:sz w:val="16"/>
          <w:szCs w:val="16"/>
        </w:rPr>
        <w:t xml:space="preserve"> </w:t>
      </w:r>
      <w:r w:rsidRPr="00994221">
        <w:rPr>
          <w:rFonts w:ascii="Arial" w:hAnsi="Arial" w:cs="Arial"/>
          <w:sz w:val="16"/>
          <w:szCs w:val="16"/>
        </w:rPr>
        <w:t>15% x 25% = 3.75%</w:t>
      </w:r>
    </w:p>
  </w:footnote>
  <w:footnote w:id="7">
    <w:p w:rsidR="00203B3B" w:rsidRPr="00994221" w:rsidRDefault="00203B3B">
      <w:pPr>
        <w:pStyle w:val="FootnoteText"/>
        <w:rPr>
          <w:sz w:val="16"/>
          <w:szCs w:val="16"/>
        </w:rPr>
      </w:pPr>
      <w:r w:rsidRPr="00994221">
        <w:rPr>
          <w:rStyle w:val="FootnoteReference"/>
          <w:sz w:val="16"/>
          <w:szCs w:val="16"/>
        </w:rPr>
        <w:footnoteRef/>
      </w:r>
      <w:r w:rsidRPr="00994221">
        <w:rPr>
          <w:sz w:val="16"/>
          <w:szCs w:val="16"/>
        </w:rPr>
        <w:t xml:space="preserve"> </w:t>
      </w:r>
      <w:r w:rsidRPr="00994221">
        <w:rPr>
          <w:rFonts w:ascii="Arial" w:hAnsi="Arial" w:cs="Arial"/>
          <w:sz w:val="16"/>
          <w:szCs w:val="16"/>
        </w:rPr>
        <w:t xml:space="preserve">Melissa King &amp; Roger Hatch, DESE. “Massachusetts Foundation Budget: Focus on Special Education and Health Insurance.” March 2015. </w:t>
      </w:r>
      <w:proofErr w:type="spellStart"/>
      <w:r w:rsidRPr="00994221">
        <w:rPr>
          <w:rFonts w:ascii="Arial" w:hAnsi="Arial" w:cs="Arial"/>
          <w:sz w:val="16"/>
          <w:szCs w:val="16"/>
        </w:rPr>
        <w:t>Powerpoint</w:t>
      </w:r>
      <w:proofErr w:type="spellEnd"/>
      <w:r w:rsidRPr="00994221">
        <w:rPr>
          <w:rFonts w:ascii="Arial" w:hAnsi="Arial" w:cs="Arial"/>
          <w:sz w:val="16"/>
          <w:szCs w:val="16"/>
        </w:rPr>
        <w:t xml:space="preserve"> presentation.</w:t>
      </w:r>
    </w:p>
  </w:footnote>
  <w:footnote w:id="8">
    <w:p w:rsidR="00203B3B" w:rsidRPr="00994221" w:rsidRDefault="00203B3B">
      <w:pPr>
        <w:pStyle w:val="FootnoteText"/>
        <w:rPr>
          <w:sz w:val="16"/>
          <w:szCs w:val="16"/>
        </w:rPr>
      </w:pPr>
      <w:r w:rsidRPr="00994221">
        <w:rPr>
          <w:rStyle w:val="FootnoteReference"/>
          <w:sz w:val="16"/>
          <w:szCs w:val="16"/>
        </w:rPr>
        <w:footnoteRef/>
      </w:r>
      <w:r w:rsidRPr="00994221">
        <w:rPr>
          <w:sz w:val="16"/>
          <w:szCs w:val="16"/>
        </w:rPr>
        <w:t xml:space="preserve"> </w:t>
      </w:r>
      <w:r w:rsidRPr="00994221">
        <w:rPr>
          <w:rFonts w:ascii="Arial" w:hAnsi="Arial" w:cs="Arial"/>
          <w:sz w:val="16"/>
          <w:szCs w:val="16"/>
        </w:rPr>
        <w:t xml:space="preserve">Melissa King &amp; Roger Hatch, DESE. “Massachusetts Foundation Budget: Focus on Special Education and Health Insurance.” March 2015. </w:t>
      </w:r>
      <w:proofErr w:type="spellStart"/>
      <w:r w:rsidRPr="00994221">
        <w:rPr>
          <w:rFonts w:ascii="Arial" w:hAnsi="Arial" w:cs="Arial"/>
          <w:sz w:val="16"/>
          <w:szCs w:val="16"/>
        </w:rPr>
        <w:t>Powerpoint</w:t>
      </w:r>
      <w:proofErr w:type="spellEnd"/>
      <w:r w:rsidRPr="00994221">
        <w:rPr>
          <w:rFonts w:ascii="Arial" w:hAnsi="Arial" w:cs="Arial"/>
          <w:sz w:val="16"/>
          <w:szCs w:val="16"/>
        </w:rPr>
        <w:t xml:space="preserve"> presentation.</w:t>
      </w:r>
    </w:p>
  </w:footnote>
  <w:footnote w:id="9">
    <w:p w:rsidR="00203B3B" w:rsidRPr="00994221" w:rsidRDefault="00203B3B" w:rsidP="009E5EB5">
      <w:pPr>
        <w:pStyle w:val="FootnoteText"/>
        <w:rPr>
          <w:sz w:val="16"/>
          <w:szCs w:val="16"/>
        </w:rPr>
      </w:pPr>
      <w:r w:rsidRPr="00994221">
        <w:rPr>
          <w:rStyle w:val="FootnoteReference"/>
          <w:sz w:val="16"/>
          <w:szCs w:val="16"/>
        </w:rPr>
        <w:t>**</w:t>
      </w:r>
      <w:r w:rsidRPr="00994221">
        <w:rPr>
          <w:sz w:val="16"/>
          <w:szCs w:val="16"/>
        </w:rPr>
        <w:t xml:space="preserve"> </w:t>
      </w:r>
      <w:r w:rsidRPr="00994221">
        <w:rPr>
          <w:rFonts w:ascii="Arial" w:hAnsi="Arial" w:cs="Arial"/>
          <w:sz w:val="16"/>
          <w:szCs w:val="16"/>
        </w:rPr>
        <w:t>Not including assumed SPED costs.</w:t>
      </w:r>
    </w:p>
  </w:footnote>
  <w:footnote w:id="10">
    <w:p w:rsidR="00203B3B" w:rsidRPr="00994221" w:rsidRDefault="00203B3B" w:rsidP="009E5EB5">
      <w:pPr>
        <w:pStyle w:val="FootnoteText"/>
        <w:rPr>
          <w:sz w:val="16"/>
          <w:szCs w:val="16"/>
        </w:rPr>
      </w:pPr>
      <w:r w:rsidRPr="00994221">
        <w:rPr>
          <w:rStyle w:val="FootnoteReference"/>
          <w:sz w:val="16"/>
          <w:szCs w:val="16"/>
        </w:rPr>
        <w:t>***</w:t>
      </w:r>
      <w:r w:rsidRPr="00994221">
        <w:rPr>
          <w:sz w:val="16"/>
          <w:szCs w:val="16"/>
        </w:rPr>
        <w:t xml:space="preserve"> </w:t>
      </w:r>
      <w:r w:rsidRPr="00994221">
        <w:rPr>
          <w:rFonts w:ascii="Arial" w:hAnsi="Arial" w:cs="Arial"/>
          <w:sz w:val="16"/>
          <w:szCs w:val="16"/>
        </w:rPr>
        <w:t>This would be a one-time adjustment, with the resulting rate increased by inflation each year thereafter.</w:t>
      </w:r>
    </w:p>
    <w:p w:rsidR="00203B3B" w:rsidRDefault="00203B3B" w:rsidP="009E5EB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B3B" w:rsidRDefault="00203B3B">
    <w:pPr>
      <w:pStyle w:val="Header"/>
    </w:pPr>
  </w:p>
  <w:p w:rsidR="00203B3B" w:rsidRDefault="00203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2895"/>
    <w:multiLevelType w:val="hybridMultilevel"/>
    <w:tmpl w:val="16CE22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D837ED"/>
    <w:multiLevelType w:val="hybridMultilevel"/>
    <w:tmpl w:val="22D0D05A"/>
    <w:lvl w:ilvl="0" w:tplc="7CA07E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F4E05"/>
    <w:multiLevelType w:val="hybridMultilevel"/>
    <w:tmpl w:val="C59A2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A1ECA"/>
    <w:multiLevelType w:val="hybridMultilevel"/>
    <w:tmpl w:val="6CDCA46C"/>
    <w:lvl w:ilvl="0" w:tplc="C3B475C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A6233"/>
    <w:multiLevelType w:val="hybridMultilevel"/>
    <w:tmpl w:val="8A68458E"/>
    <w:lvl w:ilvl="0" w:tplc="3E3E5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056A3A"/>
    <w:multiLevelType w:val="hybridMultilevel"/>
    <w:tmpl w:val="A99430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8378B5"/>
    <w:multiLevelType w:val="hybridMultilevel"/>
    <w:tmpl w:val="23B073E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B80DC6"/>
    <w:multiLevelType w:val="hybridMultilevel"/>
    <w:tmpl w:val="4F807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DB1483"/>
    <w:multiLevelType w:val="hybridMultilevel"/>
    <w:tmpl w:val="3E3E2C3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06864"/>
    <w:multiLevelType w:val="hybridMultilevel"/>
    <w:tmpl w:val="4E267A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580B26"/>
    <w:multiLevelType w:val="hybridMultilevel"/>
    <w:tmpl w:val="D4F6A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51CE5"/>
    <w:multiLevelType w:val="hybridMultilevel"/>
    <w:tmpl w:val="888C0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C1DC7"/>
    <w:multiLevelType w:val="hybridMultilevel"/>
    <w:tmpl w:val="87A6655E"/>
    <w:lvl w:ilvl="0" w:tplc="206C0FF4">
      <w:start w:val="1"/>
      <w:numFmt w:val="decimal"/>
      <w:lvlText w:val="%1."/>
      <w:lvlJc w:val="left"/>
      <w:pPr>
        <w:ind w:left="360" w:hanging="360"/>
      </w:pPr>
      <w:rPr>
        <w:rFonts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A42585"/>
    <w:multiLevelType w:val="hybridMultilevel"/>
    <w:tmpl w:val="100C0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7358DA"/>
    <w:multiLevelType w:val="hybridMultilevel"/>
    <w:tmpl w:val="E8CA5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B06449"/>
    <w:multiLevelType w:val="hybridMultilevel"/>
    <w:tmpl w:val="FE7C961C"/>
    <w:lvl w:ilvl="0" w:tplc="61C6607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01A19B9"/>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30C7055D"/>
    <w:multiLevelType w:val="hybridMultilevel"/>
    <w:tmpl w:val="B1325D1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DB6972"/>
    <w:multiLevelType w:val="hybridMultilevel"/>
    <w:tmpl w:val="63981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F17B1E"/>
    <w:multiLevelType w:val="hybridMultilevel"/>
    <w:tmpl w:val="1BC22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4C81963"/>
    <w:multiLevelType w:val="hybridMultilevel"/>
    <w:tmpl w:val="2C82EE9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356249"/>
    <w:multiLevelType w:val="hybridMultilevel"/>
    <w:tmpl w:val="6E566E40"/>
    <w:lvl w:ilvl="0" w:tplc="6910FD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ED1EA9"/>
    <w:multiLevelType w:val="hybridMultilevel"/>
    <w:tmpl w:val="93CEAD6C"/>
    <w:lvl w:ilvl="0" w:tplc="30D81BE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A30E0F"/>
    <w:multiLevelType w:val="hybridMultilevel"/>
    <w:tmpl w:val="2EB080F4"/>
    <w:lvl w:ilvl="0" w:tplc="3A6EED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102F2C"/>
    <w:multiLevelType w:val="hybridMultilevel"/>
    <w:tmpl w:val="3856877E"/>
    <w:lvl w:ilvl="0" w:tplc="822C49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382EC1"/>
    <w:multiLevelType w:val="hybridMultilevel"/>
    <w:tmpl w:val="D6C6F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F62C99"/>
    <w:multiLevelType w:val="hybridMultilevel"/>
    <w:tmpl w:val="E912DDEC"/>
    <w:lvl w:ilvl="0" w:tplc="AF18D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595443"/>
    <w:multiLevelType w:val="hybridMultilevel"/>
    <w:tmpl w:val="D8409A2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115175"/>
    <w:multiLevelType w:val="hybridMultilevel"/>
    <w:tmpl w:val="41826F50"/>
    <w:lvl w:ilvl="0" w:tplc="D294F058">
      <w:start w:val="1"/>
      <w:numFmt w:val="decimal"/>
      <w:lvlText w:val="%1."/>
      <w:lvlJc w:val="left"/>
      <w:pPr>
        <w:ind w:left="360" w:hanging="360"/>
      </w:pPr>
      <w:rPr>
        <w:rFonts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A847EC9"/>
    <w:multiLevelType w:val="hybridMultilevel"/>
    <w:tmpl w:val="2F2AB784"/>
    <w:lvl w:ilvl="0" w:tplc="6CD230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40168F"/>
    <w:multiLevelType w:val="hybridMultilevel"/>
    <w:tmpl w:val="66F2BD8C"/>
    <w:lvl w:ilvl="0" w:tplc="C0BA57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26A5"/>
    <w:multiLevelType w:val="hybridMultilevel"/>
    <w:tmpl w:val="20FCB99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37B5AAB"/>
    <w:multiLevelType w:val="hybridMultilevel"/>
    <w:tmpl w:val="4C941B5C"/>
    <w:lvl w:ilvl="0" w:tplc="AEE41018">
      <w:start w:val="2"/>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207E2E"/>
    <w:multiLevelType w:val="hybridMultilevel"/>
    <w:tmpl w:val="ED6E5A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B120AD5"/>
    <w:multiLevelType w:val="hybridMultilevel"/>
    <w:tmpl w:val="22F8D574"/>
    <w:lvl w:ilvl="0" w:tplc="33E8C3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B5B058A"/>
    <w:multiLevelType w:val="hybridMultilevel"/>
    <w:tmpl w:val="7F58DB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CB716DE"/>
    <w:multiLevelType w:val="hybridMultilevel"/>
    <w:tmpl w:val="FBC07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BC5B13"/>
    <w:multiLevelType w:val="hybridMultilevel"/>
    <w:tmpl w:val="8C7CED2C"/>
    <w:lvl w:ilvl="0" w:tplc="53F8BC50">
      <w:start w:val="1"/>
      <w:numFmt w:val="decimal"/>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E145DC0"/>
    <w:multiLevelType w:val="hybridMultilevel"/>
    <w:tmpl w:val="7DF6B4E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F8077CC"/>
    <w:multiLevelType w:val="hybridMultilevel"/>
    <w:tmpl w:val="2428542A"/>
    <w:lvl w:ilvl="0" w:tplc="CAA25A8C">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612D3EF3"/>
    <w:multiLevelType w:val="hybridMultilevel"/>
    <w:tmpl w:val="5D04E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2F10404"/>
    <w:multiLevelType w:val="hybridMultilevel"/>
    <w:tmpl w:val="8FBEFAE0"/>
    <w:lvl w:ilvl="0" w:tplc="6C36F6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1C42E8"/>
    <w:multiLevelType w:val="hybridMultilevel"/>
    <w:tmpl w:val="2758B5EC"/>
    <w:lvl w:ilvl="0" w:tplc="C1AC7164">
      <w:start w:val="1"/>
      <w:numFmt w:val="decimal"/>
      <w:lvlText w:val="%1."/>
      <w:lvlJc w:val="left"/>
      <w:pPr>
        <w:ind w:left="960" w:hanging="221"/>
        <w:jc w:val="right"/>
      </w:pPr>
      <w:rPr>
        <w:rFonts w:ascii="Arial" w:eastAsia="Arial" w:hAnsi="Arial" w:hint="default"/>
        <w:spacing w:val="-1"/>
        <w:w w:val="99"/>
        <w:sz w:val="20"/>
        <w:szCs w:val="20"/>
      </w:rPr>
    </w:lvl>
    <w:lvl w:ilvl="1" w:tplc="8626D416">
      <w:start w:val="1"/>
      <w:numFmt w:val="bullet"/>
      <w:lvlText w:val="•"/>
      <w:lvlJc w:val="left"/>
      <w:pPr>
        <w:ind w:left="1994" w:hanging="221"/>
      </w:pPr>
      <w:rPr>
        <w:rFonts w:hint="default"/>
      </w:rPr>
    </w:lvl>
    <w:lvl w:ilvl="2" w:tplc="EFEA698E">
      <w:start w:val="1"/>
      <w:numFmt w:val="bullet"/>
      <w:lvlText w:val="•"/>
      <w:lvlJc w:val="left"/>
      <w:pPr>
        <w:ind w:left="3028" w:hanging="221"/>
      </w:pPr>
      <w:rPr>
        <w:rFonts w:hint="default"/>
      </w:rPr>
    </w:lvl>
    <w:lvl w:ilvl="3" w:tplc="E370D674">
      <w:start w:val="1"/>
      <w:numFmt w:val="bullet"/>
      <w:lvlText w:val="•"/>
      <w:lvlJc w:val="left"/>
      <w:pPr>
        <w:ind w:left="4062" w:hanging="221"/>
      </w:pPr>
      <w:rPr>
        <w:rFonts w:hint="default"/>
      </w:rPr>
    </w:lvl>
    <w:lvl w:ilvl="4" w:tplc="D3FCE728">
      <w:start w:val="1"/>
      <w:numFmt w:val="bullet"/>
      <w:lvlText w:val="•"/>
      <w:lvlJc w:val="left"/>
      <w:pPr>
        <w:ind w:left="5096" w:hanging="221"/>
      </w:pPr>
      <w:rPr>
        <w:rFonts w:hint="default"/>
      </w:rPr>
    </w:lvl>
    <w:lvl w:ilvl="5" w:tplc="7680933A">
      <w:start w:val="1"/>
      <w:numFmt w:val="bullet"/>
      <w:lvlText w:val="•"/>
      <w:lvlJc w:val="left"/>
      <w:pPr>
        <w:ind w:left="6130" w:hanging="221"/>
      </w:pPr>
      <w:rPr>
        <w:rFonts w:hint="default"/>
      </w:rPr>
    </w:lvl>
    <w:lvl w:ilvl="6" w:tplc="7AE07FEE">
      <w:start w:val="1"/>
      <w:numFmt w:val="bullet"/>
      <w:lvlText w:val="•"/>
      <w:lvlJc w:val="left"/>
      <w:pPr>
        <w:ind w:left="7164" w:hanging="221"/>
      </w:pPr>
      <w:rPr>
        <w:rFonts w:hint="default"/>
      </w:rPr>
    </w:lvl>
    <w:lvl w:ilvl="7" w:tplc="4002D9E0">
      <w:start w:val="1"/>
      <w:numFmt w:val="bullet"/>
      <w:lvlText w:val="•"/>
      <w:lvlJc w:val="left"/>
      <w:pPr>
        <w:ind w:left="8198" w:hanging="221"/>
      </w:pPr>
      <w:rPr>
        <w:rFonts w:hint="default"/>
      </w:rPr>
    </w:lvl>
    <w:lvl w:ilvl="8" w:tplc="0B38E134">
      <w:start w:val="1"/>
      <w:numFmt w:val="bullet"/>
      <w:lvlText w:val="•"/>
      <w:lvlJc w:val="left"/>
      <w:pPr>
        <w:ind w:left="9232" w:hanging="221"/>
      </w:pPr>
      <w:rPr>
        <w:rFonts w:hint="default"/>
      </w:rPr>
    </w:lvl>
  </w:abstractNum>
  <w:abstractNum w:abstractNumId="43" w15:restartNumberingAfterBreak="0">
    <w:nsid w:val="6AAB75E6"/>
    <w:multiLevelType w:val="multilevel"/>
    <w:tmpl w:val="AFE8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5C5924"/>
    <w:multiLevelType w:val="hybridMultilevel"/>
    <w:tmpl w:val="1D20C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46D5481"/>
    <w:multiLevelType w:val="hybridMultilevel"/>
    <w:tmpl w:val="8314126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99B7721"/>
    <w:multiLevelType w:val="hybridMultilevel"/>
    <w:tmpl w:val="1F8EDD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3F1DD0"/>
    <w:multiLevelType w:val="hybridMultilevel"/>
    <w:tmpl w:val="E174D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D713203"/>
    <w:multiLevelType w:val="hybridMultilevel"/>
    <w:tmpl w:val="ED1A986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8"/>
  </w:num>
  <w:num w:numId="2">
    <w:abstractNumId w:val="45"/>
  </w:num>
  <w:num w:numId="3">
    <w:abstractNumId w:val="7"/>
  </w:num>
  <w:num w:numId="4">
    <w:abstractNumId w:val="13"/>
  </w:num>
  <w:num w:numId="5">
    <w:abstractNumId w:val="9"/>
  </w:num>
  <w:num w:numId="6">
    <w:abstractNumId w:val="43"/>
  </w:num>
  <w:num w:numId="7">
    <w:abstractNumId w:val="27"/>
  </w:num>
  <w:num w:numId="8">
    <w:abstractNumId w:val="31"/>
  </w:num>
  <w:num w:numId="9">
    <w:abstractNumId w:val="25"/>
  </w:num>
  <w:num w:numId="10">
    <w:abstractNumId w:val="5"/>
  </w:num>
  <w:num w:numId="11">
    <w:abstractNumId w:val="35"/>
  </w:num>
  <w:num w:numId="12">
    <w:abstractNumId w:val="17"/>
  </w:num>
  <w:num w:numId="13">
    <w:abstractNumId w:val="46"/>
  </w:num>
  <w:num w:numId="14">
    <w:abstractNumId w:val="8"/>
  </w:num>
  <w:num w:numId="15">
    <w:abstractNumId w:val="40"/>
  </w:num>
  <w:num w:numId="16">
    <w:abstractNumId w:val="42"/>
  </w:num>
  <w:num w:numId="17">
    <w:abstractNumId w:val="10"/>
  </w:num>
  <w:num w:numId="18">
    <w:abstractNumId w:val="38"/>
  </w:num>
  <w:num w:numId="19">
    <w:abstractNumId w:val="47"/>
  </w:num>
  <w:num w:numId="2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6"/>
  </w:num>
  <w:num w:numId="26">
    <w:abstractNumId w:val="18"/>
  </w:num>
  <w:num w:numId="27">
    <w:abstractNumId w:val="14"/>
  </w:num>
  <w:num w:numId="28">
    <w:abstractNumId w:val="30"/>
  </w:num>
  <w:num w:numId="29">
    <w:abstractNumId w:val="41"/>
  </w:num>
  <w:num w:numId="30">
    <w:abstractNumId w:val="23"/>
  </w:num>
  <w:num w:numId="31">
    <w:abstractNumId w:val="28"/>
  </w:num>
  <w:num w:numId="32">
    <w:abstractNumId w:val="29"/>
  </w:num>
  <w:num w:numId="33">
    <w:abstractNumId w:val="4"/>
  </w:num>
  <w:num w:numId="34">
    <w:abstractNumId w:val="21"/>
  </w:num>
  <w:num w:numId="35">
    <w:abstractNumId w:val="20"/>
  </w:num>
  <w:num w:numId="36">
    <w:abstractNumId w:val="0"/>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44"/>
  </w:num>
  <w:num w:numId="41">
    <w:abstractNumId w:val="2"/>
  </w:num>
  <w:num w:numId="42">
    <w:abstractNumId w:val="26"/>
  </w:num>
  <w:num w:numId="43">
    <w:abstractNumId w:val="11"/>
  </w:num>
  <w:num w:numId="44">
    <w:abstractNumId w:val="34"/>
  </w:num>
  <w:num w:numId="45">
    <w:abstractNumId w:val="12"/>
  </w:num>
  <w:num w:numId="46">
    <w:abstractNumId w:val="24"/>
  </w:num>
  <w:num w:numId="47">
    <w:abstractNumId w:val="22"/>
  </w:num>
  <w:num w:numId="48">
    <w:abstractNumId w:val="3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F4"/>
    <w:rsid w:val="00006E36"/>
    <w:rsid w:val="000173B1"/>
    <w:rsid w:val="00023551"/>
    <w:rsid w:val="00024662"/>
    <w:rsid w:val="000525F2"/>
    <w:rsid w:val="00070046"/>
    <w:rsid w:val="00080E18"/>
    <w:rsid w:val="00084800"/>
    <w:rsid w:val="000A038A"/>
    <w:rsid w:val="000A2865"/>
    <w:rsid w:val="000D125A"/>
    <w:rsid w:val="000E3B90"/>
    <w:rsid w:val="001046E8"/>
    <w:rsid w:val="00105C2C"/>
    <w:rsid w:val="00116295"/>
    <w:rsid w:val="00123F4D"/>
    <w:rsid w:val="00125004"/>
    <w:rsid w:val="0014385C"/>
    <w:rsid w:val="00147D08"/>
    <w:rsid w:val="001519A7"/>
    <w:rsid w:val="00156AB9"/>
    <w:rsid w:val="0016035A"/>
    <w:rsid w:val="0017315A"/>
    <w:rsid w:val="001731C3"/>
    <w:rsid w:val="00174F8E"/>
    <w:rsid w:val="001925DD"/>
    <w:rsid w:val="001A17EF"/>
    <w:rsid w:val="001A1927"/>
    <w:rsid w:val="001A3FEE"/>
    <w:rsid w:val="001C5D9A"/>
    <w:rsid w:val="001D49E6"/>
    <w:rsid w:val="001E7B99"/>
    <w:rsid w:val="00203B3B"/>
    <w:rsid w:val="00224A1F"/>
    <w:rsid w:val="0023264E"/>
    <w:rsid w:val="00242125"/>
    <w:rsid w:val="00272229"/>
    <w:rsid w:val="00293380"/>
    <w:rsid w:val="002A175A"/>
    <w:rsid w:val="002A4227"/>
    <w:rsid w:val="002B0356"/>
    <w:rsid w:val="002B46EC"/>
    <w:rsid w:val="002B4CFC"/>
    <w:rsid w:val="002C7E90"/>
    <w:rsid w:val="002D3021"/>
    <w:rsid w:val="002E3498"/>
    <w:rsid w:val="003007E7"/>
    <w:rsid w:val="00302371"/>
    <w:rsid w:val="0031316D"/>
    <w:rsid w:val="00315C4A"/>
    <w:rsid w:val="00320252"/>
    <w:rsid w:val="00321F16"/>
    <w:rsid w:val="0032432D"/>
    <w:rsid w:val="003616E7"/>
    <w:rsid w:val="0037106E"/>
    <w:rsid w:val="003751B7"/>
    <w:rsid w:val="00397E34"/>
    <w:rsid w:val="003A4233"/>
    <w:rsid w:val="003A4DC0"/>
    <w:rsid w:val="003A596E"/>
    <w:rsid w:val="003B07F3"/>
    <w:rsid w:val="003C0746"/>
    <w:rsid w:val="003C4E41"/>
    <w:rsid w:val="003C5172"/>
    <w:rsid w:val="003E5544"/>
    <w:rsid w:val="00401505"/>
    <w:rsid w:val="004107D5"/>
    <w:rsid w:val="00413F7D"/>
    <w:rsid w:val="004213E2"/>
    <w:rsid w:val="004240A0"/>
    <w:rsid w:val="00425904"/>
    <w:rsid w:val="0043206B"/>
    <w:rsid w:val="004452E8"/>
    <w:rsid w:val="0047026B"/>
    <w:rsid w:val="00476E22"/>
    <w:rsid w:val="00486888"/>
    <w:rsid w:val="00492516"/>
    <w:rsid w:val="00492B44"/>
    <w:rsid w:val="004A65E8"/>
    <w:rsid w:val="004D09E4"/>
    <w:rsid w:val="004F5DC8"/>
    <w:rsid w:val="00516FF1"/>
    <w:rsid w:val="00517F05"/>
    <w:rsid w:val="00527489"/>
    <w:rsid w:val="00527AEE"/>
    <w:rsid w:val="00534953"/>
    <w:rsid w:val="00540177"/>
    <w:rsid w:val="00545FC0"/>
    <w:rsid w:val="00555054"/>
    <w:rsid w:val="00566A96"/>
    <w:rsid w:val="0059295A"/>
    <w:rsid w:val="005A096D"/>
    <w:rsid w:val="005B1FCC"/>
    <w:rsid w:val="005D2122"/>
    <w:rsid w:val="005E3CD4"/>
    <w:rsid w:val="0060036A"/>
    <w:rsid w:val="006028F4"/>
    <w:rsid w:val="006051DD"/>
    <w:rsid w:val="0061617B"/>
    <w:rsid w:val="00620CF6"/>
    <w:rsid w:val="00621555"/>
    <w:rsid w:val="00627EE9"/>
    <w:rsid w:val="00636A3A"/>
    <w:rsid w:val="00640466"/>
    <w:rsid w:val="00644102"/>
    <w:rsid w:val="006447FC"/>
    <w:rsid w:val="00670EDD"/>
    <w:rsid w:val="0067743D"/>
    <w:rsid w:val="00684F75"/>
    <w:rsid w:val="006A353E"/>
    <w:rsid w:val="006A6B63"/>
    <w:rsid w:val="006D177B"/>
    <w:rsid w:val="006D311C"/>
    <w:rsid w:val="006D7236"/>
    <w:rsid w:val="006D745B"/>
    <w:rsid w:val="006D7F57"/>
    <w:rsid w:val="006E37A0"/>
    <w:rsid w:val="006F6C35"/>
    <w:rsid w:val="006F77AF"/>
    <w:rsid w:val="007005C9"/>
    <w:rsid w:val="00703298"/>
    <w:rsid w:val="00707E95"/>
    <w:rsid w:val="007135F9"/>
    <w:rsid w:val="007508AA"/>
    <w:rsid w:val="00752574"/>
    <w:rsid w:val="00774176"/>
    <w:rsid w:val="007902FE"/>
    <w:rsid w:val="007B710D"/>
    <w:rsid w:val="007E1FCF"/>
    <w:rsid w:val="007E281E"/>
    <w:rsid w:val="007E5E30"/>
    <w:rsid w:val="007F26E3"/>
    <w:rsid w:val="00816A2D"/>
    <w:rsid w:val="00847CBD"/>
    <w:rsid w:val="0086062C"/>
    <w:rsid w:val="0086107C"/>
    <w:rsid w:val="008612E0"/>
    <w:rsid w:val="00865F31"/>
    <w:rsid w:val="008665EB"/>
    <w:rsid w:val="00870CAA"/>
    <w:rsid w:val="008A01FA"/>
    <w:rsid w:val="008C20E7"/>
    <w:rsid w:val="008E65AC"/>
    <w:rsid w:val="008F5B0B"/>
    <w:rsid w:val="008F6328"/>
    <w:rsid w:val="00927007"/>
    <w:rsid w:val="00941A78"/>
    <w:rsid w:val="00944B19"/>
    <w:rsid w:val="00973DF0"/>
    <w:rsid w:val="00975B86"/>
    <w:rsid w:val="00994221"/>
    <w:rsid w:val="009B5CD1"/>
    <w:rsid w:val="009D1F11"/>
    <w:rsid w:val="009E1F0F"/>
    <w:rsid w:val="009E5EB5"/>
    <w:rsid w:val="00A16613"/>
    <w:rsid w:val="00A1713B"/>
    <w:rsid w:val="00A17A53"/>
    <w:rsid w:val="00A3142F"/>
    <w:rsid w:val="00A34CCF"/>
    <w:rsid w:val="00A60D79"/>
    <w:rsid w:val="00A66DCC"/>
    <w:rsid w:val="00A80CD6"/>
    <w:rsid w:val="00A951BF"/>
    <w:rsid w:val="00A97E17"/>
    <w:rsid w:val="00AA3CC0"/>
    <w:rsid w:val="00AC7548"/>
    <w:rsid w:val="00AD695E"/>
    <w:rsid w:val="00AD755D"/>
    <w:rsid w:val="00AF24AC"/>
    <w:rsid w:val="00AF29C2"/>
    <w:rsid w:val="00B00854"/>
    <w:rsid w:val="00B25AE1"/>
    <w:rsid w:val="00BB3973"/>
    <w:rsid w:val="00BC4514"/>
    <w:rsid w:val="00BD23A4"/>
    <w:rsid w:val="00BE02A7"/>
    <w:rsid w:val="00BF41FE"/>
    <w:rsid w:val="00C10402"/>
    <w:rsid w:val="00C3530B"/>
    <w:rsid w:val="00C40C61"/>
    <w:rsid w:val="00C64BFF"/>
    <w:rsid w:val="00C705A0"/>
    <w:rsid w:val="00C7614E"/>
    <w:rsid w:val="00C84BB9"/>
    <w:rsid w:val="00C91E9A"/>
    <w:rsid w:val="00C94C9D"/>
    <w:rsid w:val="00CA6D7F"/>
    <w:rsid w:val="00CB2D94"/>
    <w:rsid w:val="00CB7DE1"/>
    <w:rsid w:val="00CD7BB4"/>
    <w:rsid w:val="00CE3B19"/>
    <w:rsid w:val="00D2348F"/>
    <w:rsid w:val="00D26FB0"/>
    <w:rsid w:val="00D4002E"/>
    <w:rsid w:val="00D42C76"/>
    <w:rsid w:val="00D5112F"/>
    <w:rsid w:val="00D82D0C"/>
    <w:rsid w:val="00D90B53"/>
    <w:rsid w:val="00DB7B90"/>
    <w:rsid w:val="00DC17B7"/>
    <w:rsid w:val="00DC17BC"/>
    <w:rsid w:val="00DC7533"/>
    <w:rsid w:val="00DC7865"/>
    <w:rsid w:val="00DC7871"/>
    <w:rsid w:val="00DE27BB"/>
    <w:rsid w:val="00DE72BC"/>
    <w:rsid w:val="00E26B35"/>
    <w:rsid w:val="00E35B25"/>
    <w:rsid w:val="00E46BE0"/>
    <w:rsid w:val="00E56DE0"/>
    <w:rsid w:val="00E6136E"/>
    <w:rsid w:val="00E62D96"/>
    <w:rsid w:val="00E80B2A"/>
    <w:rsid w:val="00E8202C"/>
    <w:rsid w:val="00E93781"/>
    <w:rsid w:val="00EA5248"/>
    <w:rsid w:val="00EC7A9C"/>
    <w:rsid w:val="00EE4529"/>
    <w:rsid w:val="00EF3070"/>
    <w:rsid w:val="00F052E1"/>
    <w:rsid w:val="00F55B5B"/>
    <w:rsid w:val="00F61E4B"/>
    <w:rsid w:val="00F75488"/>
    <w:rsid w:val="00F925BA"/>
    <w:rsid w:val="00F954F0"/>
    <w:rsid w:val="00FB14FE"/>
    <w:rsid w:val="00FB6659"/>
    <w:rsid w:val="00FC08B8"/>
    <w:rsid w:val="00FC3DC9"/>
    <w:rsid w:val="00FD2FB5"/>
    <w:rsid w:val="00FD3EEC"/>
    <w:rsid w:val="00FE7C58"/>
    <w:rsid w:val="00FF2C75"/>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56ECF795-1A22-4E20-BF4D-51B2D25C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8F4"/>
  </w:style>
  <w:style w:type="paragraph" w:styleId="Heading1">
    <w:name w:val="heading 1"/>
    <w:basedOn w:val="Title"/>
    <w:next w:val="Normal"/>
    <w:link w:val="Heading1Char"/>
    <w:uiPriority w:val="9"/>
    <w:qFormat/>
    <w:rsid w:val="00F954F0"/>
    <w:pPr>
      <w:jc w:val="center"/>
      <w:outlineLvl w:val="0"/>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semiHidden/>
    <w:unhideWhenUsed/>
    <w:qFormat/>
    <w:rsid w:val="00627EE9"/>
    <w:pPr>
      <w:spacing w:after="0" w:line="240" w:lineRule="auto"/>
    </w:pPr>
    <w:rPr>
      <w:rFonts w:ascii="Arial" w:hAnsi="Arial"/>
      <w:sz w:val="24"/>
      <w:lang w:val="ru-RU" w:eastAsia="ru-RU"/>
    </w:rPr>
  </w:style>
  <w:style w:type="character" w:customStyle="1" w:styleId="CommentTextChar">
    <w:name w:val="Comment Text Char"/>
    <w:basedOn w:val="DefaultParagraphFont"/>
    <w:link w:val="CommentText"/>
    <w:uiPriority w:val="99"/>
    <w:semiHidden/>
    <w:rsid w:val="00627EE9"/>
    <w:rPr>
      <w:rFonts w:ascii="Arial" w:hAnsi="Arial"/>
      <w:sz w:val="24"/>
      <w:lang w:val="ru-RU" w:eastAsia="ru-RU"/>
    </w:rPr>
  </w:style>
  <w:style w:type="character" w:styleId="Strong">
    <w:name w:val="Strong"/>
    <w:basedOn w:val="DefaultParagraphFont"/>
    <w:uiPriority w:val="22"/>
    <w:qFormat/>
    <w:rsid w:val="006028F4"/>
    <w:rPr>
      <w:b/>
      <w:bCs/>
    </w:rPr>
  </w:style>
  <w:style w:type="paragraph" w:styleId="Title">
    <w:name w:val="Title"/>
    <w:basedOn w:val="Normal"/>
    <w:next w:val="Normal"/>
    <w:link w:val="TitleChar"/>
    <w:uiPriority w:val="10"/>
    <w:qFormat/>
    <w:rsid w:val="004259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590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E5EB5"/>
    <w:pPr>
      <w:ind w:left="720"/>
      <w:contextualSpacing/>
    </w:pPr>
  </w:style>
  <w:style w:type="paragraph" w:styleId="FootnoteText">
    <w:name w:val="footnote text"/>
    <w:basedOn w:val="Normal"/>
    <w:link w:val="FootnoteTextChar"/>
    <w:uiPriority w:val="99"/>
    <w:semiHidden/>
    <w:unhideWhenUsed/>
    <w:rsid w:val="009E5E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5EB5"/>
    <w:rPr>
      <w:sz w:val="20"/>
      <w:szCs w:val="20"/>
    </w:rPr>
  </w:style>
  <w:style w:type="character" w:styleId="FootnoteReference">
    <w:name w:val="footnote reference"/>
    <w:basedOn w:val="DefaultParagraphFont"/>
    <w:uiPriority w:val="99"/>
    <w:semiHidden/>
    <w:unhideWhenUsed/>
    <w:rsid w:val="009E5EB5"/>
    <w:rPr>
      <w:vertAlign w:val="superscript"/>
    </w:rPr>
  </w:style>
  <w:style w:type="paragraph" w:styleId="NoSpacing">
    <w:name w:val="No Spacing"/>
    <w:link w:val="NoSpacingChar"/>
    <w:uiPriority w:val="1"/>
    <w:qFormat/>
    <w:rsid w:val="009E5EB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E5EB5"/>
    <w:rPr>
      <w:rFonts w:eastAsiaTheme="minorEastAsia"/>
      <w:lang w:eastAsia="ja-JP"/>
    </w:rPr>
  </w:style>
  <w:style w:type="paragraph" w:styleId="BalloonText">
    <w:name w:val="Balloon Text"/>
    <w:basedOn w:val="Normal"/>
    <w:link w:val="BalloonTextChar"/>
    <w:uiPriority w:val="99"/>
    <w:semiHidden/>
    <w:unhideWhenUsed/>
    <w:rsid w:val="009E5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EB5"/>
    <w:rPr>
      <w:rFonts w:ascii="Tahoma" w:hAnsi="Tahoma" w:cs="Tahoma"/>
      <w:sz w:val="16"/>
      <w:szCs w:val="16"/>
    </w:rPr>
  </w:style>
  <w:style w:type="paragraph" w:styleId="Header">
    <w:name w:val="header"/>
    <w:basedOn w:val="Normal"/>
    <w:link w:val="HeaderChar"/>
    <w:uiPriority w:val="99"/>
    <w:unhideWhenUsed/>
    <w:rsid w:val="00E62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D96"/>
  </w:style>
  <w:style w:type="paragraph" w:styleId="Footer">
    <w:name w:val="footer"/>
    <w:basedOn w:val="Normal"/>
    <w:link w:val="FooterChar"/>
    <w:uiPriority w:val="99"/>
    <w:unhideWhenUsed/>
    <w:rsid w:val="00E62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D96"/>
  </w:style>
  <w:style w:type="character" w:customStyle="1" w:styleId="Heading1Char">
    <w:name w:val="Heading 1 Char"/>
    <w:basedOn w:val="DefaultParagraphFont"/>
    <w:link w:val="Heading1"/>
    <w:uiPriority w:val="9"/>
    <w:rsid w:val="00F954F0"/>
    <w:rPr>
      <w:rFonts w:asciiTheme="majorHAnsi" w:eastAsiaTheme="majorEastAsia" w:hAnsiTheme="majorHAnsi" w:cstheme="majorBidi"/>
      <w:b/>
      <w:color w:val="17365D" w:themeColor="text2" w:themeShade="BF"/>
      <w:spacing w:val="5"/>
      <w:kern w:val="28"/>
      <w:sz w:val="36"/>
      <w:szCs w:val="36"/>
    </w:rPr>
  </w:style>
  <w:style w:type="paragraph" w:styleId="TOCHeading">
    <w:name w:val="TOC Heading"/>
    <w:basedOn w:val="Heading1"/>
    <w:next w:val="Normal"/>
    <w:uiPriority w:val="39"/>
    <w:semiHidden/>
    <w:unhideWhenUsed/>
    <w:qFormat/>
    <w:rsid w:val="00E62D96"/>
    <w:pPr>
      <w:outlineLvl w:val="9"/>
    </w:pPr>
    <w:rPr>
      <w:lang w:eastAsia="ja-JP"/>
    </w:rPr>
  </w:style>
  <w:style w:type="table" w:styleId="TableGrid">
    <w:name w:val="Table Grid"/>
    <w:basedOn w:val="TableNormal"/>
    <w:uiPriority w:val="59"/>
    <w:rsid w:val="00E62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FD2FB5"/>
    <w:pPr>
      <w:spacing w:after="240" w:line="240" w:lineRule="auto"/>
    </w:pPr>
    <w:rPr>
      <w:rFonts w:ascii="Times New Roman" w:eastAsia="MS Mincho" w:hAnsi="Times New Roman"/>
      <w:sz w:val="24"/>
      <w:szCs w:val="24"/>
    </w:rPr>
  </w:style>
  <w:style w:type="character" w:customStyle="1" w:styleId="BodyTextChar">
    <w:name w:val="Body Text Char"/>
    <w:basedOn w:val="DefaultParagraphFont"/>
    <w:link w:val="BodyText"/>
    <w:rsid w:val="00FD2FB5"/>
    <w:rPr>
      <w:rFonts w:ascii="Times New Roman" w:eastAsia="MS Mincho" w:hAnsi="Times New Roman"/>
      <w:sz w:val="24"/>
      <w:szCs w:val="24"/>
    </w:rPr>
  </w:style>
  <w:style w:type="character" w:styleId="Hyperlink">
    <w:name w:val="Hyperlink"/>
    <w:basedOn w:val="DefaultParagraphFont"/>
    <w:uiPriority w:val="99"/>
    <w:unhideWhenUsed/>
    <w:rsid w:val="00FD2FB5"/>
    <w:rPr>
      <w:color w:val="0000FF" w:themeColor="hyperlink"/>
      <w:u w:val="single"/>
    </w:rPr>
  </w:style>
  <w:style w:type="paragraph" w:customStyle="1" w:styleId="Default">
    <w:name w:val="Default"/>
    <w:rsid w:val="00413F7D"/>
    <w:pPr>
      <w:autoSpaceDE w:val="0"/>
      <w:autoSpaceDN w:val="0"/>
      <w:adjustRightInd w:val="0"/>
      <w:spacing w:after="0" w:line="240" w:lineRule="auto"/>
    </w:pPr>
    <w:rPr>
      <w:rFonts w:ascii="Book Antiqua" w:hAnsi="Book Antiqua" w:cs="Book Antiqua"/>
      <w:color w:val="000000"/>
      <w:sz w:val="24"/>
      <w:szCs w:val="24"/>
    </w:rPr>
  </w:style>
  <w:style w:type="paragraph" w:styleId="NormalWeb">
    <w:name w:val="Normal (Web)"/>
    <w:basedOn w:val="Normal"/>
    <w:uiPriority w:val="99"/>
    <w:semiHidden/>
    <w:unhideWhenUsed/>
    <w:rsid w:val="00C1040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B1FCC"/>
    <w:rPr>
      <w:sz w:val="16"/>
      <w:szCs w:val="16"/>
    </w:rPr>
  </w:style>
  <w:style w:type="paragraph" w:styleId="CommentSubject">
    <w:name w:val="annotation subject"/>
    <w:basedOn w:val="CommentText"/>
    <w:next w:val="CommentText"/>
    <w:link w:val="CommentSubjectChar"/>
    <w:uiPriority w:val="99"/>
    <w:semiHidden/>
    <w:unhideWhenUsed/>
    <w:rsid w:val="005B1FCC"/>
    <w:pPr>
      <w:spacing w:after="200"/>
    </w:pPr>
    <w:rPr>
      <w:rFonts w:asciiTheme="minorHAnsi" w:hAnsiTheme="minorHAnsi"/>
      <w:b/>
      <w:bCs/>
      <w:sz w:val="20"/>
      <w:szCs w:val="20"/>
      <w:lang w:val="en-US" w:eastAsia="en-US"/>
    </w:rPr>
  </w:style>
  <w:style w:type="character" w:customStyle="1" w:styleId="CommentSubjectChar">
    <w:name w:val="Comment Subject Char"/>
    <w:basedOn w:val="CommentTextChar"/>
    <w:link w:val="CommentSubject"/>
    <w:uiPriority w:val="99"/>
    <w:semiHidden/>
    <w:rsid w:val="005B1FCC"/>
    <w:rPr>
      <w:rFonts w:ascii="Arial" w:hAnsi="Arial"/>
      <w:b/>
      <w:bCs/>
      <w:sz w:val="20"/>
      <w:szCs w:val="20"/>
      <w:lang w:val="ru-RU" w:eastAsia="ru-RU"/>
    </w:rPr>
  </w:style>
  <w:style w:type="paragraph" w:styleId="Revision">
    <w:name w:val="Revision"/>
    <w:hidden/>
    <w:uiPriority w:val="99"/>
    <w:semiHidden/>
    <w:rsid w:val="003E55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90602">
      <w:bodyDiv w:val="1"/>
      <w:marLeft w:val="0"/>
      <w:marRight w:val="0"/>
      <w:marTop w:val="0"/>
      <w:marBottom w:val="0"/>
      <w:divBdr>
        <w:top w:val="none" w:sz="0" w:space="0" w:color="auto"/>
        <w:left w:val="none" w:sz="0" w:space="0" w:color="auto"/>
        <w:bottom w:val="none" w:sz="0" w:space="0" w:color="auto"/>
        <w:right w:val="none" w:sz="0" w:space="0" w:color="auto"/>
      </w:divBdr>
    </w:div>
    <w:div w:id="303313082">
      <w:bodyDiv w:val="1"/>
      <w:marLeft w:val="0"/>
      <w:marRight w:val="0"/>
      <w:marTop w:val="0"/>
      <w:marBottom w:val="0"/>
      <w:divBdr>
        <w:top w:val="none" w:sz="0" w:space="0" w:color="auto"/>
        <w:left w:val="none" w:sz="0" w:space="0" w:color="auto"/>
        <w:bottom w:val="none" w:sz="0" w:space="0" w:color="auto"/>
        <w:right w:val="none" w:sz="0" w:space="0" w:color="auto"/>
      </w:divBdr>
    </w:div>
    <w:div w:id="533612970">
      <w:bodyDiv w:val="1"/>
      <w:marLeft w:val="0"/>
      <w:marRight w:val="0"/>
      <w:marTop w:val="0"/>
      <w:marBottom w:val="0"/>
      <w:divBdr>
        <w:top w:val="none" w:sz="0" w:space="0" w:color="auto"/>
        <w:left w:val="none" w:sz="0" w:space="0" w:color="auto"/>
        <w:bottom w:val="none" w:sz="0" w:space="0" w:color="auto"/>
        <w:right w:val="none" w:sz="0" w:space="0" w:color="auto"/>
      </w:divBdr>
    </w:div>
    <w:div w:id="605386738">
      <w:bodyDiv w:val="1"/>
      <w:marLeft w:val="0"/>
      <w:marRight w:val="0"/>
      <w:marTop w:val="0"/>
      <w:marBottom w:val="0"/>
      <w:divBdr>
        <w:top w:val="none" w:sz="0" w:space="0" w:color="auto"/>
        <w:left w:val="none" w:sz="0" w:space="0" w:color="auto"/>
        <w:bottom w:val="none" w:sz="0" w:space="0" w:color="auto"/>
        <w:right w:val="none" w:sz="0" w:space="0" w:color="auto"/>
      </w:divBdr>
    </w:div>
    <w:div w:id="747002491">
      <w:bodyDiv w:val="1"/>
      <w:marLeft w:val="0"/>
      <w:marRight w:val="0"/>
      <w:marTop w:val="0"/>
      <w:marBottom w:val="15"/>
      <w:divBdr>
        <w:top w:val="none" w:sz="0" w:space="0" w:color="auto"/>
        <w:left w:val="none" w:sz="0" w:space="0" w:color="auto"/>
        <w:bottom w:val="none" w:sz="0" w:space="0" w:color="auto"/>
        <w:right w:val="none" w:sz="0" w:space="0" w:color="auto"/>
      </w:divBdr>
      <w:divsChild>
        <w:div w:id="449906872">
          <w:marLeft w:val="0"/>
          <w:marRight w:val="0"/>
          <w:marTop w:val="0"/>
          <w:marBottom w:val="0"/>
          <w:divBdr>
            <w:top w:val="none" w:sz="0" w:space="0" w:color="auto"/>
            <w:left w:val="none" w:sz="0" w:space="0" w:color="auto"/>
            <w:bottom w:val="none" w:sz="0" w:space="0" w:color="auto"/>
            <w:right w:val="none" w:sz="0" w:space="0" w:color="auto"/>
          </w:divBdr>
        </w:div>
        <w:div w:id="2097357352">
          <w:marLeft w:val="0"/>
          <w:marRight w:val="0"/>
          <w:marTop w:val="0"/>
          <w:marBottom w:val="0"/>
          <w:divBdr>
            <w:top w:val="none" w:sz="0" w:space="0" w:color="auto"/>
            <w:left w:val="none" w:sz="0" w:space="0" w:color="auto"/>
            <w:bottom w:val="none" w:sz="0" w:space="0" w:color="auto"/>
            <w:right w:val="none" w:sz="0" w:space="0" w:color="auto"/>
          </w:divBdr>
        </w:div>
        <w:div w:id="19472161">
          <w:marLeft w:val="0"/>
          <w:marRight w:val="0"/>
          <w:marTop w:val="0"/>
          <w:marBottom w:val="0"/>
          <w:divBdr>
            <w:top w:val="none" w:sz="0" w:space="0" w:color="auto"/>
            <w:left w:val="none" w:sz="0" w:space="0" w:color="auto"/>
            <w:bottom w:val="none" w:sz="0" w:space="0" w:color="auto"/>
            <w:right w:val="none" w:sz="0" w:space="0" w:color="auto"/>
          </w:divBdr>
        </w:div>
        <w:div w:id="1429235951">
          <w:marLeft w:val="0"/>
          <w:marRight w:val="0"/>
          <w:marTop w:val="0"/>
          <w:marBottom w:val="0"/>
          <w:divBdr>
            <w:top w:val="none" w:sz="0" w:space="0" w:color="auto"/>
            <w:left w:val="none" w:sz="0" w:space="0" w:color="auto"/>
            <w:bottom w:val="none" w:sz="0" w:space="0" w:color="auto"/>
            <w:right w:val="none" w:sz="0" w:space="0" w:color="auto"/>
          </w:divBdr>
        </w:div>
        <w:div w:id="1350643095">
          <w:marLeft w:val="0"/>
          <w:marRight w:val="0"/>
          <w:marTop w:val="0"/>
          <w:marBottom w:val="0"/>
          <w:divBdr>
            <w:top w:val="none" w:sz="0" w:space="0" w:color="auto"/>
            <w:left w:val="none" w:sz="0" w:space="0" w:color="auto"/>
            <w:bottom w:val="none" w:sz="0" w:space="0" w:color="auto"/>
            <w:right w:val="none" w:sz="0" w:space="0" w:color="auto"/>
          </w:divBdr>
        </w:div>
        <w:div w:id="101843948">
          <w:marLeft w:val="0"/>
          <w:marRight w:val="0"/>
          <w:marTop w:val="0"/>
          <w:marBottom w:val="0"/>
          <w:divBdr>
            <w:top w:val="none" w:sz="0" w:space="0" w:color="auto"/>
            <w:left w:val="none" w:sz="0" w:space="0" w:color="auto"/>
            <w:bottom w:val="none" w:sz="0" w:space="0" w:color="auto"/>
            <w:right w:val="none" w:sz="0" w:space="0" w:color="auto"/>
          </w:divBdr>
        </w:div>
        <w:div w:id="1893075738">
          <w:marLeft w:val="0"/>
          <w:marRight w:val="0"/>
          <w:marTop w:val="0"/>
          <w:marBottom w:val="0"/>
          <w:divBdr>
            <w:top w:val="none" w:sz="0" w:space="0" w:color="auto"/>
            <w:left w:val="none" w:sz="0" w:space="0" w:color="auto"/>
            <w:bottom w:val="none" w:sz="0" w:space="0" w:color="auto"/>
            <w:right w:val="none" w:sz="0" w:space="0" w:color="auto"/>
          </w:divBdr>
        </w:div>
        <w:div w:id="2116632431">
          <w:marLeft w:val="0"/>
          <w:marRight w:val="0"/>
          <w:marTop w:val="0"/>
          <w:marBottom w:val="0"/>
          <w:divBdr>
            <w:top w:val="none" w:sz="0" w:space="0" w:color="auto"/>
            <w:left w:val="none" w:sz="0" w:space="0" w:color="auto"/>
            <w:bottom w:val="none" w:sz="0" w:space="0" w:color="auto"/>
            <w:right w:val="none" w:sz="0" w:space="0" w:color="auto"/>
          </w:divBdr>
        </w:div>
      </w:divsChild>
    </w:div>
    <w:div w:id="854728858">
      <w:bodyDiv w:val="1"/>
      <w:marLeft w:val="0"/>
      <w:marRight w:val="0"/>
      <w:marTop w:val="0"/>
      <w:marBottom w:val="0"/>
      <w:divBdr>
        <w:top w:val="none" w:sz="0" w:space="0" w:color="auto"/>
        <w:left w:val="none" w:sz="0" w:space="0" w:color="auto"/>
        <w:bottom w:val="none" w:sz="0" w:space="0" w:color="auto"/>
        <w:right w:val="none" w:sz="0" w:space="0" w:color="auto"/>
      </w:divBdr>
    </w:div>
    <w:div w:id="894195898">
      <w:bodyDiv w:val="1"/>
      <w:marLeft w:val="0"/>
      <w:marRight w:val="0"/>
      <w:marTop w:val="0"/>
      <w:marBottom w:val="0"/>
      <w:divBdr>
        <w:top w:val="none" w:sz="0" w:space="0" w:color="auto"/>
        <w:left w:val="none" w:sz="0" w:space="0" w:color="auto"/>
        <w:bottom w:val="none" w:sz="0" w:space="0" w:color="auto"/>
        <w:right w:val="none" w:sz="0" w:space="0" w:color="auto"/>
      </w:divBdr>
    </w:div>
    <w:div w:id="1243682612">
      <w:bodyDiv w:val="1"/>
      <w:marLeft w:val="0"/>
      <w:marRight w:val="0"/>
      <w:marTop w:val="0"/>
      <w:marBottom w:val="0"/>
      <w:divBdr>
        <w:top w:val="none" w:sz="0" w:space="0" w:color="auto"/>
        <w:left w:val="none" w:sz="0" w:space="0" w:color="auto"/>
        <w:bottom w:val="none" w:sz="0" w:space="0" w:color="auto"/>
        <w:right w:val="none" w:sz="0" w:space="0" w:color="auto"/>
      </w:divBdr>
    </w:div>
    <w:div w:id="1516648595">
      <w:bodyDiv w:val="1"/>
      <w:marLeft w:val="0"/>
      <w:marRight w:val="0"/>
      <w:marTop w:val="0"/>
      <w:marBottom w:val="0"/>
      <w:divBdr>
        <w:top w:val="none" w:sz="0" w:space="0" w:color="auto"/>
        <w:left w:val="none" w:sz="0" w:space="0" w:color="auto"/>
        <w:bottom w:val="none" w:sz="0" w:space="0" w:color="auto"/>
        <w:right w:val="none" w:sz="0" w:space="0" w:color="auto"/>
      </w:divBdr>
    </w:div>
    <w:div w:id="1563439723">
      <w:bodyDiv w:val="1"/>
      <w:marLeft w:val="0"/>
      <w:marRight w:val="0"/>
      <w:marTop w:val="0"/>
      <w:marBottom w:val="0"/>
      <w:divBdr>
        <w:top w:val="none" w:sz="0" w:space="0" w:color="auto"/>
        <w:left w:val="none" w:sz="0" w:space="0" w:color="auto"/>
        <w:bottom w:val="none" w:sz="0" w:space="0" w:color="auto"/>
        <w:right w:val="none" w:sz="0" w:space="0" w:color="auto"/>
      </w:divBdr>
    </w:div>
    <w:div w:id="190332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2015-06-30T00:00:00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DESE-231-20713</_dlc_DocId>
    <_dlc_DocIdUrl xmlns="733efe1c-5bbe-4968-87dc-d400e65c879f">
      <Url>https://sharepoint.doemass.org/ese/webteam/cps/_layouts/DocIdRedir.aspx?ID=DESE-231-20713</Url>
      <Description>DESE-231-20713</Description>
    </_dlc_DocIdUrl>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7CA0C2-99E3-48EA-AED2-35CB5685CFED}">
  <ds:schemaRefs>
    <ds:schemaRef ds:uri="http://schemas.microsoft.com/sharepoint/events"/>
  </ds:schemaRefs>
</ds:datastoreItem>
</file>

<file path=customXml/itemProps3.xml><?xml version="1.0" encoding="utf-8"?>
<ds:datastoreItem xmlns:ds="http://schemas.openxmlformats.org/officeDocument/2006/customXml" ds:itemID="{48CDA3BC-1B9E-40F1-9432-726CB2028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0EB8D6-D886-4DFD-8010-0FFB1BC2EBFD}">
  <ds:schemaRefs>
    <ds:schemaRef ds:uri="http://www.w3.org/XML/1998/namespace"/>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733efe1c-5bbe-4968-87dc-d400e65c879f"/>
    <ds:schemaRef ds:uri="0a4e05da-b9bc-4326-ad73-01ef31b95567"/>
  </ds:schemaRefs>
</ds:datastoreItem>
</file>

<file path=customXml/itemProps5.xml><?xml version="1.0" encoding="utf-8"?>
<ds:datastoreItem xmlns:ds="http://schemas.openxmlformats.org/officeDocument/2006/customXml" ds:itemID="{26C35B6B-031A-42E5-B990-E6EE5FAF7E1F}">
  <ds:schemaRefs>
    <ds:schemaRef ds:uri="http://schemas.microsoft.com/sharepoint/v3/contenttype/forms"/>
  </ds:schemaRefs>
</ds:datastoreItem>
</file>

<file path=customXml/itemProps6.xml><?xml version="1.0" encoding="utf-8"?>
<ds:datastoreItem xmlns:ds="http://schemas.openxmlformats.org/officeDocument/2006/customXml" ds:itemID="{189853C2-B115-46FA-90EF-A46AC4914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8476</Words>
  <Characters>48319</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Foundation Budget Review Commission</vt:lpstr>
    </vt:vector>
  </TitlesOfParts>
  <Company/>
  <LinksUpToDate>false</LinksUpToDate>
  <CharactersWithSpaces>56682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Budget Review Commission</dc:title>
  <dc:subject/>
  <dc:creator>DESE</dc:creator>
  <cp:lastModifiedBy>Zou, Dong (EOE)</cp:lastModifiedBy>
  <cp:revision>3</cp:revision>
  <cp:lastPrinted>2015-10-30T20:43:00Z</cp:lastPrinted>
  <dcterms:created xsi:type="dcterms:W3CDTF">2018-11-15T21:20:00Z</dcterms:created>
  <dcterms:modified xsi:type="dcterms:W3CDTF">2018-11-15T21:23:00Z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3 2015</vt:lpwstr>
  </property>
</Properties>
</file>