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0D9" w:rsidRDefault="000930D9">
      <w:pPr>
        <w:pStyle w:val="Title"/>
        <w:jc w:val="left"/>
      </w:pPr>
      <w:r>
        <w:t xml:space="preserve"> </w:t>
      </w:r>
    </w:p>
    <w:p w:rsidR="000930D9" w:rsidRDefault="000930D9">
      <w:pPr>
        <w:pStyle w:val="Title"/>
      </w:pPr>
      <w:r>
        <w:t>Foundation Enrollment</w:t>
      </w:r>
    </w:p>
    <w:p w:rsidR="000930D9" w:rsidRDefault="000930D9">
      <w:pPr>
        <w:rPr>
          <w:rFonts w:ascii="Arial" w:hAnsi="Arial" w:cs="Arial"/>
        </w:rPr>
      </w:pPr>
    </w:p>
    <w:p w:rsidR="000930D9" w:rsidRDefault="000930D9">
      <w:pPr>
        <w:rPr>
          <w:rFonts w:ascii="Arial" w:hAnsi="Arial" w:cs="Arial"/>
        </w:rPr>
      </w:pPr>
      <w:r>
        <w:rPr>
          <w:rFonts w:ascii="Arial" w:hAnsi="Arial" w:cs="Arial"/>
        </w:rPr>
        <w:t>Foundation enrollment is a key factor in determining a school district’s “foundation budget” and “Chapter 70” state education aid.   The purpose of this document is to describe, first in general terms and then in more detail, what this measure represents and how it is calculated.</w:t>
      </w:r>
    </w:p>
    <w:p w:rsidR="000930D9" w:rsidRDefault="000930D9">
      <w:pPr>
        <w:rPr>
          <w:rFonts w:ascii="Arial" w:hAnsi="Arial" w:cs="Arial"/>
        </w:rPr>
      </w:pPr>
    </w:p>
    <w:p w:rsidR="000930D9" w:rsidRDefault="000930D9">
      <w:pPr>
        <w:rPr>
          <w:rFonts w:ascii="Arial" w:hAnsi="Arial" w:cs="Arial"/>
        </w:rPr>
      </w:pPr>
    </w:p>
    <w:p w:rsidR="000930D9" w:rsidRDefault="000930D9">
      <w:pPr>
        <w:pStyle w:val="Heading1"/>
      </w:pPr>
      <w:r>
        <w:t>General description</w:t>
      </w:r>
    </w:p>
    <w:p w:rsidR="000930D9" w:rsidRDefault="000930D9">
      <w:pPr>
        <w:rPr>
          <w:rFonts w:ascii="Arial" w:hAnsi="Arial" w:cs="Arial"/>
        </w:rPr>
      </w:pPr>
    </w:p>
    <w:p w:rsidR="000930D9" w:rsidRDefault="000930D9">
      <w:pPr>
        <w:rPr>
          <w:rFonts w:ascii="Arial" w:hAnsi="Arial" w:cs="Arial"/>
        </w:rPr>
      </w:pPr>
      <w:r>
        <w:rPr>
          <w:rFonts w:ascii="Arial" w:hAnsi="Arial" w:cs="Arial"/>
        </w:rPr>
        <w:t>Foundation enrollment is a count of the number of pupils for whom a school district is financially responsible on October 1st of any given year.   It is comprised primarily of local resident schoolchildren attending their community’s local or regional school district.  However, it also includes students for whom the district is paying tuition, such as those at Commonwealth charter schools, other school districts, special education schools and other settings.   It does not include tuitioned-in students from other districts, because their home districts are paying for those students’ costs.</w:t>
      </w:r>
    </w:p>
    <w:p w:rsidR="000930D9" w:rsidRDefault="000930D9">
      <w:pPr>
        <w:rPr>
          <w:rFonts w:ascii="Arial" w:hAnsi="Arial" w:cs="Arial"/>
        </w:rPr>
      </w:pPr>
    </w:p>
    <w:p w:rsidR="000930D9" w:rsidRDefault="000930D9">
      <w:pPr>
        <w:rPr>
          <w:rFonts w:ascii="Arial" w:hAnsi="Arial" w:cs="Arial"/>
        </w:rPr>
      </w:pPr>
      <w:r>
        <w:rPr>
          <w:rFonts w:ascii="Arial" w:hAnsi="Arial" w:cs="Arial"/>
        </w:rPr>
        <w:t>In order to be included, a student must be officially enrolled on October 1st.  Those who leave in September or arrive after October 1st are not counted.   A student who happens to be absent on October 1st is included nonetheless; this is a measure of enrollment, not attendance.</w:t>
      </w:r>
    </w:p>
    <w:p w:rsidR="000930D9" w:rsidRDefault="000930D9">
      <w:pPr>
        <w:rPr>
          <w:rFonts w:ascii="Arial" w:hAnsi="Arial" w:cs="Arial"/>
        </w:rPr>
      </w:pPr>
    </w:p>
    <w:p w:rsidR="000930D9" w:rsidRDefault="000930D9">
      <w:pPr>
        <w:rPr>
          <w:rFonts w:ascii="Arial" w:hAnsi="Arial" w:cs="Arial"/>
        </w:rPr>
      </w:pPr>
      <w:r>
        <w:rPr>
          <w:rFonts w:ascii="Arial" w:hAnsi="Arial" w:cs="Arial"/>
        </w:rPr>
        <w:t>The Massachusetts Department of Elementary and Secondary Education computes foundation enrollment using pupil-specific data submitted by each Massachusetts school district through the Student Information Management System (SIMS).</w:t>
      </w:r>
    </w:p>
    <w:p w:rsidR="000930D9" w:rsidRDefault="000930D9">
      <w:pPr>
        <w:rPr>
          <w:rFonts w:ascii="Arial" w:hAnsi="Arial" w:cs="Arial"/>
        </w:rPr>
      </w:pPr>
    </w:p>
    <w:p w:rsidR="000930D9" w:rsidRDefault="000930D9">
      <w:pPr>
        <w:rPr>
          <w:rFonts w:ascii="Arial" w:hAnsi="Arial" w:cs="Arial"/>
        </w:rPr>
      </w:pPr>
      <w:r>
        <w:rPr>
          <w:rFonts w:ascii="Arial" w:hAnsi="Arial" w:cs="Arial"/>
        </w:rPr>
        <w:t>Because of the timing involved in the state budget process leading to an upcoming year’s Chapter 70 state aid, foundation enrollment is lagged by one year.   For example, FY</w:t>
      </w:r>
      <w:r w:rsidR="00717ED3">
        <w:rPr>
          <w:rFonts w:ascii="Arial" w:hAnsi="Arial" w:cs="Arial"/>
        </w:rPr>
        <w:t>1</w:t>
      </w:r>
      <w:r w:rsidR="00AC45DA">
        <w:rPr>
          <w:rFonts w:ascii="Arial" w:hAnsi="Arial" w:cs="Arial"/>
        </w:rPr>
        <w:t>6</w:t>
      </w:r>
      <w:r>
        <w:rPr>
          <w:rFonts w:ascii="Arial" w:hAnsi="Arial" w:cs="Arial"/>
        </w:rPr>
        <w:t xml:space="preserve"> Chapter 70 relies upon October </w:t>
      </w:r>
      <w:proofErr w:type="gramStart"/>
      <w:r>
        <w:rPr>
          <w:rFonts w:ascii="Arial" w:hAnsi="Arial" w:cs="Arial"/>
        </w:rPr>
        <w:t>1st</w:t>
      </w:r>
      <w:proofErr w:type="gramEnd"/>
      <w:r>
        <w:rPr>
          <w:rFonts w:ascii="Arial" w:hAnsi="Arial" w:cs="Arial"/>
        </w:rPr>
        <w:t>, 20</w:t>
      </w:r>
      <w:r w:rsidR="00717ED3">
        <w:rPr>
          <w:rFonts w:ascii="Arial" w:hAnsi="Arial" w:cs="Arial"/>
        </w:rPr>
        <w:t>1</w:t>
      </w:r>
      <w:r w:rsidR="00AC45DA">
        <w:rPr>
          <w:rFonts w:ascii="Arial" w:hAnsi="Arial" w:cs="Arial"/>
        </w:rPr>
        <w:t>4</w:t>
      </w:r>
      <w:r>
        <w:rPr>
          <w:rFonts w:ascii="Arial" w:hAnsi="Arial" w:cs="Arial"/>
        </w:rPr>
        <w:t xml:space="preserve"> pupil counts, which were the latest available when the Governor and Legislature were making their FY</w:t>
      </w:r>
      <w:r w:rsidR="00717ED3">
        <w:rPr>
          <w:rFonts w:ascii="Arial" w:hAnsi="Arial" w:cs="Arial"/>
        </w:rPr>
        <w:t>1</w:t>
      </w:r>
      <w:r w:rsidR="00AC45DA">
        <w:rPr>
          <w:rFonts w:ascii="Arial" w:hAnsi="Arial" w:cs="Arial"/>
        </w:rPr>
        <w:t>6</w:t>
      </w:r>
      <w:r>
        <w:rPr>
          <w:rFonts w:ascii="Arial" w:hAnsi="Arial" w:cs="Arial"/>
        </w:rPr>
        <w:t xml:space="preserve"> budget proposals during the winter and spring of </w:t>
      </w:r>
      <w:r w:rsidR="00717ED3">
        <w:rPr>
          <w:rFonts w:ascii="Arial" w:hAnsi="Arial" w:cs="Arial"/>
        </w:rPr>
        <w:t>201</w:t>
      </w:r>
      <w:r w:rsidR="00AC45DA">
        <w:rPr>
          <w:rFonts w:ascii="Arial" w:hAnsi="Arial" w:cs="Arial"/>
        </w:rPr>
        <w:t>5</w:t>
      </w:r>
      <w:r>
        <w:rPr>
          <w:rFonts w:ascii="Arial" w:hAnsi="Arial" w:cs="Arial"/>
        </w:rPr>
        <w:t>.</w:t>
      </w:r>
    </w:p>
    <w:p w:rsidR="000930D9" w:rsidRDefault="000930D9">
      <w:pPr>
        <w:rPr>
          <w:rFonts w:ascii="Arial" w:hAnsi="Arial" w:cs="Arial"/>
        </w:rPr>
      </w:pPr>
    </w:p>
    <w:p w:rsidR="000930D9" w:rsidRDefault="000930D9">
      <w:pPr>
        <w:rPr>
          <w:rFonts w:ascii="Arial" w:hAnsi="Arial" w:cs="Arial"/>
        </w:rPr>
      </w:pPr>
      <w:r>
        <w:rPr>
          <w:rFonts w:ascii="Arial" w:hAnsi="Arial" w:cs="Arial"/>
        </w:rPr>
        <w:t>A district’s foundation pupil headcounts are applied to specific cost rates to arrive at the upcoming year’s foundation budget.  The foundation budget represents the minimum amount a district must spend in its operating budget in order to provide an adequate education.  The foundation budget is perhaps the most important factor used in calculating a district’s Chapter 70 state education aid.</w:t>
      </w:r>
    </w:p>
    <w:p w:rsidR="000930D9" w:rsidRPr="00FF7340" w:rsidRDefault="000930D9" w:rsidP="00FF7340">
      <w:pPr>
        <w:rPr>
          <w:rFonts w:ascii="Arial" w:hAnsi="Arial" w:cs="Arial"/>
        </w:rPr>
      </w:pPr>
    </w:p>
    <w:p w:rsidR="000930D9" w:rsidRPr="00FF7340" w:rsidRDefault="000930D9" w:rsidP="00FF7340">
      <w:pPr>
        <w:rPr>
          <w:rFonts w:ascii="Arial" w:hAnsi="Arial" w:cs="Arial"/>
        </w:rPr>
      </w:pPr>
    </w:p>
    <w:p w:rsidR="000930D9" w:rsidRDefault="000930D9">
      <w:pPr>
        <w:pStyle w:val="Heading1"/>
      </w:pPr>
      <w:r>
        <w:t>Detailed Description</w:t>
      </w:r>
    </w:p>
    <w:p w:rsidR="000930D9" w:rsidRDefault="000930D9">
      <w:pPr>
        <w:rPr>
          <w:rFonts w:ascii="Arial" w:hAnsi="Arial" w:cs="Arial"/>
        </w:rPr>
      </w:pPr>
    </w:p>
    <w:p w:rsidR="000930D9" w:rsidRDefault="000930D9">
      <w:pPr>
        <w:pStyle w:val="Heading2"/>
      </w:pPr>
      <w:r>
        <w:t>Determining financial responsibility</w:t>
      </w:r>
    </w:p>
    <w:p w:rsidR="000930D9" w:rsidRDefault="000930D9">
      <w:pPr>
        <w:rPr>
          <w:rFonts w:ascii="Arial" w:hAnsi="Arial" w:cs="Arial"/>
        </w:rPr>
      </w:pPr>
    </w:p>
    <w:p w:rsidR="000930D9" w:rsidRDefault="000930D9">
      <w:pPr>
        <w:rPr>
          <w:rFonts w:ascii="Arial" w:hAnsi="Arial" w:cs="Arial"/>
        </w:rPr>
      </w:pPr>
      <w:smartTag w:uri="urn:schemas-microsoft-com:office:smarttags" w:element="State">
        <w:smartTag w:uri="urn:schemas-microsoft-com:office:smarttags" w:element="place">
          <w:r>
            <w:rPr>
              <w:rFonts w:ascii="Arial" w:hAnsi="Arial" w:cs="Arial"/>
            </w:rPr>
            <w:t>Massachusetts</w:t>
          </w:r>
        </w:smartTag>
      </w:smartTag>
      <w:r>
        <w:rPr>
          <w:rFonts w:ascii="Arial" w:hAnsi="Arial" w:cs="Arial"/>
        </w:rPr>
        <w:t xml:space="preserve"> cities and towns have chosen a number of different governance structures to serve their resident schoolchildren.   The most common structure is for a community to operate its own K-12 system, and also to belong to a vocational regional school district.  </w:t>
      </w:r>
      <w:proofErr w:type="gramStart"/>
      <w:r>
        <w:rPr>
          <w:rFonts w:ascii="Arial" w:hAnsi="Arial" w:cs="Arial"/>
        </w:rPr>
        <w:t>But</w:t>
      </w:r>
      <w:proofErr w:type="gramEnd"/>
      <w:r>
        <w:rPr>
          <w:rFonts w:ascii="Arial" w:hAnsi="Arial" w:cs="Arial"/>
        </w:rPr>
        <w:t xml:space="preserve"> numerous other arrangements exist.</w:t>
      </w:r>
      <w:r w:rsidR="00FF7340">
        <w:rPr>
          <w:rFonts w:ascii="Arial" w:hAnsi="Arial" w:cs="Arial"/>
        </w:rPr>
        <w:t xml:space="preserve">  </w:t>
      </w:r>
      <w:r>
        <w:rPr>
          <w:rFonts w:ascii="Arial" w:hAnsi="Arial" w:cs="Arial"/>
        </w:rPr>
        <w:t xml:space="preserve">Regardless of which particular district is legally responsible for education at a certain grade and program level, </w:t>
      </w:r>
      <w:r w:rsidR="00866364">
        <w:rPr>
          <w:rFonts w:ascii="Arial" w:hAnsi="Arial" w:cs="Arial"/>
        </w:rPr>
        <w:t>about</w:t>
      </w:r>
      <w:r>
        <w:rPr>
          <w:rFonts w:ascii="Arial" w:hAnsi="Arial" w:cs="Arial"/>
        </w:rPr>
        <w:t xml:space="preserve"> </w:t>
      </w:r>
      <w:r w:rsidR="00866364">
        <w:rPr>
          <w:rFonts w:ascii="Arial" w:hAnsi="Arial" w:cs="Arial"/>
        </w:rPr>
        <w:t>94</w:t>
      </w:r>
      <w:r>
        <w:rPr>
          <w:rFonts w:ascii="Arial" w:hAnsi="Arial" w:cs="Arial"/>
        </w:rPr>
        <w:t xml:space="preserve"> percent of </w:t>
      </w:r>
      <w:proofErr w:type="gramStart"/>
      <w:r>
        <w:rPr>
          <w:rFonts w:ascii="Arial" w:hAnsi="Arial" w:cs="Arial"/>
        </w:rPr>
        <w:t>publicly-funded</w:t>
      </w:r>
      <w:proofErr w:type="gramEnd"/>
      <w:r>
        <w:rPr>
          <w:rFonts w:ascii="Arial" w:hAnsi="Arial" w:cs="Arial"/>
        </w:rPr>
        <w:t xml:space="preserve"> schoolchildren enroll in the school district directly associated with their cities and towns of residence. </w:t>
      </w:r>
    </w:p>
    <w:p w:rsidR="000930D9" w:rsidRDefault="000930D9">
      <w:pPr>
        <w:rPr>
          <w:rFonts w:ascii="Arial" w:hAnsi="Arial" w:cs="Arial"/>
        </w:rPr>
      </w:pPr>
    </w:p>
    <w:p w:rsidR="000930D9" w:rsidRDefault="00866364">
      <w:pPr>
        <w:rPr>
          <w:rFonts w:ascii="Arial" w:hAnsi="Arial" w:cs="Arial"/>
        </w:rPr>
      </w:pPr>
      <w:r>
        <w:rPr>
          <w:rFonts w:ascii="Arial" w:hAnsi="Arial" w:cs="Arial"/>
        </w:rPr>
        <w:t>About 6</w:t>
      </w:r>
      <w:r w:rsidR="000930D9">
        <w:rPr>
          <w:rFonts w:ascii="Arial" w:hAnsi="Arial" w:cs="Arial"/>
        </w:rPr>
        <w:t xml:space="preserve"> percent of public schoolchildren attend in settings other than their home districts, and they do so through several options.   Many are special education students for whom their home district pays tuition to a private special education school or another public school district with an appropriate program.  Some towns have chosen to tuition some or all of their vocational pupils to area schools offering those programs.   And a few small towns have chosen to pay tuition to neighboring academic and vocational school districts for all of their pupils. </w:t>
      </w:r>
    </w:p>
    <w:p w:rsidR="000930D9" w:rsidRDefault="000930D9">
      <w:pPr>
        <w:rPr>
          <w:rFonts w:ascii="Arial" w:hAnsi="Arial" w:cs="Arial"/>
        </w:rPr>
      </w:pPr>
      <w:r>
        <w:rPr>
          <w:rFonts w:ascii="Arial" w:hAnsi="Arial" w:cs="Arial"/>
        </w:rPr>
        <w:lastRenderedPageBreak/>
        <w:t xml:space="preserve">Home districts also are required to pay tuition when children have chosen to attend charter schools and districts that accept school choice students.   Another form of choice is the Chapter 74 non-resident tuition program, in which a town must pay other vocational districts for students whose home vocational districts do not offer the particular program they are seeking. </w:t>
      </w:r>
    </w:p>
    <w:p w:rsidR="000930D9" w:rsidRDefault="000930D9">
      <w:pPr>
        <w:rPr>
          <w:rFonts w:ascii="Arial" w:hAnsi="Arial" w:cs="Arial"/>
        </w:rPr>
      </w:pPr>
    </w:p>
    <w:p w:rsidR="000930D9" w:rsidRDefault="000930D9">
      <w:pPr>
        <w:rPr>
          <w:rFonts w:ascii="Arial" w:hAnsi="Arial" w:cs="Arial"/>
        </w:rPr>
      </w:pPr>
      <w:r>
        <w:rPr>
          <w:rFonts w:ascii="Arial" w:hAnsi="Arial" w:cs="Arial"/>
        </w:rPr>
        <w:t xml:space="preserve">There are two exceptions to the general rule that the home district pays tuition for out-of-district placements.   Districts educating students through the METCO racial imbalance program are allowed to count those students in their foundation enrollment.   Home districts such as </w:t>
      </w:r>
      <w:proofErr w:type="gramStart"/>
      <w:r>
        <w:rPr>
          <w:rFonts w:ascii="Arial" w:hAnsi="Arial" w:cs="Arial"/>
        </w:rPr>
        <w:t>Boston,</w:t>
      </w:r>
      <w:proofErr w:type="gramEnd"/>
      <w:r>
        <w:rPr>
          <w:rFonts w:ascii="Arial" w:hAnsi="Arial" w:cs="Arial"/>
        </w:rPr>
        <w:t xml:space="preserve"> and </w:t>
      </w:r>
      <w:smartTag w:uri="urn:schemas-microsoft-com:office:smarttags" w:element="City">
        <w:smartTag w:uri="urn:schemas-microsoft-com:office:smarttags" w:element="place">
          <w:r>
            <w:rPr>
              <w:rFonts w:ascii="Arial" w:hAnsi="Arial" w:cs="Arial"/>
            </w:rPr>
            <w:t>Springfield</w:t>
          </w:r>
        </w:smartTag>
      </w:smartTag>
      <w:r>
        <w:rPr>
          <w:rFonts w:ascii="Arial" w:hAnsi="Arial" w:cs="Arial"/>
        </w:rPr>
        <w:t xml:space="preserve"> do not pay tuition for these pupils.   The second exception occurs in districts whose collective bargaining agreements allow the children of non-resident teachers to attend at no cost.  Again, home districts do not pay tuition; the districts where the teachers work have chosen to take on the fiscal responsibility, and the Commonwealth shares in the cost.</w:t>
      </w:r>
    </w:p>
    <w:p w:rsidR="000930D9" w:rsidRDefault="000930D9">
      <w:pPr>
        <w:rPr>
          <w:rFonts w:ascii="Arial" w:hAnsi="Arial" w:cs="Arial"/>
        </w:rPr>
      </w:pPr>
    </w:p>
    <w:p w:rsidR="000930D9" w:rsidRDefault="000930D9">
      <w:pPr>
        <w:rPr>
          <w:rFonts w:ascii="Arial" w:hAnsi="Arial" w:cs="Arial"/>
        </w:rPr>
      </w:pPr>
    </w:p>
    <w:p w:rsidR="000930D9" w:rsidRDefault="000930D9">
      <w:pPr>
        <w:pStyle w:val="Heading2"/>
      </w:pPr>
      <w:r>
        <w:t>Computing foundation enrollment</w:t>
      </w:r>
    </w:p>
    <w:p w:rsidR="000930D9" w:rsidRDefault="000930D9">
      <w:pPr>
        <w:rPr>
          <w:rFonts w:ascii="Arial" w:hAnsi="Arial" w:cs="Arial"/>
        </w:rPr>
      </w:pPr>
    </w:p>
    <w:p w:rsidR="000930D9" w:rsidRDefault="000930D9">
      <w:pPr>
        <w:rPr>
          <w:rFonts w:ascii="Arial" w:hAnsi="Arial" w:cs="Arial"/>
        </w:rPr>
      </w:pPr>
      <w:r>
        <w:rPr>
          <w:rFonts w:ascii="Arial" w:hAnsi="Arial" w:cs="Arial"/>
        </w:rPr>
        <w:t>The foundation budget assigns specific cost rates to different programmatic and grade level categories.   In computing the foundation budget, each pupil must first be assigned to one of the following discrete categories.</w:t>
      </w:r>
    </w:p>
    <w:p w:rsidR="000930D9" w:rsidRDefault="000930D9">
      <w:pPr>
        <w:rPr>
          <w:rFonts w:ascii="Arial" w:hAnsi="Arial" w:cs="Arial"/>
        </w:rPr>
      </w:pPr>
      <w:r>
        <w:rPr>
          <w:rFonts w:ascii="Arial" w:hAnsi="Arial" w:cs="Arial"/>
        </w:rPr>
        <w:t xml:space="preserve"> </w:t>
      </w:r>
    </w:p>
    <w:p w:rsidR="000930D9" w:rsidRDefault="000930D9">
      <w:pPr>
        <w:numPr>
          <w:ilvl w:val="0"/>
          <w:numId w:val="1"/>
        </w:numPr>
        <w:rPr>
          <w:rFonts w:ascii="Arial" w:hAnsi="Arial" w:cs="Arial"/>
        </w:rPr>
      </w:pPr>
      <w:r>
        <w:rPr>
          <w:rFonts w:ascii="Arial" w:hAnsi="Arial" w:cs="Arial"/>
        </w:rPr>
        <w:t xml:space="preserve">regular education pre-kindergarten </w:t>
      </w:r>
    </w:p>
    <w:p w:rsidR="000930D9" w:rsidRDefault="000930D9">
      <w:pPr>
        <w:numPr>
          <w:ilvl w:val="0"/>
          <w:numId w:val="1"/>
        </w:numPr>
        <w:rPr>
          <w:rFonts w:ascii="Arial" w:hAnsi="Arial" w:cs="Arial"/>
        </w:rPr>
      </w:pPr>
      <w:r>
        <w:rPr>
          <w:rFonts w:ascii="Arial" w:hAnsi="Arial" w:cs="Arial"/>
        </w:rPr>
        <w:t>special education pre-kindergarten</w:t>
      </w:r>
    </w:p>
    <w:p w:rsidR="000930D9" w:rsidRDefault="000930D9">
      <w:pPr>
        <w:numPr>
          <w:ilvl w:val="0"/>
          <w:numId w:val="1"/>
        </w:numPr>
        <w:rPr>
          <w:rFonts w:ascii="Arial" w:hAnsi="Arial" w:cs="Arial"/>
        </w:rPr>
      </w:pPr>
      <w:r>
        <w:rPr>
          <w:rFonts w:ascii="Arial" w:hAnsi="Arial" w:cs="Arial"/>
        </w:rPr>
        <w:t>regular or special education half-day kindergarten</w:t>
      </w:r>
    </w:p>
    <w:p w:rsidR="000930D9" w:rsidRDefault="000930D9">
      <w:pPr>
        <w:numPr>
          <w:ilvl w:val="0"/>
          <w:numId w:val="1"/>
        </w:numPr>
        <w:rPr>
          <w:rFonts w:ascii="Arial" w:hAnsi="Arial" w:cs="Arial"/>
        </w:rPr>
      </w:pPr>
      <w:r>
        <w:rPr>
          <w:rFonts w:ascii="Arial" w:hAnsi="Arial" w:cs="Arial"/>
        </w:rPr>
        <w:t>regular or special education full-day kindergarten</w:t>
      </w:r>
    </w:p>
    <w:p w:rsidR="000930D9" w:rsidRDefault="000930D9">
      <w:pPr>
        <w:numPr>
          <w:ilvl w:val="0"/>
          <w:numId w:val="1"/>
        </w:numPr>
        <w:rPr>
          <w:rFonts w:ascii="Arial" w:hAnsi="Arial" w:cs="Arial"/>
        </w:rPr>
      </w:pPr>
      <w:r>
        <w:rPr>
          <w:rFonts w:ascii="Arial" w:hAnsi="Arial" w:cs="Arial"/>
        </w:rPr>
        <w:t>regular or special education elementary (grades 1-5)</w:t>
      </w:r>
    </w:p>
    <w:p w:rsidR="000930D9" w:rsidRDefault="000930D9">
      <w:pPr>
        <w:numPr>
          <w:ilvl w:val="0"/>
          <w:numId w:val="1"/>
        </w:numPr>
        <w:rPr>
          <w:rFonts w:ascii="Arial" w:hAnsi="Arial" w:cs="Arial"/>
        </w:rPr>
      </w:pPr>
      <w:r>
        <w:rPr>
          <w:rFonts w:ascii="Arial" w:hAnsi="Arial" w:cs="Arial"/>
        </w:rPr>
        <w:t>regular or special education junior high/middle (grades 6-8)</w:t>
      </w:r>
    </w:p>
    <w:p w:rsidR="000930D9" w:rsidRDefault="000930D9">
      <w:pPr>
        <w:numPr>
          <w:ilvl w:val="0"/>
          <w:numId w:val="1"/>
        </w:numPr>
        <w:rPr>
          <w:rFonts w:ascii="Arial" w:hAnsi="Arial" w:cs="Arial"/>
        </w:rPr>
      </w:pPr>
      <w:r>
        <w:rPr>
          <w:rFonts w:ascii="Arial" w:hAnsi="Arial" w:cs="Arial"/>
        </w:rPr>
        <w:t>regular or special education senior high (grades 9-13</w:t>
      </w:r>
      <w:r>
        <w:rPr>
          <w:rStyle w:val="FootnoteReference"/>
          <w:rFonts w:ascii="Arial" w:hAnsi="Arial" w:cs="Arial"/>
        </w:rPr>
        <w:footnoteReference w:id="1"/>
      </w:r>
      <w:r>
        <w:rPr>
          <w:rFonts w:ascii="Arial" w:hAnsi="Arial" w:cs="Arial"/>
        </w:rPr>
        <w:t>)</w:t>
      </w:r>
    </w:p>
    <w:p w:rsidR="000930D9" w:rsidRDefault="000930D9">
      <w:pPr>
        <w:numPr>
          <w:ilvl w:val="0"/>
          <w:numId w:val="1"/>
        </w:numPr>
        <w:rPr>
          <w:rFonts w:ascii="Arial" w:hAnsi="Arial" w:cs="Arial"/>
        </w:rPr>
      </w:pPr>
      <w:r>
        <w:rPr>
          <w:rFonts w:ascii="Arial" w:hAnsi="Arial" w:cs="Arial"/>
        </w:rPr>
        <w:t>limited English pre-kindergarten</w:t>
      </w:r>
    </w:p>
    <w:p w:rsidR="000930D9" w:rsidRDefault="000930D9">
      <w:pPr>
        <w:numPr>
          <w:ilvl w:val="0"/>
          <w:numId w:val="1"/>
        </w:numPr>
        <w:rPr>
          <w:rFonts w:ascii="Arial" w:hAnsi="Arial" w:cs="Arial"/>
        </w:rPr>
      </w:pPr>
      <w:r>
        <w:rPr>
          <w:rFonts w:ascii="Arial" w:hAnsi="Arial" w:cs="Arial"/>
        </w:rPr>
        <w:t>limited English half-day kindergarten</w:t>
      </w:r>
    </w:p>
    <w:p w:rsidR="000930D9" w:rsidRDefault="000930D9">
      <w:pPr>
        <w:numPr>
          <w:ilvl w:val="0"/>
          <w:numId w:val="1"/>
        </w:numPr>
        <w:rPr>
          <w:rFonts w:ascii="Arial" w:hAnsi="Arial" w:cs="Arial"/>
        </w:rPr>
      </w:pPr>
      <w:r>
        <w:rPr>
          <w:rFonts w:ascii="Arial" w:hAnsi="Arial" w:cs="Arial"/>
        </w:rPr>
        <w:t>limited English (grades 1-12)</w:t>
      </w:r>
    </w:p>
    <w:p w:rsidR="000930D9" w:rsidRDefault="000930D9">
      <w:pPr>
        <w:numPr>
          <w:ilvl w:val="0"/>
          <w:numId w:val="1"/>
        </w:numPr>
        <w:rPr>
          <w:rFonts w:ascii="Arial" w:hAnsi="Arial" w:cs="Arial"/>
        </w:rPr>
      </w:pPr>
      <w:r>
        <w:rPr>
          <w:rFonts w:ascii="Arial" w:hAnsi="Arial" w:cs="Arial"/>
        </w:rPr>
        <w:t>vocational education (grades 9-12)</w:t>
      </w:r>
      <w:r>
        <w:rPr>
          <w:rStyle w:val="FootnoteReference"/>
          <w:rFonts w:ascii="Arial" w:hAnsi="Arial" w:cs="Arial"/>
        </w:rPr>
        <w:footnoteReference w:id="2"/>
      </w:r>
    </w:p>
    <w:p w:rsidR="000930D9" w:rsidRDefault="000930D9">
      <w:pPr>
        <w:numPr>
          <w:ilvl w:val="0"/>
          <w:numId w:val="1"/>
        </w:numPr>
        <w:rPr>
          <w:rFonts w:ascii="Arial" w:hAnsi="Arial" w:cs="Arial"/>
        </w:rPr>
      </w:pPr>
      <w:r>
        <w:rPr>
          <w:rFonts w:ascii="Arial" w:hAnsi="Arial" w:cs="Arial"/>
        </w:rPr>
        <w:t>post-secondary and post-graduate vocational education (grade 13)</w:t>
      </w:r>
      <w:r>
        <w:rPr>
          <w:rStyle w:val="FootnoteReference"/>
          <w:rFonts w:ascii="Arial" w:hAnsi="Arial" w:cs="Arial"/>
        </w:rPr>
        <w:footnoteReference w:id="3"/>
      </w:r>
    </w:p>
    <w:p w:rsidR="000930D9" w:rsidRDefault="000930D9">
      <w:pPr>
        <w:rPr>
          <w:rFonts w:ascii="Arial" w:hAnsi="Arial" w:cs="Arial"/>
        </w:rPr>
      </w:pPr>
    </w:p>
    <w:p w:rsidR="000930D9" w:rsidRDefault="000930D9">
      <w:pPr>
        <w:rPr>
          <w:rFonts w:ascii="Arial" w:hAnsi="Arial" w:cs="Arial"/>
        </w:rPr>
      </w:pPr>
      <w:r>
        <w:rPr>
          <w:rFonts w:ascii="Arial" w:hAnsi="Arial" w:cs="Arial"/>
        </w:rPr>
        <w:t>The following rules apply in cases where it may not be clear which category is appropriate, or whether a pupil should be included in foundation enrollment at all.</w:t>
      </w:r>
    </w:p>
    <w:p w:rsidR="000930D9" w:rsidRDefault="000930D9">
      <w:pPr>
        <w:rPr>
          <w:rFonts w:ascii="Arial" w:hAnsi="Arial" w:cs="Arial"/>
        </w:rPr>
      </w:pPr>
      <w:r>
        <w:rPr>
          <w:rFonts w:ascii="Arial" w:hAnsi="Arial" w:cs="Arial"/>
        </w:rPr>
        <w:t xml:space="preserve"> </w:t>
      </w:r>
    </w:p>
    <w:p w:rsidR="000930D9" w:rsidRDefault="000930D9">
      <w:pPr>
        <w:numPr>
          <w:ilvl w:val="0"/>
          <w:numId w:val="2"/>
        </w:numPr>
        <w:rPr>
          <w:rFonts w:ascii="Arial" w:hAnsi="Arial" w:cs="Arial"/>
        </w:rPr>
      </w:pPr>
      <w:r>
        <w:rPr>
          <w:rFonts w:ascii="Arial" w:hAnsi="Arial" w:cs="Arial"/>
        </w:rPr>
        <w:t>To be eligible for inclusion as a special education pre-kindergartner a pupil must have an individualized education plan (“</w:t>
      </w:r>
      <w:r w:rsidR="00866364">
        <w:rPr>
          <w:rFonts w:ascii="Arial" w:hAnsi="Arial" w:cs="Arial"/>
        </w:rPr>
        <w:t>IEP</w:t>
      </w:r>
      <w:r>
        <w:rPr>
          <w:rFonts w:ascii="Arial" w:hAnsi="Arial" w:cs="Arial"/>
        </w:rPr>
        <w:t>”), and must receive at least two hours of service a week.</w:t>
      </w:r>
    </w:p>
    <w:p w:rsidR="000930D9" w:rsidRDefault="000930D9">
      <w:pPr>
        <w:numPr>
          <w:ilvl w:val="0"/>
          <w:numId w:val="2"/>
        </w:numPr>
        <w:rPr>
          <w:rFonts w:ascii="Arial" w:hAnsi="Arial" w:cs="Arial"/>
        </w:rPr>
      </w:pPr>
      <w:r>
        <w:rPr>
          <w:rFonts w:ascii="Arial" w:hAnsi="Arial" w:cs="Arial"/>
        </w:rPr>
        <w:t xml:space="preserve">Regular education pre-kindergartners for whom parents/guardians pay tuition are not counted. </w:t>
      </w:r>
    </w:p>
    <w:p w:rsidR="000930D9" w:rsidRDefault="000930D9">
      <w:pPr>
        <w:numPr>
          <w:ilvl w:val="0"/>
          <w:numId w:val="2"/>
        </w:numPr>
        <w:rPr>
          <w:rFonts w:ascii="Arial" w:hAnsi="Arial" w:cs="Arial"/>
        </w:rPr>
      </w:pPr>
      <w:r>
        <w:rPr>
          <w:rFonts w:ascii="Arial" w:hAnsi="Arial" w:cs="Arial"/>
        </w:rPr>
        <w:t xml:space="preserve">If parents/guardians pay tuition for kindergartners to attend the optional second half of a full-day kindergarten program, they are counted as half-day pupils, with a foundation </w:t>
      </w:r>
      <w:proofErr w:type="gramStart"/>
      <w:r>
        <w:rPr>
          <w:rFonts w:ascii="Arial" w:hAnsi="Arial" w:cs="Arial"/>
        </w:rPr>
        <w:t>rate which</w:t>
      </w:r>
      <w:proofErr w:type="gramEnd"/>
      <w:r>
        <w:rPr>
          <w:rFonts w:ascii="Arial" w:hAnsi="Arial" w:cs="Arial"/>
        </w:rPr>
        <w:t xml:space="preserve"> is half of that assigned to full-day kindergarten.</w:t>
      </w:r>
    </w:p>
    <w:p w:rsidR="000930D9" w:rsidRDefault="000930D9">
      <w:pPr>
        <w:numPr>
          <w:ilvl w:val="0"/>
          <w:numId w:val="2"/>
        </w:numPr>
        <w:rPr>
          <w:rFonts w:ascii="Arial" w:hAnsi="Arial" w:cs="Arial"/>
        </w:rPr>
      </w:pPr>
      <w:r>
        <w:rPr>
          <w:rFonts w:ascii="Arial" w:hAnsi="Arial" w:cs="Arial"/>
        </w:rPr>
        <w:t xml:space="preserve">Home-schooled children </w:t>
      </w:r>
      <w:proofErr w:type="gramStart"/>
      <w:r>
        <w:rPr>
          <w:rFonts w:ascii="Arial" w:hAnsi="Arial" w:cs="Arial"/>
        </w:rPr>
        <w:t>are not counted</w:t>
      </w:r>
      <w:proofErr w:type="gramEnd"/>
      <w:r>
        <w:rPr>
          <w:rFonts w:ascii="Arial" w:hAnsi="Arial" w:cs="Arial"/>
        </w:rPr>
        <w:t xml:space="preserve"> in foundation enrollment even if they receive district services or participate in school activities.</w:t>
      </w:r>
    </w:p>
    <w:p w:rsidR="000930D9" w:rsidRDefault="000930D9">
      <w:pPr>
        <w:numPr>
          <w:ilvl w:val="0"/>
          <w:numId w:val="2"/>
        </w:numPr>
        <w:rPr>
          <w:rFonts w:ascii="Arial" w:hAnsi="Arial" w:cs="Arial"/>
        </w:rPr>
      </w:pPr>
      <w:r>
        <w:rPr>
          <w:rFonts w:ascii="Arial" w:hAnsi="Arial" w:cs="Arial"/>
        </w:rPr>
        <w:lastRenderedPageBreak/>
        <w:t>Students in vocational education must be in approved Chapter 74 programs.  Otherwise they are placed in the regular education senior high category.</w:t>
      </w:r>
    </w:p>
    <w:p w:rsidR="000930D9" w:rsidRDefault="000930D9">
      <w:pPr>
        <w:numPr>
          <w:ilvl w:val="0"/>
          <w:numId w:val="2"/>
        </w:numPr>
        <w:rPr>
          <w:rFonts w:ascii="Arial" w:hAnsi="Arial" w:cs="Arial"/>
        </w:rPr>
      </w:pPr>
      <w:r>
        <w:rPr>
          <w:rFonts w:ascii="Arial" w:hAnsi="Arial" w:cs="Arial"/>
        </w:rPr>
        <w:t>Students falling into both the limited English and vocational education categories are assigned to the vocational category, which has the higher rate.</w:t>
      </w:r>
    </w:p>
    <w:p w:rsidR="000930D9" w:rsidRDefault="000930D9">
      <w:pPr>
        <w:rPr>
          <w:rFonts w:ascii="Arial" w:hAnsi="Arial" w:cs="Arial"/>
        </w:rPr>
      </w:pPr>
    </w:p>
    <w:p w:rsidR="000930D9" w:rsidRDefault="000930D9">
      <w:pPr>
        <w:rPr>
          <w:rFonts w:ascii="Arial" w:hAnsi="Arial" w:cs="Arial"/>
        </w:rPr>
      </w:pPr>
      <w:r>
        <w:rPr>
          <w:rFonts w:ascii="Arial" w:hAnsi="Arial" w:cs="Arial"/>
        </w:rPr>
        <w:t xml:space="preserve">Although the headcounts are applied to each category’s specific cost rate to determine foundation budgets, one final step is needed to convert the headcounts in the above categories to a district’s total </w:t>
      </w:r>
      <w:r>
        <w:rPr>
          <w:rFonts w:ascii="Arial" w:hAnsi="Arial" w:cs="Arial"/>
          <w:b/>
          <w:bCs/>
        </w:rPr>
        <w:t>foundation enrollment</w:t>
      </w:r>
      <w:r>
        <w:rPr>
          <w:rFonts w:ascii="Arial" w:hAnsi="Arial" w:cs="Arial"/>
        </w:rPr>
        <w:t xml:space="preserve">.  </w:t>
      </w:r>
      <w:proofErr w:type="gramStart"/>
      <w:r>
        <w:rPr>
          <w:rFonts w:ascii="Arial" w:hAnsi="Arial" w:cs="Arial"/>
        </w:rPr>
        <w:t>The total number of students in pre-kindergarten and half-day kindergarten is divided by two</w:t>
      </w:r>
      <w:proofErr w:type="gramEnd"/>
      <w:r>
        <w:rPr>
          <w:rFonts w:ascii="Arial" w:hAnsi="Arial" w:cs="Arial"/>
        </w:rPr>
        <w:t>, in order to reflect their relative full-time equivalency.</w:t>
      </w:r>
    </w:p>
    <w:p w:rsidR="000930D9" w:rsidRPr="00FF7340" w:rsidRDefault="000930D9" w:rsidP="00FF7340">
      <w:pPr>
        <w:rPr>
          <w:rFonts w:ascii="Arial" w:hAnsi="Arial" w:cs="Arial"/>
        </w:rPr>
      </w:pPr>
    </w:p>
    <w:p w:rsidR="000930D9" w:rsidRPr="00FF7340" w:rsidRDefault="000930D9" w:rsidP="00FF7340">
      <w:pPr>
        <w:rPr>
          <w:rFonts w:ascii="Arial" w:hAnsi="Arial" w:cs="Arial"/>
        </w:rPr>
      </w:pPr>
    </w:p>
    <w:p w:rsidR="000930D9" w:rsidRDefault="000930D9">
      <w:pPr>
        <w:pStyle w:val="Heading2"/>
      </w:pPr>
      <w:r>
        <w:t>Example:</w:t>
      </w:r>
    </w:p>
    <w:p w:rsidR="000930D9" w:rsidRDefault="000930D9"/>
    <w:p w:rsidR="000930D9" w:rsidRDefault="000930D9">
      <w:pPr>
        <w:rPr>
          <w:rFonts w:ascii="Arial" w:hAnsi="Arial" w:cs="Arial"/>
        </w:rPr>
      </w:pPr>
      <w:r>
        <w:rPr>
          <w:rFonts w:ascii="Arial" w:hAnsi="Arial" w:cs="Arial"/>
        </w:rPr>
        <w:t>For this hypothetical district, total foundation headcount is 18</w:t>
      </w:r>
      <w:r w:rsidR="006E4E07">
        <w:rPr>
          <w:rFonts w:ascii="Arial" w:hAnsi="Arial" w:cs="Arial"/>
        </w:rPr>
        <w:t>18</w:t>
      </w:r>
      <w:r>
        <w:rPr>
          <w:rFonts w:ascii="Arial" w:hAnsi="Arial" w:cs="Arial"/>
        </w:rPr>
        <w:t>.  After converting to full-time equivalents, it equals 179</w:t>
      </w:r>
      <w:r w:rsidR="006E4E07">
        <w:rPr>
          <w:rFonts w:ascii="Arial" w:hAnsi="Arial" w:cs="Arial"/>
        </w:rPr>
        <w:t>0</w:t>
      </w:r>
      <w:r>
        <w:rPr>
          <w:rFonts w:ascii="Arial" w:hAnsi="Arial" w:cs="Arial"/>
        </w:rPr>
        <w:t xml:space="preserve">. </w:t>
      </w:r>
    </w:p>
    <w:p w:rsidR="00717ED3" w:rsidRDefault="00717ED3">
      <w:pPr>
        <w:rPr>
          <w:rFonts w:ascii="Arial" w:hAnsi="Arial" w:cs="Arial"/>
        </w:rPr>
      </w:pPr>
    </w:p>
    <w:tbl>
      <w:tblPr>
        <w:tblW w:w="8363" w:type="dxa"/>
        <w:tblInd w:w="93" w:type="dxa"/>
        <w:tblLook w:val="04A0" w:firstRow="1" w:lastRow="0" w:firstColumn="1" w:lastColumn="0" w:noHBand="0" w:noVBand="1"/>
      </w:tblPr>
      <w:tblGrid>
        <w:gridCol w:w="3541"/>
        <w:gridCol w:w="960"/>
        <w:gridCol w:w="960"/>
        <w:gridCol w:w="722"/>
        <w:gridCol w:w="722"/>
        <w:gridCol w:w="1029"/>
        <w:gridCol w:w="294"/>
        <w:gridCol w:w="45"/>
        <w:gridCol w:w="45"/>
        <w:gridCol w:w="45"/>
      </w:tblGrid>
      <w:tr w:rsidR="00717ED3" w:rsidRPr="00717ED3" w:rsidTr="006E4E07">
        <w:trPr>
          <w:gridAfter w:val="3"/>
          <w:trHeight w:val="255"/>
        </w:trPr>
        <w:tc>
          <w:tcPr>
            <w:tcW w:w="3541"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center"/>
              <w:rPr>
                <w:rFonts w:ascii="Arial Narrow" w:hAnsi="Arial Narrow" w:cs="Arial"/>
                <w:b/>
                <w:bCs/>
                <w:color w:val="000000"/>
              </w:rPr>
            </w:pPr>
            <w:r w:rsidRPr="00717ED3">
              <w:rPr>
                <w:rFonts w:ascii="Arial Narrow" w:hAnsi="Arial Narrow" w:cs="Arial"/>
                <w:b/>
                <w:bCs/>
                <w:color w:val="000000"/>
              </w:rPr>
              <w:t>1</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center"/>
              <w:rPr>
                <w:rFonts w:ascii="Arial Narrow" w:hAnsi="Arial Narrow" w:cs="Arial"/>
                <w:b/>
                <w:bCs/>
                <w:color w:val="000000"/>
              </w:rPr>
            </w:pPr>
            <w:r w:rsidRPr="00717ED3">
              <w:rPr>
                <w:rFonts w:ascii="Arial Narrow" w:hAnsi="Arial Narrow" w:cs="Arial"/>
                <w:b/>
                <w:bCs/>
                <w:color w:val="000000"/>
              </w:rPr>
              <w:t>2</w:t>
            </w: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jc w:val="center"/>
              <w:rPr>
                <w:rFonts w:ascii="Arial Narrow" w:hAnsi="Arial Narrow" w:cs="Arial"/>
                <w:b/>
                <w:bCs/>
                <w:color w:val="000000"/>
              </w:rPr>
            </w:pPr>
            <w:r w:rsidRPr="00717ED3">
              <w:rPr>
                <w:rFonts w:ascii="Arial Narrow" w:hAnsi="Arial Narrow" w:cs="Arial"/>
                <w:b/>
                <w:bCs/>
                <w:color w:val="000000"/>
              </w:rPr>
              <w:t>3</w:t>
            </w:r>
          </w:p>
        </w:tc>
        <w:tc>
          <w:tcPr>
            <w:tcW w:w="1029" w:type="dxa"/>
            <w:tcBorders>
              <w:top w:val="nil"/>
              <w:left w:val="nil"/>
              <w:bottom w:val="nil"/>
              <w:right w:val="nil"/>
            </w:tcBorders>
            <w:shd w:val="clear" w:color="auto" w:fill="auto"/>
            <w:noWrap/>
            <w:vAlign w:val="bottom"/>
            <w:hideMark/>
          </w:tcPr>
          <w:p w:rsidR="00717ED3" w:rsidRPr="00717ED3" w:rsidRDefault="00717ED3" w:rsidP="00717ED3">
            <w:pPr>
              <w:jc w:val="center"/>
              <w:rPr>
                <w:rFonts w:ascii="Arial Narrow" w:hAnsi="Arial Narrow" w:cs="Arial"/>
                <w:b/>
                <w:bCs/>
                <w:color w:val="000000"/>
              </w:rPr>
            </w:pPr>
            <w:r w:rsidRPr="00717ED3">
              <w:rPr>
                <w:rFonts w:ascii="Arial Narrow" w:hAnsi="Arial Narrow" w:cs="Arial"/>
                <w:b/>
                <w:bCs/>
                <w:color w:val="000000"/>
              </w:rPr>
              <w:t>4</w:t>
            </w: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color w:val="000000"/>
              </w:rPr>
            </w:pPr>
          </w:p>
        </w:tc>
      </w:tr>
      <w:tr w:rsidR="00717ED3" w:rsidRPr="00717ED3" w:rsidTr="006E4E07">
        <w:trPr>
          <w:gridAfter w:val="3"/>
          <w:trHeight w:val="270"/>
        </w:trPr>
        <w:tc>
          <w:tcPr>
            <w:tcW w:w="3541"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p>
        </w:tc>
        <w:tc>
          <w:tcPr>
            <w:tcW w:w="960"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sz w:val="18"/>
                <w:szCs w:val="18"/>
              </w:rPr>
            </w:pPr>
          </w:p>
        </w:tc>
        <w:tc>
          <w:tcPr>
            <w:tcW w:w="960"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sz w:val="18"/>
                <w:szCs w:val="18"/>
              </w:rPr>
            </w:pP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sz w:val="18"/>
                <w:szCs w:val="18"/>
              </w:rPr>
            </w:pPr>
          </w:p>
        </w:tc>
        <w:tc>
          <w:tcPr>
            <w:tcW w:w="1029"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sz w:val="18"/>
                <w:szCs w:val="18"/>
              </w:rPr>
            </w:pP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p>
        </w:tc>
      </w:tr>
      <w:tr w:rsidR="00717ED3" w:rsidRPr="00717ED3" w:rsidTr="006E4E07">
        <w:trPr>
          <w:gridAfter w:val="3"/>
          <w:trHeight w:val="270"/>
        </w:trPr>
        <w:tc>
          <w:tcPr>
            <w:tcW w:w="3541"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p>
        </w:tc>
        <w:tc>
          <w:tcPr>
            <w:tcW w:w="960"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sz w:val="18"/>
                <w:szCs w:val="18"/>
              </w:rPr>
            </w:pP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center"/>
              <w:rPr>
                <w:rFonts w:ascii="Arial Narrow" w:hAnsi="Arial Narrow" w:cs="Arial"/>
                <w:b/>
                <w:bCs/>
                <w:color w:val="000000"/>
                <w:sz w:val="18"/>
                <w:szCs w:val="18"/>
              </w:rPr>
            </w:pPr>
            <w:r w:rsidRPr="00717ED3">
              <w:rPr>
                <w:rFonts w:ascii="Arial Narrow" w:hAnsi="Arial Narrow" w:cs="Arial"/>
                <w:b/>
                <w:bCs/>
                <w:color w:val="000000"/>
                <w:sz w:val="18"/>
                <w:szCs w:val="18"/>
              </w:rPr>
              <w:t xml:space="preserve">residents </w:t>
            </w: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jc w:val="center"/>
              <w:rPr>
                <w:rFonts w:ascii="Arial Narrow" w:hAnsi="Arial Narrow" w:cs="Arial"/>
                <w:b/>
                <w:bCs/>
                <w:color w:val="000000"/>
                <w:sz w:val="18"/>
                <w:szCs w:val="18"/>
              </w:rPr>
            </w:pPr>
            <w:r w:rsidRPr="00717ED3">
              <w:rPr>
                <w:rFonts w:ascii="Arial Narrow" w:hAnsi="Arial Narrow" w:cs="Arial"/>
                <w:b/>
                <w:bCs/>
                <w:color w:val="000000"/>
                <w:sz w:val="18"/>
                <w:szCs w:val="18"/>
              </w:rPr>
              <w:t>combined</w:t>
            </w:r>
          </w:p>
        </w:tc>
        <w:tc>
          <w:tcPr>
            <w:tcW w:w="1029" w:type="dxa"/>
            <w:tcBorders>
              <w:top w:val="nil"/>
              <w:left w:val="nil"/>
              <w:bottom w:val="nil"/>
              <w:right w:val="nil"/>
            </w:tcBorders>
            <w:shd w:val="clear" w:color="auto" w:fill="auto"/>
            <w:noWrap/>
            <w:vAlign w:val="bottom"/>
            <w:hideMark/>
          </w:tcPr>
          <w:p w:rsidR="00717ED3" w:rsidRPr="00717ED3" w:rsidRDefault="00717ED3" w:rsidP="00717ED3">
            <w:pPr>
              <w:jc w:val="center"/>
              <w:rPr>
                <w:rFonts w:ascii="Arial Narrow" w:hAnsi="Arial Narrow" w:cs="Arial"/>
                <w:b/>
                <w:bCs/>
                <w:color w:val="000000"/>
                <w:sz w:val="18"/>
                <w:szCs w:val="18"/>
              </w:rPr>
            </w:pPr>
            <w:r w:rsidRPr="00717ED3">
              <w:rPr>
                <w:rFonts w:ascii="Arial Narrow" w:hAnsi="Arial Narrow" w:cs="Arial"/>
                <w:b/>
                <w:bCs/>
                <w:color w:val="000000"/>
                <w:sz w:val="18"/>
                <w:szCs w:val="18"/>
              </w:rPr>
              <w:t>enrollment</w:t>
            </w: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p>
        </w:tc>
      </w:tr>
      <w:tr w:rsidR="00717ED3" w:rsidRPr="00717ED3" w:rsidTr="006E4E07">
        <w:trPr>
          <w:gridAfter w:val="3"/>
          <w:trHeight w:val="270"/>
        </w:trPr>
        <w:tc>
          <w:tcPr>
            <w:tcW w:w="3541"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center"/>
              <w:rPr>
                <w:rFonts w:ascii="Arial Narrow" w:hAnsi="Arial Narrow" w:cs="Arial"/>
                <w:b/>
                <w:bCs/>
                <w:color w:val="000000"/>
                <w:sz w:val="18"/>
                <w:szCs w:val="18"/>
              </w:rPr>
            </w:pPr>
            <w:r w:rsidRPr="00717ED3">
              <w:rPr>
                <w:rFonts w:ascii="Arial Narrow" w:hAnsi="Arial Narrow" w:cs="Arial"/>
                <w:b/>
                <w:bCs/>
                <w:color w:val="000000"/>
                <w:sz w:val="18"/>
                <w:szCs w:val="18"/>
              </w:rPr>
              <w:t>resident</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center"/>
              <w:rPr>
                <w:rFonts w:ascii="Arial Narrow" w:hAnsi="Arial Narrow" w:cs="Arial"/>
                <w:b/>
                <w:bCs/>
                <w:color w:val="000000"/>
                <w:sz w:val="18"/>
                <w:szCs w:val="18"/>
              </w:rPr>
            </w:pPr>
            <w:r w:rsidRPr="00717ED3">
              <w:rPr>
                <w:rFonts w:ascii="Arial Narrow" w:hAnsi="Arial Narrow" w:cs="Arial"/>
                <w:b/>
                <w:bCs/>
                <w:color w:val="000000"/>
                <w:sz w:val="18"/>
                <w:szCs w:val="18"/>
              </w:rPr>
              <w:t>at other</w:t>
            </w: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jc w:val="center"/>
              <w:rPr>
                <w:rFonts w:ascii="Arial Narrow" w:hAnsi="Arial Narrow" w:cs="Arial"/>
                <w:b/>
                <w:bCs/>
                <w:color w:val="000000"/>
                <w:sz w:val="18"/>
                <w:szCs w:val="18"/>
              </w:rPr>
            </w:pPr>
            <w:r w:rsidRPr="00717ED3">
              <w:rPr>
                <w:rFonts w:ascii="Arial Narrow" w:hAnsi="Arial Narrow" w:cs="Arial"/>
                <w:b/>
                <w:bCs/>
                <w:color w:val="000000"/>
                <w:sz w:val="18"/>
                <w:szCs w:val="18"/>
              </w:rPr>
              <w:t>headcount</w:t>
            </w:r>
          </w:p>
        </w:tc>
        <w:tc>
          <w:tcPr>
            <w:tcW w:w="1029" w:type="dxa"/>
            <w:tcBorders>
              <w:top w:val="nil"/>
              <w:left w:val="nil"/>
              <w:bottom w:val="nil"/>
              <w:right w:val="nil"/>
            </w:tcBorders>
            <w:shd w:val="clear" w:color="auto" w:fill="auto"/>
            <w:noWrap/>
            <w:vAlign w:val="bottom"/>
            <w:hideMark/>
          </w:tcPr>
          <w:p w:rsidR="00717ED3" w:rsidRPr="00717ED3" w:rsidRDefault="00717ED3" w:rsidP="00717ED3">
            <w:pPr>
              <w:jc w:val="center"/>
              <w:rPr>
                <w:rFonts w:ascii="Arial Narrow" w:hAnsi="Arial Narrow" w:cs="Arial"/>
                <w:b/>
                <w:bCs/>
                <w:color w:val="000000"/>
                <w:sz w:val="18"/>
                <w:szCs w:val="18"/>
              </w:rPr>
            </w:pPr>
            <w:r w:rsidRPr="00717ED3">
              <w:rPr>
                <w:rFonts w:ascii="Arial Narrow" w:hAnsi="Arial Narrow" w:cs="Arial"/>
                <w:b/>
                <w:bCs/>
                <w:color w:val="000000"/>
                <w:sz w:val="18"/>
                <w:szCs w:val="18"/>
              </w:rPr>
              <w:t>In full-time</w:t>
            </w: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p>
        </w:tc>
      </w:tr>
      <w:tr w:rsidR="00717ED3" w:rsidRPr="00717ED3" w:rsidTr="006E4E07">
        <w:trPr>
          <w:gridAfter w:val="3"/>
          <w:trHeight w:val="270"/>
        </w:trPr>
        <w:tc>
          <w:tcPr>
            <w:tcW w:w="3541"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center"/>
              <w:rPr>
                <w:rFonts w:ascii="Arial Narrow" w:hAnsi="Arial Narrow" w:cs="Arial"/>
                <w:b/>
                <w:bCs/>
                <w:color w:val="000000"/>
                <w:sz w:val="18"/>
                <w:szCs w:val="18"/>
              </w:rPr>
            </w:pPr>
            <w:r w:rsidRPr="00717ED3">
              <w:rPr>
                <w:rFonts w:ascii="Arial Narrow" w:hAnsi="Arial Narrow" w:cs="Arial"/>
                <w:b/>
                <w:bCs/>
                <w:color w:val="000000"/>
                <w:sz w:val="18"/>
                <w:szCs w:val="18"/>
              </w:rPr>
              <w:t>Pupils</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center"/>
              <w:rPr>
                <w:rFonts w:ascii="Arial Narrow" w:hAnsi="Arial Narrow" w:cs="Arial"/>
                <w:b/>
                <w:bCs/>
                <w:color w:val="000000"/>
                <w:sz w:val="18"/>
                <w:szCs w:val="18"/>
              </w:rPr>
            </w:pPr>
            <w:r w:rsidRPr="00717ED3">
              <w:rPr>
                <w:rFonts w:ascii="Arial Narrow" w:hAnsi="Arial Narrow" w:cs="Arial"/>
                <w:b/>
                <w:bCs/>
                <w:color w:val="000000"/>
                <w:sz w:val="18"/>
                <w:szCs w:val="18"/>
              </w:rPr>
              <w:t>districts</w:t>
            </w: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jc w:val="center"/>
              <w:rPr>
                <w:rFonts w:ascii="Arial Narrow" w:hAnsi="Arial Narrow" w:cs="Arial"/>
                <w:b/>
                <w:bCs/>
                <w:color w:val="000000"/>
                <w:sz w:val="18"/>
                <w:szCs w:val="18"/>
              </w:rPr>
            </w:pPr>
            <w:r w:rsidRPr="00717ED3">
              <w:rPr>
                <w:rFonts w:ascii="Arial Narrow" w:hAnsi="Arial Narrow" w:cs="Arial"/>
                <w:b/>
                <w:bCs/>
                <w:color w:val="000000"/>
                <w:sz w:val="18"/>
                <w:szCs w:val="18"/>
              </w:rPr>
              <w:t>(1+2)</w:t>
            </w:r>
          </w:p>
        </w:tc>
        <w:tc>
          <w:tcPr>
            <w:tcW w:w="1029" w:type="dxa"/>
            <w:tcBorders>
              <w:top w:val="nil"/>
              <w:left w:val="nil"/>
              <w:bottom w:val="nil"/>
              <w:right w:val="nil"/>
            </w:tcBorders>
            <w:shd w:val="clear" w:color="auto" w:fill="auto"/>
            <w:noWrap/>
            <w:vAlign w:val="bottom"/>
            <w:hideMark/>
          </w:tcPr>
          <w:p w:rsidR="00717ED3" w:rsidRPr="00717ED3" w:rsidRDefault="00717ED3" w:rsidP="00717ED3">
            <w:pPr>
              <w:jc w:val="center"/>
              <w:rPr>
                <w:rFonts w:ascii="Arial Narrow" w:hAnsi="Arial Narrow" w:cs="Arial"/>
                <w:b/>
                <w:bCs/>
                <w:color w:val="000000"/>
                <w:sz w:val="18"/>
                <w:szCs w:val="18"/>
              </w:rPr>
            </w:pPr>
            <w:r w:rsidRPr="00717ED3">
              <w:rPr>
                <w:rFonts w:ascii="Arial Narrow" w:hAnsi="Arial Narrow" w:cs="Arial"/>
                <w:b/>
                <w:bCs/>
                <w:color w:val="000000"/>
                <w:sz w:val="18"/>
                <w:szCs w:val="18"/>
              </w:rPr>
              <w:t>equivalents</w:t>
            </w: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p>
        </w:tc>
      </w:tr>
      <w:tr w:rsidR="00717ED3" w:rsidRPr="00717ED3" w:rsidTr="006E4E07">
        <w:trPr>
          <w:gridAfter w:val="3"/>
          <w:trHeight w:val="255"/>
        </w:trPr>
        <w:tc>
          <w:tcPr>
            <w:tcW w:w="3541"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p>
        </w:tc>
        <w:tc>
          <w:tcPr>
            <w:tcW w:w="960"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p>
        </w:tc>
        <w:tc>
          <w:tcPr>
            <w:tcW w:w="960"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p>
        </w:tc>
        <w:tc>
          <w:tcPr>
            <w:tcW w:w="1029"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color w:val="000000"/>
              </w:rPr>
            </w:pPr>
          </w:p>
        </w:tc>
      </w:tr>
      <w:tr w:rsidR="00717ED3" w:rsidRPr="00717ED3" w:rsidTr="006E4E07">
        <w:trPr>
          <w:gridAfter w:val="3"/>
          <w:trHeight w:val="255"/>
        </w:trPr>
        <w:tc>
          <w:tcPr>
            <w:tcW w:w="3541"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r w:rsidRPr="00717ED3">
              <w:rPr>
                <w:rFonts w:ascii="Arial Narrow" w:hAnsi="Arial Narrow" w:cs="Arial"/>
                <w:color w:val="000000"/>
              </w:rPr>
              <w:t>regular &amp; special ed, pre-kindergarten</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20</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20</w:t>
            </w:r>
          </w:p>
        </w:tc>
        <w:tc>
          <w:tcPr>
            <w:tcW w:w="1029"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10</w:t>
            </w: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color w:val="000000"/>
              </w:rPr>
            </w:pPr>
            <w:r w:rsidRPr="00717ED3">
              <w:rPr>
                <w:rFonts w:ascii="Arial" w:hAnsi="Arial" w:cs="Arial"/>
                <w:color w:val="000000"/>
              </w:rPr>
              <w:t>*</w:t>
            </w:r>
          </w:p>
        </w:tc>
      </w:tr>
      <w:tr w:rsidR="00717ED3" w:rsidRPr="00717ED3" w:rsidTr="006E4E07">
        <w:trPr>
          <w:gridAfter w:val="3"/>
          <w:trHeight w:val="255"/>
        </w:trPr>
        <w:tc>
          <w:tcPr>
            <w:tcW w:w="3541"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r w:rsidRPr="00717ED3">
              <w:rPr>
                <w:rFonts w:ascii="Arial Narrow" w:hAnsi="Arial Narrow" w:cs="Arial"/>
                <w:color w:val="000000"/>
              </w:rPr>
              <w:t>regular &amp; special ed, half-day kindergarten</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24</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2</w:t>
            </w: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26</w:t>
            </w:r>
          </w:p>
        </w:tc>
        <w:tc>
          <w:tcPr>
            <w:tcW w:w="1029"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13</w:t>
            </w: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color w:val="000000"/>
              </w:rPr>
            </w:pPr>
            <w:r w:rsidRPr="00717ED3">
              <w:rPr>
                <w:rFonts w:ascii="Arial" w:hAnsi="Arial" w:cs="Arial"/>
                <w:color w:val="000000"/>
              </w:rPr>
              <w:t>*</w:t>
            </w:r>
          </w:p>
        </w:tc>
      </w:tr>
      <w:tr w:rsidR="00717ED3" w:rsidRPr="00717ED3" w:rsidTr="006E4E07">
        <w:trPr>
          <w:gridAfter w:val="3"/>
          <w:trHeight w:val="255"/>
        </w:trPr>
        <w:tc>
          <w:tcPr>
            <w:tcW w:w="3541"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r w:rsidRPr="00717ED3">
              <w:rPr>
                <w:rFonts w:ascii="Arial Narrow" w:hAnsi="Arial Narrow" w:cs="Arial"/>
                <w:color w:val="000000"/>
              </w:rPr>
              <w:t>regular &amp; special ed, full-day kindergarten</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100</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5</w:t>
            </w: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105</w:t>
            </w:r>
          </w:p>
        </w:tc>
        <w:tc>
          <w:tcPr>
            <w:tcW w:w="1029"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105</w:t>
            </w: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color w:val="000000"/>
              </w:rPr>
            </w:pPr>
          </w:p>
        </w:tc>
      </w:tr>
      <w:tr w:rsidR="00717ED3" w:rsidRPr="00717ED3" w:rsidTr="006E4E07">
        <w:trPr>
          <w:gridAfter w:val="3"/>
          <w:trHeight w:val="255"/>
        </w:trPr>
        <w:tc>
          <w:tcPr>
            <w:tcW w:w="3541"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r w:rsidRPr="00717ED3">
              <w:rPr>
                <w:rFonts w:ascii="Arial Narrow" w:hAnsi="Arial Narrow" w:cs="Arial"/>
                <w:color w:val="000000"/>
              </w:rPr>
              <w:t>regular &amp; special ed, elementary (grades 1-5)</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571</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17</w:t>
            </w: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588</w:t>
            </w:r>
          </w:p>
        </w:tc>
        <w:tc>
          <w:tcPr>
            <w:tcW w:w="1029"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588</w:t>
            </w: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color w:val="000000"/>
              </w:rPr>
            </w:pPr>
          </w:p>
        </w:tc>
      </w:tr>
      <w:tr w:rsidR="00717ED3" w:rsidRPr="00717ED3" w:rsidTr="006E4E07">
        <w:trPr>
          <w:gridAfter w:val="3"/>
          <w:trHeight w:val="255"/>
        </w:trPr>
        <w:tc>
          <w:tcPr>
            <w:tcW w:w="3541" w:type="dxa"/>
            <w:tcBorders>
              <w:top w:val="nil"/>
              <w:left w:val="nil"/>
              <w:bottom w:val="nil"/>
              <w:right w:val="nil"/>
            </w:tcBorders>
            <w:shd w:val="clear" w:color="auto" w:fill="auto"/>
            <w:noWrap/>
            <w:vAlign w:val="bottom"/>
            <w:hideMark/>
          </w:tcPr>
          <w:p w:rsidR="00717ED3" w:rsidRPr="00717ED3" w:rsidRDefault="00717ED3" w:rsidP="006E4E07">
            <w:pPr>
              <w:rPr>
                <w:rFonts w:ascii="Arial Narrow" w:hAnsi="Arial Narrow" w:cs="Arial"/>
                <w:color w:val="000000"/>
              </w:rPr>
            </w:pPr>
            <w:r w:rsidRPr="00717ED3">
              <w:rPr>
                <w:rFonts w:ascii="Arial Narrow" w:hAnsi="Arial Narrow" w:cs="Arial"/>
                <w:color w:val="000000"/>
              </w:rPr>
              <w:t xml:space="preserve">regular and special ed, </w:t>
            </w:r>
            <w:proofErr w:type="spellStart"/>
            <w:r w:rsidRPr="00717ED3">
              <w:rPr>
                <w:rFonts w:ascii="Arial Narrow" w:hAnsi="Arial Narrow" w:cs="Arial"/>
                <w:color w:val="000000"/>
              </w:rPr>
              <w:t>j</w:t>
            </w:r>
            <w:r w:rsidR="006E4E07">
              <w:rPr>
                <w:rFonts w:ascii="Arial Narrow" w:hAnsi="Arial Narrow" w:cs="Arial"/>
                <w:color w:val="000000"/>
              </w:rPr>
              <w:t>r</w:t>
            </w:r>
            <w:proofErr w:type="spellEnd"/>
            <w:r w:rsidR="006E4E07">
              <w:rPr>
                <w:rFonts w:ascii="Arial Narrow" w:hAnsi="Arial Narrow" w:cs="Arial"/>
                <w:color w:val="000000"/>
              </w:rPr>
              <w:t xml:space="preserve"> </w:t>
            </w:r>
            <w:r w:rsidRPr="00717ED3">
              <w:rPr>
                <w:rFonts w:ascii="Arial Narrow" w:hAnsi="Arial Narrow" w:cs="Arial"/>
                <w:color w:val="000000"/>
              </w:rPr>
              <w:t>high/middle (6-8)</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437</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14</w:t>
            </w: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451</w:t>
            </w:r>
          </w:p>
        </w:tc>
        <w:tc>
          <w:tcPr>
            <w:tcW w:w="1029"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451</w:t>
            </w: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color w:val="000000"/>
              </w:rPr>
            </w:pPr>
          </w:p>
        </w:tc>
      </w:tr>
      <w:tr w:rsidR="00717ED3" w:rsidRPr="00717ED3" w:rsidTr="006E4E07">
        <w:trPr>
          <w:gridAfter w:val="3"/>
          <w:trHeight w:val="255"/>
        </w:trPr>
        <w:tc>
          <w:tcPr>
            <w:tcW w:w="3541"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r w:rsidRPr="00717ED3">
              <w:rPr>
                <w:rFonts w:ascii="Arial Narrow" w:hAnsi="Arial Narrow" w:cs="Arial"/>
                <w:color w:val="000000"/>
              </w:rPr>
              <w:t>regular and special ed, high school ( 9-13)</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491</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18</w:t>
            </w: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509</w:t>
            </w:r>
          </w:p>
        </w:tc>
        <w:tc>
          <w:tcPr>
            <w:tcW w:w="1029"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509</w:t>
            </w: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color w:val="000000"/>
              </w:rPr>
            </w:pPr>
          </w:p>
        </w:tc>
      </w:tr>
      <w:tr w:rsidR="00717ED3" w:rsidRPr="00717ED3" w:rsidTr="006E4E07">
        <w:trPr>
          <w:gridAfter w:val="3"/>
          <w:trHeight w:val="255"/>
        </w:trPr>
        <w:tc>
          <w:tcPr>
            <w:tcW w:w="3541"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r w:rsidRPr="00717ED3">
              <w:rPr>
                <w:rFonts w:ascii="Arial Narrow" w:hAnsi="Arial Narrow" w:cs="Arial"/>
                <w:color w:val="000000"/>
              </w:rPr>
              <w:t xml:space="preserve">limited English, pre-kindergarten </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6</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6</w:t>
            </w:r>
          </w:p>
        </w:tc>
        <w:tc>
          <w:tcPr>
            <w:tcW w:w="1029"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3</w:t>
            </w: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color w:val="000000"/>
              </w:rPr>
            </w:pPr>
            <w:r w:rsidRPr="00717ED3">
              <w:rPr>
                <w:rFonts w:ascii="Arial" w:hAnsi="Arial" w:cs="Arial"/>
                <w:color w:val="000000"/>
              </w:rPr>
              <w:t>*</w:t>
            </w:r>
          </w:p>
        </w:tc>
      </w:tr>
      <w:tr w:rsidR="00717ED3" w:rsidRPr="00717ED3" w:rsidTr="006E4E07">
        <w:trPr>
          <w:gridAfter w:val="3"/>
          <w:trHeight w:val="255"/>
        </w:trPr>
        <w:tc>
          <w:tcPr>
            <w:tcW w:w="3541"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color w:val="000000"/>
              </w:rPr>
            </w:pPr>
            <w:r w:rsidRPr="00717ED3">
              <w:rPr>
                <w:rFonts w:ascii="Arial Narrow" w:hAnsi="Arial Narrow" w:cs="Arial"/>
                <w:color w:val="000000"/>
              </w:rPr>
              <w:t>limited English, half–day kindergarten</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3</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1</w:t>
            </w: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4</w:t>
            </w:r>
          </w:p>
        </w:tc>
        <w:tc>
          <w:tcPr>
            <w:tcW w:w="1029"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2</w:t>
            </w: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color w:val="000000"/>
              </w:rPr>
            </w:pPr>
            <w:r w:rsidRPr="00717ED3">
              <w:rPr>
                <w:rFonts w:ascii="Arial" w:hAnsi="Arial" w:cs="Arial"/>
                <w:color w:val="000000"/>
              </w:rPr>
              <w:t>*</w:t>
            </w:r>
          </w:p>
        </w:tc>
      </w:tr>
      <w:tr w:rsidR="00717ED3" w:rsidRPr="00717ED3" w:rsidTr="006E4E07">
        <w:trPr>
          <w:gridAfter w:val="3"/>
          <w:trHeight w:val="255"/>
        </w:trPr>
        <w:tc>
          <w:tcPr>
            <w:tcW w:w="3541" w:type="dxa"/>
            <w:tcBorders>
              <w:top w:val="nil"/>
              <w:left w:val="nil"/>
              <w:bottom w:val="nil"/>
              <w:right w:val="nil"/>
            </w:tcBorders>
            <w:shd w:val="clear" w:color="auto" w:fill="auto"/>
            <w:noWrap/>
            <w:vAlign w:val="bottom"/>
            <w:hideMark/>
          </w:tcPr>
          <w:p w:rsidR="00717ED3" w:rsidRPr="00717ED3" w:rsidRDefault="00717ED3" w:rsidP="006E4E07">
            <w:pPr>
              <w:rPr>
                <w:rFonts w:ascii="Arial Narrow" w:hAnsi="Arial Narrow" w:cs="Arial"/>
                <w:color w:val="000000"/>
              </w:rPr>
            </w:pPr>
            <w:r w:rsidRPr="00717ED3">
              <w:rPr>
                <w:rFonts w:ascii="Arial Narrow" w:hAnsi="Arial Narrow" w:cs="Arial"/>
                <w:color w:val="000000"/>
              </w:rPr>
              <w:t>limited English, full-day</w:t>
            </w:r>
            <w:r w:rsidR="006E4E07">
              <w:rPr>
                <w:rFonts w:ascii="Arial Narrow" w:hAnsi="Arial Narrow" w:cs="Arial"/>
                <w:color w:val="000000"/>
              </w:rPr>
              <w:t xml:space="preserve"> K to grade 12</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18</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3</w:t>
            </w: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21</w:t>
            </w:r>
          </w:p>
        </w:tc>
        <w:tc>
          <w:tcPr>
            <w:tcW w:w="1029"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21</w:t>
            </w: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color w:val="000000"/>
              </w:rPr>
            </w:pPr>
          </w:p>
        </w:tc>
      </w:tr>
      <w:tr w:rsidR="00717ED3" w:rsidRPr="00717ED3" w:rsidTr="006E4E07">
        <w:trPr>
          <w:gridAfter w:val="3"/>
          <w:trHeight w:val="255"/>
        </w:trPr>
        <w:tc>
          <w:tcPr>
            <w:tcW w:w="3541" w:type="dxa"/>
            <w:tcBorders>
              <w:top w:val="nil"/>
              <w:left w:val="nil"/>
              <w:bottom w:val="nil"/>
              <w:right w:val="nil"/>
            </w:tcBorders>
            <w:shd w:val="clear" w:color="auto" w:fill="auto"/>
            <w:noWrap/>
            <w:vAlign w:val="bottom"/>
            <w:hideMark/>
          </w:tcPr>
          <w:p w:rsidR="00717ED3" w:rsidRPr="00717ED3" w:rsidRDefault="00717ED3" w:rsidP="006E4E07">
            <w:pPr>
              <w:rPr>
                <w:rFonts w:ascii="Arial Narrow" w:hAnsi="Arial Narrow" w:cs="Arial"/>
                <w:color w:val="000000"/>
              </w:rPr>
            </w:pPr>
            <w:r w:rsidRPr="00717ED3">
              <w:rPr>
                <w:rFonts w:ascii="Arial Narrow" w:hAnsi="Arial Narrow" w:cs="Arial"/>
                <w:color w:val="000000"/>
              </w:rPr>
              <w:t>chapter 74 vocational programs, grades 9-13</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78</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10</w:t>
            </w: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88</w:t>
            </w:r>
          </w:p>
        </w:tc>
        <w:tc>
          <w:tcPr>
            <w:tcW w:w="1029"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color w:val="000000"/>
              </w:rPr>
            </w:pPr>
            <w:r w:rsidRPr="00717ED3">
              <w:rPr>
                <w:rFonts w:ascii="Arial Narrow" w:hAnsi="Arial Narrow" w:cs="Arial"/>
                <w:color w:val="000000"/>
              </w:rPr>
              <w:t>88</w:t>
            </w: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color w:val="000000"/>
              </w:rPr>
            </w:pPr>
          </w:p>
        </w:tc>
      </w:tr>
      <w:tr w:rsidR="00717ED3" w:rsidRPr="00717ED3" w:rsidTr="006E4E07">
        <w:trPr>
          <w:gridAfter w:val="3"/>
          <w:trHeight w:val="255"/>
        </w:trPr>
        <w:tc>
          <w:tcPr>
            <w:tcW w:w="3541" w:type="dxa"/>
            <w:tcBorders>
              <w:top w:val="nil"/>
              <w:left w:val="nil"/>
              <w:bottom w:val="nil"/>
              <w:right w:val="nil"/>
            </w:tcBorders>
            <w:shd w:val="clear" w:color="auto" w:fill="auto"/>
            <w:noWrap/>
            <w:vAlign w:val="bottom"/>
            <w:hideMark/>
          </w:tcPr>
          <w:p w:rsidR="00717ED3" w:rsidRPr="00717ED3" w:rsidRDefault="00717ED3" w:rsidP="00717ED3">
            <w:pPr>
              <w:rPr>
                <w:rFonts w:ascii="Arial Narrow" w:hAnsi="Arial Narrow" w:cs="Arial"/>
                <w:b/>
                <w:bCs/>
                <w:color w:val="000000"/>
              </w:rPr>
            </w:pPr>
            <w:r w:rsidRPr="00717ED3">
              <w:rPr>
                <w:rFonts w:ascii="Arial Narrow" w:hAnsi="Arial Narrow" w:cs="Arial"/>
                <w:b/>
                <w:bCs/>
                <w:color w:val="000000"/>
              </w:rPr>
              <w:t>Total</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b/>
                <w:bCs/>
                <w:color w:val="000000"/>
              </w:rPr>
            </w:pPr>
            <w:r w:rsidRPr="00717ED3">
              <w:rPr>
                <w:rFonts w:ascii="Arial Narrow" w:hAnsi="Arial Narrow" w:cs="Arial"/>
                <w:b/>
                <w:bCs/>
                <w:color w:val="000000"/>
              </w:rPr>
              <w:t>1,748</w:t>
            </w:r>
          </w:p>
        </w:tc>
        <w:tc>
          <w:tcPr>
            <w:tcW w:w="960"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b/>
                <w:bCs/>
                <w:color w:val="000000"/>
              </w:rPr>
            </w:pPr>
            <w:r w:rsidRPr="00717ED3">
              <w:rPr>
                <w:rFonts w:ascii="Arial Narrow" w:hAnsi="Arial Narrow" w:cs="Arial"/>
                <w:b/>
                <w:bCs/>
                <w:color w:val="000000"/>
              </w:rPr>
              <w:t>70</w:t>
            </w: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b/>
                <w:bCs/>
                <w:color w:val="000000"/>
              </w:rPr>
            </w:pPr>
            <w:r w:rsidRPr="00717ED3">
              <w:rPr>
                <w:rFonts w:ascii="Arial Narrow" w:hAnsi="Arial Narrow" w:cs="Arial"/>
                <w:b/>
                <w:bCs/>
                <w:color w:val="000000"/>
              </w:rPr>
              <w:t>1,818</w:t>
            </w:r>
          </w:p>
        </w:tc>
        <w:tc>
          <w:tcPr>
            <w:tcW w:w="1029" w:type="dxa"/>
            <w:tcBorders>
              <w:top w:val="nil"/>
              <w:left w:val="nil"/>
              <w:bottom w:val="nil"/>
              <w:right w:val="nil"/>
            </w:tcBorders>
            <w:shd w:val="clear" w:color="auto" w:fill="auto"/>
            <w:noWrap/>
            <w:vAlign w:val="bottom"/>
            <w:hideMark/>
          </w:tcPr>
          <w:p w:rsidR="00717ED3" w:rsidRPr="00717ED3" w:rsidRDefault="00717ED3" w:rsidP="00717ED3">
            <w:pPr>
              <w:jc w:val="right"/>
              <w:rPr>
                <w:rFonts w:ascii="Arial Narrow" w:hAnsi="Arial Narrow" w:cs="Arial"/>
                <w:b/>
                <w:bCs/>
                <w:color w:val="000000"/>
              </w:rPr>
            </w:pPr>
            <w:r w:rsidRPr="00717ED3">
              <w:rPr>
                <w:rFonts w:ascii="Arial Narrow" w:hAnsi="Arial Narrow" w:cs="Arial"/>
                <w:b/>
                <w:bCs/>
                <w:color w:val="000000"/>
              </w:rPr>
              <w:t>1,790</w:t>
            </w: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color w:val="000000"/>
              </w:rPr>
            </w:pPr>
          </w:p>
        </w:tc>
      </w:tr>
      <w:tr w:rsidR="00717ED3" w:rsidRPr="00717ED3" w:rsidTr="006E4E07">
        <w:trPr>
          <w:gridAfter w:val="3"/>
          <w:trHeight w:val="255"/>
        </w:trPr>
        <w:tc>
          <w:tcPr>
            <w:tcW w:w="3541"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b/>
                <w:bCs/>
                <w:color w:val="000000"/>
              </w:rPr>
            </w:pPr>
          </w:p>
        </w:tc>
        <w:tc>
          <w:tcPr>
            <w:tcW w:w="960"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b/>
                <w:bCs/>
                <w:color w:val="000000"/>
              </w:rPr>
            </w:pPr>
          </w:p>
        </w:tc>
        <w:tc>
          <w:tcPr>
            <w:tcW w:w="960"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b/>
                <w:bCs/>
                <w:color w:val="000000"/>
              </w:rPr>
            </w:pPr>
          </w:p>
        </w:tc>
        <w:tc>
          <w:tcPr>
            <w:tcW w:w="963" w:type="dxa"/>
            <w:gridSpan w:val="2"/>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b/>
                <w:bCs/>
                <w:color w:val="000000"/>
              </w:rPr>
            </w:pPr>
          </w:p>
        </w:tc>
        <w:tc>
          <w:tcPr>
            <w:tcW w:w="1029"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b/>
                <w:bCs/>
                <w:color w:val="000000"/>
              </w:rPr>
            </w:pPr>
          </w:p>
        </w:tc>
        <w:tc>
          <w:tcPr>
            <w:tcW w:w="294" w:type="dxa"/>
            <w:tcBorders>
              <w:top w:val="nil"/>
              <w:left w:val="nil"/>
              <w:bottom w:val="nil"/>
              <w:right w:val="nil"/>
            </w:tcBorders>
            <w:shd w:val="clear" w:color="auto" w:fill="auto"/>
            <w:noWrap/>
            <w:vAlign w:val="bottom"/>
            <w:hideMark/>
          </w:tcPr>
          <w:p w:rsidR="00717ED3" w:rsidRPr="00717ED3" w:rsidRDefault="00717ED3" w:rsidP="00717ED3">
            <w:pPr>
              <w:rPr>
                <w:rFonts w:ascii="Arial" w:hAnsi="Arial" w:cs="Arial"/>
                <w:color w:val="000000"/>
              </w:rPr>
            </w:pPr>
          </w:p>
        </w:tc>
      </w:tr>
      <w:tr w:rsidR="000930D9" w:rsidTr="006E4E07">
        <w:tblPrEx>
          <w:tblCellMar>
            <w:left w:w="0" w:type="dxa"/>
            <w:right w:w="0" w:type="dxa"/>
          </w:tblCellMar>
          <w:tblLook w:val="0000" w:firstRow="0" w:lastRow="0" w:firstColumn="0" w:lastColumn="0" w:noHBand="0" w:noVBand="0"/>
        </w:tblPrEx>
        <w:trPr>
          <w:trHeight w:val="264"/>
        </w:trPr>
        <w:tc>
          <w:tcPr>
            <w:tcW w:w="0" w:type="auto"/>
            <w:tcBorders>
              <w:top w:val="nil"/>
              <w:left w:val="nil"/>
              <w:bottom w:val="nil"/>
              <w:right w:val="nil"/>
            </w:tcBorders>
            <w:noWrap/>
            <w:tcMar>
              <w:top w:w="12" w:type="dxa"/>
              <w:left w:w="12" w:type="dxa"/>
              <w:bottom w:w="0" w:type="dxa"/>
              <w:right w:w="12" w:type="dxa"/>
            </w:tcMar>
            <w:vAlign w:val="bottom"/>
          </w:tcPr>
          <w:p w:rsidR="000930D9" w:rsidRDefault="000930D9">
            <w:pPr>
              <w:rPr>
                <w:rFonts w:ascii="Arial" w:hAnsi="Arial" w:cs="Arial"/>
                <w:b/>
                <w:bCs/>
              </w:rPr>
            </w:pPr>
          </w:p>
        </w:tc>
        <w:tc>
          <w:tcPr>
            <w:tcW w:w="0" w:type="auto"/>
            <w:tcBorders>
              <w:top w:val="nil"/>
              <w:left w:val="nil"/>
              <w:bottom w:val="nil"/>
              <w:right w:val="nil"/>
            </w:tcBorders>
            <w:noWrap/>
            <w:tcMar>
              <w:top w:w="12" w:type="dxa"/>
              <w:left w:w="12" w:type="dxa"/>
              <w:bottom w:w="0" w:type="dxa"/>
              <w:right w:w="12" w:type="dxa"/>
            </w:tcMar>
            <w:vAlign w:val="bottom"/>
          </w:tcPr>
          <w:p w:rsidR="000930D9" w:rsidRDefault="000930D9">
            <w:pPr>
              <w:rPr>
                <w:rFonts w:ascii="Arial" w:hAnsi="Arial" w:cs="Arial"/>
                <w:b/>
                <w:bCs/>
              </w:rPr>
            </w:pPr>
          </w:p>
        </w:tc>
        <w:tc>
          <w:tcPr>
            <w:tcW w:w="0" w:type="auto"/>
            <w:gridSpan w:val="2"/>
            <w:tcBorders>
              <w:top w:val="nil"/>
              <w:left w:val="nil"/>
              <w:bottom w:val="nil"/>
              <w:right w:val="nil"/>
            </w:tcBorders>
            <w:noWrap/>
            <w:tcMar>
              <w:top w:w="12" w:type="dxa"/>
              <w:left w:w="12" w:type="dxa"/>
              <w:bottom w:w="0" w:type="dxa"/>
              <w:right w:w="12" w:type="dxa"/>
            </w:tcMar>
            <w:vAlign w:val="bottom"/>
          </w:tcPr>
          <w:p w:rsidR="000930D9" w:rsidRDefault="000930D9">
            <w:pPr>
              <w:rPr>
                <w:rFonts w:ascii="Arial" w:hAnsi="Arial" w:cs="Arial"/>
                <w:b/>
                <w:bCs/>
              </w:rPr>
            </w:pPr>
          </w:p>
        </w:tc>
        <w:tc>
          <w:tcPr>
            <w:tcW w:w="0" w:type="auto"/>
            <w:gridSpan w:val="3"/>
            <w:tcBorders>
              <w:top w:val="nil"/>
              <w:left w:val="nil"/>
              <w:bottom w:val="nil"/>
              <w:right w:val="nil"/>
            </w:tcBorders>
            <w:noWrap/>
            <w:tcMar>
              <w:top w:w="12" w:type="dxa"/>
              <w:left w:w="12" w:type="dxa"/>
              <w:bottom w:w="0" w:type="dxa"/>
              <w:right w:w="12" w:type="dxa"/>
            </w:tcMar>
            <w:vAlign w:val="bottom"/>
          </w:tcPr>
          <w:p w:rsidR="000930D9" w:rsidRDefault="000930D9">
            <w:pPr>
              <w:rPr>
                <w:rFonts w:ascii="Arial" w:hAnsi="Arial" w:cs="Arial"/>
                <w:b/>
                <w:bCs/>
              </w:rPr>
            </w:pPr>
          </w:p>
        </w:tc>
        <w:tc>
          <w:tcPr>
            <w:tcW w:w="0" w:type="auto"/>
            <w:tcBorders>
              <w:top w:val="nil"/>
              <w:left w:val="nil"/>
              <w:bottom w:val="nil"/>
              <w:right w:val="nil"/>
            </w:tcBorders>
            <w:noWrap/>
            <w:tcMar>
              <w:top w:w="12" w:type="dxa"/>
              <w:left w:w="12" w:type="dxa"/>
              <w:bottom w:w="0" w:type="dxa"/>
              <w:right w:w="12" w:type="dxa"/>
            </w:tcMar>
            <w:vAlign w:val="bottom"/>
          </w:tcPr>
          <w:p w:rsidR="000930D9" w:rsidRDefault="000930D9">
            <w:pPr>
              <w:rPr>
                <w:rFonts w:ascii="Arial" w:hAnsi="Arial" w:cs="Arial"/>
                <w:b/>
                <w:bCs/>
              </w:rPr>
            </w:pPr>
          </w:p>
        </w:tc>
        <w:tc>
          <w:tcPr>
            <w:tcW w:w="0" w:type="auto"/>
            <w:tcBorders>
              <w:top w:val="nil"/>
              <w:left w:val="nil"/>
              <w:bottom w:val="nil"/>
              <w:right w:val="nil"/>
            </w:tcBorders>
            <w:noWrap/>
            <w:tcMar>
              <w:top w:w="12" w:type="dxa"/>
              <w:left w:w="12" w:type="dxa"/>
              <w:bottom w:w="0" w:type="dxa"/>
              <w:right w:w="12" w:type="dxa"/>
            </w:tcMar>
            <w:vAlign w:val="bottom"/>
          </w:tcPr>
          <w:p w:rsidR="000930D9" w:rsidRDefault="000930D9">
            <w:pPr>
              <w:rPr>
                <w:rFonts w:ascii="Arial" w:hAnsi="Arial" w:cs="Arial"/>
                <w:b/>
                <w:bCs/>
              </w:rPr>
            </w:pPr>
          </w:p>
        </w:tc>
        <w:tc>
          <w:tcPr>
            <w:tcW w:w="0" w:type="auto"/>
            <w:tcBorders>
              <w:top w:val="nil"/>
              <w:left w:val="nil"/>
              <w:bottom w:val="nil"/>
              <w:right w:val="nil"/>
            </w:tcBorders>
            <w:noWrap/>
            <w:tcMar>
              <w:top w:w="12" w:type="dxa"/>
              <w:left w:w="12" w:type="dxa"/>
              <w:bottom w:w="0" w:type="dxa"/>
              <w:right w:w="12" w:type="dxa"/>
            </w:tcMar>
            <w:vAlign w:val="bottom"/>
          </w:tcPr>
          <w:p w:rsidR="000930D9" w:rsidRDefault="000930D9">
            <w:pPr>
              <w:rPr>
                <w:rFonts w:ascii="Arial" w:hAnsi="Arial" w:cs="Arial"/>
              </w:rPr>
            </w:pPr>
          </w:p>
        </w:tc>
      </w:tr>
      <w:tr w:rsidR="000930D9" w:rsidTr="006E4E07">
        <w:tblPrEx>
          <w:tblCellMar>
            <w:left w:w="0" w:type="dxa"/>
            <w:right w:w="0" w:type="dxa"/>
          </w:tblCellMar>
          <w:tblLook w:val="0000" w:firstRow="0" w:lastRow="0" w:firstColumn="0" w:lastColumn="0" w:noHBand="0" w:noVBand="0"/>
        </w:tblPrEx>
        <w:trPr>
          <w:trHeight w:val="276"/>
        </w:trPr>
        <w:tc>
          <w:tcPr>
            <w:tcW w:w="0" w:type="auto"/>
            <w:gridSpan w:val="7"/>
            <w:tcBorders>
              <w:top w:val="nil"/>
              <w:left w:val="nil"/>
              <w:bottom w:val="nil"/>
              <w:right w:val="nil"/>
            </w:tcBorders>
            <w:noWrap/>
            <w:tcMar>
              <w:top w:w="12" w:type="dxa"/>
              <w:left w:w="12" w:type="dxa"/>
              <w:bottom w:w="0" w:type="dxa"/>
              <w:right w:w="12" w:type="dxa"/>
            </w:tcMar>
            <w:vAlign w:val="bottom"/>
          </w:tcPr>
          <w:p w:rsidR="006E4E07" w:rsidRDefault="006E4E07">
            <w:pPr>
              <w:rPr>
                <w:rFonts w:ascii="Arial Narrow" w:hAnsi="Arial Narrow" w:cs="Arial"/>
              </w:rPr>
            </w:pPr>
          </w:p>
          <w:p w:rsidR="000930D9" w:rsidRDefault="000930D9">
            <w:pPr>
              <w:rPr>
                <w:rFonts w:ascii="Arial Narrow" w:hAnsi="Arial Narrow" w:cs="Arial"/>
              </w:rPr>
            </w:pPr>
            <w:r>
              <w:rPr>
                <w:rFonts w:ascii="Arial Narrow" w:hAnsi="Arial Narrow" w:cs="Arial"/>
              </w:rPr>
              <w:t>* pre-kindergarten and half-day kindergarten count as .5 full-time equivalent pupils</w:t>
            </w:r>
          </w:p>
        </w:tc>
        <w:tc>
          <w:tcPr>
            <w:tcW w:w="0" w:type="auto"/>
            <w:tcBorders>
              <w:top w:val="nil"/>
              <w:left w:val="nil"/>
              <w:bottom w:val="nil"/>
              <w:right w:val="nil"/>
            </w:tcBorders>
            <w:noWrap/>
            <w:tcMar>
              <w:top w:w="12" w:type="dxa"/>
              <w:left w:w="12" w:type="dxa"/>
              <w:bottom w:w="0" w:type="dxa"/>
              <w:right w:w="12" w:type="dxa"/>
            </w:tcMar>
            <w:vAlign w:val="bottom"/>
          </w:tcPr>
          <w:p w:rsidR="000930D9" w:rsidRDefault="000930D9">
            <w:pPr>
              <w:rPr>
                <w:rFonts w:ascii="Arial" w:hAnsi="Arial" w:cs="Arial"/>
              </w:rPr>
            </w:pPr>
          </w:p>
        </w:tc>
        <w:tc>
          <w:tcPr>
            <w:tcW w:w="0" w:type="auto"/>
            <w:tcBorders>
              <w:top w:val="nil"/>
              <w:left w:val="nil"/>
              <w:bottom w:val="nil"/>
              <w:right w:val="nil"/>
            </w:tcBorders>
            <w:noWrap/>
            <w:tcMar>
              <w:top w:w="12" w:type="dxa"/>
              <w:left w:w="12" w:type="dxa"/>
              <w:bottom w:w="0" w:type="dxa"/>
              <w:right w:w="12" w:type="dxa"/>
            </w:tcMar>
            <w:vAlign w:val="bottom"/>
          </w:tcPr>
          <w:p w:rsidR="000930D9" w:rsidRDefault="000930D9">
            <w:pPr>
              <w:rPr>
                <w:rFonts w:ascii="Arial" w:hAnsi="Arial" w:cs="Arial"/>
              </w:rPr>
            </w:pPr>
          </w:p>
        </w:tc>
        <w:tc>
          <w:tcPr>
            <w:tcW w:w="0" w:type="auto"/>
            <w:tcBorders>
              <w:top w:val="nil"/>
              <w:left w:val="nil"/>
              <w:bottom w:val="nil"/>
              <w:right w:val="nil"/>
            </w:tcBorders>
            <w:noWrap/>
            <w:tcMar>
              <w:top w:w="12" w:type="dxa"/>
              <w:left w:w="12" w:type="dxa"/>
              <w:bottom w:w="0" w:type="dxa"/>
              <w:right w:w="12" w:type="dxa"/>
            </w:tcMar>
            <w:vAlign w:val="bottom"/>
          </w:tcPr>
          <w:p w:rsidR="000930D9" w:rsidRDefault="000930D9">
            <w:pPr>
              <w:rPr>
                <w:rFonts w:ascii="Arial" w:hAnsi="Arial" w:cs="Arial"/>
              </w:rPr>
            </w:pPr>
          </w:p>
        </w:tc>
      </w:tr>
    </w:tbl>
    <w:p w:rsidR="000930D9" w:rsidRDefault="000930D9">
      <w:pPr>
        <w:rPr>
          <w:rFonts w:ascii="Arial" w:hAnsi="Arial" w:cs="Arial"/>
        </w:rPr>
      </w:pPr>
    </w:p>
    <w:p w:rsidR="00FF7340" w:rsidRDefault="00FF7340">
      <w:pPr>
        <w:rPr>
          <w:rFonts w:ascii="Arial" w:hAnsi="Arial" w:cs="Arial"/>
        </w:rPr>
      </w:pPr>
      <w:r>
        <w:rPr>
          <w:rFonts w:ascii="Arial" w:hAnsi="Arial" w:cs="Arial"/>
        </w:rPr>
        <w:br w:type="page"/>
      </w:r>
    </w:p>
    <w:p w:rsidR="000930D9" w:rsidRDefault="00FF7340">
      <w:pPr>
        <w:rPr>
          <w:rFonts w:ascii="Arial" w:hAnsi="Arial" w:cs="Arial"/>
        </w:rPr>
      </w:pPr>
      <w:r>
        <w:rPr>
          <w:rFonts w:ascii="Arial" w:hAnsi="Arial" w:cs="Arial"/>
        </w:rPr>
        <w:lastRenderedPageBreak/>
        <w:t xml:space="preserve"> </w:t>
      </w:r>
      <w:r w:rsidR="000930D9">
        <w:rPr>
          <w:rFonts w:ascii="Arial" w:hAnsi="Arial" w:cs="Arial"/>
        </w:rPr>
        <w:t>“Resident pupils” include those enrolled who</w:t>
      </w:r>
    </w:p>
    <w:p w:rsidR="000930D9" w:rsidRDefault="000930D9">
      <w:pPr>
        <w:rPr>
          <w:rFonts w:ascii="Arial" w:hAnsi="Arial" w:cs="Arial"/>
        </w:rPr>
      </w:pPr>
    </w:p>
    <w:p w:rsidR="000930D9" w:rsidRDefault="000930D9">
      <w:pPr>
        <w:numPr>
          <w:ilvl w:val="0"/>
          <w:numId w:val="3"/>
        </w:numPr>
        <w:rPr>
          <w:rFonts w:ascii="Arial" w:hAnsi="Arial" w:cs="Arial"/>
        </w:rPr>
      </w:pPr>
      <w:r>
        <w:rPr>
          <w:rFonts w:ascii="Arial" w:hAnsi="Arial" w:cs="Arial"/>
        </w:rPr>
        <w:t>live in the district</w:t>
      </w:r>
    </w:p>
    <w:p w:rsidR="000930D9" w:rsidRDefault="000930D9">
      <w:pPr>
        <w:numPr>
          <w:ilvl w:val="0"/>
          <w:numId w:val="3"/>
        </w:numPr>
        <w:rPr>
          <w:rFonts w:ascii="Arial" w:hAnsi="Arial" w:cs="Arial"/>
        </w:rPr>
      </w:pPr>
      <w:r>
        <w:rPr>
          <w:rFonts w:ascii="Arial" w:hAnsi="Arial" w:cs="Arial"/>
        </w:rPr>
        <w:t xml:space="preserve">attend through the METCO racial imbalance program </w:t>
      </w:r>
    </w:p>
    <w:p w:rsidR="000930D9" w:rsidRDefault="000930D9">
      <w:pPr>
        <w:numPr>
          <w:ilvl w:val="0"/>
          <w:numId w:val="3"/>
        </w:numPr>
        <w:rPr>
          <w:rFonts w:ascii="Arial" w:hAnsi="Arial" w:cs="Arial"/>
        </w:rPr>
      </w:pPr>
      <w:r>
        <w:rPr>
          <w:rFonts w:ascii="Arial" w:hAnsi="Arial" w:cs="Arial"/>
        </w:rPr>
        <w:t xml:space="preserve">are non-resident children of teachers working in the district </w:t>
      </w:r>
    </w:p>
    <w:p w:rsidR="000930D9" w:rsidRDefault="000930D9">
      <w:pPr>
        <w:numPr>
          <w:ilvl w:val="0"/>
          <w:numId w:val="3"/>
        </w:numPr>
        <w:rPr>
          <w:rFonts w:ascii="Arial" w:hAnsi="Arial" w:cs="Arial"/>
        </w:rPr>
      </w:pPr>
      <w:r>
        <w:rPr>
          <w:rFonts w:ascii="Arial" w:hAnsi="Arial" w:cs="Arial"/>
        </w:rPr>
        <w:t>attend local Horace Mann charter schools,</w:t>
      </w:r>
    </w:p>
    <w:p w:rsidR="000930D9" w:rsidRDefault="000930D9">
      <w:pPr>
        <w:numPr>
          <w:ilvl w:val="0"/>
          <w:numId w:val="3"/>
        </w:numPr>
        <w:rPr>
          <w:rFonts w:ascii="Arial" w:hAnsi="Arial" w:cs="Arial"/>
        </w:rPr>
      </w:pPr>
      <w:r>
        <w:rPr>
          <w:rFonts w:ascii="Arial" w:hAnsi="Arial" w:cs="Arial"/>
        </w:rPr>
        <w:t xml:space="preserve">are foreign exchange students enrolled in the district, and </w:t>
      </w:r>
    </w:p>
    <w:p w:rsidR="000930D9" w:rsidRDefault="000930D9">
      <w:pPr>
        <w:numPr>
          <w:ilvl w:val="0"/>
          <w:numId w:val="3"/>
        </w:numPr>
        <w:rPr>
          <w:rFonts w:ascii="Arial" w:hAnsi="Arial" w:cs="Arial"/>
        </w:rPr>
      </w:pPr>
      <w:proofErr w:type="gramStart"/>
      <w:r>
        <w:rPr>
          <w:rFonts w:ascii="Arial" w:hAnsi="Arial" w:cs="Arial"/>
        </w:rPr>
        <w:t>are</w:t>
      </w:r>
      <w:proofErr w:type="gramEnd"/>
      <w:r>
        <w:rPr>
          <w:rFonts w:ascii="Arial" w:hAnsi="Arial" w:cs="Arial"/>
        </w:rPr>
        <w:t xml:space="preserve"> special education pupils being tuitioned to private schools, special education collaboratives, and state institutions.</w:t>
      </w:r>
      <w:r>
        <w:rPr>
          <w:rStyle w:val="FootnoteReference"/>
          <w:rFonts w:ascii="Arial" w:hAnsi="Arial" w:cs="Arial"/>
        </w:rPr>
        <w:footnoteReference w:id="4"/>
      </w:r>
      <w:r>
        <w:rPr>
          <w:rFonts w:ascii="Arial" w:hAnsi="Arial" w:cs="Arial"/>
        </w:rPr>
        <w:t xml:space="preserve"> </w:t>
      </w:r>
    </w:p>
    <w:p w:rsidR="000930D9" w:rsidRDefault="000930D9">
      <w:pPr>
        <w:rPr>
          <w:rFonts w:ascii="Arial" w:hAnsi="Arial" w:cs="Arial"/>
        </w:rPr>
      </w:pPr>
    </w:p>
    <w:p w:rsidR="000930D9" w:rsidRDefault="000930D9">
      <w:pPr>
        <w:rPr>
          <w:rFonts w:ascii="Arial" w:hAnsi="Arial" w:cs="Arial"/>
        </w:rPr>
      </w:pPr>
      <w:r>
        <w:rPr>
          <w:rFonts w:ascii="Arial" w:hAnsi="Arial" w:cs="Arial"/>
        </w:rPr>
        <w:t xml:space="preserve">This category excludes any non-resident pupil enrolled at the district through the school choice program, the Chapter 74 non-resident tuition program, or </w:t>
      </w:r>
      <w:proofErr w:type="gramStart"/>
      <w:r>
        <w:rPr>
          <w:rFonts w:ascii="Arial" w:hAnsi="Arial" w:cs="Arial"/>
        </w:rPr>
        <w:t>school committee tuition agreements</w:t>
      </w:r>
      <w:proofErr w:type="gramEnd"/>
      <w:r>
        <w:rPr>
          <w:rFonts w:ascii="Arial" w:hAnsi="Arial" w:cs="Arial"/>
        </w:rPr>
        <w:t>.</w:t>
      </w:r>
    </w:p>
    <w:p w:rsidR="000930D9" w:rsidRDefault="000930D9">
      <w:pPr>
        <w:rPr>
          <w:rFonts w:ascii="Arial" w:hAnsi="Arial" w:cs="Arial"/>
        </w:rPr>
      </w:pPr>
    </w:p>
    <w:p w:rsidR="000930D9" w:rsidRDefault="000930D9">
      <w:pPr>
        <w:rPr>
          <w:rFonts w:ascii="Arial" w:hAnsi="Arial" w:cs="Arial"/>
        </w:rPr>
      </w:pPr>
      <w:r>
        <w:rPr>
          <w:rFonts w:ascii="Arial" w:hAnsi="Arial" w:cs="Arial"/>
        </w:rPr>
        <w:t>“Residents at other districts” include those enrolled at</w:t>
      </w:r>
    </w:p>
    <w:p w:rsidR="000930D9" w:rsidRDefault="000930D9">
      <w:pPr>
        <w:rPr>
          <w:rFonts w:ascii="Arial" w:hAnsi="Arial" w:cs="Arial"/>
        </w:rPr>
      </w:pPr>
    </w:p>
    <w:p w:rsidR="000930D9" w:rsidRDefault="000930D9">
      <w:pPr>
        <w:numPr>
          <w:ilvl w:val="0"/>
          <w:numId w:val="5"/>
        </w:numPr>
        <w:rPr>
          <w:rFonts w:ascii="Arial" w:hAnsi="Arial" w:cs="Arial"/>
        </w:rPr>
      </w:pPr>
      <w:r>
        <w:rPr>
          <w:rFonts w:ascii="Arial" w:hAnsi="Arial" w:cs="Arial"/>
        </w:rPr>
        <w:t>Commonwealth charter schools</w:t>
      </w:r>
      <w:bookmarkStart w:id="0" w:name="_GoBack"/>
      <w:bookmarkEnd w:id="0"/>
    </w:p>
    <w:p w:rsidR="000930D9" w:rsidRDefault="000930D9">
      <w:pPr>
        <w:numPr>
          <w:ilvl w:val="0"/>
          <w:numId w:val="5"/>
        </w:numPr>
        <w:rPr>
          <w:rFonts w:ascii="Arial" w:hAnsi="Arial" w:cs="Arial"/>
        </w:rPr>
      </w:pPr>
      <w:r>
        <w:rPr>
          <w:rFonts w:ascii="Arial" w:hAnsi="Arial" w:cs="Arial"/>
        </w:rPr>
        <w:t>other districts, through the school choice program</w:t>
      </w:r>
    </w:p>
    <w:p w:rsidR="000930D9" w:rsidRDefault="000930D9">
      <w:pPr>
        <w:numPr>
          <w:ilvl w:val="0"/>
          <w:numId w:val="5"/>
        </w:numPr>
        <w:rPr>
          <w:rFonts w:ascii="Arial" w:hAnsi="Arial" w:cs="Arial"/>
        </w:rPr>
      </w:pPr>
      <w:r>
        <w:rPr>
          <w:rFonts w:ascii="Arial" w:hAnsi="Arial" w:cs="Arial"/>
        </w:rPr>
        <w:t>other districts, through the Chapter 74 non-resident tuition program, and</w:t>
      </w:r>
    </w:p>
    <w:p w:rsidR="000930D9" w:rsidRDefault="000930D9">
      <w:pPr>
        <w:numPr>
          <w:ilvl w:val="0"/>
          <w:numId w:val="5"/>
        </w:numPr>
        <w:rPr>
          <w:rFonts w:ascii="Arial" w:hAnsi="Arial" w:cs="Arial"/>
        </w:rPr>
      </w:pPr>
      <w:proofErr w:type="gramStart"/>
      <w:r>
        <w:rPr>
          <w:rFonts w:ascii="Arial" w:hAnsi="Arial" w:cs="Arial"/>
        </w:rPr>
        <w:t>other</w:t>
      </w:r>
      <w:proofErr w:type="gramEnd"/>
      <w:r>
        <w:rPr>
          <w:rFonts w:ascii="Arial" w:hAnsi="Arial" w:cs="Arial"/>
        </w:rPr>
        <w:t xml:space="preserve"> districts, through school committee tuitioning agreements.</w:t>
      </w:r>
    </w:p>
    <w:p w:rsidR="000930D9" w:rsidRDefault="000930D9">
      <w:pPr>
        <w:ind w:firstLine="720"/>
        <w:rPr>
          <w:rFonts w:ascii="Arial" w:hAnsi="Arial" w:cs="Arial"/>
        </w:rPr>
      </w:pPr>
    </w:p>
    <w:p w:rsidR="000930D9" w:rsidRDefault="000930D9">
      <w:pPr>
        <w:rPr>
          <w:rFonts w:ascii="Arial" w:hAnsi="Arial" w:cs="Arial"/>
        </w:rPr>
      </w:pPr>
    </w:p>
    <w:p w:rsidR="000930D9" w:rsidRDefault="000930D9">
      <w:pPr>
        <w:pStyle w:val="Heading2"/>
      </w:pPr>
      <w:r>
        <w:t>Incremental Cost Categories</w:t>
      </w:r>
    </w:p>
    <w:p w:rsidR="000930D9" w:rsidRDefault="000930D9">
      <w:pPr>
        <w:rPr>
          <w:rFonts w:ascii="Arial" w:hAnsi="Arial" w:cs="Arial"/>
        </w:rPr>
      </w:pPr>
    </w:p>
    <w:p w:rsidR="000930D9" w:rsidRDefault="000930D9">
      <w:pPr>
        <w:rPr>
          <w:rFonts w:ascii="Arial" w:hAnsi="Arial" w:cs="Arial"/>
        </w:rPr>
      </w:pPr>
      <w:r>
        <w:rPr>
          <w:rFonts w:ascii="Arial" w:hAnsi="Arial" w:cs="Arial"/>
        </w:rPr>
        <w:t>In determining a district’s foundation budget, its headcount in each of the above categories is multiplied by a cost rate, which is set by statute and reflects annual inflation.   In addition, there are three cost increment categories that are intended to reflect the additional resources needed to educate special education and low income students.</w:t>
      </w:r>
    </w:p>
    <w:p w:rsidR="000930D9" w:rsidRDefault="000930D9">
      <w:pPr>
        <w:rPr>
          <w:rFonts w:ascii="Arial" w:hAnsi="Arial" w:cs="Arial"/>
        </w:rPr>
      </w:pPr>
    </w:p>
    <w:p w:rsidR="000930D9" w:rsidRDefault="000930D9">
      <w:pPr>
        <w:numPr>
          <w:ilvl w:val="0"/>
          <w:numId w:val="4"/>
        </w:numPr>
        <w:rPr>
          <w:rFonts w:ascii="Arial" w:hAnsi="Arial" w:cs="Arial"/>
        </w:rPr>
      </w:pPr>
      <w:r>
        <w:rPr>
          <w:rFonts w:ascii="Arial" w:hAnsi="Arial" w:cs="Arial"/>
        </w:rPr>
        <w:t>Assumed in-district special education enrollment is set at .0375 times foundation enrollment (not including pre-kindergarten and vocational pupils) and .0475 times the vocational enrollment.</w:t>
      </w:r>
    </w:p>
    <w:p w:rsidR="000930D9" w:rsidRDefault="000930D9">
      <w:pPr>
        <w:numPr>
          <w:ilvl w:val="0"/>
          <w:numId w:val="4"/>
        </w:numPr>
        <w:rPr>
          <w:rFonts w:ascii="Arial" w:hAnsi="Arial" w:cs="Arial"/>
        </w:rPr>
      </w:pPr>
      <w:r>
        <w:rPr>
          <w:rFonts w:ascii="Arial" w:hAnsi="Arial" w:cs="Arial"/>
        </w:rPr>
        <w:t xml:space="preserve">Assumed out-of-district special education enrollment is set at one percent of total foundation enrollment (again not including pre-kindergarten and vocational pupils). </w:t>
      </w:r>
    </w:p>
    <w:p w:rsidR="000930D9" w:rsidRDefault="000930D9">
      <w:pPr>
        <w:numPr>
          <w:ilvl w:val="0"/>
          <w:numId w:val="4"/>
        </w:numPr>
        <w:rPr>
          <w:rFonts w:ascii="Arial" w:hAnsi="Arial" w:cs="Arial"/>
        </w:rPr>
      </w:pPr>
      <w:r>
        <w:rPr>
          <w:rFonts w:ascii="Arial" w:hAnsi="Arial" w:cs="Arial"/>
        </w:rPr>
        <w:t xml:space="preserve">Low income status is reported on the basis of eligibility for free and reduced lunch programs.   Unlike foundation enrollment, low-income headcounts are assigned to the district where the pupils are actually enrolled (and where the extra costs occur), even if they are </w:t>
      </w:r>
      <w:proofErr w:type="spellStart"/>
      <w:r>
        <w:rPr>
          <w:rFonts w:ascii="Arial" w:hAnsi="Arial" w:cs="Arial"/>
        </w:rPr>
        <w:t>tuitioned</w:t>
      </w:r>
      <w:proofErr w:type="spellEnd"/>
      <w:r>
        <w:rPr>
          <w:rFonts w:ascii="Arial" w:hAnsi="Arial" w:cs="Arial"/>
        </w:rPr>
        <w:t>-in from another district.</w:t>
      </w:r>
    </w:p>
    <w:p w:rsidR="000930D9" w:rsidRDefault="000930D9">
      <w:pPr>
        <w:rPr>
          <w:rFonts w:ascii="Arial" w:hAnsi="Arial" w:cs="Arial"/>
        </w:rPr>
      </w:pPr>
    </w:p>
    <w:p w:rsidR="000930D9" w:rsidRDefault="000930D9">
      <w:pPr>
        <w:rPr>
          <w:rFonts w:ascii="Arial" w:hAnsi="Arial" w:cs="Arial"/>
        </w:rPr>
      </w:pPr>
    </w:p>
    <w:p w:rsidR="000930D9" w:rsidRDefault="000930D9">
      <w:pPr>
        <w:pStyle w:val="Heading2"/>
      </w:pPr>
      <w:r>
        <w:t>Individual districts’ foundation enrollment</w:t>
      </w:r>
    </w:p>
    <w:p w:rsidR="000930D9" w:rsidRDefault="000930D9">
      <w:pPr>
        <w:rPr>
          <w:rFonts w:ascii="Arial" w:hAnsi="Arial" w:cs="Arial"/>
        </w:rPr>
      </w:pPr>
    </w:p>
    <w:p w:rsidR="00FA73E6" w:rsidRDefault="000930D9">
      <w:pPr>
        <w:rPr>
          <w:rFonts w:ascii="Arial" w:hAnsi="Arial" w:cs="Arial"/>
        </w:rPr>
      </w:pPr>
      <w:r>
        <w:rPr>
          <w:rFonts w:ascii="Arial" w:hAnsi="Arial" w:cs="Arial"/>
        </w:rPr>
        <w:t xml:space="preserve">To see the most recent foundation enrollment, foundation budget, Chapter 70 aid and net school spending requirements for any district, go the Department of Elementary and Secondary Education’s </w:t>
      </w:r>
      <w:hyperlink r:id="rId11" w:history="1">
        <w:r w:rsidRPr="002F1EC1">
          <w:rPr>
            <w:rStyle w:val="Hyperlink"/>
            <w:rFonts w:ascii="Arial" w:hAnsi="Arial" w:cs="Arial"/>
          </w:rPr>
          <w:t>school finance web site</w:t>
        </w:r>
      </w:hyperlink>
      <w:r w:rsidR="00FA73E6">
        <w:rPr>
          <w:rFonts w:ascii="Arial" w:hAnsi="Arial" w:cs="Arial"/>
        </w:rPr>
        <w:t>.</w:t>
      </w:r>
    </w:p>
    <w:p w:rsidR="000930D9" w:rsidRDefault="000930D9">
      <w:pPr>
        <w:rPr>
          <w:rFonts w:ascii="Arial" w:hAnsi="Arial" w:cs="Arial"/>
        </w:rPr>
      </w:pPr>
    </w:p>
    <w:p w:rsidR="000930D9" w:rsidRDefault="000930D9">
      <w:pPr>
        <w:rPr>
          <w:rFonts w:ascii="Arial" w:hAnsi="Arial" w:cs="Arial"/>
        </w:rPr>
      </w:pPr>
    </w:p>
    <w:p w:rsidR="000930D9" w:rsidRDefault="00866364">
      <w:pPr>
        <w:rPr>
          <w:rFonts w:ascii="Arial" w:hAnsi="Arial" w:cs="Arial"/>
        </w:rPr>
      </w:pPr>
      <w:r>
        <w:rPr>
          <w:rFonts w:ascii="Arial" w:hAnsi="Arial" w:cs="Arial"/>
        </w:rPr>
        <w:t>7/2/2015</w:t>
      </w:r>
    </w:p>
    <w:sectPr w:rsidR="000930D9" w:rsidSect="00C1560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5C7" w:rsidRDefault="003025C7">
      <w:r>
        <w:separator/>
      </w:r>
    </w:p>
  </w:endnote>
  <w:endnote w:type="continuationSeparator" w:id="0">
    <w:p w:rsidR="003025C7" w:rsidRDefault="0030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5C7" w:rsidRDefault="003025C7">
      <w:r>
        <w:separator/>
      </w:r>
    </w:p>
  </w:footnote>
  <w:footnote w:type="continuationSeparator" w:id="0">
    <w:p w:rsidR="003025C7" w:rsidRDefault="003025C7">
      <w:r>
        <w:continuationSeparator/>
      </w:r>
    </w:p>
  </w:footnote>
  <w:footnote w:id="1">
    <w:p w:rsidR="00717ED3" w:rsidRDefault="00717ED3">
      <w:pPr>
        <w:pStyle w:val="FootnoteText"/>
        <w:ind w:left="180" w:hanging="180"/>
        <w:rPr>
          <w:rFonts w:ascii="Arial" w:hAnsi="Arial" w:cs="Arial"/>
        </w:rPr>
      </w:pPr>
      <w:r>
        <w:rPr>
          <w:rStyle w:val="FootnoteReference"/>
        </w:rPr>
        <w:footnoteRef/>
      </w:r>
      <w:r>
        <w:t xml:space="preserve">  </w:t>
      </w:r>
      <w:r>
        <w:rPr>
          <w:rFonts w:ascii="Arial" w:hAnsi="Arial" w:cs="Arial"/>
        </w:rPr>
        <w:t xml:space="preserve">Special education pupils in life-skills and similar programs beyond the 9-12 curriculum are listed as being in grade 13 and counted as </w:t>
      </w:r>
      <w:proofErr w:type="gramStart"/>
      <w:r>
        <w:rPr>
          <w:rFonts w:ascii="Arial" w:hAnsi="Arial" w:cs="Arial"/>
        </w:rPr>
        <w:t>high-schoolers</w:t>
      </w:r>
      <w:proofErr w:type="gramEnd"/>
      <w:r>
        <w:rPr>
          <w:rFonts w:ascii="Arial" w:hAnsi="Arial" w:cs="Arial"/>
        </w:rPr>
        <w:t>.</w:t>
      </w:r>
    </w:p>
  </w:footnote>
  <w:footnote w:id="2">
    <w:p w:rsidR="00717ED3" w:rsidRDefault="00717ED3">
      <w:pPr>
        <w:pStyle w:val="FootnoteText"/>
        <w:ind w:left="180" w:hanging="180"/>
        <w:rPr>
          <w:rFonts w:ascii="Arial" w:hAnsi="Arial" w:cs="Arial"/>
        </w:rPr>
      </w:pPr>
      <w:r>
        <w:rPr>
          <w:rStyle w:val="FootnoteReference"/>
        </w:rPr>
        <w:footnoteRef/>
      </w:r>
      <w:r>
        <w:t xml:space="preserve">  </w:t>
      </w:r>
      <w:r>
        <w:rPr>
          <w:rFonts w:ascii="Arial" w:hAnsi="Arial" w:cs="Arial"/>
        </w:rPr>
        <w:t xml:space="preserve">If a town is a member of a regional vocational district, its resident pupils at that district </w:t>
      </w:r>
      <w:proofErr w:type="gramStart"/>
      <w:r>
        <w:rPr>
          <w:rFonts w:ascii="Arial" w:hAnsi="Arial" w:cs="Arial"/>
        </w:rPr>
        <w:t>are not</w:t>
      </w:r>
      <w:r w:rsidR="00FF7340">
        <w:rPr>
          <w:rFonts w:ascii="Arial" w:hAnsi="Arial" w:cs="Arial"/>
        </w:rPr>
        <w:t xml:space="preserve"> </w:t>
      </w:r>
      <w:r>
        <w:rPr>
          <w:rFonts w:ascii="Arial" w:hAnsi="Arial" w:cs="Arial"/>
        </w:rPr>
        <w:t>counted</w:t>
      </w:r>
      <w:proofErr w:type="gramEnd"/>
      <w:r>
        <w:rPr>
          <w:rFonts w:ascii="Arial" w:hAnsi="Arial" w:cs="Arial"/>
        </w:rPr>
        <w:t xml:space="preserve"> in local district enrollment.  The vocational district reports those pupils and Chapter 70 aid goes directly to the vocational district.  </w:t>
      </w:r>
    </w:p>
  </w:footnote>
  <w:footnote w:id="3">
    <w:p w:rsidR="00717ED3" w:rsidRDefault="00717ED3">
      <w:pPr>
        <w:pStyle w:val="FootnoteText"/>
        <w:ind w:left="180" w:hanging="180"/>
      </w:pPr>
      <w:r>
        <w:rPr>
          <w:rStyle w:val="FootnoteReference"/>
        </w:rPr>
        <w:footnoteRef/>
      </w:r>
      <w:r>
        <w:t xml:space="preserve">  </w:t>
      </w:r>
      <w:r>
        <w:rPr>
          <w:rFonts w:ascii="Arial" w:hAnsi="Arial" w:cs="Arial"/>
        </w:rPr>
        <w:t xml:space="preserve">Post-graduate and post-secondary pupils are in occupational and vocational programs run by school districts </w:t>
      </w:r>
      <w:proofErr w:type="gramStart"/>
      <w:r>
        <w:rPr>
          <w:rFonts w:ascii="Arial" w:hAnsi="Arial" w:cs="Arial"/>
        </w:rPr>
        <w:t>may be counted</w:t>
      </w:r>
      <w:proofErr w:type="gramEnd"/>
      <w:r>
        <w:rPr>
          <w:rFonts w:ascii="Arial" w:hAnsi="Arial" w:cs="Arial"/>
        </w:rPr>
        <w:t xml:space="preserve"> if they pay less than the state-approved tuition rate.</w:t>
      </w:r>
    </w:p>
  </w:footnote>
  <w:footnote w:id="4">
    <w:p w:rsidR="00717ED3" w:rsidRDefault="00717ED3">
      <w:pPr>
        <w:pStyle w:val="FootnoteText"/>
      </w:pPr>
      <w:r>
        <w:rPr>
          <w:rStyle w:val="FootnoteReference"/>
        </w:rPr>
        <w:footnoteRef/>
      </w:r>
      <w:r>
        <w:t xml:space="preserve"> </w:t>
      </w:r>
      <w:r>
        <w:rPr>
          <w:rFonts w:ascii="Arial" w:hAnsi="Arial" w:cs="Arial"/>
        </w:rPr>
        <w:t xml:space="preserve">Private schools, collaboratives, and state institutions do not participate in the Department of Elementary and Secondary Department’s SIMS </w:t>
      </w:r>
      <w:proofErr w:type="gramStart"/>
      <w:r>
        <w:rPr>
          <w:rFonts w:ascii="Arial" w:hAnsi="Arial" w:cs="Arial"/>
        </w:rPr>
        <w:t>data base</w:t>
      </w:r>
      <w:proofErr w:type="gramEnd"/>
      <w:r>
        <w:rPr>
          <w:rFonts w:ascii="Arial" w:hAnsi="Arial" w:cs="Arial"/>
        </w:rPr>
        <w:t xml:space="preserve">.  Therefore, the districts paying tuition for these out-of-district pupils are required to report them along with all of their in-district students.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85829"/>
    <w:multiLevelType w:val="hybridMultilevel"/>
    <w:tmpl w:val="B8FA0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0A22E3"/>
    <w:multiLevelType w:val="hybridMultilevel"/>
    <w:tmpl w:val="20F80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D47B1E"/>
    <w:multiLevelType w:val="hybridMultilevel"/>
    <w:tmpl w:val="06D43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2C3B41"/>
    <w:multiLevelType w:val="hybridMultilevel"/>
    <w:tmpl w:val="B672A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D4012E"/>
    <w:multiLevelType w:val="hybridMultilevel"/>
    <w:tmpl w:val="CA329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D9"/>
    <w:rsid w:val="000930D9"/>
    <w:rsid w:val="001402D0"/>
    <w:rsid w:val="002F1EC1"/>
    <w:rsid w:val="003025C7"/>
    <w:rsid w:val="003601ED"/>
    <w:rsid w:val="00525510"/>
    <w:rsid w:val="006E4E07"/>
    <w:rsid w:val="00717ED3"/>
    <w:rsid w:val="0074324A"/>
    <w:rsid w:val="00866364"/>
    <w:rsid w:val="00887C3A"/>
    <w:rsid w:val="00AC45DA"/>
    <w:rsid w:val="00C15609"/>
    <w:rsid w:val="00C27C92"/>
    <w:rsid w:val="00CE7348"/>
    <w:rsid w:val="00E4664B"/>
    <w:rsid w:val="00F74EE1"/>
    <w:rsid w:val="00FA73E6"/>
    <w:rsid w:val="00FF7340"/>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ECF1F94"/>
  <w15:docId w15:val="{3532D4C6-0D0C-4EFC-9A0A-49E18B8C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609"/>
    <w:rPr>
      <w:lang w:eastAsia="en-US"/>
    </w:rPr>
  </w:style>
  <w:style w:type="paragraph" w:styleId="Heading1">
    <w:name w:val="heading 1"/>
    <w:basedOn w:val="Normal"/>
    <w:next w:val="Normal"/>
    <w:qFormat/>
    <w:rsid w:val="00C15609"/>
    <w:pPr>
      <w:keepNext/>
      <w:jc w:val="center"/>
      <w:outlineLvl w:val="0"/>
    </w:pPr>
    <w:rPr>
      <w:rFonts w:ascii="Arial" w:hAnsi="Arial" w:cs="Arial"/>
      <w:b/>
      <w:bCs/>
    </w:rPr>
  </w:style>
  <w:style w:type="paragraph" w:styleId="Heading2">
    <w:name w:val="heading 2"/>
    <w:basedOn w:val="Normal"/>
    <w:next w:val="Normal"/>
    <w:qFormat/>
    <w:rsid w:val="00C15609"/>
    <w:pPr>
      <w:keepNext/>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5609"/>
    <w:pPr>
      <w:jc w:val="center"/>
    </w:pPr>
    <w:rPr>
      <w:rFonts w:ascii="Arial" w:hAnsi="Arial" w:cs="Arial"/>
      <w:b/>
      <w:bCs/>
    </w:rPr>
  </w:style>
  <w:style w:type="paragraph" w:styleId="FootnoteText">
    <w:name w:val="footnote text"/>
    <w:basedOn w:val="Normal"/>
    <w:semiHidden/>
    <w:rsid w:val="00C15609"/>
  </w:style>
  <w:style w:type="character" w:styleId="FootnoteReference">
    <w:name w:val="footnote reference"/>
    <w:basedOn w:val="DefaultParagraphFont"/>
    <w:semiHidden/>
    <w:rsid w:val="00C15609"/>
    <w:rPr>
      <w:vertAlign w:val="superscript"/>
    </w:rPr>
  </w:style>
  <w:style w:type="character" w:styleId="Hyperlink">
    <w:name w:val="Hyperlink"/>
    <w:basedOn w:val="DefaultParagraphFont"/>
    <w:rsid w:val="00C15609"/>
    <w:rPr>
      <w:color w:val="0000FF"/>
      <w:u w:val="single"/>
    </w:rPr>
  </w:style>
  <w:style w:type="character" w:styleId="FollowedHyperlink">
    <w:name w:val="FollowedHyperlink"/>
    <w:basedOn w:val="DefaultParagraphFont"/>
    <w:rsid w:val="00C156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inance/chapter7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DESE-231-17639</_dlc_DocId>
    <_dlc_DocIdUrl xmlns="733efe1c-5bbe-4968-87dc-d400e65c879f">
      <Url>https://sharepoint.doemass.org/ese/webteam/cps/_layouts/DocIdRedir.aspx?ID=DESE-231-17639</Url>
      <Description>DESE-231-17639</Description>
    </_dlc_DocIdUrl>
  </documentManagement>
</p:properties>
</file>

<file path=customXml/itemProps1.xml><?xml version="1.0" encoding="utf-8"?>
<ds:datastoreItem xmlns:ds="http://schemas.openxmlformats.org/officeDocument/2006/customXml" ds:itemID="{B0B5D2E1-4711-40E2-BB63-A71576D5F100}">
  <ds:schemaRefs>
    <ds:schemaRef ds:uri="http://schemas.microsoft.com/sharepoint/v3/contenttype/forms"/>
  </ds:schemaRefs>
</ds:datastoreItem>
</file>

<file path=customXml/itemProps2.xml><?xml version="1.0" encoding="utf-8"?>
<ds:datastoreItem xmlns:ds="http://schemas.openxmlformats.org/officeDocument/2006/customXml" ds:itemID="{300E46DE-FBC8-4711-9889-48BAC45AA45B}">
  <ds:schemaRefs>
    <ds:schemaRef ds:uri="http://schemas.microsoft.com/sharepoint/events"/>
  </ds:schemaRefs>
</ds:datastoreItem>
</file>

<file path=customXml/itemProps3.xml><?xml version="1.0" encoding="utf-8"?>
<ds:datastoreItem xmlns:ds="http://schemas.openxmlformats.org/officeDocument/2006/customXml" ds:itemID="{7F143BE9-0217-4EFA-8EC8-F4086C83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41533-F41C-4EB8-8058-156284168377}">
  <ds:schemaRefs>
    <ds:schemaRef ds:uri="http://schemas.openxmlformats.org/package/2006/metadata/core-properties"/>
    <ds:schemaRef ds:uri="http://purl.org/dc/elements/1.1/"/>
    <ds:schemaRef ds:uri="http://www.w3.org/XML/1998/namespace"/>
    <ds:schemaRef ds:uri="0a4e05da-b9bc-4326-ad73-01ef31b95567"/>
    <ds:schemaRef ds:uri="http://schemas.microsoft.com/office/2006/metadata/properties"/>
    <ds:schemaRef ds:uri="http://schemas.microsoft.com/office/2006/documentManagement/types"/>
    <ds:schemaRef ds:uri="http://schemas.microsoft.com/office/infopath/2007/PartnerControls"/>
    <ds:schemaRef ds:uri="733efe1c-5bbe-4968-87dc-d400e65c879f"/>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1445</Words>
  <Characters>8548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How Foundation Enrollment is calculated</vt:lpstr>
    </vt:vector>
  </TitlesOfParts>
  <Company/>
  <LinksUpToDate>false</LinksUpToDate>
  <CharactersWithSpaces>9974</CharactersWithSpaces>
  <SharedDoc>false</SharedDoc>
  <HLinks>
    <vt:vector size="6" baseType="variant">
      <vt:variant>
        <vt:i4>7536723</vt:i4>
      </vt:variant>
      <vt:variant>
        <vt:i4>0</vt:i4>
      </vt:variant>
      <vt:variant>
        <vt:i4>0</vt:i4>
      </vt:variant>
      <vt:variant>
        <vt:i4>5</vt:i4>
      </vt:variant>
      <vt:variant>
        <vt:lpwstr>http://finance1.doe.mass.edu/chapter70/chapter_08.html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Foundation Enrollment is calculated</dc:title>
  <dc:subject/>
  <dc:creator>DESE</dc:creator>
  <cp:keywords/>
  <dc:description/>
  <cp:lastModifiedBy>Zou, Dong (EOE)</cp:lastModifiedBy>
  <cp:revision>4</cp:revision>
  <cp:lastPrinted>2014-07-03T18:07:00Z</cp:lastPrinted>
  <dcterms:created xsi:type="dcterms:W3CDTF">2018-11-19T17:08:00Z</dcterms:created>
  <dcterms:modified xsi:type="dcterms:W3CDTF">2018-11-19T17:12:00Z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17 2015</vt:lpwstr>
  </property>
</Properties>
</file>