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trPr>
          <w:gridAfter w:val="1"/>
          <w:wAfter w:w="2070" w:type="dxa"/>
          <w:trHeight w:val="5040"/>
        </w:trPr>
        <w:tc>
          <w:tcPr>
            <w:tcW w:w="8010" w:type="dxa"/>
            <w:gridSpan w:val="3"/>
          </w:tcPr>
          <w:p w14:paraId="342BB4A3" w14:textId="77777777" w:rsidR="005F037D" w:rsidRDefault="000A7B23">
            <w:pPr>
              <w:keepNext/>
            </w:pPr>
            <w:r>
              <w:rPr>
                <w:noProof/>
                <w:lang w:eastAsia="zh-CN"/>
              </w:rPr>
              <w:drawing>
                <wp:inline distT="0" distB="0" distL="0" distR="0" wp14:anchorId="79D18BD5" wp14:editId="76EE6076">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455183">
            <w:r>
              <w:pict w14:anchorId="31F79943">
                <v:rect id="_x0000_i1025" style="width:0;height:1.5pt" o:hrstd="t" o:hr="t" fillcolor="#aaa" stroked="f"/>
              </w:pict>
            </w:r>
          </w:p>
        </w:tc>
      </w:tr>
      <w:tr w:rsidR="005F037D" w14:paraId="70C47E4C" w14:textId="77777777">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77777777" w:rsidR="00F66EB7" w:rsidRPr="00F66EB7" w:rsidRDefault="003219C9" w:rsidP="00EB1F6F">
            <w:pPr>
              <w:pStyle w:val="arial9"/>
            </w:pPr>
            <w:r>
              <w:t>FY19 Chapter 70 Aid and Required Contribution Calculations</w:t>
            </w:r>
          </w:p>
          <w:p w14:paraId="71CA1640" w14:textId="49A158E2" w:rsidR="005F037D" w:rsidRDefault="0067284C" w:rsidP="00EB1F6F">
            <w:pPr>
              <w:pStyle w:val="arial9"/>
            </w:pPr>
            <w:r>
              <w:t xml:space="preserve">September </w:t>
            </w:r>
            <w:r w:rsidR="003219C9">
              <w:t>2018</w:t>
            </w:r>
          </w:p>
        </w:tc>
      </w:tr>
      <w:tr w:rsidR="005F037D" w14:paraId="05194E08" w14:textId="77777777">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lang w:eastAsia="zh-CN"/>
              </w:rPr>
              <w:drawing>
                <wp:inline distT="0" distB="0" distL="0" distR="0" wp14:anchorId="02BF65B4" wp14:editId="03AD4D03">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77777777" w:rsidR="00C118B2" w:rsidRDefault="00C118B2" w:rsidP="002B51B3">
            <w:pPr>
              <w:pStyle w:val="BoardMembers"/>
            </w:pPr>
            <w:r>
              <w:t>© 20</w:t>
            </w:r>
            <w:r w:rsidR="001F35ED">
              <w:t>1</w:t>
            </w:r>
            <w:r w:rsidR="003A05E0">
              <w:t>8</w:t>
            </w:r>
            <w:r w:rsidR="00E25B58">
              <w:t xml:space="preserve"> </w:t>
            </w:r>
            <w:r>
              <w:t xml:space="preserve">Massachusetts Department of </w:t>
            </w:r>
            <w:r w:rsidR="00440BAB" w:rsidRPr="00440BAB">
              <w:t xml:space="preserve">Elementary and Secondary </w:t>
            </w:r>
            <w:r>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Default="00C118B2" w:rsidP="00345DE2">
            <w:pPr>
              <w:pStyle w:val="Permission"/>
            </w:pPr>
            <w:r>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lang w:eastAsia="zh-CN"/>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76505EDC" w14:textId="184D87A5" w:rsidR="00CC6A09"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524548278" w:history="1">
        <w:r w:rsidR="00CC6A09" w:rsidRPr="00575D53">
          <w:rPr>
            <w:rStyle w:val="Hyperlink"/>
            <w:noProof/>
          </w:rPr>
          <w:t>FY19 Chapter 70 Aid and Required Contribution Calculations</w:t>
        </w:r>
        <w:r w:rsidR="00CC6A09">
          <w:rPr>
            <w:noProof/>
            <w:webHidden/>
          </w:rPr>
          <w:tab/>
        </w:r>
        <w:r w:rsidR="00CC6A09">
          <w:rPr>
            <w:noProof/>
            <w:webHidden/>
          </w:rPr>
          <w:fldChar w:fldCharType="begin"/>
        </w:r>
        <w:r w:rsidR="00CC6A09">
          <w:rPr>
            <w:noProof/>
            <w:webHidden/>
          </w:rPr>
          <w:instrText xml:space="preserve"> PAGEREF _Toc524548278 \h </w:instrText>
        </w:r>
        <w:r w:rsidR="00CC6A09">
          <w:rPr>
            <w:noProof/>
            <w:webHidden/>
          </w:rPr>
        </w:r>
        <w:r w:rsidR="00CC6A09">
          <w:rPr>
            <w:noProof/>
            <w:webHidden/>
          </w:rPr>
          <w:fldChar w:fldCharType="separate"/>
        </w:r>
        <w:r w:rsidR="00CC6A09">
          <w:rPr>
            <w:noProof/>
            <w:webHidden/>
          </w:rPr>
          <w:t>1</w:t>
        </w:r>
        <w:r w:rsidR="00CC6A09">
          <w:rPr>
            <w:noProof/>
            <w:webHidden/>
          </w:rPr>
          <w:fldChar w:fldCharType="end"/>
        </w:r>
      </w:hyperlink>
    </w:p>
    <w:p w14:paraId="045405ED" w14:textId="51AD9271" w:rsidR="00CC6A09" w:rsidRDefault="00455183">
      <w:pPr>
        <w:pStyle w:val="TOC2"/>
        <w:tabs>
          <w:tab w:val="right" w:leader="dot" w:pos="9350"/>
        </w:tabs>
        <w:rPr>
          <w:rFonts w:asciiTheme="minorHAnsi" w:eastAsiaTheme="minorEastAsia" w:hAnsiTheme="minorHAnsi" w:cstheme="minorBidi"/>
          <w:noProof/>
          <w:sz w:val="22"/>
          <w:szCs w:val="22"/>
        </w:rPr>
      </w:pPr>
      <w:hyperlink w:anchor="_Toc524548279" w:history="1">
        <w:r w:rsidR="00CC6A09" w:rsidRPr="00575D53">
          <w:rPr>
            <w:rStyle w:val="Hyperlink"/>
            <w:noProof/>
          </w:rPr>
          <w:t>Summary of how the formula works</w:t>
        </w:r>
        <w:r w:rsidR="00CC6A09">
          <w:rPr>
            <w:noProof/>
            <w:webHidden/>
          </w:rPr>
          <w:tab/>
        </w:r>
        <w:r w:rsidR="00CC6A09">
          <w:rPr>
            <w:noProof/>
            <w:webHidden/>
          </w:rPr>
          <w:fldChar w:fldCharType="begin"/>
        </w:r>
        <w:r w:rsidR="00CC6A09">
          <w:rPr>
            <w:noProof/>
            <w:webHidden/>
          </w:rPr>
          <w:instrText xml:space="preserve"> PAGEREF _Toc524548279 \h </w:instrText>
        </w:r>
        <w:r w:rsidR="00CC6A09">
          <w:rPr>
            <w:noProof/>
            <w:webHidden/>
          </w:rPr>
        </w:r>
        <w:r w:rsidR="00CC6A09">
          <w:rPr>
            <w:noProof/>
            <w:webHidden/>
          </w:rPr>
          <w:fldChar w:fldCharType="separate"/>
        </w:r>
        <w:r w:rsidR="00CC6A09">
          <w:rPr>
            <w:noProof/>
            <w:webHidden/>
          </w:rPr>
          <w:t>1</w:t>
        </w:r>
        <w:r w:rsidR="00CC6A09">
          <w:rPr>
            <w:noProof/>
            <w:webHidden/>
          </w:rPr>
          <w:fldChar w:fldCharType="end"/>
        </w:r>
      </w:hyperlink>
    </w:p>
    <w:p w14:paraId="26740D12" w14:textId="7E23950D" w:rsidR="00CC6A09" w:rsidRDefault="00455183">
      <w:pPr>
        <w:pStyle w:val="TOC2"/>
        <w:tabs>
          <w:tab w:val="right" w:leader="dot" w:pos="9350"/>
        </w:tabs>
        <w:rPr>
          <w:rFonts w:asciiTheme="minorHAnsi" w:eastAsiaTheme="minorEastAsia" w:hAnsiTheme="minorHAnsi" w:cstheme="minorBidi"/>
          <w:noProof/>
          <w:sz w:val="22"/>
          <w:szCs w:val="22"/>
        </w:rPr>
      </w:pPr>
      <w:hyperlink w:anchor="_Toc524548280" w:history="1">
        <w:r w:rsidR="00CC6A09" w:rsidRPr="00575D53">
          <w:rPr>
            <w:rStyle w:val="Hyperlink"/>
            <w:noProof/>
          </w:rPr>
          <w:t>How foundation budgets are calculated</w:t>
        </w:r>
        <w:r w:rsidR="00CC6A09">
          <w:rPr>
            <w:noProof/>
            <w:webHidden/>
          </w:rPr>
          <w:tab/>
        </w:r>
        <w:r w:rsidR="00CC6A09">
          <w:rPr>
            <w:noProof/>
            <w:webHidden/>
          </w:rPr>
          <w:fldChar w:fldCharType="begin"/>
        </w:r>
        <w:r w:rsidR="00CC6A09">
          <w:rPr>
            <w:noProof/>
            <w:webHidden/>
          </w:rPr>
          <w:instrText xml:space="preserve"> PAGEREF _Toc524548280 \h </w:instrText>
        </w:r>
        <w:r w:rsidR="00CC6A09">
          <w:rPr>
            <w:noProof/>
            <w:webHidden/>
          </w:rPr>
        </w:r>
        <w:r w:rsidR="00CC6A09">
          <w:rPr>
            <w:noProof/>
            <w:webHidden/>
          </w:rPr>
          <w:fldChar w:fldCharType="separate"/>
        </w:r>
        <w:r w:rsidR="00CC6A09">
          <w:rPr>
            <w:noProof/>
            <w:webHidden/>
          </w:rPr>
          <w:t>2</w:t>
        </w:r>
        <w:r w:rsidR="00CC6A09">
          <w:rPr>
            <w:noProof/>
            <w:webHidden/>
          </w:rPr>
          <w:fldChar w:fldCharType="end"/>
        </w:r>
      </w:hyperlink>
    </w:p>
    <w:p w14:paraId="4D263950" w14:textId="298525F6" w:rsidR="00CC6A09" w:rsidRDefault="00455183">
      <w:pPr>
        <w:pStyle w:val="TOC1"/>
        <w:rPr>
          <w:rFonts w:asciiTheme="minorHAnsi" w:eastAsiaTheme="minorEastAsia" w:hAnsiTheme="minorHAnsi" w:cstheme="minorBidi"/>
          <w:b w:val="0"/>
          <w:noProof/>
          <w:sz w:val="22"/>
          <w:szCs w:val="22"/>
        </w:rPr>
      </w:pPr>
      <w:hyperlink w:anchor="_Toc524548281" w:history="1">
        <w:r w:rsidR="00CC6A09" w:rsidRPr="00575D53">
          <w:rPr>
            <w:rStyle w:val="Hyperlink"/>
            <w:noProof/>
          </w:rPr>
          <w:t>Appendix A:</w:t>
        </w:r>
        <w:r w:rsidR="00CC6A09">
          <w:rPr>
            <w:noProof/>
            <w:webHidden/>
          </w:rPr>
          <w:tab/>
        </w:r>
        <w:r w:rsidR="00CC6A09">
          <w:rPr>
            <w:noProof/>
            <w:webHidden/>
          </w:rPr>
          <w:fldChar w:fldCharType="begin"/>
        </w:r>
        <w:r w:rsidR="00CC6A09">
          <w:rPr>
            <w:noProof/>
            <w:webHidden/>
          </w:rPr>
          <w:instrText xml:space="preserve"> PAGEREF _Toc524548281 \h </w:instrText>
        </w:r>
        <w:r w:rsidR="00CC6A09">
          <w:rPr>
            <w:noProof/>
            <w:webHidden/>
          </w:rPr>
        </w:r>
        <w:r w:rsidR="00CC6A09">
          <w:rPr>
            <w:noProof/>
            <w:webHidden/>
          </w:rPr>
          <w:fldChar w:fldCharType="separate"/>
        </w:r>
        <w:r w:rsidR="00CC6A09">
          <w:rPr>
            <w:noProof/>
            <w:webHidden/>
          </w:rPr>
          <w:t>13</w:t>
        </w:r>
        <w:r w:rsidR="00CC6A09">
          <w:rPr>
            <w:noProof/>
            <w:webHidden/>
          </w:rPr>
          <w:fldChar w:fldCharType="end"/>
        </w:r>
      </w:hyperlink>
    </w:p>
    <w:p w14:paraId="4E71A0BB" w14:textId="6D39EB45" w:rsidR="00CC6A09" w:rsidRDefault="00455183">
      <w:pPr>
        <w:pStyle w:val="TOC2"/>
        <w:tabs>
          <w:tab w:val="right" w:leader="dot" w:pos="9350"/>
        </w:tabs>
        <w:rPr>
          <w:rFonts w:asciiTheme="minorHAnsi" w:eastAsiaTheme="minorEastAsia" w:hAnsiTheme="minorHAnsi" w:cstheme="minorBidi"/>
          <w:noProof/>
          <w:sz w:val="22"/>
          <w:szCs w:val="22"/>
        </w:rPr>
      </w:pPr>
      <w:hyperlink w:anchor="_Toc524548282" w:history="1">
        <w:r w:rsidR="00CC6A09" w:rsidRPr="00575D53">
          <w:rPr>
            <w:rStyle w:val="Hyperlink"/>
            <w:noProof/>
          </w:rPr>
          <w:t>Target contribution calculations</w:t>
        </w:r>
        <w:r w:rsidR="00CC6A09">
          <w:rPr>
            <w:noProof/>
            <w:webHidden/>
          </w:rPr>
          <w:tab/>
        </w:r>
        <w:r w:rsidR="00CC6A09">
          <w:rPr>
            <w:noProof/>
            <w:webHidden/>
          </w:rPr>
          <w:fldChar w:fldCharType="begin"/>
        </w:r>
        <w:r w:rsidR="00CC6A09">
          <w:rPr>
            <w:noProof/>
            <w:webHidden/>
          </w:rPr>
          <w:instrText xml:space="preserve"> PAGEREF _Toc524548282 \h </w:instrText>
        </w:r>
        <w:r w:rsidR="00CC6A09">
          <w:rPr>
            <w:noProof/>
            <w:webHidden/>
          </w:rPr>
        </w:r>
        <w:r w:rsidR="00CC6A09">
          <w:rPr>
            <w:noProof/>
            <w:webHidden/>
          </w:rPr>
          <w:fldChar w:fldCharType="separate"/>
        </w:r>
        <w:r w:rsidR="00CC6A09">
          <w:rPr>
            <w:noProof/>
            <w:webHidden/>
          </w:rPr>
          <w:t>13</w:t>
        </w:r>
        <w:r w:rsidR="00CC6A09">
          <w:rPr>
            <w:noProof/>
            <w:webHidden/>
          </w:rPr>
          <w:fldChar w:fldCharType="end"/>
        </w:r>
      </w:hyperlink>
    </w:p>
    <w:p w14:paraId="78300AA2" w14:textId="769E967F" w:rsidR="00CC6A09" w:rsidRDefault="00455183">
      <w:pPr>
        <w:pStyle w:val="TOC2"/>
        <w:tabs>
          <w:tab w:val="right" w:leader="dot" w:pos="9350"/>
        </w:tabs>
        <w:rPr>
          <w:rFonts w:asciiTheme="minorHAnsi" w:eastAsiaTheme="minorEastAsia" w:hAnsiTheme="minorHAnsi" w:cstheme="minorBidi"/>
          <w:noProof/>
          <w:sz w:val="22"/>
          <w:szCs w:val="22"/>
        </w:rPr>
      </w:pPr>
      <w:hyperlink w:anchor="_Toc524548283" w:history="1">
        <w:r w:rsidR="00CC6A09" w:rsidRPr="00575D53">
          <w:rPr>
            <w:rStyle w:val="Hyperlink"/>
            <w:noProof/>
          </w:rPr>
          <w:t>Calculation of the FY19 increments toward the targets</w:t>
        </w:r>
        <w:r w:rsidR="00CC6A09">
          <w:rPr>
            <w:noProof/>
            <w:webHidden/>
          </w:rPr>
          <w:tab/>
        </w:r>
        <w:r w:rsidR="00CC6A09">
          <w:rPr>
            <w:noProof/>
            <w:webHidden/>
          </w:rPr>
          <w:fldChar w:fldCharType="begin"/>
        </w:r>
        <w:r w:rsidR="00CC6A09">
          <w:rPr>
            <w:noProof/>
            <w:webHidden/>
          </w:rPr>
          <w:instrText xml:space="preserve"> PAGEREF _Toc524548283 \h </w:instrText>
        </w:r>
        <w:r w:rsidR="00CC6A09">
          <w:rPr>
            <w:noProof/>
            <w:webHidden/>
          </w:rPr>
        </w:r>
        <w:r w:rsidR="00CC6A09">
          <w:rPr>
            <w:noProof/>
            <w:webHidden/>
          </w:rPr>
          <w:fldChar w:fldCharType="separate"/>
        </w:r>
        <w:r w:rsidR="00CC6A09">
          <w:rPr>
            <w:noProof/>
            <w:webHidden/>
          </w:rPr>
          <w:t>13</w:t>
        </w:r>
        <w:r w:rsidR="00CC6A09">
          <w:rPr>
            <w:noProof/>
            <w:webHidden/>
          </w:rPr>
          <w:fldChar w:fldCharType="end"/>
        </w:r>
      </w:hyperlink>
    </w:p>
    <w:p w14:paraId="6614EDD9" w14:textId="492A8981" w:rsidR="00CC6A09" w:rsidRDefault="00455183">
      <w:pPr>
        <w:pStyle w:val="TOC1"/>
        <w:rPr>
          <w:rFonts w:asciiTheme="minorHAnsi" w:eastAsiaTheme="minorEastAsia" w:hAnsiTheme="minorHAnsi" w:cstheme="minorBidi"/>
          <w:b w:val="0"/>
          <w:noProof/>
          <w:sz w:val="22"/>
          <w:szCs w:val="22"/>
        </w:rPr>
      </w:pPr>
      <w:hyperlink w:anchor="_Toc524548284" w:history="1">
        <w:r w:rsidR="00CC6A09" w:rsidRPr="00575D53">
          <w:rPr>
            <w:rStyle w:val="Hyperlink"/>
            <w:noProof/>
          </w:rPr>
          <w:t>Appendix B: Assumptions underlying foundation rates</w:t>
        </w:r>
        <w:r w:rsidR="00CC6A09">
          <w:rPr>
            <w:noProof/>
            <w:webHidden/>
          </w:rPr>
          <w:tab/>
        </w:r>
        <w:r w:rsidR="00CC6A09">
          <w:rPr>
            <w:noProof/>
            <w:webHidden/>
          </w:rPr>
          <w:fldChar w:fldCharType="begin"/>
        </w:r>
        <w:r w:rsidR="00CC6A09">
          <w:rPr>
            <w:noProof/>
            <w:webHidden/>
          </w:rPr>
          <w:instrText xml:space="preserve"> PAGEREF _Toc524548284 \h </w:instrText>
        </w:r>
        <w:r w:rsidR="00CC6A09">
          <w:rPr>
            <w:noProof/>
            <w:webHidden/>
          </w:rPr>
        </w:r>
        <w:r w:rsidR="00CC6A09">
          <w:rPr>
            <w:noProof/>
            <w:webHidden/>
          </w:rPr>
          <w:fldChar w:fldCharType="separate"/>
        </w:r>
        <w:r w:rsidR="00CC6A09">
          <w:rPr>
            <w:noProof/>
            <w:webHidden/>
          </w:rPr>
          <w:t>15</w:t>
        </w:r>
        <w:r w:rsidR="00CC6A09">
          <w:rPr>
            <w:noProof/>
            <w:webHidden/>
          </w:rPr>
          <w:fldChar w:fldCharType="end"/>
        </w:r>
      </w:hyperlink>
    </w:p>
    <w:p w14:paraId="02D69A19" w14:textId="77777777" w:rsidR="00CC6A09" w:rsidRDefault="00FA0CDD">
      <w:pPr>
        <w:rPr>
          <w:rFonts w:ascii="Arial" w:hAnsi="Arial"/>
          <w:b/>
        </w:rPr>
        <w:sectPr w:rsidR="00CC6A09" w:rsidSect="00C52463">
          <w:footerReference w:type="default" r:id="rId14"/>
          <w:pgSz w:w="12240" w:h="15840"/>
          <w:pgMar w:top="1440" w:right="1440" w:bottom="1440" w:left="1440" w:header="720" w:footer="720" w:gutter="0"/>
          <w:cols w:space="720"/>
        </w:sectPr>
      </w:pPr>
      <w:r>
        <w:rPr>
          <w:rFonts w:ascii="Arial" w:hAnsi="Arial"/>
          <w:b/>
        </w:rPr>
        <w:fldChar w:fldCharType="end"/>
      </w:r>
    </w:p>
    <w:p w14:paraId="34285D25" w14:textId="7251545B" w:rsidR="008A4024" w:rsidRPr="00E64326" w:rsidRDefault="008A4024" w:rsidP="00061975">
      <w:pPr>
        <w:pStyle w:val="Heading1"/>
      </w:pPr>
      <w:bookmarkStart w:id="0" w:name="_Toc524548278"/>
      <w:r w:rsidRPr="00E64326">
        <w:lastRenderedPageBreak/>
        <w:t xml:space="preserve">FY19 Chapter 70 </w:t>
      </w:r>
      <w:r w:rsidR="009D4EEC">
        <w:t>a</w:t>
      </w:r>
      <w:r w:rsidRPr="00E64326">
        <w:t xml:space="preserve">id and </w:t>
      </w:r>
      <w:r w:rsidR="009D4EEC">
        <w:t>r</w:t>
      </w:r>
      <w:r w:rsidRPr="00E64326">
        <w:t xml:space="preserve">equired </w:t>
      </w:r>
      <w:r w:rsidR="009D4EEC">
        <w:t>c</w:t>
      </w:r>
      <w:r w:rsidRPr="00E64326">
        <w:t xml:space="preserve">ontribution </w:t>
      </w:r>
      <w:r w:rsidR="009D4EEC">
        <w:t>c</w:t>
      </w:r>
      <w:r w:rsidRPr="00E64326">
        <w:t>alculations</w:t>
      </w:r>
      <w:bookmarkEnd w:id="0"/>
    </w:p>
    <w:p w14:paraId="0B8A224C" w14:textId="77777777" w:rsidR="008A4024" w:rsidRPr="00E64326" w:rsidRDefault="008A4024" w:rsidP="00305D19">
      <w:r w:rsidRPr="00E64326">
        <w:t>Chapter 70 is the Commonwealth's program for ensuring adequate and equitable K-12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1" w:name="_Toc524548279"/>
      <w:r w:rsidRPr="00FA0CDD">
        <w:t>Summary of how the formula works</w:t>
      </w:r>
      <w:bookmarkEnd w:id="1"/>
    </w:p>
    <w:p w14:paraId="6D33DCE6" w14:textId="6F7E1977" w:rsidR="008A4024" w:rsidRDefault="00C52463" w:rsidP="00BD2811">
      <w:pPr>
        <w:rPr>
          <w:shd w:val="clear" w:color="auto" w:fill="FFFFFF"/>
        </w:rPr>
      </w:pPr>
      <w:r>
        <w:rPr>
          <w:shd w:val="clear" w:color="auto" w:fill="FFFFFF"/>
        </w:rPr>
        <w:t>The first step in the formula is to calculate a</w:t>
      </w:r>
      <w:r w:rsidR="008A4024" w:rsidRPr="00656EA4">
        <w:rPr>
          <w:shd w:val="clear" w:color="auto" w:fill="FFFFFF"/>
        </w:rPr>
        <w:t> </w:t>
      </w:r>
      <w:r w:rsidR="008A4024" w:rsidRPr="00656EA4">
        <w:rPr>
          <w:b/>
          <w:bCs/>
          <w:shd w:val="clear" w:color="auto" w:fill="FFFFFF"/>
        </w:rPr>
        <w:t>foundation budget</w:t>
      </w:r>
      <w:r w:rsidR="008A4024" w:rsidRPr="00656EA4">
        <w:rPr>
          <w:shd w:val="clear" w:color="auto" w:fill="FFFFFF"/>
        </w:rPr>
        <w:t xml:space="preserve"> 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economically disadvantaged 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p>
    <w:p w14:paraId="5C39DCF3" w14:textId="77777777" w:rsidR="00C44DF4" w:rsidRPr="00656EA4" w:rsidRDefault="00C44DF4" w:rsidP="00BD2811">
      <w:pPr>
        <w:rPr>
          <w:shd w:val="clear" w:color="auto" w:fill="FFFFFF"/>
        </w:rPr>
      </w:pPr>
    </w:p>
    <w:p w14:paraId="79AE4290" w14:textId="3EE5BE6A" w:rsidR="008A4024" w:rsidRDefault="008A4024" w:rsidP="00061975">
      <w:pPr>
        <w:pStyle w:val="ListParagraph"/>
        <w:numPr>
          <w:ilvl w:val="0"/>
          <w:numId w:val="22"/>
        </w:numPr>
      </w:pPr>
      <w:r w:rsidRPr="00E64326">
        <w:t xml:space="preserve">The inflation adjustment for FY19 is set at 2.64 percent, in accordance with the Chapter 70 statute, which </w:t>
      </w:r>
      <w:r w:rsidR="00AB774F">
        <w:t>requires using</w:t>
      </w:r>
      <w:r w:rsidRPr="00E64326">
        <w:t xml:space="preserve"> the ratio of the current year's third-quarter inflation index (2017 = 117.531) to the prior year's third-quarter index (2016 = 114.507).</w:t>
      </w:r>
    </w:p>
    <w:p w14:paraId="7400A7D3" w14:textId="77777777" w:rsidR="00AB774F" w:rsidRPr="00E64326" w:rsidRDefault="00AB774F" w:rsidP="00305D19"/>
    <w:p w14:paraId="2D3C7471" w14:textId="32DE4014" w:rsidR="008A4024" w:rsidRDefault="008A4024" w:rsidP="00061975">
      <w:pPr>
        <w:pStyle w:val="ListParagraph"/>
        <w:numPr>
          <w:ilvl w:val="0"/>
          <w:numId w:val="22"/>
        </w:numPr>
      </w:pPr>
      <w:r w:rsidRPr="00E64326">
        <w:t>Enrollment increa</w:t>
      </w:r>
      <w:r>
        <w:t>sed from 941,303 in FY18 to 941,411</w:t>
      </w:r>
      <w:r w:rsidRPr="00E64326">
        <w:t xml:space="preserve"> in FY19, a </w:t>
      </w:r>
      <w:r>
        <w:t>0.01</w:t>
      </w:r>
      <w:r w:rsidRPr="00E64326">
        <w:t xml:space="preserve"> percent </w:t>
      </w:r>
      <w:r w:rsidRPr="00900C15">
        <w:t>increase; 10 districts saw their foundation enrollment increase by over 5 percent.</w:t>
      </w:r>
    </w:p>
    <w:p w14:paraId="134D0507" w14:textId="77777777" w:rsidR="00C44DF4" w:rsidRPr="00E64326" w:rsidRDefault="00C44DF4" w:rsidP="00305D19"/>
    <w:p w14:paraId="034BDCB6" w14:textId="77777777" w:rsidR="008A4024" w:rsidRPr="00E64326" w:rsidRDefault="008A4024" w:rsidP="00061975">
      <w:pPr>
        <w:pStyle w:val="ListParagraph"/>
        <w:numPr>
          <w:ilvl w:val="0"/>
          <w:numId w:val="22"/>
        </w:numPr>
      </w:pPr>
      <w:r w:rsidRPr="00E64326">
        <w:t>The total statewide foundation budget increased from $10.379 billion in</w:t>
      </w:r>
      <w:r>
        <w:t xml:space="preserve"> FY18 to $10.778 billion in FY19</w:t>
      </w:r>
      <w:r w:rsidRPr="00E64326">
        <w:t xml:space="preserve">, a </w:t>
      </w:r>
      <w:r>
        <w:t>3.84</w:t>
      </w:r>
      <w:r w:rsidRPr="00E64326">
        <w:t xml:space="preserve"> percent rise.</w:t>
      </w:r>
    </w:p>
    <w:p w14:paraId="39545760" w14:textId="77777777" w:rsidR="00C44DF4" w:rsidRDefault="00C44DF4" w:rsidP="00305D19"/>
    <w:p w14:paraId="105ED470" w14:textId="0EC6D17C" w:rsidR="008A4024" w:rsidRDefault="008A4024" w:rsidP="00305D19">
      <w:r w:rsidRPr="00E64326">
        <w:t>A </w:t>
      </w:r>
      <w:r w:rsidRPr="00E64326">
        <w:rPr>
          <w:b/>
          <w:bCs/>
        </w:rPr>
        <w:t>target local contribution</w:t>
      </w:r>
      <w:r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43B3241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7DD316F" w14:textId="1164393E" w:rsidR="008A4024" w:rsidRPr="00305D19" w:rsidRDefault="00081A52" w:rsidP="00305D19">
      <w:r>
        <w:t>Starting i</w:t>
      </w:r>
      <w:r w:rsidR="00132D59">
        <w:t>n FY19, m</w:t>
      </w:r>
      <w:r w:rsidR="008A4024" w:rsidRPr="00305D19">
        <w:t>unicipalities whose local contribution requirements are higher than their targets will see a reduction in the requirement of 100 percent of the amount above the target.</w:t>
      </w:r>
    </w:p>
    <w:p w14:paraId="3BBE3CBA" w14:textId="0F5FCD69" w:rsidR="008A4024" w:rsidRDefault="008A4024" w:rsidP="00305D19">
      <w:r w:rsidRPr="00305D19">
        <w:lastRenderedPageBreak/>
        <w:t xml:space="preserve">Municipalities whose local contribution requirements are lower than their targets will continue to see their requirements increase by the municipal revenue growth factor. If they are more than 2.5 percent below their target, an increment of either 1 or 2 percent </w:t>
      </w:r>
      <w:r w:rsidR="00132D59">
        <w:t>is</w:t>
      </w:r>
      <w:r w:rsidRPr="00305D19">
        <w:t xml:space="preserve"> added to their growth factor</w:t>
      </w:r>
      <w:r w:rsidR="00BB62CC">
        <w:t>, see Appendix A for a more detailed explanation</w:t>
      </w:r>
      <w:r w:rsidRPr="00305D19">
        <w:t>.</w:t>
      </w:r>
    </w:p>
    <w:p w14:paraId="6DF661C7" w14:textId="77777777" w:rsidR="00BB62CC" w:rsidRPr="00E64326" w:rsidRDefault="00BB62CC" w:rsidP="00305D19">
      <w:pPr>
        <w:rPr>
          <w:sz w:val="20"/>
          <w:szCs w:val="20"/>
        </w:rPr>
      </w:pPr>
    </w:p>
    <w:p w14:paraId="2140AF01" w14:textId="7C5F47E0" w:rsidR="008A4024" w:rsidRPr="00305D19" w:rsidRDefault="008A4024" w:rsidP="00305D19">
      <w:r w:rsidRPr="00305D19">
        <w:t>In FY19, the </w:t>
      </w:r>
      <w:r w:rsidRPr="00305D19">
        <w:rPr>
          <w:b/>
          <w:bCs/>
        </w:rPr>
        <w:t>Chapter 70 aid calculation</w:t>
      </w:r>
      <w:r w:rsidRPr="00305D19">
        <w:t> begins with each district's FY18 Chapter 70 amount. If the sum of that amount and the required local contribution is less than the district's foundation budget, then foundation aid is added to cover the gap</w:t>
      </w:r>
      <w:r w:rsidR="00C44DF4" w:rsidRPr="00305D19">
        <w:t xml:space="preserve">; </w:t>
      </w:r>
      <w:r w:rsidRPr="00305D19">
        <w:t>157 operating districts receive</w:t>
      </w:r>
      <w:r w:rsidR="00C44DF4" w:rsidRPr="00305D19">
        <w:t xml:space="preserve"> foundation aid in FY19</w:t>
      </w:r>
      <w:r w:rsidRPr="00305D19">
        <w:t>.</w:t>
      </w:r>
      <w:r w:rsidR="00C44DF4" w:rsidRPr="00305D19">
        <w:t xml:space="preserve"> </w:t>
      </w:r>
      <w:r w:rsidRPr="00305D19">
        <w:t>Each district is guaranteed to receive at least $30 per pupil in additional Chapter 70 aid</w:t>
      </w:r>
      <w:r w:rsidR="0024688E">
        <w:t>, and</w:t>
      </w:r>
      <w:r w:rsidR="00C44DF4" w:rsidRPr="00305D19">
        <w:t xml:space="preserve"> </w:t>
      </w:r>
      <w:r w:rsidRPr="00305D19">
        <w:t xml:space="preserve">195 operating districts receive </w:t>
      </w:r>
      <w:r w:rsidR="00C44DF4" w:rsidRPr="00305D19">
        <w:t>this minimum aid increase</w:t>
      </w:r>
      <w:r w:rsidRPr="00305D19">
        <w:t>.</w:t>
      </w:r>
    </w:p>
    <w:p w14:paraId="59F679DF" w14:textId="77777777" w:rsidR="00C44DF4" w:rsidRPr="00061975" w:rsidRDefault="00C44DF4" w:rsidP="00061975">
      <w:pPr>
        <w:rPr>
          <w:highlight w:val="yellow"/>
        </w:rPr>
      </w:pPr>
    </w:p>
    <w:p w14:paraId="456B13C1" w14:textId="335798D8" w:rsidR="005C4255" w:rsidRPr="00061975" w:rsidRDefault="008A4024" w:rsidP="00061975">
      <w:r w:rsidRPr="00061975">
        <w:rPr>
          <w:color w:val="000000"/>
        </w:rPr>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7C28B1CE" w14:textId="3DD6AC42" w:rsidR="008A4024" w:rsidRPr="00061975" w:rsidRDefault="008A4024">
      <w:pPr>
        <w:pStyle w:val="Heading2"/>
      </w:pPr>
      <w:bookmarkStart w:id="2" w:name="_Toc524548280"/>
      <w:r w:rsidRPr="00061975">
        <w:t>How foundation budgets are calculated</w:t>
      </w:r>
      <w:bookmarkEnd w:id="2"/>
    </w:p>
    <w:p w14:paraId="403A2DD6" w14:textId="0F53AC3C" w:rsidR="008A4024" w:rsidRPr="008A4024" w:rsidRDefault="008A4024" w:rsidP="00BD2811">
      <w:r w:rsidRPr="008A4024">
        <w:t>In Massachusetts, the definition of an adequate spending level for a school district is called its foundation budget.  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05D19">
      <w:pPr>
        <w:pStyle w:val="ListParagraph"/>
        <w:numPr>
          <w:ilvl w:val="0"/>
          <w:numId w:val="16"/>
        </w:numPr>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1"/>
      </w:r>
    </w:p>
    <w:p w14:paraId="487F964A" w14:textId="77777777" w:rsidR="0024688E" w:rsidRPr="008A4024" w:rsidRDefault="0024688E" w:rsidP="00061975">
      <w:pPr>
        <w:pStyle w:val="ListParagraph"/>
      </w:pPr>
    </w:p>
    <w:p w14:paraId="102AC9EC" w14:textId="3F4404CA" w:rsidR="008A4024" w:rsidRDefault="008A4024" w:rsidP="00305D19">
      <w:pPr>
        <w:pStyle w:val="ListParagraph"/>
        <w:numPr>
          <w:ilvl w:val="0"/>
          <w:numId w:val="16"/>
        </w:numPr>
      </w:pPr>
      <w:proofErr w:type="spellStart"/>
      <w:r w:rsidRPr="00BD2811">
        <w:rPr>
          <w:i/>
          <w:iCs/>
        </w:rPr>
        <w:t>McDuffy</w:t>
      </w:r>
      <w:proofErr w:type="spellEnd"/>
      <w:r w:rsidRPr="00BD2811">
        <w:rPr>
          <w:i/>
          <w:iCs/>
        </w:rPr>
        <w:t xml:space="preserve">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2"/>
      </w:r>
    </w:p>
    <w:p w14:paraId="2F789F36" w14:textId="26436174" w:rsidR="0024688E" w:rsidRPr="008A4024" w:rsidRDefault="0024688E" w:rsidP="00061975"/>
    <w:p w14:paraId="3117C722" w14:textId="18032FBF" w:rsidR="00926BE0" w:rsidRDefault="00C44DF4" w:rsidP="00305D19">
      <w:pPr>
        <w:pStyle w:val="ListParagraph"/>
        <w:numPr>
          <w:ilvl w:val="0"/>
          <w:numId w:val="16"/>
        </w:numPr>
        <w:rPr>
          <w:i/>
          <w:iCs/>
        </w:rPr>
      </w:pPr>
      <w:r>
        <w:t>T</w:t>
      </w:r>
      <w:r w:rsidR="008A4024" w:rsidRPr="008A4024">
        <w:t xml:space="preserve">he 1993 Education Reform Act, “which for the first time, established a required </w:t>
      </w:r>
      <w:r w:rsidR="00FA0CDD">
        <w:t>‘</w:t>
      </w:r>
      <w:r w:rsidR="008A4024" w:rsidRPr="008A4024">
        <w:t>foundation’ level of spending for each district in the Commonwealth that was to be reached by the establishment of both a state-mandated, required local contribution and a supplemental amount of state aid.”</w:t>
      </w:r>
      <w:r w:rsidR="008A4024" w:rsidRPr="008A4024">
        <w:rPr>
          <w:vertAlign w:val="superscript"/>
        </w:rPr>
        <w:footnoteReference w:id="3"/>
      </w:r>
    </w:p>
    <w:p w14:paraId="54912F63" w14:textId="4D4B83D5" w:rsidR="008A4024" w:rsidRPr="00061975" w:rsidRDefault="00926BE0" w:rsidP="00061975">
      <w:pPr>
        <w:rPr>
          <w:i/>
          <w:iCs/>
        </w:rPr>
      </w:pPr>
      <w:r>
        <w:rPr>
          <w:i/>
          <w:iCs/>
        </w:rPr>
        <w:br w:type="page"/>
      </w:r>
    </w:p>
    <w:p w14:paraId="35D9D689" w14:textId="77777777" w:rsidR="008A4024" w:rsidRPr="008A4024" w:rsidRDefault="008A4024">
      <w:pPr>
        <w:pStyle w:val="Heading3"/>
      </w:pPr>
      <w:r w:rsidRPr="00496319">
        <w:lastRenderedPageBreak/>
        <w:t xml:space="preserve">Foundation </w:t>
      </w:r>
      <w:r w:rsidRPr="00946FB9">
        <w:t>budgets</w:t>
      </w:r>
      <w:r w:rsidRPr="00496319">
        <w:t xml:space="preserve"> reflect meaningful differences in enrollment, student characteristics, and geographic differences in wages.</w:t>
      </w:r>
    </w:p>
    <w:p w14:paraId="2F91D6C5" w14:textId="1609A930" w:rsidR="008A4024" w:rsidRDefault="008A4024" w:rsidP="00061975">
      <w:r w:rsidRPr="008A4024">
        <w:t>A district’s foundation budget is updated each year</w:t>
      </w:r>
      <w:r w:rsidR="009D4EEC">
        <w:t xml:space="preserve"> and</w:t>
      </w:r>
      <w:r w:rsidRPr="008A4024">
        <w:t xml:space="preserve"> is influenced by three factors:</w:t>
      </w:r>
      <w:r w:rsidR="004F792C">
        <w:t xml:space="preserve"> Foundation enrollment, inflation, and the wage adjustment factor (WAF).</w:t>
      </w:r>
    </w:p>
    <w:p w14:paraId="63F366B5" w14:textId="77777777" w:rsidR="008A4024" w:rsidRPr="008A4024" w:rsidRDefault="008A4024" w:rsidP="00BD2811"/>
    <w:p w14:paraId="0BB823D8" w14:textId="1293B291" w:rsidR="008A4024" w:rsidRPr="008A4024" w:rsidRDefault="008A4024" w:rsidP="00BD2811">
      <w:r w:rsidRPr="008A4024">
        <w:t>The FY19</w:t>
      </w:r>
      <w:r w:rsidRPr="008A4024">
        <w:rPr>
          <w:color w:val="9BBB59" w:themeColor="accent3"/>
        </w:rPr>
        <w:t xml:space="preserve"> </w:t>
      </w:r>
      <w:r w:rsidRPr="008A4024">
        <w:t xml:space="preserve">foundation budget continues the </w:t>
      </w:r>
      <w:hyperlink r:id="rId15" w:history="1">
        <w:r w:rsidRPr="008A4024">
          <w:rPr>
            <w:color w:val="0000FF" w:themeColor="hyperlink"/>
            <w:u w:val="single"/>
          </w:rPr>
          <w:t>major changes to the calculations</w:t>
        </w:r>
      </w:hyperlink>
      <w:r w:rsidRPr="008A4024">
        <w:t xml:space="preserve"> first implemented in FY07</w:t>
      </w:r>
      <w:r w:rsidR="0067284C">
        <w:t xml:space="preserve">. </w:t>
      </w:r>
      <w:r w:rsidRPr="008A4024">
        <w:t>These changes directly aligned the foundation budget categories with the chart of accounts which districts use to track how they spend their money</w:t>
      </w:r>
      <w:r w:rsidR="0067284C">
        <w:t xml:space="preserve">. </w:t>
      </w:r>
    </w:p>
    <w:p w14:paraId="3243D323" w14:textId="77777777" w:rsidR="008A4024" w:rsidRPr="008A4024" w:rsidRDefault="008A4024" w:rsidP="00BD2811"/>
    <w:p w14:paraId="6F07ABFF" w14:textId="650D6D3A" w:rsidR="008A4024" w:rsidRPr="008A4024" w:rsidRDefault="008A4024" w:rsidP="00BD2811">
      <w:r w:rsidRPr="008A4024">
        <w:t>It is notable that since FY05, charter school tuition rates have relied on foundation budgets calculated for each sending district’s pupils at each charter school.</w:t>
      </w:r>
    </w:p>
    <w:p w14:paraId="7E7DD3F9" w14:textId="77777777" w:rsidR="008A4024" w:rsidRPr="008A4024" w:rsidRDefault="008A4024" w:rsidP="00305D19">
      <w:pPr>
        <w:pStyle w:val="Heading3"/>
      </w:pPr>
      <w:r w:rsidRPr="008A4024">
        <w:t xml:space="preserve">Foundation enrollment is a key factor in determining a school district’s foundation budget and Chapter 70 state education aid. </w:t>
      </w:r>
    </w:p>
    <w:p w14:paraId="18C4AA37" w14:textId="4E4EE6B9" w:rsidR="008A4024" w:rsidRPr="008A4024" w:rsidRDefault="008A4024" w:rsidP="00BD2811">
      <w:r w:rsidRPr="008A4024">
        <w:t xml:space="preserve">Foundation enrollment relies on a count of the students </w:t>
      </w:r>
      <w:r w:rsidR="0024688E">
        <w:t>that</w:t>
      </w:r>
      <w:r w:rsidRPr="008A4024">
        <w:t xml:space="preserve"> a school district is financially responsible </w:t>
      </w:r>
      <w:r w:rsidR="0024688E">
        <w:t xml:space="preserve">for </w:t>
      </w:r>
      <w:r w:rsidRPr="008A4024">
        <w:t>on October 1</w:t>
      </w:r>
      <w:r w:rsidRPr="00061975">
        <w:rPr>
          <w:vertAlign w:val="superscript"/>
        </w:rPr>
        <w:t>st</w:t>
      </w:r>
      <w:r w:rsidR="00CA5DCF">
        <w:t xml:space="preserve"> </w:t>
      </w:r>
      <w:r w:rsidRPr="008A4024">
        <w:t>of any given year</w:t>
      </w:r>
      <w:r w:rsidR="0067284C">
        <w:t xml:space="preserve">. </w:t>
      </w:r>
      <w:r w:rsidRPr="008A4024">
        <w:t>Those who leave in September or arrive after October 1</w:t>
      </w:r>
      <w:r w:rsidRPr="00061975">
        <w:rPr>
          <w:vertAlign w:val="superscript"/>
        </w:rPr>
        <w:t>st</w:t>
      </w:r>
      <w:r w:rsidR="00CA5DCF">
        <w:t xml:space="preserve"> </w:t>
      </w:r>
      <w:r w:rsidRPr="008A4024">
        <w:t>are not counted. A student who happens to be absent on October 1</w:t>
      </w:r>
      <w:r w:rsidRPr="00061975">
        <w:rPr>
          <w:vertAlign w:val="superscript"/>
        </w:rPr>
        <w:t>st</w:t>
      </w:r>
      <w:r w:rsidRPr="008A4024">
        <w:t xml:space="preserve"> is included 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 xml:space="preserve">. </w:t>
      </w:r>
    </w:p>
    <w:p w14:paraId="201AAC08" w14:textId="5CB175F3" w:rsidR="008A4024" w:rsidRPr="00496319" w:rsidRDefault="008A4024" w:rsidP="00305D19">
      <w:pPr>
        <w:pStyle w:val="Heading3"/>
      </w:pPr>
      <w:r w:rsidRPr="00496319">
        <w:t>When districts’ foundation budgets are presented in per pupil terms, there is considerable variation.</w:t>
      </w:r>
    </w:p>
    <w:p w14:paraId="3E3561DA" w14:textId="09270B03" w:rsidR="008A4024" w:rsidRPr="008A4024" w:rsidRDefault="008A4024" w:rsidP="00BD2811">
      <w:r w:rsidRPr="008A4024">
        <w:t xml:space="preserve">The FY19 statewide average is $11,448 per pupil. After </w:t>
      </w:r>
      <w:r w:rsidR="0024688E">
        <w:t>excluding</w:t>
      </w:r>
      <w:r w:rsidRPr="008A4024">
        <w:t xml:space="preserve"> vocational districts, urbanized centers are higher than other type</w:t>
      </w:r>
      <w:r w:rsidR="00F95DCA">
        <w:t>s of districts by more than $1,6</w:t>
      </w:r>
      <w:r w:rsidRPr="008A4024">
        <w:t>00 per pupil</w:t>
      </w:r>
      <w:r w:rsidR="0024688E">
        <w:t>, see</w:t>
      </w:r>
      <w:r w:rsidR="00BD2811">
        <w:t xml:space="preserve"> </w:t>
      </w:r>
      <w:r w:rsidR="00576CDF">
        <w:t>F</w:t>
      </w:r>
      <w:r w:rsidR="00BD2811">
        <w:t>igure 1</w:t>
      </w:r>
      <w:r w:rsidR="0024688E">
        <w:t>.</w:t>
      </w:r>
    </w:p>
    <w:p w14:paraId="20F7CD47" w14:textId="7C34ED35" w:rsidR="008A4024" w:rsidRPr="008A4024" w:rsidRDefault="00BA1D2B" w:rsidP="00305D19">
      <w:pPr>
        <w:jc w:val="center"/>
        <w:rPr>
          <w:rFonts w:ascii="Georgia" w:hAnsi="Georgia"/>
          <w:sz w:val="20"/>
          <w:szCs w:val="20"/>
          <w:highlight w:val="yellow"/>
        </w:rPr>
      </w:pPr>
      <w:r>
        <w:rPr>
          <w:noProof/>
          <w:lang w:eastAsia="zh-CN"/>
        </w:rPr>
        <w:drawing>
          <wp:inline distT="0" distB="0" distL="0" distR="0" wp14:anchorId="157CFF55" wp14:editId="6BF5C556">
            <wp:extent cx="4901609" cy="3487479"/>
            <wp:effectExtent l="0" t="0" r="0" b="0"/>
            <wp:docPr id="6" name="Chart 6" descr="Figure 1 bar graph: FY19 Foundation budget per pupil, average by type of distri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BD0C31" w14:textId="1B7BBF00" w:rsidR="008A4024" w:rsidRPr="008A4024" w:rsidRDefault="008A4024" w:rsidP="00BD2811">
      <w:r w:rsidRPr="008A4024">
        <w:lastRenderedPageBreak/>
        <w:t xml:space="preserve">See </w:t>
      </w:r>
      <w:r w:rsidR="009A01C4" w:rsidRPr="009A01C4">
        <w:t>the</w:t>
      </w:r>
      <w:r w:rsidRPr="008A4024">
        <w:t xml:space="preserve"> </w:t>
      </w:r>
      <w:hyperlink r:id="rId17" w:history="1">
        <w:r w:rsidR="009A01C4" w:rsidRPr="009A01C4">
          <w:rPr>
            <w:rFonts w:cs="Arial"/>
            <w:color w:val="0000FF" w:themeColor="hyperlink"/>
            <w:u w:val="single"/>
          </w:rPr>
          <w:t>key factors table by district</w:t>
        </w:r>
      </w:hyperlink>
      <w:r w:rsidRPr="008A4024">
        <w:t xml:space="preserve"> </w:t>
      </w:r>
      <w:r w:rsidR="009A01C4" w:rsidRPr="009A01C4">
        <w:t>for</w:t>
      </w:r>
      <w:r w:rsidRPr="008A4024">
        <w:t xml:space="preserve"> each district’s </w:t>
      </w:r>
      <w:r w:rsidR="009A01C4" w:rsidRPr="009A01C4">
        <w:t xml:space="preserve">foundation </w:t>
      </w:r>
      <w:r w:rsidRPr="008A4024">
        <w:t>per pupil amount, with some of the key factors that can contribute to higher foundation budgets</w:t>
      </w:r>
      <w:r w:rsidR="0067284C">
        <w:t xml:space="preserve">. </w:t>
      </w:r>
    </w:p>
    <w:p w14:paraId="6C42674D" w14:textId="77777777" w:rsidR="008A4024" w:rsidRPr="008A4024" w:rsidRDefault="008A4024" w:rsidP="00305D19">
      <w:pPr>
        <w:pStyle w:val="Heading3"/>
      </w:pPr>
      <w:r w:rsidRPr="005A1B5E">
        <w:t>Foundation enrollment is comprised primarily of local resident students attending their community’s local or regional school district.</w:t>
      </w:r>
      <w:r w:rsidRPr="008A4024">
        <w:rPr>
          <w:vertAlign w:val="superscript"/>
        </w:rPr>
        <w:footnoteReference w:id="4"/>
      </w:r>
      <w:r w:rsidRPr="008A4024">
        <w:t xml:space="preserve"> </w:t>
      </w:r>
    </w:p>
    <w:p w14:paraId="73D331AF" w14:textId="55BFB865" w:rsidR="008A4024" w:rsidRPr="008A4024" w:rsidRDefault="008A4024" w:rsidP="00BD2811">
      <w:r w:rsidRPr="008A4024">
        <w:t xml:space="preserve">While Massachusetts cities and towns serve their resident students through a number of different governance structures, the most common structure is for a community to operate its own </w:t>
      </w:r>
      <w:r w:rsidR="0024688E">
        <w:t>P</w:t>
      </w:r>
      <w:r w:rsidRPr="008A4024">
        <w:t>K-12 system and to belong to a vocational regional school district. About 93 percent of publicly</w:t>
      </w:r>
      <w:r w:rsidR="0022788F">
        <w:t xml:space="preserve"> </w:t>
      </w:r>
      <w:r w:rsidRPr="008A4024">
        <w:t xml:space="preserve">funded </w:t>
      </w:r>
      <w:r w:rsidR="0022788F" w:rsidRPr="008A4024">
        <w:t>school</w:t>
      </w:r>
      <w:r w:rsidR="0022788F">
        <w:t>children</w:t>
      </w:r>
      <w:r w:rsidRPr="008A4024">
        <w:t xml:space="preserve"> enroll in the school district directly associated with their cities and towns of residence.</w:t>
      </w:r>
    </w:p>
    <w:p w14:paraId="3180A46C" w14:textId="77777777" w:rsidR="008A4024" w:rsidRPr="005A1B5E" w:rsidRDefault="008A4024" w:rsidP="00305D19">
      <w:pPr>
        <w:pStyle w:val="Heading3"/>
      </w:pPr>
      <w:r w:rsidRPr="005A1B5E">
        <w:t xml:space="preserve">Foundation enrollment also includes students for whom the district is paying tuition. </w:t>
      </w:r>
    </w:p>
    <w:p w14:paraId="77D2CA64" w14:textId="3ECB0C3A" w:rsidR="008A4024" w:rsidRDefault="008A4024" w:rsidP="00BD2811">
      <w:r w:rsidRPr="008A4024">
        <w:t>About 7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05D19">
      <w:pPr>
        <w:pStyle w:val="ListParagraph"/>
        <w:numPr>
          <w:ilvl w:val="0"/>
          <w:numId w:val="18"/>
        </w:numPr>
      </w:pPr>
      <w:r w:rsidRPr="008A4024">
        <w:t>Students attending charter schools;</w:t>
      </w:r>
    </w:p>
    <w:p w14:paraId="30A689E4" w14:textId="77777777" w:rsidR="0024688E" w:rsidRPr="008A4024" w:rsidRDefault="0024688E" w:rsidP="00061975">
      <w:pPr>
        <w:pStyle w:val="ListParagraph"/>
      </w:pPr>
    </w:p>
    <w:p w14:paraId="01AA635F" w14:textId="0004C553" w:rsidR="008A4024" w:rsidRDefault="008A4024" w:rsidP="00305D19">
      <w:pPr>
        <w:pStyle w:val="ListParagraph"/>
        <w:numPr>
          <w:ilvl w:val="0"/>
          <w:numId w:val="18"/>
        </w:numPr>
      </w:pPr>
      <w:r w:rsidRPr="008A4024">
        <w:t xml:space="preserve">Students attending another public school district through </w:t>
      </w:r>
      <w:proofErr w:type="spellStart"/>
      <w:r w:rsidRPr="008A4024">
        <w:t>interdistrict</w:t>
      </w:r>
      <w:proofErr w:type="spellEnd"/>
      <w:r w:rsidRPr="008A4024">
        <w:t xml:space="preserve"> school choice;</w:t>
      </w:r>
    </w:p>
    <w:p w14:paraId="5212BE4B" w14:textId="4B142F5A" w:rsidR="0024688E" w:rsidRPr="008A4024" w:rsidRDefault="0024688E" w:rsidP="00061975"/>
    <w:p w14:paraId="00B2EB7D" w14:textId="60695EF8" w:rsidR="008A4024" w:rsidRDefault="008A4024" w:rsidP="00305D19">
      <w:pPr>
        <w:pStyle w:val="ListParagraph"/>
        <w:numPr>
          <w:ilvl w:val="0"/>
          <w:numId w:val="18"/>
        </w:numPr>
      </w:pPr>
      <w:r w:rsidRPr="008A4024">
        <w:t>Special education students for whom their home district pays tuition to a private special education school or another public school district with an appropriate program; and</w:t>
      </w:r>
    </w:p>
    <w:p w14:paraId="456D30AD" w14:textId="147A38AA" w:rsidR="0024688E" w:rsidRPr="008A4024" w:rsidRDefault="0024688E" w:rsidP="00061975"/>
    <w:p w14:paraId="6B00C1D3" w14:textId="09E5AA78" w:rsidR="008A4024" w:rsidRPr="008A4024" w:rsidRDefault="008A4024" w:rsidP="00305D19">
      <w:pPr>
        <w:pStyle w:val="ListParagraph"/>
        <w:numPr>
          <w:ilvl w:val="0"/>
          <w:numId w:val="18"/>
        </w:numPr>
      </w:pPr>
      <w:r w:rsidRPr="008A4024">
        <w:t xml:space="preserve">Vocational students attending a school </w:t>
      </w:r>
      <w:r w:rsidR="0024688E">
        <w:t>where</w:t>
      </w:r>
      <w:r w:rsidRPr="008A4024">
        <w:t xml:space="preserve"> their town is not a member when the home vocational district does not offer the program they are seeking (Chapter 74 non-resident tuition program). </w:t>
      </w:r>
    </w:p>
    <w:p w14:paraId="06FC47E4" w14:textId="77777777" w:rsidR="008A4024" w:rsidRPr="005A1B5E" w:rsidRDefault="008A4024" w:rsidP="00305D19">
      <w:pPr>
        <w:pStyle w:val="Heading3"/>
      </w:pPr>
      <w:r w:rsidRPr="005A1B5E">
        <w:t xml:space="preserve">Foundation enrollment does not include students </w:t>
      </w:r>
      <w:proofErr w:type="spellStart"/>
      <w:r w:rsidRPr="005A1B5E">
        <w:t>tuitioned</w:t>
      </w:r>
      <w:proofErr w:type="spellEnd"/>
      <w:r w:rsidRPr="005A1B5E">
        <w:t xml:space="preserve">-in from other districts, because their home districts are paying for those students’ costs. </w:t>
      </w:r>
    </w:p>
    <w:p w14:paraId="3B463114" w14:textId="2C48B99E" w:rsidR="0024688E" w:rsidRDefault="008A4024" w:rsidP="00BD2811">
      <w:r w:rsidRPr="008A4024">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05D19">
      <w:pPr>
        <w:pStyle w:val="ListParagraph"/>
        <w:numPr>
          <w:ilvl w:val="0"/>
          <w:numId w:val="19"/>
        </w:numPr>
      </w:pPr>
      <w:r w:rsidRPr="008A4024">
        <w:t xml:space="preserve">Students participating in the METCO racial imbalance program count in the district where they are educated. Home districts such as Boston and Springfield do not pay tuition for these pupils. </w:t>
      </w:r>
    </w:p>
    <w:p w14:paraId="367FFDE7" w14:textId="77777777" w:rsidR="0024688E" w:rsidRPr="008A4024" w:rsidRDefault="0024688E" w:rsidP="00061975">
      <w:pPr>
        <w:pStyle w:val="ListParagraph"/>
      </w:pPr>
    </w:p>
    <w:p w14:paraId="70149A7D" w14:textId="77777777" w:rsidR="008A4024" w:rsidRPr="008A4024" w:rsidRDefault="008A4024" w:rsidP="00305D19">
      <w:pPr>
        <w:pStyle w:val="ListParagraph"/>
        <w:numPr>
          <w:ilvl w:val="0"/>
          <w:numId w:val="19"/>
        </w:numPr>
      </w:pPr>
      <w:r w:rsidRPr="008A4024">
        <w:t xml:space="preserve">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 </w:t>
      </w:r>
    </w:p>
    <w:p w14:paraId="6177ABD0" w14:textId="77777777" w:rsidR="008A4024" w:rsidRPr="008A4024" w:rsidRDefault="008A4024" w:rsidP="00BD2811"/>
    <w:p w14:paraId="470734E3" w14:textId="76671327" w:rsidR="008A4024" w:rsidRPr="008A4024" w:rsidRDefault="00576CDF" w:rsidP="00BD2811">
      <w:r>
        <w:lastRenderedPageBreak/>
        <w:t>The Massachusetts Department of Elementary and Secondary Education (</w:t>
      </w:r>
      <w:r w:rsidR="008A4024" w:rsidRPr="00061975">
        <w:t>DESE</w:t>
      </w:r>
      <w:r>
        <w:t>)</w:t>
      </w:r>
      <w:r w:rsidR="008A4024" w:rsidRPr="008A4024">
        <w:t xml:space="preserve"> computes foundation enrollment using student-specific data submitted by each Massachusetts school district through the Student Information Management System (SIMS). </w:t>
      </w:r>
    </w:p>
    <w:p w14:paraId="7A84B8A3" w14:textId="77777777" w:rsidR="008A4024" w:rsidRPr="008A4024" w:rsidRDefault="008A4024" w:rsidP="00BD2811"/>
    <w:p w14:paraId="50AC2CB1" w14:textId="132ABDA0" w:rsidR="008A4024" w:rsidRPr="008A4024" w:rsidRDefault="008A4024" w:rsidP="00BD2811">
      <w:r w:rsidRPr="008A4024">
        <w:t>Because of the timing involved in the state budget process, foundation enrollment lags by one year. For example, FY19 Chapter 70 relies upon Octobe</w:t>
      </w:r>
      <w:r w:rsidR="00CA5DCF">
        <w:t>r 2</w:t>
      </w:r>
      <w:r w:rsidR="00CA5DCF" w:rsidRPr="00061975">
        <w:rPr>
          <w:vertAlign w:val="superscript"/>
        </w:rPr>
        <w:t>nd</w:t>
      </w:r>
      <w:r w:rsidRPr="008A4024">
        <w:t xml:space="preserve">, 2017 pupil counts, which were the latest available when the </w:t>
      </w:r>
      <w:r w:rsidR="00A87749">
        <w:t>g</w:t>
      </w:r>
      <w:r w:rsidRPr="008A4024">
        <w:t xml:space="preserve">overnor and </w:t>
      </w:r>
      <w:r w:rsidR="00A87749">
        <w:t>l</w:t>
      </w:r>
      <w:r w:rsidRPr="008A4024">
        <w:t xml:space="preserve">egislature were making their FY19 budget proposals during the winter and spring of 2018. </w:t>
      </w:r>
    </w:p>
    <w:p w14:paraId="176A6CD7" w14:textId="58FDA397" w:rsidR="008A4024" w:rsidRPr="005A1B5E" w:rsidRDefault="008A4024" w:rsidP="00305D19">
      <w:pPr>
        <w:pStyle w:val="Heading3"/>
      </w:pPr>
      <w:r w:rsidRPr="005A1B5E">
        <w:t>A district's foundation budget is derived by multiplying the number of pupils in seventeen enrollment categories by cost rates in eleven functional areas</w:t>
      </w:r>
      <w:r w:rsidR="0067284C">
        <w:t xml:space="preserve">. </w:t>
      </w:r>
      <w:r w:rsidRPr="005A1B5E">
        <w:t>In computing the foundation budget, each pupil must first be assigned to one of the following 7 discrete categories.</w:t>
      </w:r>
    </w:p>
    <w:p w14:paraId="3E51DE0E" w14:textId="3711EAA3" w:rsidR="004F792C" w:rsidRDefault="008A4024" w:rsidP="00A87749">
      <w:r w:rsidRPr="008A4024">
        <w:t>Based upon the pupil-specific information submitted by each school district to DESE, a student is classified as being in one of the following categories, which appear in columns 1 through 7 of a district’s foundation budget</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871"/>
        <w:gridCol w:w="5181"/>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741EE0C7" w:rsidR="007A60A4" w:rsidRPr="00061975" w:rsidRDefault="007A60A4" w:rsidP="00576CDF">
            <w:pPr>
              <w:jc w:val="center"/>
              <w:rPr>
                <w:rFonts w:asciiTheme="minorHAnsi" w:hAnsiTheme="minorHAnsi" w:cstheme="minorHAnsi"/>
                <w:sz w:val="28"/>
                <w:szCs w:val="28"/>
              </w:rPr>
            </w:pPr>
            <w:r>
              <w:rPr>
                <w:rFonts w:asciiTheme="minorHAnsi" w:hAnsiTheme="minorHAnsi" w:cstheme="minorHAnsi"/>
                <w:sz w:val="28"/>
                <w:szCs w:val="28"/>
              </w:rPr>
              <w:t>Table 1: Foundation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5AC6A16"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pre-kindergarten</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4751E7F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2C3D28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413E1590"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5"/>
            </w:r>
          </w:p>
        </w:tc>
      </w:tr>
      <w:tr w:rsidR="008A4024"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7</w:t>
            </w:r>
          </w:p>
        </w:tc>
        <w:tc>
          <w:tcPr>
            <w:tcW w:w="0" w:type="auto"/>
          </w:tcPr>
          <w:p w14:paraId="4F535EDD" w14:textId="05CE07E3"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w:t>
            </w:r>
            <w:r w:rsidR="008A4024" w:rsidRPr="00061975">
              <w:rPr>
                <w:rFonts w:asciiTheme="minorHAnsi" w:hAnsiTheme="minorHAnsi" w:cstheme="minorHAnsi"/>
                <w:sz w:val="20"/>
                <w:szCs w:val="20"/>
              </w:rPr>
              <w:t>ocational education (grades 9-12)</w:t>
            </w:r>
            <w:r w:rsidR="008A4024" w:rsidRPr="00061975">
              <w:rPr>
                <w:rFonts w:asciiTheme="minorHAnsi" w:hAnsiTheme="minorHAnsi" w:cstheme="minorHAnsi"/>
                <w:sz w:val="20"/>
                <w:szCs w:val="20"/>
                <w:vertAlign w:val="superscript"/>
              </w:rPr>
              <w:footnoteReference w:id="6"/>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pPr>
        <w:pStyle w:val="ListParagraph"/>
        <w:numPr>
          <w:ilvl w:val="0"/>
          <w:numId w:val="20"/>
        </w:numPr>
      </w:pPr>
      <w:r w:rsidRPr="008A4024">
        <w:t>If parents/guardians pay tuition for kindergartners to attend the optional second half of a full-day kindergarten program, they are counted as half-day pupils.</w:t>
      </w:r>
    </w:p>
    <w:p w14:paraId="6201B4F0" w14:textId="3DB14152" w:rsidR="00CA5DCF" w:rsidRPr="008A4024" w:rsidRDefault="00CA5DCF" w:rsidP="00061975"/>
    <w:p w14:paraId="5BC5ED03" w14:textId="3BADD521" w:rsidR="008A4024" w:rsidRPr="008A4024" w:rsidRDefault="008A4024" w:rsidP="00305D19">
      <w:pPr>
        <w:pStyle w:val="ListParagraph"/>
        <w:numPr>
          <w:ilvl w:val="0"/>
          <w:numId w:val="20"/>
        </w:numPr>
      </w:pPr>
      <w:r w:rsidRPr="008A4024">
        <w:t>Students in vocational education must be in approved Chapter 74 programs</w:t>
      </w:r>
      <w:r w:rsidR="00FE5B9D">
        <w:t>, o</w:t>
      </w:r>
      <w:r w:rsidRPr="008A4024">
        <w:t>therwise they are placed in the regular education senior high category.</w:t>
      </w:r>
    </w:p>
    <w:p w14:paraId="53226614" w14:textId="77777777" w:rsidR="008A4024" w:rsidRPr="008A4024" w:rsidRDefault="008A4024" w:rsidP="00A87749"/>
    <w:p w14:paraId="69B2ECDF" w14:textId="55034630" w:rsidR="008A4024" w:rsidRPr="008A4024" w:rsidRDefault="008A4024" w:rsidP="00A87749">
      <w:r w:rsidRPr="008A4024">
        <w:lastRenderedPageBreak/>
        <w:t>These headcounts are applied to specific cost rates to determine foundation budgets</w:t>
      </w:r>
      <w:r w:rsidR="0067284C">
        <w:t xml:space="preserve">. </w:t>
      </w:r>
      <w:r w:rsidRPr="008A4024">
        <w:t xml:space="preserve">A district’s </w:t>
      </w:r>
      <w:r w:rsidRPr="008A4024">
        <w:rPr>
          <w:b/>
          <w:bCs/>
        </w:rPr>
        <w:t>total foundation enrollment</w:t>
      </w:r>
      <w:r w:rsidRPr="008A4024">
        <w:t xml:space="preserve"> equals the sum the above full</w:t>
      </w:r>
      <w:r w:rsidR="0072099D">
        <w:t>-</w:t>
      </w:r>
      <w:r w:rsidRPr="008A4024">
        <w:t>day headcounts plus the students in pre-kindergarten and half-day kindergarten divided by two (to reflect their relative full-time</w:t>
      </w:r>
      <w:r w:rsidR="0072099D">
        <w:t xml:space="preserve"> </w:t>
      </w:r>
      <w:r w:rsidRPr="008A4024">
        <w:t>equivalency</w:t>
      </w:r>
      <w:r w:rsidR="0072099D">
        <w:t>)</w:t>
      </w:r>
      <w:r w:rsidRPr="008A4024">
        <w:t>.</w:t>
      </w:r>
    </w:p>
    <w:p w14:paraId="10361E87" w14:textId="77777777" w:rsidR="008A4024" w:rsidRPr="008A4024" w:rsidRDefault="008A4024" w:rsidP="00A87749"/>
    <w:p w14:paraId="686DF6BD" w14:textId="0958D968" w:rsidR="009A01C4" w:rsidRDefault="0022788F" w:rsidP="00A87749">
      <w:r>
        <w:t>Each</w:t>
      </w:r>
      <w:r w:rsidRPr="008A4024">
        <w:t xml:space="preserve"> </w:t>
      </w:r>
      <w:r w:rsidR="008A4024" w:rsidRPr="008A4024">
        <w:t xml:space="preserve">district’s FY19 calculations can be seen on the foundation budget report available in the </w:t>
      </w:r>
      <w:hyperlink r:id="rId18" w:history="1">
        <w:r w:rsidR="008A4024" w:rsidRPr="008A4024">
          <w:rPr>
            <w:color w:val="0000FF" w:themeColor="hyperlink"/>
            <w:u w:val="single"/>
          </w:rPr>
          <w:t>FY19 Chapter 70 formula spreadsheet</w:t>
        </w:r>
      </w:hyperlink>
      <w:r w:rsidR="0072099D">
        <w:t>, see</w:t>
      </w:r>
      <w:r w:rsidR="008A4024" w:rsidRPr="008A4024">
        <w:t xml:space="preserve"> </w:t>
      </w:r>
      <w:r w:rsidR="0072099D">
        <w:t>the example using</w:t>
      </w:r>
      <w:r w:rsidR="008A4024" w:rsidRPr="008A4024">
        <w:t xml:space="preserve"> Westford’s </w:t>
      </w:r>
      <w:r w:rsidR="0072099D">
        <w:t>foundation budget below</w:t>
      </w:r>
      <w:r w:rsidR="0067284C">
        <w:t xml:space="preserve">. </w:t>
      </w:r>
      <w:r w:rsidR="008A4024" w:rsidRPr="008A4024">
        <w:t>The columns going across the page are the seventeen enrollment categories used in the foundation budget calculation.</w:t>
      </w:r>
    </w:p>
    <w:p w14:paraId="46971276" w14:textId="66F130C8" w:rsidR="00FA585D" w:rsidRDefault="00FA585D" w:rsidP="00A87749"/>
    <w:p w14:paraId="2C8A06A9" w14:textId="30990E13" w:rsidR="00FA585D" w:rsidRPr="008A4024" w:rsidRDefault="00FA585D" w:rsidP="00FA585D">
      <w:r w:rsidRPr="008A4024">
        <w:t>These headcounts are used to compute total foundation enrollment at the far right of the report</w:t>
      </w:r>
      <w:r>
        <w:t xml:space="preserve">. </w:t>
      </w:r>
      <w:r w:rsidRPr="008A4024">
        <w:t>Note that for computing this total, preschool and half-day kindergarten categories count as .5 full-time equivalent pupils because they typically attend for half the school day</w:t>
      </w:r>
      <w:r>
        <w:t xml:space="preserve">. </w:t>
      </w:r>
      <w:r w:rsidRPr="008A4024">
        <w:t xml:space="preserve">For example, Westford’s total foundation enrollment of 4,851 (shown in the last column on the right) counts its 43 preschoolers as 22 pupils </w:t>
      </w:r>
      <w:r w:rsidRPr="00BA1D2B">
        <w:t>(rounded up)</w:t>
      </w:r>
      <w:r w:rsidRPr="008A4024">
        <w:t xml:space="preserve"> and its 264 half-day kindergartners count as 132 pupils.</w:t>
      </w:r>
    </w:p>
    <w:p w14:paraId="09E2D986" w14:textId="77777777" w:rsidR="00FE5B9D" w:rsidRDefault="00FE5B9D" w:rsidP="005B1DEE">
      <w:pPr>
        <w:rPr>
          <w:rFonts w:ascii="Georgia" w:hAnsi="Georgia"/>
          <w:sz w:val="20"/>
          <w:szCs w:val="20"/>
        </w:rPr>
        <w:sectPr w:rsidR="00FE5B9D" w:rsidSect="00061975">
          <w:pgSz w:w="12240" w:h="15840"/>
          <w:pgMar w:top="1440" w:right="1440" w:bottom="1440" w:left="1440" w:header="720" w:footer="720" w:gutter="0"/>
          <w:pgNumType w:start="1"/>
          <w:cols w:space="720"/>
        </w:sectPr>
      </w:pPr>
    </w:p>
    <w:p w14:paraId="35ADC237" w14:textId="7C093FD5" w:rsidR="005B1DEE" w:rsidRDefault="005B1DEE" w:rsidP="005B1DEE">
      <w:pPr>
        <w:rPr>
          <w:rFonts w:ascii="Georgia" w:hAnsi="Georgia"/>
          <w:sz w:val="20"/>
          <w:szCs w:val="20"/>
        </w:rPr>
      </w:pPr>
    </w:p>
    <w:p w14:paraId="4FCFDCCC" w14:textId="710CA335" w:rsidR="008A4024" w:rsidRPr="008A4024" w:rsidRDefault="00D351CC" w:rsidP="008A4024">
      <w:pPr>
        <w:rPr>
          <w:rFonts w:ascii="Georgia" w:hAnsi="Georgia"/>
          <w:noProof/>
          <w:sz w:val="20"/>
          <w:szCs w:val="20"/>
        </w:rPr>
      </w:pPr>
      <w:r>
        <w:rPr>
          <w:rFonts w:ascii="Georgia" w:hAnsi="Georgia"/>
          <w:noProof/>
          <w:sz w:val="20"/>
          <w:szCs w:val="20"/>
          <w:lang w:eastAsia="zh-CN"/>
        </w:rPr>
        <w:drawing>
          <wp:inline distT="0" distB="0" distL="0" distR="0" wp14:anchorId="5337251A" wp14:editId="46BEE96E">
            <wp:extent cx="14639068" cy="7549286"/>
            <wp:effectExtent l="0" t="0" r="0" b="0"/>
            <wp:docPr id="5" name="Picture 5" descr="Westford's FY19 foundation budge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pleFoundationBudget.png"/>
                    <pic:cNvPicPr/>
                  </pic:nvPicPr>
                  <pic:blipFill>
                    <a:blip r:embed="rId19">
                      <a:extLst>
                        <a:ext uri="{28A0092B-C50C-407E-A947-70E740481C1C}">
                          <a14:useLocalDpi xmlns:a14="http://schemas.microsoft.com/office/drawing/2010/main" val="0"/>
                        </a:ext>
                      </a:extLst>
                    </a:blip>
                    <a:stretch>
                      <a:fillRect/>
                    </a:stretch>
                  </pic:blipFill>
                  <pic:spPr>
                    <a:xfrm>
                      <a:off x="0" y="0"/>
                      <a:ext cx="14658695" cy="7559408"/>
                    </a:xfrm>
                    <a:prstGeom prst="rect">
                      <a:avLst/>
                    </a:prstGeom>
                  </pic:spPr>
                </pic:pic>
              </a:graphicData>
            </a:graphic>
          </wp:inline>
        </w:drawing>
      </w:r>
    </w:p>
    <w:p w14:paraId="2B470E77" w14:textId="522F9FE1" w:rsidR="00032AF6" w:rsidRDefault="00032AF6" w:rsidP="008A4024">
      <w:pPr>
        <w:rPr>
          <w:rFonts w:ascii="Georgia" w:hAnsi="Georgia"/>
          <w:noProof/>
          <w:sz w:val="20"/>
          <w:szCs w:val="20"/>
        </w:rPr>
      </w:pPr>
    </w:p>
    <w:p w14:paraId="12399557" w14:textId="77777777" w:rsidR="008A4024" w:rsidRPr="008A4024" w:rsidRDefault="008A4024" w:rsidP="008A4024">
      <w:pPr>
        <w:rPr>
          <w:rFonts w:ascii="Georgia" w:hAnsi="Georgia"/>
          <w:sz w:val="20"/>
          <w:szCs w:val="20"/>
        </w:rPr>
      </w:pPr>
    </w:p>
    <w:p w14:paraId="4C121749" w14:textId="77777777" w:rsidR="00FE5B9D" w:rsidRDefault="00FE5B9D">
      <w:pPr>
        <w:rPr>
          <w:rFonts w:ascii="Georgia" w:hAnsi="Georgia"/>
          <w:b/>
          <w:bCs/>
          <w:i/>
          <w:sz w:val="20"/>
          <w:szCs w:val="20"/>
        </w:rPr>
        <w:sectPr w:rsidR="00FE5B9D" w:rsidSect="00305D19">
          <w:pgSz w:w="24480" w:h="15840" w:orient="landscape" w:code="3"/>
          <w:pgMar w:top="1440" w:right="1440" w:bottom="1440" w:left="1440" w:header="720" w:footer="720" w:gutter="0"/>
          <w:cols w:space="720"/>
          <w:docGrid w:linePitch="326"/>
        </w:sectPr>
      </w:pPr>
    </w:p>
    <w:p w14:paraId="5FA6ED09" w14:textId="47CC145F" w:rsidR="00FA585D" w:rsidRDefault="00EE41C1" w:rsidP="00305D19">
      <w:pPr>
        <w:pStyle w:val="Heading3"/>
      </w:pPr>
      <w:r w:rsidRPr="005A1B5E">
        <w:lastRenderedPageBreak/>
        <w:t>Costs for s</w:t>
      </w:r>
      <w:r w:rsidR="008A4024" w:rsidRPr="005A1B5E">
        <w:t xml:space="preserve">pecial education, English </w:t>
      </w:r>
      <w:r w:rsidR="00CA5DCF">
        <w:t xml:space="preserve">language </w:t>
      </w:r>
      <w:r w:rsidR="008A4024" w:rsidRPr="005A1B5E">
        <w:t>learner</w:t>
      </w:r>
      <w:r w:rsidRPr="005A1B5E">
        <w:t>s</w:t>
      </w:r>
      <w:r w:rsidR="004B4C90">
        <w:t xml:space="preserve"> (ELLs)</w:t>
      </w:r>
      <w:r w:rsidR="008A4024" w:rsidRPr="005A1B5E">
        <w:t>,</w:t>
      </w:r>
      <w:r w:rsidRPr="005A1B5E">
        <w:t xml:space="preserve"> and </w:t>
      </w:r>
      <w:r w:rsidR="00CA5DCF">
        <w:t>economically disadvantaged</w:t>
      </w:r>
      <w:r w:rsidR="008A4024" w:rsidRPr="005A1B5E">
        <w:t xml:space="preserve"> </w:t>
      </w:r>
      <w:r w:rsidRPr="005A1B5E">
        <w:t xml:space="preserve">students </w:t>
      </w:r>
      <w:r w:rsidR="008A4024" w:rsidRPr="005A1B5E">
        <w:t>are treated as costs above the base</w:t>
      </w:r>
      <w:r w:rsidR="00FA585D">
        <w:t>.</w:t>
      </w:r>
    </w:p>
    <w:p w14:paraId="4622E546" w14:textId="42C37687" w:rsidR="008A4024" w:rsidRPr="005A1B5E" w:rsidRDefault="008A4024" w:rsidP="00FA585D">
      <w:r w:rsidRPr="005A1B5E">
        <w:t>There are four cost increment categories that are intended to reflect the additional resources need</w:t>
      </w:r>
      <w:r w:rsidR="00EE41C1" w:rsidRPr="005A1B5E">
        <w:t>ed to educate these populations:</w:t>
      </w:r>
    </w:p>
    <w:p w14:paraId="43C290E3" w14:textId="77777777" w:rsidR="008A4024" w:rsidRPr="008A4024" w:rsidRDefault="008A4024" w:rsidP="00FA585D">
      <w:pPr>
        <w:rPr>
          <w:highlight w:val="lightGray"/>
        </w:rPr>
      </w:pPr>
    </w:p>
    <w:p w14:paraId="1A3D21DE" w14:textId="28484939" w:rsidR="008A4024" w:rsidRPr="008A4024" w:rsidRDefault="008A4024" w:rsidP="00305D19">
      <w:pPr>
        <w:pStyle w:val="ListParagraph"/>
        <w:numPr>
          <w:ilvl w:val="0"/>
          <w:numId w:val="21"/>
        </w:numPr>
      </w:pPr>
      <w:r w:rsidRPr="008A4024">
        <w:t>Assumed in-district special education enrollment (column 8) is set at 3.75 percent of foundation enrollment (not including pre-kindergarten and vocational pupils) and 4.75 percent of vocational enrollment</w:t>
      </w:r>
      <w:r w:rsidR="0067284C">
        <w:t xml:space="preserve">. </w:t>
      </w:r>
      <w:r w:rsidRPr="008A4024">
        <w:t xml:space="preserve">These headcounts are assumed rather than actual counts of pupils, an approach </w:t>
      </w:r>
      <w:r w:rsidR="004B4C90">
        <w:t>that</w:t>
      </w:r>
      <w:r w:rsidRPr="008A4024">
        <w:t xml:space="preserve"> is practiced in eight other states around the country.</w:t>
      </w:r>
      <w:r w:rsidRPr="008A4024">
        <w:rPr>
          <w:vertAlign w:val="superscript"/>
        </w:rPr>
        <w:footnoteReference w:id="7"/>
      </w:r>
      <w:r w:rsidRPr="008A4024">
        <w:t xml:space="preserve">  This method is in place to prevent over identification of special education students for the purpose of fiscal gain.</w:t>
      </w:r>
    </w:p>
    <w:p w14:paraId="36490D7A" w14:textId="77777777" w:rsidR="008A4024" w:rsidRPr="007E3252" w:rsidRDefault="008A4024" w:rsidP="00FA585D"/>
    <w:p w14:paraId="2B96D444" w14:textId="77777777" w:rsidR="008A4024" w:rsidRPr="007E3252" w:rsidRDefault="008A4024" w:rsidP="00305D19">
      <w:pPr>
        <w:pStyle w:val="ListParagraph"/>
        <w:numPr>
          <w:ilvl w:val="0"/>
          <w:numId w:val="21"/>
        </w:numPr>
      </w:pPr>
      <w:r w:rsidRPr="007E3252">
        <w:t>Assumed out-of-district special education enrollment (column 9) is set at one percent of total foundation enrollment (again not including pre-kindergarten and vocational pupils).</w:t>
      </w:r>
    </w:p>
    <w:p w14:paraId="545A1177" w14:textId="77777777" w:rsidR="008A4024" w:rsidRPr="007E3252" w:rsidRDefault="008A4024" w:rsidP="00305D19"/>
    <w:p w14:paraId="6AB5B8BE" w14:textId="7309A4A5" w:rsidR="008A4024" w:rsidRPr="007E3252" w:rsidRDefault="008A4024" w:rsidP="00305D19">
      <w:pPr>
        <w:pStyle w:val="ListParagraph"/>
        <w:numPr>
          <w:ilvl w:val="0"/>
          <w:numId w:val="21"/>
        </w:numPr>
      </w:pPr>
      <w:r w:rsidRPr="007E3252">
        <w:t>E</w:t>
      </w:r>
      <w:r w:rsidR="004B4C90">
        <w:t>LL st</w:t>
      </w:r>
      <w:r w:rsidRPr="007E3252">
        <w:t xml:space="preserve">atus (columns 10–16) depends on a student’s home language and English language proficiency. </w:t>
      </w:r>
      <w:r w:rsidR="00984735">
        <w:t xml:space="preserve">In FY19, </w:t>
      </w:r>
      <w:r w:rsidR="00656EA4">
        <w:t xml:space="preserve">the Commonwealth converted the </w:t>
      </w:r>
      <w:r w:rsidR="003B5F6D">
        <w:t>ELL</w:t>
      </w:r>
      <w:r w:rsidR="00656EA4">
        <w:t xml:space="preserve"> </w:t>
      </w:r>
      <w:r w:rsidR="00BA1D2B">
        <w:t xml:space="preserve">rates </w:t>
      </w:r>
      <w:r w:rsidR="00656EA4">
        <w:t>to increments</w:t>
      </w:r>
      <w:r w:rsidR="00231A44" w:rsidRPr="00231A44">
        <w:rPr>
          <w:color w:val="000000"/>
        </w:rPr>
        <w:t xml:space="preserve"> </w:t>
      </w:r>
      <w:r w:rsidR="00231A44" w:rsidRPr="00810309">
        <w:rPr>
          <w:color w:val="000000"/>
        </w:rPr>
        <w:t>and these increments were increased to close the gap between prior rates and the new ELL targets by 65 percent</w:t>
      </w:r>
      <w:r w:rsidR="00984735">
        <w:t>.</w:t>
      </w:r>
    </w:p>
    <w:p w14:paraId="62A28DAC" w14:textId="77777777" w:rsidR="004C0F90" w:rsidRPr="004C0F90" w:rsidRDefault="004C0F90" w:rsidP="00305D19">
      <w:pPr>
        <w:rPr>
          <w:highlight w:val="lightGray"/>
        </w:rPr>
      </w:pPr>
    </w:p>
    <w:p w14:paraId="587D5439" w14:textId="3640EAC2" w:rsidR="008A4024" w:rsidRPr="008A4024" w:rsidRDefault="008A4024" w:rsidP="00305D19">
      <w:pPr>
        <w:pStyle w:val="ListParagraph"/>
        <w:numPr>
          <w:ilvl w:val="0"/>
          <w:numId w:val="21"/>
        </w:numPr>
      </w:pPr>
      <w:r w:rsidRPr="008A4024">
        <w:t xml:space="preserve">Economically disadvantaged status (column 17) is </w:t>
      </w:r>
      <w:r w:rsidR="003B5F6D">
        <w:t>based</w:t>
      </w:r>
      <w:r w:rsidRPr="008A4024">
        <w:t xml:space="preserve"> on a student’s participation in one or more of the following state-administered programs: Supplemental Nutrition Assistance Program (SNAP); Transitional Assistance for Families with Dependent Children (TAFDC); Department of Children and Families' (DCF) foster care program; or MassHealth (Medicaid) up to 133</w:t>
      </w:r>
      <w:r w:rsidR="00CA5DCF">
        <w:t xml:space="preserve"> percent</w:t>
      </w:r>
      <w:r w:rsidRPr="008A4024">
        <w:t xml:space="preserve"> of the federal poverty level (FPL)</w:t>
      </w:r>
      <w:r w:rsidR="0067284C">
        <w:t xml:space="preserve">. </w:t>
      </w:r>
      <w:r w:rsidRPr="008A4024">
        <w:t xml:space="preserve">Unlike foundation enrollment, economically disadvantaged headcounts are assigned to the district where the pupils are actually enrolled (and where the extra costs occur), even if they are </w:t>
      </w:r>
      <w:proofErr w:type="spellStart"/>
      <w:r w:rsidRPr="008A4024">
        <w:t>tuitioned</w:t>
      </w:r>
      <w:proofErr w:type="spellEnd"/>
      <w:r w:rsidRPr="008A4024">
        <w:t xml:space="preserve">-in from another district. </w:t>
      </w:r>
    </w:p>
    <w:p w14:paraId="5B14EA91" w14:textId="77777777" w:rsidR="008A4024" w:rsidRPr="008A4024" w:rsidRDefault="008A4024" w:rsidP="00305D19">
      <w:pPr>
        <w:rPr>
          <w:highlight w:val="lightGray"/>
        </w:rPr>
      </w:pPr>
    </w:p>
    <w:p w14:paraId="4C77B10A" w14:textId="6C7F1E47" w:rsidR="008A4024" w:rsidRPr="008A4024" w:rsidRDefault="008A4024" w:rsidP="00FA585D">
      <w:r w:rsidRPr="000D09FC">
        <w:t>Columns 8 through 17 reflect these incremental costs above the base</w:t>
      </w:r>
      <w:r w:rsidR="0067284C">
        <w:t xml:space="preserve">. </w:t>
      </w:r>
      <w:r w:rsidRPr="000D09FC">
        <w:t>These students have already been counted in columns 1 through 7, and are therefore not added to total enrollment.</w:t>
      </w:r>
    </w:p>
    <w:p w14:paraId="07B39BD0" w14:textId="73504DF7" w:rsidR="008A4024" w:rsidRPr="005A1B5E" w:rsidRDefault="008A4024" w:rsidP="00305D19">
      <w:pPr>
        <w:pStyle w:val="Heading3"/>
      </w:pPr>
      <w:r w:rsidRPr="005A1B5E">
        <w:t>After a district’s foundation enrollment is calculated, it is applied to specific cost rates in eleven functional areas to arrive at the upcoming year’s foundation budget.</w:t>
      </w:r>
    </w:p>
    <w:p w14:paraId="486F1D16" w14:textId="1CF2B11F" w:rsidR="004F792C" w:rsidRDefault="008A4024" w:rsidP="00032AF6">
      <w:r w:rsidRPr="008A4024">
        <w:t>These cost rates are based on a model school budget developed by a group of superintendents and an economist in the early 1990s</w:t>
      </w:r>
      <w:r w:rsidR="0067284C">
        <w:t xml:space="preserve">. </w:t>
      </w:r>
      <w:r w:rsidRPr="008A4024">
        <w:t>They reflect the major cost centers of school spending:</w:t>
      </w:r>
    </w:p>
    <w:p w14:paraId="2581B9D2" w14:textId="77777777" w:rsidR="004F792C" w:rsidRDefault="004F792C">
      <w:r>
        <w:br w:type="page"/>
      </w:r>
    </w:p>
    <w:tbl>
      <w:tblPr>
        <w:tblStyle w:val="ESETablesOpenStyle"/>
        <w:tblW w:w="4032" w:type="dxa"/>
        <w:jc w:val="center"/>
        <w:tblLook w:val="04A0" w:firstRow="1" w:lastRow="0" w:firstColumn="1" w:lastColumn="0" w:noHBand="0" w:noVBand="1"/>
        <w:tblDescription w:val="Table 2: Foundation budget expenditure categories"/>
      </w:tblPr>
      <w:tblGrid>
        <w:gridCol w:w="4032"/>
      </w:tblGrid>
      <w:tr w:rsidR="004B4C90" w:rsidRPr="00305D19" w14:paraId="56A1C67A" w14:textId="77777777" w:rsidTr="00523914">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bottom w:val="single" w:sz="12" w:space="0" w:color="auto"/>
            </w:tcBorders>
            <w:noWrap/>
          </w:tcPr>
          <w:p w14:paraId="61640F09" w14:textId="493A1AA3" w:rsidR="004B4C90" w:rsidRPr="00061975" w:rsidRDefault="007A60A4" w:rsidP="0022788F">
            <w:pPr>
              <w:rPr>
                <w:rFonts w:asciiTheme="minorHAnsi" w:hAnsiTheme="minorHAnsi" w:cstheme="minorHAnsi"/>
                <w:sz w:val="28"/>
                <w:szCs w:val="28"/>
              </w:rPr>
            </w:pPr>
            <w:r w:rsidRPr="00061975">
              <w:rPr>
                <w:rFonts w:asciiTheme="minorHAnsi" w:hAnsiTheme="minorHAnsi" w:cstheme="minorHAnsi"/>
                <w:sz w:val="28"/>
                <w:szCs w:val="28"/>
              </w:rPr>
              <w:lastRenderedPageBreak/>
              <w:t xml:space="preserve">Table 2: Foundation </w:t>
            </w:r>
            <w:r w:rsidR="003D2308">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8A4024" w:rsidRPr="00305D19" w14:paraId="38DF6103"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12" w:space="0" w:color="auto"/>
              <w:bottom w:val="nil"/>
            </w:tcBorders>
            <w:noWrap/>
            <w:hideMark/>
          </w:tcPr>
          <w:p w14:paraId="6311B1D0"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8A4024" w:rsidRPr="00305D19" w14:paraId="5A7DF36C"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tcBorders>
            <w:noWrap/>
            <w:hideMark/>
          </w:tcPr>
          <w:p w14:paraId="6C9991DE"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Instructional Leadership</w:t>
            </w:r>
          </w:p>
        </w:tc>
      </w:tr>
      <w:tr w:rsidR="008A4024" w:rsidRPr="00305D19" w14:paraId="1DB212BF"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2CF06727"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Classroom and Specialist Teachers</w:t>
            </w:r>
          </w:p>
        </w:tc>
      </w:tr>
      <w:tr w:rsidR="008A4024" w:rsidRPr="00305D19" w14:paraId="50E7226C"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385D91D"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Other Teaching Services</w:t>
            </w:r>
          </w:p>
        </w:tc>
      </w:tr>
      <w:tr w:rsidR="008A4024" w:rsidRPr="00305D19" w14:paraId="4D9689C7"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4E2070DC"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Professional Development</w:t>
            </w:r>
          </w:p>
        </w:tc>
      </w:tr>
      <w:tr w:rsidR="008A4024" w:rsidRPr="00305D19" w14:paraId="15B8A848"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233079AD" w14:textId="5533BA55"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 xml:space="preserve">Instructional Equipment </w:t>
            </w:r>
            <w:r w:rsidR="00514F19" w:rsidRPr="00061975">
              <w:rPr>
                <w:rFonts w:asciiTheme="minorHAnsi" w:hAnsiTheme="minorHAnsi" w:cstheme="minorHAnsi"/>
                <w:sz w:val="20"/>
                <w:szCs w:val="20"/>
              </w:rPr>
              <w:t>and</w:t>
            </w:r>
            <w:r w:rsidRPr="00061975">
              <w:rPr>
                <w:rFonts w:asciiTheme="minorHAnsi" w:hAnsiTheme="minorHAnsi" w:cstheme="minorHAnsi"/>
                <w:sz w:val="20"/>
                <w:szCs w:val="20"/>
              </w:rPr>
              <w:t xml:space="preserve"> Technology</w:t>
            </w:r>
          </w:p>
        </w:tc>
      </w:tr>
      <w:tr w:rsidR="008A4024" w:rsidRPr="00305D19" w14:paraId="2D83B862"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681CA21A"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Guidance and Psychological Services</w:t>
            </w:r>
          </w:p>
        </w:tc>
      </w:tr>
      <w:tr w:rsidR="008A4024" w:rsidRPr="00305D19" w14:paraId="48EF74D1"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31454186"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Pupil Services</w:t>
            </w:r>
          </w:p>
        </w:tc>
      </w:tr>
      <w:tr w:rsidR="008A4024" w:rsidRPr="00305D19" w14:paraId="1FCDF46E"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2561462D"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Operations and Maintenance</w:t>
            </w:r>
          </w:p>
        </w:tc>
      </w:tr>
      <w:tr w:rsidR="008A4024" w:rsidRPr="00305D19" w14:paraId="5FC8D079"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3B26EFC3" w14:textId="3C8039A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 xml:space="preserve">Employee Benefits </w:t>
            </w:r>
            <w:r w:rsidR="007A60A4" w:rsidRPr="00061975">
              <w:rPr>
                <w:rFonts w:asciiTheme="minorHAnsi" w:hAnsiTheme="minorHAnsi" w:cstheme="minorHAnsi"/>
                <w:sz w:val="20"/>
                <w:szCs w:val="20"/>
              </w:rPr>
              <w:t>and</w:t>
            </w:r>
            <w:r w:rsidRPr="00061975">
              <w:rPr>
                <w:rFonts w:asciiTheme="minorHAnsi" w:hAnsiTheme="minorHAnsi" w:cstheme="minorHAnsi"/>
                <w:sz w:val="20"/>
                <w:szCs w:val="20"/>
              </w:rPr>
              <w:t xml:space="preserve"> Fixed Charges</w:t>
            </w:r>
          </w:p>
        </w:tc>
      </w:tr>
      <w:tr w:rsidR="008A4024" w:rsidRPr="00305D19" w14:paraId="371D496F" w14:textId="77777777" w:rsidTr="00061975">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35F29A7C" w14:textId="77777777" w:rsidR="008A4024" w:rsidRPr="00061975" w:rsidRDefault="008A4024" w:rsidP="00032AF6">
            <w:pPr>
              <w:rPr>
                <w:rFonts w:asciiTheme="minorHAnsi" w:hAnsiTheme="minorHAnsi" w:cstheme="minorHAnsi"/>
                <w:sz w:val="20"/>
                <w:szCs w:val="20"/>
              </w:rPr>
            </w:pPr>
            <w:r w:rsidRPr="00061975">
              <w:rPr>
                <w:rFonts w:asciiTheme="minorHAnsi" w:hAnsiTheme="minorHAnsi" w:cstheme="minorHAnsi"/>
                <w:sz w:val="20"/>
                <w:szCs w:val="20"/>
              </w:rPr>
              <w:t>Special Education Tuition</w:t>
            </w:r>
          </w:p>
        </w:tc>
      </w:tr>
    </w:tbl>
    <w:p w14:paraId="7996FE9D" w14:textId="77777777" w:rsidR="008A4024" w:rsidRPr="008A4024" w:rsidRDefault="008A4024" w:rsidP="00032AF6">
      <w:pPr>
        <w:rPr>
          <w:rFonts w:ascii="Georgia" w:hAnsi="Georgia"/>
          <w:sz w:val="20"/>
          <w:szCs w:val="20"/>
        </w:rPr>
      </w:pPr>
    </w:p>
    <w:p w14:paraId="30B2BE54" w14:textId="3D849505" w:rsidR="008A4024" w:rsidRPr="008A4024" w:rsidRDefault="008A4024" w:rsidP="00032AF6">
      <w:r w:rsidRPr="008A4024">
        <w:t>Foundation budget rates reflect differences in the cost of educating different types of students</w:t>
      </w:r>
      <w:r w:rsidR="0067284C">
        <w:t xml:space="preserve">. </w:t>
      </w:r>
      <w:r w:rsidRPr="008A4024">
        <w:t>Each pupil generates a specific cost in each functional category</w:t>
      </w:r>
      <w:r w:rsidR="0067284C">
        <w:t xml:space="preserve">. </w:t>
      </w:r>
      <w:r w:rsidRPr="008A4024">
        <w:t>The costs are higher at the upper grades</w:t>
      </w:r>
      <w:r w:rsidR="0067284C">
        <w:t xml:space="preserve">. </w:t>
      </w:r>
      <w:r w:rsidRPr="008A4024">
        <w:t>They are also higher in vocational programs</w:t>
      </w:r>
      <w:r w:rsidR="0067284C">
        <w:t xml:space="preserve">. </w:t>
      </w:r>
      <w:r w:rsidRPr="008A4024">
        <w:t xml:space="preserve">Special education, </w:t>
      </w:r>
      <w:r w:rsidR="0072099D">
        <w:t>ELL,</w:t>
      </w:r>
      <w:r w:rsidRPr="008A4024">
        <w:t xml:space="preserve"> and low-income increments add substantial costs as well</w:t>
      </w:r>
      <w:r w:rsidR="0067284C">
        <w:t xml:space="preserve">. </w:t>
      </w:r>
    </w:p>
    <w:p w14:paraId="543C6891" w14:textId="77777777" w:rsidR="008A4024" w:rsidRPr="008A4024" w:rsidRDefault="008A4024" w:rsidP="00032AF6">
      <w:pPr>
        <w:rPr>
          <w:rFonts w:ascii="Georgia" w:hAnsi="Georgia"/>
          <w:sz w:val="20"/>
          <w:szCs w:val="20"/>
        </w:rPr>
      </w:pPr>
    </w:p>
    <w:p w14:paraId="2C846A87" w14:textId="72DA0EF9" w:rsidR="008A4024" w:rsidRPr="008A4024" w:rsidRDefault="008439C1" w:rsidP="00032AF6">
      <w:r>
        <w:t>A</w:t>
      </w:r>
      <w:r w:rsidR="008A4024" w:rsidRPr="008A4024">
        <w:t xml:space="preserve">ppendix </w:t>
      </w:r>
      <w:r w:rsidR="000D09FC">
        <w:t>B</w:t>
      </w:r>
      <w:r>
        <w:t xml:space="preserve"> </w:t>
      </w:r>
      <w:r w:rsidR="008A4024" w:rsidRPr="008A4024">
        <w:t xml:space="preserve">includes a summary of the </w:t>
      </w:r>
      <w:r w:rsidR="000D09FC">
        <w:t xml:space="preserve">assumptions underlying foundation rates </w:t>
      </w:r>
      <w:r w:rsidR="008A4024" w:rsidRPr="008A4024">
        <w:t>that describes how all eleven categories are derived</w:t>
      </w:r>
      <w:r w:rsidR="0067284C">
        <w:t xml:space="preserve">. </w:t>
      </w:r>
      <w:r w:rsidR="008A4024" w:rsidRPr="008A4024">
        <w:t>The largest dollar amount is represented by the class size and salary assumptions for teachers</w:t>
      </w:r>
      <w:r w:rsidR="0067284C">
        <w:t xml:space="preserve">. </w:t>
      </w:r>
      <w:r w:rsidR="008A4024" w:rsidRPr="008A4024">
        <w:t>The statutory class sizes of 22 for elementary, 25 for junior high/middle, and 17 for high school remain in effect</w:t>
      </w:r>
      <w:r w:rsidR="0067284C">
        <w:t xml:space="preserve">. </w:t>
      </w:r>
      <w:r w:rsidR="008A4024" w:rsidRPr="008A4024">
        <w:t>The FY94 teacher salary of $38,000 has been factored up by inflation so that in FY19 it stands at $69,677.</w:t>
      </w:r>
    </w:p>
    <w:p w14:paraId="29F9FE12" w14:textId="327D5BB9" w:rsidR="008A4024" w:rsidRPr="005A1B5E" w:rsidRDefault="008A4024" w:rsidP="00305D19">
      <w:pPr>
        <w:pStyle w:val="Heading3"/>
      </w:pPr>
      <w:r w:rsidRPr="005A1B5E">
        <w:t>Foundation budget rates are adjusted each year by a statutorily defined inflationary factor</w:t>
      </w:r>
      <w:r w:rsidR="0067284C">
        <w:t xml:space="preserve">. </w:t>
      </w:r>
      <w:r w:rsidRPr="005A1B5E">
        <w:t xml:space="preserve">It affects all districts in the same way. </w:t>
      </w:r>
    </w:p>
    <w:p w14:paraId="439A4477" w14:textId="3384CD4E" w:rsidR="008A4024" w:rsidRPr="00305D19" w:rsidRDefault="008A4024" w:rsidP="003E4B00">
      <w:pPr>
        <w:rPr>
          <w:rStyle w:val="Strong"/>
        </w:rPr>
      </w:pPr>
      <w:r w:rsidRPr="00305D19">
        <w:t>Chapter 70 statute stipulates usage of the ratio of the current year's third-quarter inflation index to the prior year's third-quarter ind</w:t>
      </w:r>
      <w:r w:rsidR="003E4B00">
        <w:t>ex.</w:t>
      </w:r>
      <w:r w:rsidRPr="00061975">
        <w:rPr>
          <w:rStyle w:val="Strong"/>
          <w:b w:val="0"/>
          <w:vertAlign w:val="superscript"/>
        </w:rPr>
        <w:footnoteReference w:id="8"/>
      </w:r>
      <w:r w:rsidRPr="00061975">
        <w:rPr>
          <w:rStyle w:val="Strong"/>
          <w:b w:val="0"/>
          <w:vertAlign w:val="superscript"/>
        </w:rPr>
        <w:t xml:space="preserve"> </w:t>
      </w:r>
    </w:p>
    <w:p w14:paraId="0C2041C6" w14:textId="766EBA57" w:rsidR="00EA2FF1" w:rsidRPr="000F7A4C" w:rsidRDefault="00EA2FF1" w:rsidP="00EA2FF1">
      <w:pPr>
        <w:pStyle w:val="Heading3"/>
      </w:pPr>
      <w:r w:rsidRPr="000F7A4C">
        <w:t>Some foundation budget rates are increased at a faster rate than inflation to address specific policy concerns.</w:t>
      </w:r>
    </w:p>
    <w:p w14:paraId="10EF876E" w14:textId="2D90DE4D" w:rsidR="00EA2FF1" w:rsidRPr="00EA2FF1" w:rsidRDefault="00EA2FF1" w:rsidP="00EA2FF1">
      <w:r w:rsidRPr="000F7A4C">
        <w:t>In FY19, the benefits and fixed charges rate was raised by 14 percent toward the total recommended increase in response to the 2015 Foundation Budget Review Commission (FBRC) report.</w:t>
      </w:r>
    </w:p>
    <w:p w14:paraId="38AD6DC3" w14:textId="60CBF91A" w:rsidR="008A4024" w:rsidRPr="005A1B5E" w:rsidRDefault="008A4024" w:rsidP="00305D19">
      <w:pPr>
        <w:pStyle w:val="Heading3"/>
      </w:pPr>
      <w:r w:rsidRPr="005A1B5E">
        <w:lastRenderedPageBreak/>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13B0D00B" w14:textId="74DAF51E" w:rsidR="008A4024" w:rsidRPr="008A4024" w:rsidRDefault="008A4024" w:rsidP="003E4B00">
      <w:r w:rsidRPr="008A4024">
        <w:t>In theory</w:t>
      </w:r>
      <w:r w:rsidR="004B4C90">
        <w:t>,</w:t>
      </w:r>
      <w:r w:rsidRPr="008A4024">
        <w:t xml:space="preserve"> it is more expensive for </w:t>
      </w:r>
      <w:r w:rsidR="004B4C90">
        <w:t>these districts</w:t>
      </w:r>
      <w:r w:rsidRPr="008A4024">
        <w:t xml:space="preserve"> to attract teachers and other staff because the cost of living is higher</w:t>
      </w:r>
      <w:r w:rsidR="0067284C">
        <w:t xml:space="preserve">. </w:t>
      </w:r>
      <w:r w:rsidRPr="008A4024">
        <w:t>Massachusetts is one of the few states in the country to use such a factor.</w:t>
      </w:r>
    </w:p>
    <w:p w14:paraId="0129ECC6" w14:textId="77777777" w:rsidR="008A4024" w:rsidRPr="008A4024" w:rsidRDefault="008A4024" w:rsidP="003E4B00"/>
    <w:p w14:paraId="406D12F0" w14:textId="336C8123"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p>
    <w:p w14:paraId="63044F3B" w14:textId="77777777" w:rsidR="008A4024" w:rsidRDefault="008A4024" w:rsidP="003E4B00"/>
    <w:tbl>
      <w:tblPr>
        <w:tblStyle w:val="ESETablesOpenStyle"/>
        <w:tblW w:w="0" w:type="auto"/>
        <w:tblLook w:val="04A0" w:firstRow="1" w:lastRow="0" w:firstColumn="1" w:lastColumn="0" w:noHBand="0" w:noVBand="1"/>
        <w:tblDescription w:val="Table 3: 2016 labor market area average wages"/>
      </w:tblPr>
      <w:tblGrid>
        <w:gridCol w:w="5409"/>
        <w:gridCol w:w="1703"/>
        <w:gridCol w:w="1289"/>
        <w:gridCol w:w="912"/>
      </w:tblGrid>
      <w:tr w:rsidR="00514F19" w:rsidRPr="00305D19" w14:paraId="265A53AE" w14:textId="77777777" w:rsidTr="00523914">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nil"/>
              <w:bottom w:val="single" w:sz="12" w:space="0" w:color="auto"/>
            </w:tcBorders>
            <w:noWrap/>
          </w:tcPr>
          <w:p w14:paraId="4924DDB5" w14:textId="6669405A" w:rsidR="00514F19" w:rsidRPr="00061975" w:rsidRDefault="00EA2FF1" w:rsidP="00394F07">
            <w:pPr>
              <w:rPr>
                <w:rFonts w:asciiTheme="minorHAnsi" w:hAnsiTheme="minorHAnsi" w:cstheme="minorHAnsi"/>
                <w:bCs/>
                <w:sz w:val="28"/>
                <w:szCs w:val="28"/>
              </w:rPr>
            </w:pPr>
            <w:r>
              <w:rPr>
                <w:rFonts w:asciiTheme="minorHAnsi" w:hAnsiTheme="minorHAnsi" w:cstheme="minorHAnsi"/>
                <w:bCs/>
                <w:sz w:val="28"/>
                <w:szCs w:val="28"/>
              </w:rPr>
              <w:t>Table 3: 2016 l</w:t>
            </w:r>
            <w:r w:rsidR="00514F19" w:rsidRPr="00061975">
              <w:rPr>
                <w:rFonts w:asciiTheme="minorHAnsi" w:hAnsiTheme="minorHAnsi" w:cstheme="minorHAnsi"/>
                <w:bCs/>
                <w:sz w:val="28"/>
                <w:szCs w:val="28"/>
              </w:rPr>
              <w:t>abor market area average wages</w:t>
            </w:r>
          </w:p>
        </w:tc>
      </w:tr>
      <w:tr w:rsidR="008A4024" w:rsidRPr="00305D19" w14:paraId="5E142E60"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noWrap/>
            <w:hideMark/>
          </w:tcPr>
          <w:p w14:paraId="2EA71AE2" w14:textId="79BC5400" w:rsidR="008A4024" w:rsidRPr="00061975" w:rsidRDefault="00926BE0" w:rsidP="008A4024">
            <w:pPr>
              <w:rPr>
                <w:rFonts w:asciiTheme="minorHAnsi" w:hAnsiTheme="minorHAnsi" w:cstheme="minorHAnsi"/>
                <w:b/>
                <w:bCs/>
                <w:sz w:val="20"/>
                <w:szCs w:val="20"/>
              </w:rPr>
            </w:pPr>
            <w:r w:rsidRPr="00061975">
              <w:rPr>
                <w:rFonts w:asciiTheme="minorHAnsi" w:hAnsiTheme="minorHAnsi" w:cstheme="minorHAnsi"/>
                <w:b/>
                <w:bCs/>
                <w:sz w:val="20"/>
                <w:szCs w:val="20"/>
              </w:rPr>
              <w:t>Labor Market Area</w:t>
            </w:r>
          </w:p>
        </w:tc>
        <w:tc>
          <w:tcPr>
            <w:tcW w:w="0" w:type="auto"/>
            <w:tcBorders>
              <w:top w:val="single" w:sz="12" w:space="0" w:color="auto"/>
            </w:tcBorders>
            <w:noWrap/>
            <w:hideMark/>
          </w:tcPr>
          <w:p w14:paraId="5BBF1B8E" w14:textId="1EB076A4" w:rsidR="00926BE0" w:rsidRPr="00061975"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061975">
              <w:rPr>
                <w:rFonts w:asciiTheme="minorHAnsi" w:hAnsiTheme="minorHAnsi" w:cstheme="minorHAnsi"/>
                <w:b/>
                <w:bCs/>
                <w:sz w:val="20"/>
                <w:szCs w:val="20"/>
              </w:rPr>
              <w:t>Total Wages</w:t>
            </w:r>
          </w:p>
        </w:tc>
        <w:tc>
          <w:tcPr>
            <w:tcW w:w="0" w:type="auto"/>
            <w:tcBorders>
              <w:top w:val="single" w:sz="12" w:space="0" w:color="auto"/>
            </w:tcBorders>
            <w:noWrap/>
            <w:hideMark/>
          </w:tcPr>
          <w:p w14:paraId="4D90ED0D" w14:textId="224316BC" w:rsidR="00926BE0" w:rsidRPr="00061975"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061975">
              <w:rPr>
                <w:rFonts w:asciiTheme="minorHAnsi" w:hAnsiTheme="minorHAnsi" w:cstheme="minorHAnsi"/>
                <w:b/>
                <w:bCs/>
                <w:sz w:val="20"/>
                <w:szCs w:val="20"/>
              </w:rPr>
              <w:t>Employment</w:t>
            </w:r>
          </w:p>
        </w:tc>
        <w:tc>
          <w:tcPr>
            <w:tcW w:w="0" w:type="auto"/>
            <w:tcBorders>
              <w:top w:val="single" w:sz="12" w:space="0" w:color="auto"/>
            </w:tcBorders>
            <w:noWrap/>
            <w:hideMark/>
          </w:tcPr>
          <w:p w14:paraId="78CEA71A" w14:textId="77777777" w:rsidR="00926BE0" w:rsidRPr="00061975" w:rsidRDefault="00926BE0" w:rsidP="00EA2FF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061975">
              <w:rPr>
                <w:rFonts w:asciiTheme="minorHAnsi" w:hAnsiTheme="minorHAnsi" w:cstheme="minorHAnsi"/>
                <w:b/>
                <w:bCs/>
                <w:sz w:val="20"/>
                <w:szCs w:val="20"/>
              </w:rPr>
              <w:t>Average</w:t>
            </w:r>
          </w:p>
          <w:p w14:paraId="4BE2FD17" w14:textId="4455C4FB" w:rsidR="00926BE0" w:rsidRPr="00061975"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061975">
              <w:rPr>
                <w:rFonts w:asciiTheme="minorHAnsi" w:hAnsiTheme="minorHAnsi" w:cstheme="minorHAnsi"/>
                <w:b/>
                <w:bCs/>
                <w:sz w:val="20"/>
                <w:szCs w:val="20"/>
              </w:rPr>
              <w:t>Wages</w:t>
            </w:r>
          </w:p>
        </w:tc>
      </w:tr>
      <w:tr w:rsidR="008A4024" w:rsidRPr="00305D19" w14:paraId="0792BB01"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019E8C14" w14:textId="64A2E1FF" w:rsidR="008A4024" w:rsidRPr="00061975" w:rsidRDefault="008A4024">
            <w:pPr>
              <w:rPr>
                <w:rFonts w:asciiTheme="minorHAnsi" w:hAnsiTheme="minorHAnsi" w:cstheme="minorHAnsi"/>
                <w:sz w:val="20"/>
                <w:szCs w:val="20"/>
              </w:rPr>
            </w:pPr>
            <w:r w:rsidRPr="00061975">
              <w:rPr>
                <w:rFonts w:asciiTheme="minorHAnsi" w:hAnsiTheme="minorHAnsi" w:cstheme="minorHAnsi"/>
                <w:sz w:val="20"/>
                <w:szCs w:val="20"/>
              </w:rPr>
              <w:t>Nantucket County/</w:t>
            </w:r>
            <w:r w:rsidR="003B5F6D" w:rsidRPr="00061975">
              <w:rPr>
                <w:rFonts w:asciiTheme="minorHAnsi" w:hAnsiTheme="minorHAnsi" w:cstheme="minorHAnsi"/>
                <w:sz w:val="20"/>
                <w:szCs w:val="20"/>
              </w:rPr>
              <w:t>T</w:t>
            </w:r>
            <w:r w:rsidRPr="00061975">
              <w:rPr>
                <w:rFonts w:asciiTheme="minorHAnsi" w:hAnsiTheme="minorHAnsi" w:cstheme="minorHAnsi"/>
                <w:sz w:val="20"/>
                <w:szCs w:val="20"/>
              </w:rPr>
              <w:t>own MA</w:t>
            </w:r>
          </w:p>
        </w:tc>
        <w:tc>
          <w:tcPr>
            <w:tcW w:w="0" w:type="auto"/>
            <w:tcBorders>
              <w:top w:val="single" w:sz="4" w:space="0" w:color="auto"/>
              <w:bottom w:val="nil"/>
            </w:tcBorders>
            <w:noWrap/>
            <w:hideMark/>
          </w:tcPr>
          <w:p w14:paraId="3A708081" w14:textId="0FCE61A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402,389,983 </w:t>
            </w:r>
          </w:p>
        </w:tc>
        <w:tc>
          <w:tcPr>
            <w:tcW w:w="0" w:type="auto"/>
            <w:tcBorders>
              <w:top w:val="single" w:sz="4" w:space="0" w:color="auto"/>
              <w:bottom w:val="nil"/>
            </w:tcBorders>
            <w:noWrap/>
            <w:hideMark/>
          </w:tcPr>
          <w:p w14:paraId="08FEB946"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7,293 </w:t>
            </w:r>
          </w:p>
        </w:tc>
        <w:tc>
          <w:tcPr>
            <w:tcW w:w="0" w:type="auto"/>
            <w:tcBorders>
              <w:top w:val="single" w:sz="4" w:space="0" w:color="auto"/>
              <w:bottom w:val="nil"/>
            </w:tcBorders>
            <w:noWrap/>
            <w:hideMark/>
          </w:tcPr>
          <w:p w14:paraId="2F165A4B" w14:textId="2B4D3D7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55,175</w:t>
            </w:r>
          </w:p>
        </w:tc>
      </w:tr>
      <w:tr w:rsidR="008A4024" w:rsidRPr="00305D19" w14:paraId="43C723F7"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hideMark/>
          </w:tcPr>
          <w:p w14:paraId="231CBAFB"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 xml:space="preserve">Athol MA </w:t>
            </w:r>
            <w:proofErr w:type="spellStart"/>
            <w:r w:rsidRPr="00061975">
              <w:rPr>
                <w:rFonts w:asciiTheme="minorHAnsi" w:hAnsiTheme="minorHAnsi" w:cstheme="minorHAnsi"/>
                <w:sz w:val="20"/>
                <w:szCs w:val="20"/>
              </w:rPr>
              <w:t>Micropolitan</w:t>
            </w:r>
            <w:proofErr w:type="spellEnd"/>
            <w:r w:rsidRPr="00061975">
              <w:rPr>
                <w:rFonts w:asciiTheme="minorHAnsi" w:hAnsiTheme="minorHAnsi" w:cstheme="minorHAnsi"/>
                <w:sz w:val="20"/>
                <w:szCs w:val="20"/>
              </w:rPr>
              <w:t xml:space="preserve"> NECTA</w:t>
            </w:r>
          </w:p>
        </w:tc>
        <w:tc>
          <w:tcPr>
            <w:tcW w:w="0" w:type="auto"/>
            <w:tcBorders>
              <w:top w:val="nil"/>
            </w:tcBorders>
            <w:noWrap/>
            <w:hideMark/>
          </w:tcPr>
          <w:p w14:paraId="203DE9B4" w14:textId="1B848148"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231,208,166 </w:t>
            </w:r>
          </w:p>
        </w:tc>
        <w:tc>
          <w:tcPr>
            <w:tcW w:w="0" w:type="auto"/>
            <w:tcBorders>
              <w:top w:val="nil"/>
            </w:tcBorders>
            <w:noWrap/>
            <w:hideMark/>
          </w:tcPr>
          <w:p w14:paraId="023B72EA"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6,350 </w:t>
            </w:r>
          </w:p>
        </w:tc>
        <w:tc>
          <w:tcPr>
            <w:tcW w:w="0" w:type="auto"/>
            <w:tcBorders>
              <w:top w:val="nil"/>
            </w:tcBorders>
            <w:noWrap/>
            <w:hideMark/>
          </w:tcPr>
          <w:p w14:paraId="3DB42A4A" w14:textId="4A78AC98"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36,411</w:t>
            </w:r>
          </w:p>
        </w:tc>
      </w:tr>
      <w:tr w:rsidR="008A4024" w:rsidRPr="00305D19" w14:paraId="14F49011"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BB855C"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Barnstable Town MA Metropolitan NECTA</w:t>
            </w:r>
          </w:p>
        </w:tc>
        <w:tc>
          <w:tcPr>
            <w:tcW w:w="0" w:type="auto"/>
            <w:noWrap/>
            <w:hideMark/>
          </w:tcPr>
          <w:p w14:paraId="39F7F0F7" w14:textId="23AD0AF1"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4,837,397,843 </w:t>
            </w:r>
          </w:p>
        </w:tc>
        <w:tc>
          <w:tcPr>
            <w:tcW w:w="0" w:type="auto"/>
            <w:noWrap/>
            <w:hideMark/>
          </w:tcPr>
          <w:p w14:paraId="77E405B3"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107,696 </w:t>
            </w:r>
          </w:p>
        </w:tc>
        <w:tc>
          <w:tcPr>
            <w:tcW w:w="0" w:type="auto"/>
            <w:noWrap/>
            <w:hideMark/>
          </w:tcPr>
          <w:p w14:paraId="01BB994B" w14:textId="0674A76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44,917</w:t>
            </w:r>
          </w:p>
        </w:tc>
      </w:tr>
      <w:tr w:rsidR="008A4024" w:rsidRPr="00305D19" w14:paraId="2E51DC9D"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478A0A"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Boston-Cambridge-Newton MA NECTA Division</w:t>
            </w:r>
          </w:p>
        </w:tc>
        <w:tc>
          <w:tcPr>
            <w:tcW w:w="0" w:type="auto"/>
            <w:noWrap/>
            <w:hideMark/>
          </w:tcPr>
          <w:p w14:paraId="24874C0B" w14:textId="38AFD934"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142,811,989,422 </w:t>
            </w:r>
          </w:p>
        </w:tc>
        <w:tc>
          <w:tcPr>
            <w:tcW w:w="0" w:type="auto"/>
            <w:noWrap/>
            <w:hideMark/>
          </w:tcPr>
          <w:p w14:paraId="757D147D"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1,784,518 </w:t>
            </w:r>
          </w:p>
        </w:tc>
        <w:tc>
          <w:tcPr>
            <w:tcW w:w="0" w:type="auto"/>
            <w:noWrap/>
            <w:hideMark/>
          </w:tcPr>
          <w:p w14:paraId="5A87FF16" w14:textId="087D18D3"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80,028</w:t>
            </w:r>
          </w:p>
        </w:tc>
      </w:tr>
      <w:tr w:rsidR="008A4024" w:rsidRPr="00305D19" w14:paraId="0DCA4D80"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8942E9"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Brockton-Bridgewater-Easton MA NECTA Division</w:t>
            </w:r>
          </w:p>
        </w:tc>
        <w:tc>
          <w:tcPr>
            <w:tcW w:w="0" w:type="auto"/>
            <w:noWrap/>
            <w:hideMark/>
          </w:tcPr>
          <w:p w14:paraId="4DD8B03F" w14:textId="3259DDF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3,798,901,544 </w:t>
            </w:r>
          </w:p>
        </w:tc>
        <w:tc>
          <w:tcPr>
            <w:tcW w:w="0" w:type="auto"/>
            <w:noWrap/>
            <w:hideMark/>
          </w:tcPr>
          <w:p w14:paraId="0CEE454B"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77,507 </w:t>
            </w:r>
          </w:p>
        </w:tc>
        <w:tc>
          <w:tcPr>
            <w:tcW w:w="0" w:type="auto"/>
            <w:noWrap/>
            <w:hideMark/>
          </w:tcPr>
          <w:p w14:paraId="2BE51102" w14:textId="3230F908"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49,014</w:t>
            </w:r>
          </w:p>
        </w:tc>
      </w:tr>
      <w:tr w:rsidR="008A4024" w:rsidRPr="00305D19" w14:paraId="6C3CA2D2"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0BDDD3"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Framingham MA NECTA Division</w:t>
            </w:r>
          </w:p>
        </w:tc>
        <w:tc>
          <w:tcPr>
            <w:tcW w:w="0" w:type="auto"/>
            <w:noWrap/>
            <w:hideMark/>
          </w:tcPr>
          <w:p w14:paraId="5349B594" w14:textId="6E5DA7A5"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13,239,436,176 </w:t>
            </w:r>
          </w:p>
        </w:tc>
        <w:tc>
          <w:tcPr>
            <w:tcW w:w="0" w:type="auto"/>
            <w:noWrap/>
            <w:hideMark/>
          </w:tcPr>
          <w:p w14:paraId="4DC7C502"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172,563 </w:t>
            </w:r>
          </w:p>
        </w:tc>
        <w:tc>
          <w:tcPr>
            <w:tcW w:w="0" w:type="auto"/>
            <w:noWrap/>
            <w:hideMark/>
          </w:tcPr>
          <w:p w14:paraId="03DDBA31" w14:textId="27A14522"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76,722</w:t>
            </w:r>
          </w:p>
        </w:tc>
      </w:tr>
      <w:tr w:rsidR="008A4024" w:rsidRPr="00305D19" w14:paraId="5E1174B3"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3F34E4"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 xml:space="preserve">Greenfield Town MA </w:t>
            </w:r>
            <w:proofErr w:type="spellStart"/>
            <w:r w:rsidRPr="00061975">
              <w:rPr>
                <w:rFonts w:asciiTheme="minorHAnsi" w:hAnsiTheme="minorHAnsi" w:cstheme="minorHAnsi"/>
                <w:sz w:val="20"/>
                <w:szCs w:val="20"/>
              </w:rPr>
              <w:t>Micropolitan</w:t>
            </w:r>
            <w:proofErr w:type="spellEnd"/>
            <w:r w:rsidRPr="00061975">
              <w:rPr>
                <w:rFonts w:asciiTheme="minorHAnsi" w:hAnsiTheme="minorHAnsi" w:cstheme="minorHAnsi"/>
                <w:sz w:val="20"/>
                <w:szCs w:val="20"/>
              </w:rPr>
              <w:t xml:space="preserve"> NECTA</w:t>
            </w:r>
          </w:p>
        </w:tc>
        <w:tc>
          <w:tcPr>
            <w:tcW w:w="0" w:type="auto"/>
            <w:noWrap/>
            <w:hideMark/>
          </w:tcPr>
          <w:p w14:paraId="2CDD1088" w14:textId="312D62E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629,156,337 </w:t>
            </w:r>
          </w:p>
        </w:tc>
        <w:tc>
          <w:tcPr>
            <w:tcW w:w="0" w:type="auto"/>
            <w:noWrap/>
            <w:hideMark/>
          </w:tcPr>
          <w:p w14:paraId="37CFF511"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15,405 </w:t>
            </w:r>
          </w:p>
        </w:tc>
        <w:tc>
          <w:tcPr>
            <w:tcW w:w="0" w:type="auto"/>
            <w:noWrap/>
            <w:hideMark/>
          </w:tcPr>
          <w:p w14:paraId="3FF967D7" w14:textId="75E5FC3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40,841</w:t>
            </w:r>
          </w:p>
        </w:tc>
      </w:tr>
      <w:tr w:rsidR="008A4024" w:rsidRPr="00305D19" w14:paraId="0DD99957"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B6EFCF"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Haverhill-Newburyport-Amesbury Town MA-NH NECTA Division</w:t>
            </w:r>
          </w:p>
        </w:tc>
        <w:tc>
          <w:tcPr>
            <w:tcW w:w="0" w:type="auto"/>
            <w:noWrap/>
            <w:hideMark/>
          </w:tcPr>
          <w:p w14:paraId="2B1AD0E9" w14:textId="6C83DEE3"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2,242,056,399 </w:t>
            </w:r>
          </w:p>
        </w:tc>
        <w:tc>
          <w:tcPr>
            <w:tcW w:w="0" w:type="auto"/>
            <w:noWrap/>
            <w:hideMark/>
          </w:tcPr>
          <w:p w14:paraId="3ECD4606"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46,153 </w:t>
            </w:r>
          </w:p>
        </w:tc>
        <w:tc>
          <w:tcPr>
            <w:tcW w:w="0" w:type="auto"/>
            <w:noWrap/>
            <w:hideMark/>
          </w:tcPr>
          <w:p w14:paraId="640423AD" w14:textId="51BF53D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48,579</w:t>
            </w:r>
          </w:p>
        </w:tc>
      </w:tr>
      <w:tr w:rsidR="008A4024" w:rsidRPr="00305D19" w14:paraId="3D98B512"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DC4AE3"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Lawrence-Methuen Town-Salem MA-NH NECTA Division</w:t>
            </w:r>
          </w:p>
        </w:tc>
        <w:tc>
          <w:tcPr>
            <w:tcW w:w="0" w:type="auto"/>
            <w:noWrap/>
            <w:hideMark/>
          </w:tcPr>
          <w:p w14:paraId="7131CDB7" w14:textId="748706C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2,978,796,575 </w:t>
            </w:r>
          </w:p>
        </w:tc>
        <w:tc>
          <w:tcPr>
            <w:tcW w:w="0" w:type="auto"/>
            <w:noWrap/>
            <w:hideMark/>
          </w:tcPr>
          <w:p w14:paraId="1EADCB03"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60,096 </w:t>
            </w:r>
          </w:p>
        </w:tc>
        <w:tc>
          <w:tcPr>
            <w:tcW w:w="0" w:type="auto"/>
            <w:noWrap/>
            <w:hideMark/>
          </w:tcPr>
          <w:p w14:paraId="0C51EA5D" w14:textId="3DB920B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49,567</w:t>
            </w:r>
          </w:p>
        </w:tc>
      </w:tr>
      <w:tr w:rsidR="008A4024" w:rsidRPr="00305D19" w14:paraId="7FDD4D4A"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6751BA" w14:textId="77777777" w:rsidR="008A4024" w:rsidRPr="00412CFA" w:rsidRDefault="008A4024" w:rsidP="008A4024">
            <w:pPr>
              <w:rPr>
                <w:rFonts w:asciiTheme="minorHAnsi" w:hAnsiTheme="minorHAnsi" w:cstheme="minorHAnsi"/>
                <w:sz w:val="20"/>
                <w:szCs w:val="20"/>
                <w:lang w:val="es-ES"/>
              </w:rPr>
            </w:pPr>
            <w:proofErr w:type="spellStart"/>
            <w:r w:rsidRPr="00412CFA">
              <w:rPr>
                <w:rFonts w:asciiTheme="minorHAnsi" w:hAnsiTheme="minorHAnsi" w:cstheme="minorHAnsi"/>
                <w:sz w:val="20"/>
                <w:szCs w:val="20"/>
                <w:lang w:val="es-ES"/>
              </w:rPr>
              <w:t>Leominster</w:t>
            </w:r>
            <w:proofErr w:type="spellEnd"/>
            <w:r w:rsidRPr="00412CFA">
              <w:rPr>
                <w:rFonts w:asciiTheme="minorHAnsi" w:hAnsiTheme="minorHAnsi" w:cstheme="minorHAnsi"/>
                <w:sz w:val="20"/>
                <w:szCs w:val="20"/>
                <w:lang w:val="es-ES"/>
              </w:rPr>
              <w:t xml:space="preserve">-Gardner MA </w:t>
            </w:r>
            <w:proofErr w:type="spellStart"/>
            <w:r w:rsidRPr="00412CFA">
              <w:rPr>
                <w:rFonts w:asciiTheme="minorHAnsi" w:hAnsiTheme="minorHAnsi" w:cstheme="minorHAnsi"/>
                <w:sz w:val="20"/>
                <w:szCs w:val="20"/>
                <w:lang w:val="es-ES"/>
              </w:rPr>
              <w:t>Metropolitan</w:t>
            </w:r>
            <w:proofErr w:type="spellEnd"/>
            <w:r w:rsidRPr="00412CFA">
              <w:rPr>
                <w:rFonts w:asciiTheme="minorHAnsi" w:hAnsiTheme="minorHAnsi" w:cstheme="minorHAnsi"/>
                <w:sz w:val="20"/>
                <w:szCs w:val="20"/>
                <w:lang w:val="es-ES"/>
              </w:rPr>
              <w:t xml:space="preserve"> NECTA</w:t>
            </w:r>
          </w:p>
        </w:tc>
        <w:tc>
          <w:tcPr>
            <w:tcW w:w="0" w:type="auto"/>
            <w:noWrap/>
            <w:hideMark/>
          </w:tcPr>
          <w:p w14:paraId="64B70C68" w14:textId="4188751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2,182,626,176 </w:t>
            </w:r>
          </w:p>
        </w:tc>
        <w:tc>
          <w:tcPr>
            <w:tcW w:w="0" w:type="auto"/>
            <w:noWrap/>
            <w:hideMark/>
          </w:tcPr>
          <w:p w14:paraId="5D63E8B1"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50,487 </w:t>
            </w:r>
          </w:p>
        </w:tc>
        <w:tc>
          <w:tcPr>
            <w:tcW w:w="0" w:type="auto"/>
            <w:noWrap/>
            <w:hideMark/>
          </w:tcPr>
          <w:p w14:paraId="5CE2B241" w14:textId="20A5255F"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43,231</w:t>
            </w:r>
          </w:p>
        </w:tc>
      </w:tr>
      <w:tr w:rsidR="008A4024" w:rsidRPr="00305D19" w14:paraId="5938089D"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EAFC60"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Lowell-Billerica-Chelmsford MA-NH NECTA Division</w:t>
            </w:r>
          </w:p>
        </w:tc>
        <w:tc>
          <w:tcPr>
            <w:tcW w:w="0" w:type="auto"/>
            <w:noWrap/>
            <w:hideMark/>
          </w:tcPr>
          <w:p w14:paraId="3CE0EFAD" w14:textId="2B061903"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9,940,015,085 </w:t>
            </w:r>
          </w:p>
        </w:tc>
        <w:tc>
          <w:tcPr>
            <w:tcW w:w="0" w:type="auto"/>
            <w:noWrap/>
            <w:hideMark/>
          </w:tcPr>
          <w:p w14:paraId="1C57A2E8"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148,763 </w:t>
            </w:r>
          </w:p>
        </w:tc>
        <w:tc>
          <w:tcPr>
            <w:tcW w:w="0" w:type="auto"/>
            <w:noWrap/>
            <w:hideMark/>
          </w:tcPr>
          <w:p w14:paraId="691156B3" w14:textId="66251B56"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66,818</w:t>
            </w:r>
          </w:p>
        </w:tc>
      </w:tr>
      <w:tr w:rsidR="008A4024" w:rsidRPr="00305D19" w14:paraId="4E152E62"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AF44FA"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Lynn-Saugus-Marblehead MA NECTA Division</w:t>
            </w:r>
          </w:p>
        </w:tc>
        <w:tc>
          <w:tcPr>
            <w:tcW w:w="0" w:type="auto"/>
            <w:noWrap/>
            <w:hideMark/>
          </w:tcPr>
          <w:p w14:paraId="3FF611C6" w14:textId="4773E21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2,106,017,130 </w:t>
            </w:r>
          </w:p>
        </w:tc>
        <w:tc>
          <w:tcPr>
            <w:tcW w:w="0" w:type="auto"/>
            <w:noWrap/>
            <w:hideMark/>
          </w:tcPr>
          <w:p w14:paraId="5E14A26F"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44,436 </w:t>
            </w:r>
          </w:p>
        </w:tc>
        <w:tc>
          <w:tcPr>
            <w:tcW w:w="0" w:type="auto"/>
            <w:noWrap/>
            <w:hideMark/>
          </w:tcPr>
          <w:p w14:paraId="58A85D6E" w14:textId="35AA47C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47,394</w:t>
            </w:r>
          </w:p>
        </w:tc>
      </w:tr>
      <w:tr w:rsidR="008A4024" w:rsidRPr="00305D19" w14:paraId="78F46154"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A1553F" w14:textId="77777777" w:rsidR="008A4024" w:rsidRPr="00412CFA" w:rsidRDefault="008A4024" w:rsidP="008A4024">
            <w:pPr>
              <w:rPr>
                <w:rFonts w:asciiTheme="minorHAnsi" w:hAnsiTheme="minorHAnsi" w:cstheme="minorHAnsi"/>
                <w:sz w:val="20"/>
                <w:szCs w:val="20"/>
                <w:lang w:val="es-ES"/>
              </w:rPr>
            </w:pPr>
            <w:r w:rsidRPr="00412CFA">
              <w:rPr>
                <w:rFonts w:asciiTheme="minorHAnsi" w:hAnsiTheme="minorHAnsi" w:cstheme="minorHAnsi"/>
                <w:sz w:val="20"/>
                <w:szCs w:val="20"/>
                <w:lang w:val="es-ES"/>
              </w:rPr>
              <w:t xml:space="preserve">Nashua NH-MA NECTA </w:t>
            </w:r>
            <w:proofErr w:type="spellStart"/>
            <w:r w:rsidRPr="00412CFA">
              <w:rPr>
                <w:rFonts w:asciiTheme="minorHAnsi" w:hAnsiTheme="minorHAnsi" w:cstheme="minorHAnsi"/>
                <w:sz w:val="20"/>
                <w:szCs w:val="20"/>
                <w:lang w:val="es-ES"/>
              </w:rPr>
              <w:t>Division</w:t>
            </w:r>
            <w:proofErr w:type="spellEnd"/>
          </w:p>
        </w:tc>
        <w:tc>
          <w:tcPr>
            <w:tcW w:w="0" w:type="auto"/>
            <w:noWrap/>
            <w:hideMark/>
          </w:tcPr>
          <w:p w14:paraId="51501E17" w14:textId="411EE3C2"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78,040,617 </w:t>
            </w:r>
          </w:p>
        </w:tc>
        <w:tc>
          <w:tcPr>
            <w:tcW w:w="0" w:type="auto"/>
            <w:noWrap/>
            <w:hideMark/>
          </w:tcPr>
          <w:p w14:paraId="099F27C8"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1,799 </w:t>
            </w:r>
          </w:p>
        </w:tc>
        <w:tc>
          <w:tcPr>
            <w:tcW w:w="0" w:type="auto"/>
            <w:noWrap/>
            <w:hideMark/>
          </w:tcPr>
          <w:p w14:paraId="39C5EBD0" w14:textId="1AD8B563"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43,380</w:t>
            </w:r>
          </w:p>
        </w:tc>
      </w:tr>
      <w:tr w:rsidR="008A4024" w:rsidRPr="00305D19" w14:paraId="21462567"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46BA64"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New Bedford MA Metropolitan NECTA</w:t>
            </w:r>
          </w:p>
        </w:tc>
        <w:tc>
          <w:tcPr>
            <w:tcW w:w="0" w:type="auto"/>
            <w:noWrap/>
            <w:hideMark/>
          </w:tcPr>
          <w:p w14:paraId="7E69774D" w14:textId="2EA9A2E5"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3,103,218,979 </w:t>
            </w:r>
          </w:p>
        </w:tc>
        <w:tc>
          <w:tcPr>
            <w:tcW w:w="0" w:type="auto"/>
            <w:noWrap/>
            <w:hideMark/>
          </w:tcPr>
          <w:p w14:paraId="2F12B12C"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66,940 </w:t>
            </w:r>
          </w:p>
        </w:tc>
        <w:tc>
          <w:tcPr>
            <w:tcW w:w="0" w:type="auto"/>
            <w:noWrap/>
            <w:hideMark/>
          </w:tcPr>
          <w:p w14:paraId="7B23A38C" w14:textId="1088AA1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46,358</w:t>
            </w:r>
          </w:p>
        </w:tc>
      </w:tr>
      <w:tr w:rsidR="008A4024" w:rsidRPr="00305D19" w14:paraId="10BB915F"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15977E"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 xml:space="preserve">North Adams MA-VT </w:t>
            </w:r>
            <w:proofErr w:type="spellStart"/>
            <w:r w:rsidRPr="00061975">
              <w:rPr>
                <w:rFonts w:asciiTheme="minorHAnsi" w:hAnsiTheme="minorHAnsi" w:cstheme="minorHAnsi"/>
                <w:sz w:val="20"/>
                <w:szCs w:val="20"/>
              </w:rPr>
              <w:t>Micropolitan</w:t>
            </w:r>
            <w:proofErr w:type="spellEnd"/>
            <w:r w:rsidRPr="00061975">
              <w:rPr>
                <w:rFonts w:asciiTheme="minorHAnsi" w:hAnsiTheme="minorHAnsi" w:cstheme="minorHAnsi"/>
                <w:sz w:val="20"/>
                <w:szCs w:val="20"/>
              </w:rPr>
              <w:t xml:space="preserve"> NECTA</w:t>
            </w:r>
          </w:p>
        </w:tc>
        <w:tc>
          <w:tcPr>
            <w:tcW w:w="0" w:type="auto"/>
            <w:noWrap/>
            <w:hideMark/>
          </w:tcPr>
          <w:p w14:paraId="266183A8" w14:textId="5175A021"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442,985,699 </w:t>
            </w:r>
          </w:p>
        </w:tc>
        <w:tc>
          <w:tcPr>
            <w:tcW w:w="0" w:type="auto"/>
            <w:noWrap/>
            <w:hideMark/>
          </w:tcPr>
          <w:p w14:paraId="0604976E"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10,141 </w:t>
            </w:r>
          </w:p>
        </w:tc>
        <w:tc>
          <w:tcPr>
            <w:tcW w:w="0" w:type="auto"/>
            <w:noWrap/>
            <w:hideMark/>
          </w:tcPr>
          <w:p w14:paraId="793210CD" w14:textId="08B2294A"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43,683</w:t>
            </w:r>
          </w:p>
        </w:tc>
      </w:tr>
      <w:tr w:rsidR="008A4024" w:rsidRPr="00305D19" w14:paraId="3AE5B1AE"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C49799"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Peabody-Salem-Beverly MA NECTA Division</w:t>
            </w:r>
          </w:p>
        </w:tc>
        <w:tc>
          <w:tcPr>
            <w:tcW w:w="0" w:type="auto"/>
            <w:noWrap/>
            <w:hideMark/>
          </w:tcPr>
          <w:p w14:paraId="3EF870E5" w14:textId="3FA04EE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5,098,585,225 </w:t>
            </w:r>
          </w:p>
        </w:tc>
        <w:tc>
          <w:tcPr>
            <w:tcW w:w="0" w:type="auto"/>
            <w:noWrap/>
            <w:hideMark/>
          </w:tcPr>
          <w:p w14:paraId="5C0FD064"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94,291 </w:t>
            </w:r>
          </w:p>
        </w:tc>
        <w:tc>
          <w:tcPr>
            <w:tcW w:w="0" w:type="auto"/>
            <w:noWrap/>
            <w:hideMark/>
          </w:tcPr>
          <w:p w14:paraId="65BA65F1" w14:textId="1F85FDF0"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54,073</w:t>
            </w:r>
          </w:p>
        </w:tc>
      </w:tr>
      <w:tr w:rsidR="008A4024" w:rsidRPr="00305D19" w14:paraId="7522B20E"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DE45F7"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Pittsfield MA Metropolitan NECTA</w:t>
            </w:r>
          </w:p>
        </w:tc>
        <w:tc>
          <w:tcPr>
            <w:tcW w:w="0" w:type="auto"/>
            <w:noWrap/>
            <w:hideMark/>
          </w:tcPr>
          <w:p w14:paraId="222EE1D5" w14:textId="0103C263"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1,937,114,392 </w:t>
            </w:r>
          </w:p>
        </w:tc>
        <w:tc>
          <w:tcPr>
            <w:tcW w:w="0" w:type="auto"/>
            <w:noWrap/>
            <w:hideMark/>
          </w:tcPr>
          <w:p w14:paraId="7B9A7EB1"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41,658 </w:t>
            </w:r>
          </w:p>
        </w:tc>
        <w:tc>
          <w:tcPr>
            <w:tcW w:w="0" w:type="auto"/>
            <w:noWrap/>
            <w:hideMark/>
          </w:tcPr>
          <w:p w14:paraId="70FB5617" w14:textId="0000C09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46,500</w:t>
            </w:r>
          </w:p>
        </w:tc>
      </w:tr>
      <w:tr w:rsidR="008A4024" w:rsidRPr="00305D19" w14:paraId="4A3ECF17"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15AD1C"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Providence-Warwick RI-MA Metropolitan NECTA</w:t>
            </w:r>
          </w:p>
        </w:tc>
        <w:tc>
          <w:tcPr>
            <w:tcW w:w="0" w:type="auto"/>
            <w:noWrap/>
            <w:hideMark/>
          </w:tcPr>
          <w:p w14:paraId="0D9EE5EA" w14:textId="6B373EE8"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4,345,640,923 </w:t>
            </w:r>
          </w:p>
        </w:tc>
        <w:tc>
          <w:tcPr>
            <w:tcW w:w="0" w:type="auto"/>
            <w:noWrap/>
            <w:hideMark/>
          </w:tcPr>
          <w:p w14:paraId="23E6F436"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102,918 </w:t>
            </w:r>
          </w:p>
        </w:tc>
        <w:tc>
          <w:tcPr>
            <w:tcW w:w="0" w:type="auto"/>
            <w:noWrap/>
            <w:hideMark/>
          </w:tcPr>
          <w:p w14:paraId="6E3389EA" w14:textId="68B48BC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42,224</w:t>
            </w:r>
          </w:p>
        </w:tc>
      </w:tr>
      <w:tr w:rsidR="008A4024" w:rsidRPr="00305D19" w14:paraId="2F9BF8C2"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9B9393"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Springfield MA-CT Metropolitan NECTA</w:t>
            </w:r>
          </w:p>
        </w:tc>
        <w:tc>
          <w:tcPr>
            <w:tcW w:w="0" w:type="auto"/>
            <w:noWrap/>
            <w:hideMark/>
          </w:tcPr>
          <w:p w14:paraId="79794FA8" w14:textId="69F9C048"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13,106,686,640 </w:t>
            </w:r>
          </w:p>
        </w:tc>
        <w:tc>
          <w:tcPr>
            <w:tcW w:w="0" w:type="auto"/>
            <w:noWrap/>
            <w:hideMark/>
          </w:tcPr>
          <w:p w14:paraId="3DF1D764"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277,895 </w:t>
            </w:r>
          </w:p>
        </w:tc>
        <w:tc>
          <w:tcPr>
            <w:tcW w:w="0" w:type="auto"/>
            <w:noWrap/>
            <w:hideMark/>
          </w:tcPr>
          <w:p w14:paraId="01E0FECF" w14:textId="02F6733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47,164</w:t>
            </w:r>
          </w:p>
        </w:tc>
      </w:tr>
      <w:tr w:rsidR="008A4024" w:rsidRPr="00305D19" w14:paraId="23594FCF"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A2EEBE"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Taunton-Middleborough-Norton MA NECTA Division</w:t>
            </w:r>
          </w:p>
        </w:tc>
        <w:tc>
          <w:tcPr>
            <w:tcW w:w="0" w:type="auto"/>
            <w:noWrap/>
            <w:hideMark/>
          </w:tcPr>
          <w:p w14:paraId="3EADA559" w14:textId="47FA789A"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3,051,158,123 </w:t>
            </w:r>
          </w:p>
        </w:tc>
        <w:tc>
          <w:tcPr>
            <w:tcW w:w="0" w:type="auto"/>
            <w:noWrap/>
            <w:hideMark/>
          </w:tcPr>
          <w:p w14:paraId="26AD1542"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58,722 </w:t>
            </w:r>
          </w:p>
        </w:tc>
        <w:tc>
          <w:tcPr>
            <w:tcW w:w="0" w:type="auto"/>
            <w:noWrap/>
            <w:hideMark/>
          </w:tcPr>
          <w:p w14:paraId="59155B38" w14:textId="4D507CB1"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51,959</w:t>
            </w:r>
          </w:p>
        </w:tc>
      </w:tr>
      <w:tr w:rsidR="008A4024" w:rsidRPr="00305D19" w14:paraId="76A4133D"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577138"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 xml:space="preserve">Vineyard Haven MA </w:t>
            </w:r>
            <w:proofErr w:type="spellStart"/>
            <w:r w:rsidRPr="00061975">
              <w:rPr>
                <w:rFonts w:asciiTheme="minorHAnsi" w:hAnsiTheme="minorHAnsi" w:cstheme="minorHAnsi"/>
                <w:sz w:val="20"/>
                <w:szCs w:val="20"/>
              </w:rPr>
              <w:t>Micropolitan</w:t>
            </w:r>
            <w:proofErr w:type="spellEnd"/>
            <w:r w:rsidRPr="00061975">
              <w:rPr>
                <w:rFonts w:asciiTheme="minorHAnsi" w:hAnsiTheme="minorHAnsi" w:cstheme="minorHAnsi"/>
                <w:sz w:val="20"/>
                <w:szCs w:val="20"/>
              </w:rPr>
              <w:t xml:space="preserve"> NECTA</w:t>
            </w:r>
          </w:p>
        </w:tc>
        <w:tc>
          <w:tcPr>
            <w:tcW w:w="0" w:type="auto"/>
            <w:noWrap/>
            <w:hideMark/>
          </w:tcPr>
          <w:p w14:paraId="199F53F4" w14:textId="3C31FC7F"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434,775,791 </w:t>
            </w:r>
          </w:p>
        </w:tc>
        <w:tc>
          <w:tcPr>
            <w:tcW w:w="0" w:type="auto"/>
            <w:noWrap/>
            <w:hideMark/>
          </w:tcPr>
          <w:p w14:paraId="10646C9E"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8,795 </w:t>
            </w:r>
          </w:p>
        </w:tc>
        <w:tc>
          <w:tcPr>
            <w:tcW w:w="0" w:type="auto"/>
            <w:noWrap/>
            <w:hideMark/>
          </w:tcPr>
          <w:p w14:paraId="77A7ACFB" w14:textId="08BBC399"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49,434</w:t>
            </w:r>
          </w:p>
        </w:tc>
      </w:tr>
      <w:tr w:rsidR="008A4024" w:rsidRPr="00305D19" w14:paraId="7361E2E6"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830752"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Worcester MA-CT Metropolitan NECTA</w:t>
            </w:r>
          </w:p>
        </w:tc>
        <w:tc>
          <w:tcPr>
            <w:tcW w:w="0" w:type="auto"/>
            <w:noWrap/>
            <w:hideMark/>
          </w:tcPr>
          <w:p w14:paraId="30BC8784" w14:textId="1D46EA0F"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13,180,245,780 </w:t>
            </w:r>
          </w:p>
        </w:tc>
        <w:tc>
          <w:tcPr>
            <w:tcW w:w="0" w:type="auto"/>
            <w:noWrap/>
            <w:hideMark/>
          </w:tcPr>
          <w:p w14:paraId="4BA7ABAB"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249,182 </w:t>
            </w:r>
          </w:p>
        </w:tc>
        <w:tc>
          <w:tcPr>
            <w:tcW w:w="0" w:type="auto"/>
            <w:noWrap/>
            <w:hideMark/>
          </w:tcPr>
          <w:p w14:paraId="7A719B5B" w14:textId="61BC5424"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52,894</w:t>
            </w:r>
          </w:p>
        </w:tc>
      </w:tr>
      <w:tr w:rsidR="008A4024" w:rsidRPr="00305D19" w14:paraId="602C9BE4"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4A80AD"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Buckland MA LMA</w:t>
            </w:r>
          </w:p>
        </w:tc>
        <w:tc>
          <w:tcPr>
            <w:tcW w:w="0" w:type="auto"/>
            <w:noWrap/>
            <w:hideMark/>
          </w:tcPr>
          <w:p w14:paraId="7E372EB5" w14:textId="42FFCFE4"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51,573,543 </w:t>
            </w:r>
          </w:p>
        </w:tc>
        <w:tc>
          <w:tcPr>
            <w:tcW w:w="0" w:type="auto"/>
            <w:noWrap/>
            <w:hideMark/>
          </w:tcPr>
          <w:p w14:paraId="2607C8FF"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1,755 </w:t>
            </w:r>
          </w:p>
        </w:tc>
        <w:tc>
          <w:tcPr>
            <w:tcW w:w="0" w:type="auto"/>
            <w:noWrap/>
            <w:hideMark/>
          </w:tcPr>
          <w:p w14:paraId="13B6A034" w14:textId="35551A35"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29,387</w:t>
            </w:r>
          </w:p>
        </w:tc>
      </w:tr>
      <w:tr w:rsidR="008A4024" w:rsidRPr="00305D19" w14:paraId="57ACFA1D"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657217"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Great Barrington MA LMA</w:t>
            </w:r>
          </w:p>
        </w:tc>
        <w:tc>
          <w:tcPr>
            <w:tcW w:w="0" w:type="auto"/>
            <w:noWrap/>
            <w:hideMark/>
          </w:tcPr>
          <w:p w14:paraId="10D6A44A" w14:textId="60F9118C"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 xml:space="preserve">395,647,282 </w:t>
            </w:r>
          </w:p>
        </w:tc>
        <w:tc>
          <w:tcPr>
            <w:tcW w:w="0" w:type="auto"/>
            <w:noWrap/>
            <w:hideMark/>
          </w:tcPr>
          <w:p w14:paraId="15696CBF"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 xml:space="preserve">9,867 </w:t>
            </w:r>
          </w:p>
        </w:tc>
        <w:tc>
          <w:tcPr>
            <w:tcW w:w="0" w:type="auto"/>
            <w:noWrap/>
            <w:hideMark/>
          </w:tcPr>
          <w:p w14:paraId="087DA844" w14:textId="767E21CD"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061975">
              <w:rPr>
                <w:rFonts w:asciiTheme="minorHAnsi" w:hAnsiTheme="minorHAnsi" w:cstheme="minorHAnsi"/>
                <w:sz w:val="20"/>
                <w:szCs w:val="20"/>
              </w:rPr>
              <w:t>$</w:t>
            </w:r>
            <w:r w:rsidR="008A4024" w:rsidRPr="00061975">
              <w:rPr>
                <w:rFonts w:asciiTheme="minorHAnsi" w:hAnsiTheme="minorHAnsi" w:cstheme="minorHAnsi"/>
                <w:sz w:val="20"/>
                <w:szCs w:val="20"/>
              </w:rPr>
              <w:t>40,098</w:t>
            </w:r>
          </w:p>
        </w:tc>
      </w:tr>
      <w:tr w:rsidR="008A4024" w:rsidRPr="00305D19" w14:paraId="55750030" w14:textId="77777777" w:rsidTr="00061975">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041A55" w14:textId="77777777" w:rsidR="008A4024" w:rsidRPr="00061975" w:rsidRDefault="008A4024" w:rsidP="008A4024">
            <w:pPr>
              <w:rPr>
                <w:rFonts w:asciiTheme="minorHAnsi" w:hAnsiTheme="minorHAnsi" w:cstheme="minorHAnsi"/>
                <w:b/>
                <w:sz w:val="20"/>
                <w:szCs w:val="20"/>
              </w:rPr>
            </w:pPr>
            <w:r w:rsidRPr="00061975">
              <w:rPr>
                <w:rFonts w:asciiTheme="minorHAnsi" w:hAnsiTheme="minorHAnsi" w:cstheme="minorHAnsi"/>
                <w:b/>
                <w:sz w:val="20"/>
                <w:szCs w:val="20"/>
              </w:rPr>
              <w:t>State Total</w:t>
            </w:r>
          </w:p>
        </w:tc>
        <w:tc>
          <w:tcPr>
            <w:tcW w:w="0" w:type="auto"/>
            <w:noWrap/>
            <w:hideMark/>
          </w:tcPr>
          <w:p w14:paraId="1272E2A8" w14:textId="08E70216"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061975">
              <w:rPr>
                <w:rFonts w:asciiTheme="minorHAnsi" w:hAnsiTheme="minorHAnsi" w:cstheme="minorHAnsi"/>
                <w:b/>
                <w:sz w:val="20"/>
                <w:szCs w:val="20"/>
              </w:rPr>
              <w:t>$</w:t>
            </w:r>
            <w:r w:rsidR="008A4024" w:rsidRPr="00061975">
              <w:rPr>
                <w:rFonts w:asciiTheme="minorHAnsi" w:hAnsiTheme="minorHAnsi" w:cstheme="minorHAnsi"/>
                <w:b/>
                <w:sz w:val="20"/>
                <w:szCs w:val="20"/>
              </w:rPr>
              <w:t xml:space="preserve">230,625,663,830 </w:t>
            </w:r>
          </w:p>
        </w:tc>
        <w:tc>
          <w:tcPr>
            <w:tcW w:w="0" w:type="auto"/>
            <w:noWrap/>
            <w:hideMark/>
          </w:tcPr>
          <w:p w14:paraId="5C6E0E36" w14:textId="77777777" w:rsidR="008A4024" w:rsidRPr="00061975" w:rsidRDefault="008A4024"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061975">
              <w:rPr>
                <w:rFonts w:asciiTheme="minorHAnsi" w:hAnsiTheme="minorHAnsi" w:cstheme="minorHAnsi"/>
                <w:b/>
                <w:sz w:val="20"/>
                <w:szCs w:val="20"/>
              </w:rPr>
              <w:t xml:space="preserve">3,445,230 </w:t>
            </w:r>
          </w:p>
        </w:tc>
        <w:tc>
          <w:tcPr>
            <w:tcW w:w="0" w:type="auto"/>
            <w:noWrap/>
            <w:hideMark/>
          </w:tcPr>
          <w:p w14:paraId="05241CE4" w14:textId="05F34E4E" w:rsidR="008A4024" w:rsidRPr="00061975" w:rsidRDefault="00514F19" w:rsidP="000D09F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061975">
              <w:rPr>
                <w:rFonts w:asciiTheme="minorHAnsi" w:hAnsiTheme="minorHAnsi" w:cstheme="minorHAnsi"/>
                <w:b/>
                <w:sz w:val="20"/>
                <w:szCs w:val="20"/>
              </w:rPr>
              <w:t>$</w:t>
            </w:r>
            <w:r w:rsidR="008A4024" w:rsidRPr="00061975">
              <w:rPr>
                <w:rFonts w:asciiTheme="minorHAnsi" w:hAnsiTheme="minorHAnsi" w:cstheme="minorHAnsi"/>
                <w:b/>
                <w:sz w:val="20"/>
                <w:szCs w:val="20"/>
              </w:rPr>
              <w:t>66,941</w:t>
            </w:r>
          </w:p>
        </w:tc>
      </w:tr>
    </w:tbl>
    <w:p w14:paraId="666562E0" w14:textId="30C41268" w:rsidR="008A4024" w:rsidRPr="008A4024" w:rsidRDefault="008A4024" w:rsidP="003E4B00">
      <w:r w:rsidRPr="008A4024">
        <w:lastRenderedPageBreak/>
        <w:t>A district’s wage factor is a percentage that is applied to the eight salary-related functional categories in the foundation budget</w:t>
      </w:r>
      <w:r w:rsidR="003B5F6D">
        <w:t>.</w:t>
      </w:r>
      <w:r w:rsidRPr="008A4024">
        <w:rPr>
          <w:vertAlign w:val="superscript"/>
        </w:rPr>
        <w:footnoteReference w:id="9"/>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4E16A48C" w:rsidR="008A4024" w:rsidRPr="008A4024" w:rsidRDefault="008A4024" w:rsidP="009D4EEC">
      <w:r w:rsidRPr="008A4024">
        <w:t>Prior to FY00, districts in lower-wage areas saw significant reductions in their foundation budgets, by as much as ten percent</w:t>
      </w:r>
      <w:r w:rsidR="0067284C">
        <w:t xml:space="preserve">. </w:t>
      </w:r>
      <w:r w:rsidRPr="008A4024">
        <w:t xml:space="preserve">Since then, annual budget language has cushioned districts from these reductions, to the point where beginning in FY04 only </w:t>
      </w:r>
      <w:r w:rsidR="00F73429">
        <w:t>districts</w:t>
      </w:r>
      <w:r w:rsidRPr="008A4024">
        <w:t xml:space="preserve"> with above-average wages </w:t>
      </w:r>
      <w:r w:rsidR="00F73429">
        <w:t>are</w:t>
      </w:r>
      <w:r w:rsidRPr="008A4024">
        <w:t xml:space="preserve"> affected by the </w:t>
      </w:r>
      <w:r w:rsidR="00F73429">
        <w:t>WAF</w:t>
      </w:r>
      <w:r w:rsidR="0067284C">
        <w:t xml:space="preserve">. </w:t>
      </w:r>
      <w:r w:rsidRPr="008A4024">
        <w:t>Those below the average are set to 100 percent</w:t>
      </w:r>
      <w:r w:rsidR="0067284C">
        <w:t xml:space="preserve">. </w:t>
      </w:r>
      <w:r w:rsidRPr="008A4024">
        <w:t>In FY19, 1</w:t>
      </w:r>
      <w:r w:rsidR="00EE41C1" w:rsidRPr="00EE41C1">
        <w:t>33</w:t>
      </w:r>
      <w:r w:rsidRPr="008A4024">
        <w:t xml:space="preserve"> municipalities in just three labor market areas are affected:</w:t>
      </w:r>
      <w:r w:rsidR="00A24AA4">
        <w:t xml:space="preserve"> </w:t>
      </w:r>
      <w:r w:rsidRPr="008A4024">
        <w:t>Boston-Cambridge-Newton</w:t>
      </w:r>
      <w:r w:rsidR="00A24AA4">
        <w:t>,</w:t>
      </w:r>
      <w:r w:rsidRPr="008A4024">
        <w:t xml:space="preserve"> Framingham</w:t>
      </w:r>
      <w:r w:rsidR="00A24AA4">
        <w:t xml:space="preserve">, and </w:t>
      </w:r>
      <w:r w:rsidRPr="008A4024">
        <w:t>Lowell-Billerica-Chelmsfo</w:t>
      </w:r>
      <w:r w:rsidR="004A5FDD">
        <w:t>rd.</w:t>
      </w:r>
    </w:p>
    <w:p w14:paraId="0753D896" w14:textId="77777777" w:rsidR="008A4024" w:rsidRPr="008A4024" w:rsidRDefault="008A4024" w:rsidP="003E4B00"/>
    <w:p w14:paraId="36A89F00" w14:textId="55B36FBE" w:rsidR="008A4024" w:rsidRDefault="008A4024" w:rsidP="003E4B00">
      <w:r w:rsidRPr="008A4024">
        <w:t>A district’s wage factor appears at the bottom of its foundation budget report</w:t>
      </w:r>
      <w:r w:rsidR="006F29C9">
        <w:t xml:space="preserve"> in row 13</w:t>
      </w:r>
      <w:r w:rsidR="0067284C">
        <w:t xml:space="preserve">. </w:t>
      </w:r>
      <w:r w:rsidR="004A5FDD">
        <w:t xml:space="preserve">In the previous example, </w:t>
      </w:r>
      <w:r w:rsidR="00BA1D2B">
        <w:t>Westfor</w:t>
      </w:r>
      <w:r w:rsidR="00EE41C1" w:rsidRPr="00EE41C1">
        <w:t>d’</w:t>
      </w:r>
      <w:r w:rsidRPr="008A4024">
        <w:t xml:space="preserve">s </w:t>
      </w:r>
      <w:r w:rsidR="009D4EEC">
        <w:t>WAF is</w:t>
      </w:r>
      <w:r w:rsidRPr="008A4024">
        <w:t xml:space="preserve"> 10</w:t>
      </w:r>
      <w:r w:rsidR="00EE41C1" w:rsidRPr="00EE41C1">
        <w:t>2</w:t>
      </w:r>
      <w:r w:rsidRPr="008A4024">
        <w:t xml:space="preserve"> percent.</w:t>
      </w:r>
    </w:p>
    <w:p w14:paraId="5F3A7CC2" w14:textId="77777777" w:rsidR="008A4024" w:rsidRPr="005A1B5E" w:rsidRDefault="008A4024" w:rsidP="00061975">
      <w:pPr>
        <w:pStyle w:val="Heading3"/>
      </w:pPr>
      <w:r w:rsidRPr="005A1B5E">
        <w:t>FY19 Foundation Budget: Massachusetts State Totals</w:t>
      </w:r>
    </w:p>
    <w:p w14:paraId="2D5C58DA" w14:textId="1A2698C8" w:rsidR="008A4024" w:rsidRPr="00061975" w:rsidRDefault="008A4024" w:rsidP="008A4024">
      <w:r w:rsidRPr="00061975">
        <w:t>After applying the wage factor, the statewide total for all school districts in FY19 is $10,778B. Teaching makes up 45 percent</w:t>
      </w:r>
      <w:r w:rsidR="0067284C" w:rsidRPr="00061975">
        <w:t xml:space="preserve">. </w:t>
      </w:r>
      <w:r w:rsidRPr="00061975">
        <w:t>The six instructional categories (instructional leadership, teachers, other teaching services, professional development, instructional materials/technology, and guidance/psychological) account for a combined 66 percent.</w:t>
      </w:r>
    </w:p>
    <w:p w14:paraId="4AC96D4D" w14:textId="77777777" w:rsidR="008A4024" w:rsidRPr="00061975" w:rsidRDefault="008A4024" w:rsidP="008A4024"/>
    <w:tbl>
      <w:tblPr>
        <w:tblStyle w:val="ESETablesOpenStyle"/>
        <w:tblW w:w="7267" w:type="dxa"/>
        <w:jc w:val="center"/>
        <w:tblLook w:val="04A0" w:firstRow="1" w:lastRow="0" w:firstColumn="1" w:lastColumn="0" w:noHBand="0" w:noVBand="1"/>
        <w:tblDescription w:val="Table 4: FY19 foundation budget totals by category"/>
      </w:tblPr>
      <w:tblGrid>
        <w:gridCol w:w="2422"/>
        <w:gridCol w:w="874"/>
        <w:gridCol w:w="1548"/>
        <w:gridCol w:w="401"/>
        <w:gridCol w:w="2022"/>
      </w:tblGrid>
      <w:tr w:rsidR="00FA66EB" w:rsidRPr="00CF445E" w14:paraId="4961050B" w14:textId="77777777" w:rsidTr="005239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7267" w:type="dxa"/>
            <w:gridSpan w:val="5"/>
            <w:tcBorders>
              <w:top w:val="nil"/>
              <w:bottom w:val="single" w:sz="12" w:space="0" w:color="auto"/>
            </w:tcBorders>
            <w:noWrap/>
          </w:tcPr>
          <w:p w14:paraId="548D3CC4" w14:textId="5FD2A08A" w:rsidR="00FA66EB" w:rsidRPr="00061975" w:rsidRDefault="00FA66EB" w:rsidP="0022788F">
            <w:pPr>
              <w:jc w:val="center"/>
              <w:rPr>
                <w:rFonts w:ascii="Calibri" w:hAnsi="Calibri" w:cs="Calibri"/>
                <w:sz w:val="28"/>
                <w:szCs w:val="28"/>
              </w:rPr>
            </w:pPr>
            <w:r w:rsidRPr="00061975">
              <w:rPr>
                <w:rFonts w:ascii="Calibri" w:hAnsi="Calibri" w:cs="Calibri"/>
                <w:sz w:val="28"/>
                <w:szCs w:val="28"/>
              </w:rPr>
              <w:t>Table 4: FY19 foundation budget totals by category</w:t>
            </w:r>
          </w:p>
        </w:tc>
      </w:tr>
      <w:tr w:rsidR="00A0626B" w:rsidRPr="00CF445E" w14:paraId="504B80E6" w14:textId="77777777" w:rsidTr="00A24AA4">
        <w:trPr>
          <w:trHeight w:val="300"/>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12" w:space="0" w:color="auto"/>
              <w:bottom w:val="single" w:sz="6" w:space="0" w:color="auto"/>
            </w:tcBorders>
            <w:noWrap/>
            <w:hideMark/>
          </w:tcPr>
          <w:p w14:paraId="7E8DB489" w14:textId="46577D6D" w:rsidR="00A0626B" w:rsidRPr="00061975" w:rsidRDefault="00A0626B" w:rsidP="00061975">
            <w:pPr>
              <w:rPr>
                <w:rFonts w:ascii="Calibri" w:hAnsi="Calibri" w:cs="Calibri"/>
                <w:sz w:val="18"/>
                <w:szCs w:val="18"/>
              </w:rPr>
            </w:pPr>
            <w:r>
              <w:rPr>
                <w:rFonts w:ascii="Calibri" w:hAnsi="Calibri" w:cs="Calibri"/>
                <w:sz w:val="18"/>
                <w:szCs w:val="18"/>
              </w:rPr>
              <w:t>Categories</w:t>
            </w:r>
          </w:p>
        </w:tc>
        <w:tc>
          <w:tcPr>
            <w:tcW w:w="2422" w:type="dxa"/>
            <w:gridSpan w:val="2"/>
            <w:tcBorders>
              <w:top w:val="single" w:sz="12" w:space="0" w:color="auto"/>
              <w:bottom w:val="single" w:sz="6" w:space="0" w:color="auto"/>
            </w:tcBorders>
          </w:tcPr>
          <w:p w14:paraId="1D53DEF0" w14:textId="34C9433C" w:rsidR="00A0626B" w:rsidRPr="00061975" w:rsidRDefault="00A0626B" w:rsidP="008A402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Foundation budget total</w:t>
            </w:r>
          </w:p>
        </w:tc>
        <w:tc>
          <w:tcPr>
            <w:tcW w:w="2423" w:type="dxa"/>
            <w:gridSpan w:val="2"/>
            <w:tcBorders>
              <w:top w:val="single" w:sz="12" w:space="0" w:color="auto"/>
              <w:bottom w:val="single" w:sz="6" w:space="0" w:color="auto"/>
            </w:tcBorders>
          </w:tcPr>
          <w:p w14:paraId="2C72EF1A" w14:textId="0B17C7A5" w:rsidR="00A0626B" w:rsidRPr="00061975" w:rsidRDefault="00A0626B" w:rsidP="008A402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p>
        </w:tc>
      </w:tr>
      <w:tr w:rsidR="00656EA4" w:rsidRPr="00CF445E" w14:paraId="06E24C3A"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tcBorders>
              <w:top w:val="single" w:sz="6" w:space="0" w:color="auto"/>
              <w:bottom w:val="nil"/>
            </w:tcBorders>
            <w:noWrap/>
            <w:hideMark/>
          </w:tcPr>
          <w:p w14:paraId="72C77445" w14:textId="610E4484" w:rsidR="00656EA4" w:rsidRPr="00061975" w:rsidRDefault="00514F19" w:rsidP="008A4024">
            <w:pPr>
              <w:rPr>
                <w:rFonts w:ascii="Calibri" w:hAnsi="Calibri" w:cs="Calibri"/>
                <w:sz w:val="18"/>
                <w:szCs w:val="18"/>
              </w:rPr>
            </w:pPr>
            <w:r>
              <w:rPr>
                <w:rFonts w:ascii="Calibri" w:hAnsi="Calibri" w:cs="Calibri"/>
                <w:sz w:val="18"/>
                <w:szCs w:val="18"/>
              </w:rPr>
              <w:t xml:space="preserve">Classroom and Specialist </w:t>
            </w:r>
            <w:r w:rsidR="00656EA4" w:rsidRPr="00061975">
              <w:rPr>
                <w:rFonts w:ascii="Calibri" w:hAnsi="Calibri" w:cs="Calibri"/>
                <w:sz w:val="18"/>
                <w:szCs w:val="18"/>
              </w:rPr>
              <w:t>Teachers</w:t>
            </w:r>
          </w:p>
        </w:tc>
        <w:tc>
          <w:tcPr>
            <w:tcW w:w="1949" w:type="dxa"/>
            <w:gridSpan w:val="2"/>
            <w:tcBorders>
              <w:top w:val="single" w:sz="6" w:space="0" w:color="auto"/>
              <w:bottom w:val="nil"/>
            </w:tcBorders>
            <w:noWrap/>
          </w:tcPr>
          <w:p w14:paraId="68C46730" w14:textId="5359AD0D"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4,825,187,463 </w:t>
            </w:r>
          </w:p>
        </w:tc>
        <w:tc>
          <w:tcPr>
            <w:tcW w:w="2022" w:type="dxa"/>
            <w:tcBorders>
              <w:top w:val="single" w:sz="6" w:space="0" w:color="auto"/>
              <w:bottom w:val="nil"/>
            </w:tcBorders>
            <w:noWrap/>
          </w:tcPr>
          <w:p w14:paraId="51B77A79"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45%</w:t>
            </w:r>
          </w:p>
        </w:tc>
      </w:tr>
      <w:tr w:rsidR="00656EA4" w:rsidRPr="00CF445E" w14:paraId="00B13B80"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tcBorders>
              <w:top w:val="nil"/>
            </w:tcBorders>
            <w:noWrap/>
            <w:hideMark/>
          </w:tcPr>
          <w:p w14:paraId="3292FF80" w14:textId="24071087" w:rsidR="00656EA4" w:rsidRPr="00061975" w:rsidRDefault="00514F19" w:rsidP="008A4024">
            <w:pPr>
              <w:rPr>
                <w:rFonts w:ascii="Calibri" w:hAnsi="Calibri" w:cs="Calibri"/>
                <w:sz w:val="18"/>
                <w:szCs w:val="18"/>
              </w:rPr>
            </w:pPr>
            <w:r>
              <w:rPr>
                <w:rFonts w:ascii="Calibri" w:hAnsi="Calibri" w:cs="Calibri"/>
                <w:sz w:val="18"/>
                <w:szCs w:val="18"/>
              </w:rPr>
              <w:t xml:space="preserve">Operations and </w:t>
            </w:r>
            <w:r w:rsidR="00656EA4" w:rsidRPr="00061975">
              <w:rPr>
                <w:rFonts w:ascii="Calibri" w:hAnsi="Calibri" w:cs="Calibri"/>
                <w:sz w:val="18"/>
                <w:szCs w:val="18"/>
              </w:rPr>
              <w:t>Maintenance</w:t>
            </w:r>
          </w:p>
        </w:tc>
        <w:tc>
          <w:tcPr>
            <w:tcW w:w="1949" w:type="dxa"/>
            <w:gridSpan w:val="2"/>
            <w:tcBorders>
              <w:top w:val="nil"/>
            </w:tcBorders>
            <w:noWrap/>
          </w:tcPr>
          <w:p w14:paraId="4C608E57" w14:textId="496C53F0"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1,199,825,764 </w:t>
            </w:r>
          </w:p>
        </w:tc>
        <w:tc>
          <w:tcPr>
            <w:tcW w:w="2022" w:type="dxa"/>
            <w:tcBorders>
              <w:top w:val="nil"/>
            </w:tcBorders>
            <w:noWrap/>
          </w:tcPr>
          <w:p w14:paraId="2F418C54"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11%</w:t>
            </w:r>
          </w:p>
        </w:tc>
      </w:tr>
      <w:tr w:rsidR="00656EA4" w:rsidRPr="00CF445E" w14:paraId="7608341D"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2A444DD5" w14:textId="3CAE6B57" w:rsidR="00656EA4" w:rsidRPr="00061975" w:rsidRDefault="00514F19" w:rsidP="008A4024">
            <w:pPr>
              <w:rPr>
                <w:rFonts w:ascii="Calibri" w:hAnsi="Calibri" w:cs="Calibri"/>
                <w:sz w:val="18"/>
                <w:szCs w:val="18"/>
              </w:rPr>
            </w:pPr>
            <w:r>
              <w:rPr>
                <w:rFonts w:ascii="Calibri" w:hAnsi="Calibri" w:cs="Calibri"/>
                <w:sz w:val="18"/>
                <w:szCs w:val="18"/>
              </w:rPr>
              <w:t xml:space="preserve">Employee </w:t>
            </w:r>
            <w:r w:rsidR="00656EA4" w:rsidRPr="00061975">
              <w:rPr>
                <w:rFonts w:ascii="Calibri" w:hAnsi="Calibri" w:cs="Calibri"/>
                <w:sz w:val="18"/>
                <w:szCs w:val="18"/>
              </w:rPr>
              <w:t>Benefits</w:t>
            </w:r>
            <w:r>
              <w:rPr>
                <w:rFonts w:ascii="Calibri" w:hAnsi="Calibri" w:cs="Calibri"/>
                <w:sz w:val="18"/>
                <w:szCs w:val="18"/>
              </w:rPr>
              <w:t xml:space="preserve"> and Fixed Charges</w:t>
            </w:r>
          </w:p>
        </w:tc>
        <w:tc>
          <w:tcPr>
            <w:tcW w:w="1949" w:type="dxa"/>
            <w:gridSpan w:val="2"/>
            <w:noWrap/>
          </w:tcPr>
          <w:p w14:paraId="196A9DED" w14:textId="5BDD0463"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1,158,498,716 </w:t>
            </w:r>
          </w:p>
        </w:tc>
        <w:tc>
          <w:tcPr>
            <w:tcW w:w="2022" w:type="dxa"/>
            <w:noWrap/>
          </w:tcPr>
          <w:p w14:paraId="2A395F42"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11%</w:t>
            </w:r>
          </w:p>
        </w:tc>
      </w:tr>
      <w:tr w:rsidR="00656EA4" w:rsidRPr="00CF445E" w14:paraId="2BB0561F"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33C42985"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Other Teaching Services</w:t>
            </w:r>
          </w:p>
        </w:tc>
        <w:tc>
          <w:tcPr>
            <w:tcW w:w="1949" w:type="dxa"/>
            <w:gridSpan w:val="2"/>
            <w:noWrap/>
          </w:tcPr>
          <w:p w14:paraId="0779A19F" w14:textId="48FE40E0"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930,181,740 </w:t>
            </w:r>
          </w:p>
        </w:tc>
        <w:tc>
          <w:tcPr>
            <w:tcW w:w="2022" w:type="dxa"/>
            <w:noWrap/>
          </w:tcPr>
          <w:p w14:paraId="6039FD1E"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9%</w:t>
            </w:r>
          </w:p>
        </w:tc>
      </w:tr>
      <w:tr w:rsidR="00656EA4" w:rsidRPr="00CF445E" w14:paraId="0EB1D95E"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26E49E28"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Instructional Leadership</w:t>
            </w:r>
          </w:p>
        </w:tc>
        <w:tc>
          <w:tcPr>
            <w:tcW w:w="1949" w:type="dxa"/>
            <w:gridSpan w:val="2"/>
            <w:noWrap/>
          </w:tcPr>
          <w:p w14:paraId="2B943588" w14:textId="5D0BB554"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671,863,668 </w:t>
            </w:r>
          </w:p>
        </w:tc>
        <w:tc>
          <w:tcPr>
            <w:tcW w:w="2022" w:type="dxa"/>
            <w:noWrap/>
          </w:tcPr>
          <w:p w14:paraId="6FD66371"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6%</w:t>
            </w:r>
          </w:p>
        </w:tc>
      </w:tr>
      <w:tr w:rsidR="00656EA4" w:rsidRPr="00CF445E" w14:paraId="43110D80"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57ECB39A" w14:textId="10E81E4F" w:rsidR="00656EA4" w:rsidRPr="00061975" w:rsidRDefault="00656EA4" w:rsidP="008A4024">
            <w:pPr>
              <w:rPr>
                <w:rFonts w:ascii="Calibri" w:hAnsi="Calibri" w:cs="Calibri"/>
                <w:sz w:val="18"/>
                <w:szCs w:val="18"/>
              </w:rPr>
            </w:pPr>
            <w:r w:rsidRPr="00061975">
              <w:rPr>
                <w:rFonts w:ascii="Calibri" w:hAnsi="Calibri" w:cs="Calibri"/>
                <w:sz w:val="18"/>
                <w:szCs w:val="18"/>
              </w:rPr>
              <w:t xml:space="preserve">Instructional </w:t>
            </w:r>
            <w:r w:rsidR="00514F19">
              <w:rPr>
                <w:rFonts w:ascii="Calibri" w:hAnsi="Calibri" w:cs="Calibri"/>
                <w:sz w:val="18"/>
                <w:szCs w:val="18"/>
              </w:rPr>
              <w:t>Equipment and Technology</w:t>
            </w:r>
          </w:p>
        </w:tc>
        <w:tc>
          <w:tcPr>
            <w:tcW w:w="1949" w:type="dxa"/>
            <w:gridSpan w:val="2"/>
            <w:noWrap/>
          </w:tcPr>
          <w:p w14:paraId="2EB30D96" w14:textId="25383D32"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557,524,552 </w:t>
            </w:r>
          </w:p>
        </w:tc>
        <w:tc>
          <w:tcPr>
            <w:tcW w:w="2022" w:type="dxa"/>
            <w:noWrap/>
          </w:tcPr>
          <w:p w14:paraId="261D09E3"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5%</w:t>
            </w:r>
          </w:p>
        </w:tc>
      </w:tr>
      <w:tr w:rsidR="00656EA4" w:rsidRPr="00CF445E" w14:paraId="1E71C163"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003FBEA5"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Administration</w:t>
            </w:r>
          </w:p>
        </w:tc>
        <w:tc>
          <w:tcPr>
            <w:tcW w:w="1949" w:type="dxa"/>
            <w:gridSpan w:val="2"/>
            <w:noWrap/>
          </w:tcPr>
          <w:p w14:paraId="28817CEF"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 xml:space="preserve">$490,030,399 </w:t>
            </w:r>
          </w:p>
        </w:tc>
        <w:tc>
          <w:tcPr>
            <w:tcW w:w="2022" w:type="dxa"/>
            <w:noWrap/>
          </w:tcPr>
          <w:p w14:paraId="0AA2B120"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5%</w:t>
            </w:r>
          </w:p>
        </w:tc>
      </w:tr>
      <w:tr w:rsidR="00656EA4" w:rsidRPr="00CF445E" w14:paraId="10C2183C"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0D14C59D" w14:textId="33DF85E8" w:rsidR="00656EA4" w:rsidRPr="00061975" w:rsidRDefault="00656EA4" w:rsidP="008A4024">
            <w:pPr>
              <w:rPr>
                <w:rFonts w:ascii="Calibri" w:hAnsi="Calibri" w:cs="Calibri"/>
                <w:sz w:val="18"/>
                <w:szCs w:val="18"/>
              </w:rPr>
            </w:pPr>
            <w:r w:rsidRPr="00061975">
              <w:rPr>
                <w:rFonts w:ascii="Calibri" w:hAnsi="Calibri" w:cs="Calibri"/>
                <w:sz w:val="18"/>
                <w:szCs w:val="18"/>
              </w:rPr>
              <w:t>Guidance</w:t>
            </w:r>
            <w:r w:rsidR="00514F19">
              <w:rPr>
                <w:rFonts w:ascii="Calibri" w:hAnsi="Calibri" w:cs="Calibri"/>
                <w:sz w:val="18"/>
                <w:szCs w:val="18"/>
              </w:rPr>
              <w:t xml:space="preserve"> and </w:t>
            </w:r>
            <w:r w:rsidRPr="00061975">
              <w:rPr>
                <w:rFonts w:ascii="Calibri" w:hAnsi="Calibri" w:cs="Calibri"/>
                <w:sz w:val="18"/>
                <w:szCs w:val="18"/>
              </w:rPr>
              <w:t>Psych</w:t>
            </w:r>
            <w:r w:rsidR="00514F19">
              <w:rPr>
                <w:rFonts w:ascii="Calibri" w:hAnsi="Calibri" w:cs="Calibri"/>
                <w:sz w:val="18"/>
                <w:szCs w:val="18"/>
              </w:rPr>
              <w:t>ological</w:t>
            </w:r>
            <w:r w:rsidRPr="00061975">
              <w:rPr>
                <w:rFonts w:ascii="Calibri" w:hAnsi="Calibri" w:cs="Calibri"/>
                <w:sz w:val="18"/>
                <w:szCs w:val="18"/>
              </w:rPr>
              <w:t xml:space="preserve"> Services</w:t>
            </w:r>
          </w:p>
        </w:tc>
        <w:tc>
          <w:tcPr>
            <w:tcW w:w="1949" w:type="dxa"/>
            <w:gridSpan w:val="2"/>
            <w:noWrap/>
          </w:tcPr>
          <w:p w14:paraId="70EDD8EC" w14:textId="79906D4B"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288,855,561 </w:t>
            </w:r>
          </w:p>
        </w:tc>
        <w:tc>
          <w:tcPr>
            <w:tcW w:w="2022" w:type="dxa"/>
            <w:noWrap/>
          </w:tcPr>
          <w:p w14:paraId="6FA7BB1C"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3%</w:t>
            </w:r>
          </w:p>
        </w:tc>
      </w:tr>
      <w:tr w:rsidR="00656EA4" w:rsidRPr="00CF445E" w14:paraId="20E4E6C3"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01288167"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Pupil Services</w:t>
            </w:r>
          </w:p>
        </w:tc>
        <w:tc>
          <w:tcPr>
            <w:tcW w:w="1949" w:type="dxa"/>
            <w:gridSpan w:val="2"/>
            <w:noWrap/>
          </w:tcPr>
          <w:p w14:paraId="09F90A76" w14:textId="34BDD70D"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263,696,362 </w:t>
            </w:r>
          </w:p>
        </w:tc>
        <w:tc>
          <w:tcPr>
            <w:tcW w:w="2022" w:type="dxa"/>
            <w:noWrap/>
          </w:tcPr>
          <w:p w14:paraId="321313A1"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2%</w:t>
            </w:r>
          </w:p>
        </w:tc>
      </w:tr>
      <w:tr w:rsidR="00656EA4" w:rsidRPr="00CF445E" w14:paraId="26E60E88"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08758BD1"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Special Education Tuition</w:t>
            </w:r>
          </w:p>
        </w:tc>
        <w:tc>
          <w:tcPr>
            <w:tcW w:w="1949" w:type="dxa"/>
            <w:gridSpan w:val="2"/>
            <w:noWrap/>
          </w:tcPr>
          <w:p w14:paraId="208178E7" w14:textId="71EFCA7D"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217,860,658 </w:t>
            </w:r>
          </w:p>
        </w:tc>
        <w:tc>
          <w:tcPr>
            <w:tcW w:w="2022" w:type="dxa"/>
            <w:noWrap/>
          </w:tcPr>
          <w:p w14:paraId="2207F8F2"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2%</w:t>
            </w:r>
          </w:p>
        </w:tc>
      </w:tr>
      <w:tr w:rsidR="00656EA4" w:rsidRPr="00CF445E" w14:paraId="249CFEA9"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62C8327C" w14:textId="77777777" w:rsidR="00656EA4" w:rsidRPr="00061975" w:rsidRDefault="00656EA4" w:rsidP="008A4024">
            <w:pPr>
              <w:rPr>
                <w:rFonts w:ascii="Calibri" w:hAnsi="Calibri" w:cs="Calibri"/>
                <w:sz w:val="18"/>
                <w:szCs w:val="18"/>
              </w:rPr>
            </w:pPr>
            <w:r w:rsidRPr="00061975">
              <w:rPr>
                <w:rFonts w:ascii="Calibri" w:hAnsi="Calibri" w:cs="Calibri"/>
                <w:sz w:val="18"/>
                <w:szCs w:val="18"/>
              </w:rPr>
              <w:t>Professional Development</w:t>
            </w:r>
          </w:p>
        </w:tc>
        <w:tc>
          <w:tcPr>
            <w:tcW w:w="1949" w:type="dxa"/>
            <w:gridSpan w:val="2"/>
            <w:noWrap/>
          </w:tcPr>
          <w:p w14:paraId="3545B4A6" w14:textId="1738032A" w:rsidR="00656EA4" w:rsidRPr="00061975" w:rsidRDefault="00926BE0"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r w:rsidR="00656EA4" w:rsidRPr="00061975">
              <w:rPr>
                <w:rFonts w:ascii="Calibri" w:hAnsi="Calibri" w:cs="Calibri"/>
                <w:sz w:val="18"/>
                <w:szCs w:val="18"/>
              </w:rPr>
              <w:t xml:space="preserve">174,063,669 </w:t>
            </w:r>
          </w:p>
        </w:tc>
        <w:tc>
          <w:tcPr>
            <w:tcW w:w="2022" w:type="dxa"/>
            <w:noWrap/>
          </w:tcPr>
          <w:p w14:paraId="4E300E2F" w14:textId="77777777" w:rsidR="00656EA4" w:rsidRPr="00061975" w:rsidRDefault="00656EA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61975">
              <w:rPr>
                <w:rFonts w:ascii="Calibri" w:hAnsi="Calibri" w:cs="Calibri"/>
                <w:sz w:val="18"/>
                <w:szCs w:val="18"/>
              </w:rPr>
              <w:t>2%</w:t>
            </w:r>
          </w:p>
        </w:tc>
      </w:tr>
      <w:tr w:rsidR="008A4024" w:rsidRPr="00CF445E" w14:paraId="1614DD00" w14:textId="77777777" w:rsidTr="00061975">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gridSpan w:val="2"/>
            <w:noWrap/>
            <w:hideMark/>
          </w:tcPr>
          <w:p w14:paraId="3AE55365" w14:textId="14C5B920" w:rsidR="008A4024" w:rsidRPr="00061975" w:rsidRDefault="00514F19" w:rsidP="008A4024">
            <w:pPr>
              <w:rPr>
                <w:rFonts w:ascii="Calibri" w:hAnsi="Calibri" w:cs="Calibri"/>
                <w:b/>
                <w:sz w:val="18"/>
                <w:szCs w:val="18"/>
              </w:rPr>
            </w:pPr>
            <w:r>
              <w:rPr>
                <w:rFonts w:ascii="Calibri" w:hAnsi="Calibri" w:cs="Calibri"/>
                <w:b/>
                <w:sz w:val="18"/>
                <w:szCs w:val="18"/>
              </w:rPr>
              <w:t xml:space="preserve">State </w:t>
            </w:r>
            <w:r w:rsidR="008A4024" w:rsidRPr="00061975">
              <w:rPr>
                <w:rFonts w:ascii="Calibri" w:hAnsi="Calibri" w:cs="Calibri"/>
                <w:b/>
                <w:sz w:val="18"/>
                <w:szCs w:val="18"/>
              </w:rPr>
              <w:t>Total</w:t>
            </w:r>
          </w:p>
        </w:tc>
        <w:tc>
          <w:tcPr>
            <w:tcW w:w="1949" w:type="dxa"/>
            <w:gridSpan w:val="2"/>
            <w:noWrap/>
            <w:hideMark/>
          </w:tcPr>
          <w:p w14:paraId="0ABD1F30" w14:textId="77777777" w:rsidR="008A4024" w:rsidRPr="00061975" w:rsidRDefault="008A402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61975">
              <w:rPr>
                <w:rFonts w:ascii="Calibri" w:hAnsi="Calibri" w:cs="Calibri"/>
                <w:b/>
                <w:sz w:val="18"/>
                <w:szCs w:val="18"/>
              </w:rPr>
              <w:t xml:space="preserve">$10,777,588,551 </w:t>
            </w:r>
          </w:p>
        </w:tc>
        <w:tc>
          <w:tcPr>
            <w:tcW w:w="2022" w:type="dxa"/>
            <w:noWrap/>
            <w:hideMark/>
          </w:tcPr>
          <w:p w14:paraId="14623195" w14:textId="77777777" w:rsidR="008A4024" w:rsidRPr="00061975" w:rsidRDefault="008A4024" w:rsidP="008A402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61975">
              <w:rPr>
                <w:rFonts w:ascii="Calibri" w:hAnsi="Calibri" w:cs="Calibri"/>
                <w:b/>
                <w:sz w:val="18"/>
                <w:szCs w:val="18"/>
              </w:rPr>
              <w:t>100%</w:t>
            </w:r>
          </w:p>
        </w:tc>
      </w:tr>
    </w:tbl>
    <w:p w14:paraId="396F017F" w14:textId="1EDD33EA" w:rsidR="008A4024" w:rsidRDefault="008A4024" w:rsidP="008A4024">
      <w:pPr>
        <w:rPr>
          <w:rFonts w:ascii="Georgia" w:hAnsi="Georgia"/>
          <w:sz w:val="20"/>
          <w:szCs w:val="20"/>
        </w:rPr>
      </w:pPr>
    </w:p>
    <w:p w14:paraId="271D4C62" w14:textId="17E33FF9" w:rsidR="004F792C" w:rsidRDefault="004F792C" w:rsidP="008A4024">
      <w:pPr>
        <w:rPr>
          <w:rFonts w:ascii="Georgia" w:hAnsi="Georgia"/>
          <w:sz w:val="20"/>
          <w:szCs w:val="20"/>
        </w:rPr>
      </w:pPr>
      <w:r>
        <w:rPr>
          <w:noProof/>
          <w:lang w:eastAsia="zh-CN"/>
        </w:rPr>
        <w:lastRenderedPageBreak/>
        <w:drawing>
          <wp:inline distT="0" distB="0" distL="0" distR="0" wp14:anchorId="0419F732" wp14:editId="27530783">
            <wp:extent cx="5943600" cy="3993515"/>
            <wp:effectExtent l="0" t="0" r="0" b="6985"/>
            <wp:docPr id="4" name="Chart 4" descr="Figure 2 bar graph: FY19 foundation budget percentages by expenditure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97CF83" w14:textId="772A41B6" w:rsidR="004F792C" w:rsidRDefault="004F792C" w:rsidP="008A4024">
      <w:pPr>
        <w:rPr>
          <w:rFonts w:ascii="Georgia" w:hAnsi="Georgia"/>
          <w:sz w:val="20"/>
          <w:szCs w:val="20"/>
        </w:rPr>
      </w:pPr>
    </w:p>
    <w:p w14:paraId="2B27CC78" w14:textId="77777777" w:rsidR="004F792C" w:rsidRPr="008A4024" w:rsidRDefault="004F792C" w:rsidP="008A4024">
      <w:pPr>
        <w:rPr>
          <w:rFonts w:ascii="Georgia" w:hAnsi="Georgia"/>
          <w:sz w:val="20"/>
          <w:szCs w:val="20"/>
        </w:rPr>
      </w:pPr>
    </w:p>
    <w:p w14:paraId="72993D53" w14:textId="5B2E4258" w:rsidR="008A4024" w:rsidRPr="008A4024" w:rsidRDefault="008A4024" w:rsidP="00061975">
      <w:pPr>
        <w:jc w:val="center"/>
        <w:rPr>
          <w:rFonts w:ascii="Georgia" w:hAnsi="Georgia"/>
          <w:sz w:val="20"/>
          <w:szCs w:val="20"/>
        </w:rPr>
      </w:pPr>
    </w:p>
    <w:p w14:paraId="566441F5" w14:textId="77777777" w:rsidR="008A4024" w:rsidRDefault="008A4024" w:rsidP="008A4024"/>
    <w:p w14:paraId="5F434059" w14:textId="77777777" w:rsidR="008A4024" w:rsidRDefault="008A4024" w:rsidP="008A4024"/>
    <w:p w14:paraId="29DCC253" w14:textId="77777777" w:rsidR="00F73429" w:rsidRDefault="00F73429">
      <w:pPr>
        <w:rPr>
          <w:rFonts w:ascii="Verdana" w:hAnsi="Verdana"/>
          <w:b/>
          <w:sz w:val="21"/>
          <w:szCs w:val="21"/>
        </w:rPr>
      </w:pPr>
      <w:r>
        <w:rPr>
          <w:rFonts w:ascii="Verdana" w:hAnsi="Verdana"/>
          <w:b/>
          <w:sz w:val="21"/>
          <w:szCs w:val="21"/>
        </w:rPr>
        <w:br w:type="page"/>
      </w:r>
    </w:p>
    <w:p w14:paraId="35EB3EC0" w14:textId="6D041FD0" w:rsidR="00F73429" w:rsidRDefault="00F73429" w:rsidP="00061975">
      <w:pPr>
        <w:pStyle w:val="Heading1"/>
      </w:pPr>
      <w:bookmarkStart w:id="3" w:name="_Toc524548281"/>
      <w:r>
        <w:lastRenderedPageBreak/>
        <w:t>Appendix A:</w:t>
      </w:r>
      <w:bookmarkEnd w:id="3"/>
      <w:r w:rsidR="00A05B06">
        <w:t xml:space="preserve"> How required local contributions are calculated</w:t>
      </w:r>
    </w:p>
    <w:p w14:paraId="3C42796E" w14:textId="1E614862" w:rsidR="005C4255" w:rsidRPr="0016590B" w:rsidRDefault="005C4255" w:rsidP="00061975">
      <w:pPr>
        <w:pStyle w:val="Heading2"/>
      </w:pPr>
      <w:bookmarkStart w:id="4" w:name="_Toc524548282"/>
      <w:r w:rsidRPr="0016590B">
        <w:t>Target contribution calculations</w:t>
      </w:r>
      <w:bookmarkEnd w:id="4"/>
    </w:p>
    <w:p w14:paraId="47D0FF32" w14:textId="28EBEB62" w:rsidR="00A321B4" w:rsidRDefault="00A05B06" w:rsidP="000D7476">
      <w:pPr>
        <w:numPr>
          <w:ilvl w:val="0"/>
          <w:numId w:val="8"/>
        </w:numPr>
        <w:shd w:val="clear" w:color="auto" w:fill="FFFFFF"/>
        <w:spacing w:before="100" w:beforeAutospacing="1" w:after="100" w:afterAutospacing="1"/>
        <w:rPr>
          <w:color w:val="000000"/>
        </w:rPr>
      </w:pPr>
      <w:r>
        <w:rPr>
          <w:color w:val="000000"/>
        </w:rPr>
        <w:t>The first step is to d</w:t>
      </w:r>
      <w:r w:rsidR="005C4255" w:rsidRPr="00061975">
        <w:rPr>
          <w:color w:val="000000"/>
        </w:rPr>
        <w:t>etermine the statewide target local contribution level</w:t>
      </w:r>
      <w:r>
        <w:rPr>
          <w:color w:val="000000"/>
        </w:rPr>
        <w:t>, which is set at 59</w:t>
      </w:r>
      <w:r w:rsidR="005C4255" w:rsidRPr="00061975">
        <w:rPr>
          <w:color w:val="000000"/>
        </w:rPr>
        <w:t xml:space="preserve"> percent of the statewide foundation budget</w:t>
      </w:r>
      <w:r>
        <w:rPr>
          <w:color w:val="000000"/>
        </w:rPr>
        <w:t>.</w:t>
      </w:r>
      <w:r w:rsidR="000D7476">
        <w:rPr>
          <w:color w:val="000000"/>
        </w:rPr>
        <w:t xml:space="preserve"> For FY19, this amount equals </w:t>
      </w:r>
      <w:r w:rsidR="000D7476" w:rsidRPr="000D7476">
        <w:rPr>
          <w:color w:val="000000"/>
        </w:rPr>
        <w:t>$6.359 billion</w:t>
      </w:r>
      <w:r w:rsidR="000D7476">
        <w:rPr>
          <w:color w:val="000000"/>
        </w:rPr>
        <w:t xml:space="preserve"> (59% of </w:t>
      </w:r>
      <w:r w:rsidR="005C4255" w:rsidRPr="000D7476">
        <w:rPr>
          <w:color w:val="000000"/>
        </w:rPr>
        <w:t xml:space="preserve">$10.778 billion </w:t>
      </w:r>
      <w:r w:rsidR="000D7476">
        <w:rPr>
          <w:color w:val="000000"/>
        </w:rPr>
        <w:t>statewide foundation budget)</w:t>
      </w:r>
      <w:r w:rsidR="005C4255" w:rsidRPr="000D7476">
        <w:rPr>
          <w:color w:val="000000"/>
        </w:rPr>
        <w:t>.</w:t>
      </w:r>
    </w:p>
    <w:p w14:paraId="3B9380E3" w14:textId="7DB1C688" w:rsidR="000D7476" w:rsidRPr="000D7476" w:rsidRDefault="000D7476" w:rsidP="000D7476">
      <w:pPr>
        <w:numPr>
          <w:ilvl w:val="0"/>
          <w:numId w:val="8"/>
        </w:numPr>
        <w:shd w:val="clear" w:color="auto" w:fill="FFFFFF"/>
        <w:spacing w:before="100" w:beforeAutospacing="1" w:after="100" w:afterAutospacing="1"/>
        <w:rPr>
          <w:color w:val="000000"/>
        </w:rPr>
      </w:pPr>
      <w:r>
        <w:rPr>
          <w:color w:val="000000"/>
        </w:rPr>
        <w:t>The formula dictates that the statewide contribution goal must be funded equally from local property wealth and aggregate local income.</w:t>
      </w:r>
    </w:p>
    <w:p w14:paraId="0196091E" w14:textId="4EAB73A8" w:rsidR="00A321B4" w:rsidRPr="000D7476" w:rsidRDefault="005C4255" w:rsidP="000D7476">
      <w:pPr>
        <w:numPr>
          <w:ilvl w:val="0"/>
          <w:numId w:val="8"/>
        </w:numPr>
        <w:shd w:val="clear" w:color="auto" w:fill="FFFFFF"/>
        <w:spacing w:before="100" w:beforeAutospacing="1" w:after="100" w:afterAutospacing="1"/>
        <w:rPr>
          <w:color w:val="000000"/>
        </w:rPr>
      </w:pPr>
      <w:r w:rsidRPr="000D7476">
        <w:rPr>
          <w:color w:val="000000"/>
        </w:rPr>
        <w:t>For FY19, the</w:t>
      </w:r>
      <w:r w:rsidR="00926BE0" w:rsidRPr="000D7476">
        <w:rPr>
          <w:color w:val="000000"/>
        </w:rPr>
        <w:t xml:space="preserve"> </w:t>
      </w:r>
      <w:r w:rsidRPr="000D7476">
        <w:rPr>
          <w:b/>
          <w:bCs/>
          <w:color w:val="000000"/>
        </w:rPr>
        <w:t>property percentage</w:t>
      </w:r>
      <w:r w:rsidR="00926BE0" w:rsidRPr="000D7476">
        <w:rPr>
          <w:color w:val="000000"/>
        </w:rPr>
        <w:t xml:space="preserve"> </w:t>
      </w:r>
      <w:r w:rsidRPr="000D7476">
        <w:rPr>
          <w:color w:val="000000"/>
        </w:rPr>
        <w:t>is set at 0.3676%, which is applied to each municipality's 2016 aggregate equalized property valuation.</w:t>
      </w:r>
      <w:r w:rsidR="0022788F" w:rsidRPr="000D7476">
        <w:rPr>
          <w:color w:val="000000"/>
        </w:rPr>
        <w:t xml:space="preserve"> </w:t>
      </w:r>
      <w:r w:rsidRPr="000D7476">
        <w:rPr>
          <w:color w:val="000000"/>
        </w:rPr>
        <w:t>The</w:t>
      </w:r>
      <w:r w:rsidR="00926BE0" w:rsidRPr="000D7476">
        <w:rPr>
          <w:color w:val="000000"/>
        </w:rPr>
        <w:t xml:space="preserve"> </w:t>
      </w:r>
      <w:r w:rsidRPr="000D7476">
        <w:rPr>
          <w:b/>
          <w:bCs/>
          <w:color w:val="000000"/>
        </w:rPr>
        <w:t>income percentage</w:t>
      </w:r>
      <w:r w:rsidR="00926BE0" w:rsidRPr="000D7476">
        <w:rPr>
          <w:color w:val="000000"/>
        </w:rPr>
        <w:t xml:space="preserve"> </w:t>
      </w:r>
      <w:r w:rsidRPr="000D7476">
        <w:rPr>
          <w:color w:val="000000"/>
        </w:rPr>
        <w:t xml:space="preserve">is set at 1.4306%, which is applied to each municipality's aggregate total personal income, as reported to the Department of Revenue </w:t>
      </w:r>
      <w:r w:rsidR="00FA66EB" w:rsidRPr="000D7476">
        <w:rPr>
          <w:color w:val="000000"/>
        </w:rPr>
        <w:t xml:space="preserve">(DOR) </w:t>
      </w:r>
      <w:r w:rsidRPr="000D7476">
        <w:rPr>
          <w:color w:val="000000"/>
        </w:rPr>
        <w:t>by local residents for the 2015 calendar year.</w:t>
      </w:r>
    </w:p>
    <w:p w14:paraId="5D395284" w14:textId="698AF11B" w:rsidR="005C4255" w:rsidRPr="00A321B4" w:rsidRDefault="005C4255" w:rsidP="00A321B4">
      <w:pPr>
        <w:numPr>
          <w:ilvl w:val="0"/>
          <w:numId w:val="8"/>
        </w:numPr>
        <w:shd w:val="clear" w:color="auto" w:fill="FFFFFF"/>
        <w:spacing w:before="100" w:beforeAutospacing="1" w:after="100" w:afterAutospacing="1"/>
        <w:rPr>
          <w:color w:val="000000"/>
        </w:rPr>
      </w:pPr>
      <w:r w:rsidRPr="00A321B4">
        <w:rPr>
          <w:color w:val="000000"/>
        </w:rPr>
        <w:t>When these two factors are applied statewide, they yield a total local contribution of $8.137 billion with half ($4.069 billion) coming from the property percentage and the other half from the income percentage.</w:t>
      </w:r>
    </w:p>
    <w:p w14:paraId="2DED5760" w14:textId="281A533F" w:rsidR="00926BE0" w:rsidRDefault="00A05B06" w:rsidP="005C4255">
      <w:pPr>
        <w:numPr>
          <w:ilvl w:val="0"/>
          <w:numId w:val="8"/>
        </w:numPr>
        <w:shd w:val="clear" w:color="auto" w:fill="FFFFFF"/>
        <w:spacing w:before="100" w:beforeAutospacing="1" w:after="100" w:afterAutospacing="1"/>
        <w:rPr>
          <w:color w:val="000000"/>
        </w:rPr>
      </w:pPr>
      <w:r>
        <w:rPr>
          <w:color w:val="000000"/>
        </w:rPr>
        <w:t>Next, the formula applies</w:t>
      </w:r>
      <w:r w:rsidR="005C4255" w:rsidRPr="00061975">
        <w:rPr>
          <w:color w:val="000000"/>
        </w:rPr>
        <w:t xml:space="preserve"> the property percentage and the income percentage to each individual municipality's aggregate property valuation and income, which determines the municipality's</w:t>
      </w:r>
      <w:r w:rsidR="00D063FC">
        <w:rPr>
          <w:color w:val="000000"/>
        </w:rPr>
        <w:t xml:space="preserve"> </w:t>
      </w:r>
      <w:r w:rsidR="005C4255" w:rsidRPr="00061975">
        <w:rPr>
          <w:b/>
          <w:bCs/>
          <w:color w:val="000000"/>
        </w:rPr>
        <w:t xml:space="preserve">combined effort </w:t>
      </w:r>
      <w:r w:rsidR="005C4255" w:rsidRPr="00197B91">
        <w:rPr>
          <w:b/>
          <w:bCs/>
          <w:color w:val="000000"/>
        </w:rPr>
        <w:t>yield</w:t>
      </w:r>
      <w:r w:rsidR="005C4255" w:rsidRPr="00197B91">
        <w:rPr>
          <w:color w:val="000000"/>
        </w:rPr>
        <w:t>. Some municipalities have so much wealth, or a small enough student population, that their combined effort yield is excessive.</w:t>
      </w:r>
    </w:p>
    <w:p w14:paraId="557137F4" w14:textId="490FF2E2" w:rsidR="00A321B4" w:rsidRDefault="005C4255" w:rsidP="005C4255">
      <w:pPr>
        <w:numPr>
          <w:ilvl w:val="0"/>
          <w:numId w:val="8"/>
        </w:numPr>
        <w:shd w:val="clear" w:color="auto" w:fill="FFFFFF"/>
        <w:spacing w:before="100" w:beforeAutospacing="1" w:after="100" w:afterAutospacing="1"/>
        <w:rPr>
          <w:color w:val="000000"/>
        </w:rPr>
      </w:pPr>
      <w:r w:rsidRPr="00061975">
        <w:rPr>
          <w:color w:val="000000"/>
        </w:rPr>
        <w:t>The</w:t>
      </w:r>
      <w:r w:rsidR="00D063FC">
        <w:rPr>
          <w:color w:val="000000"/>
        </w:rPr>
        <w:t xml:space="preserve"> </w:t>
      </w:r>
      <w:r w:rsidRPr="00061975">
        <w:rPr>
          <w:b/>
          <w:bCs/>
          <w:color w:val="000000"/>
        </w:rPr>
        <w:t>maximum local contribution</w:t>
      </w:r>
      <w:r w:rsidR="00D063FC">
        <w:rPr>
          <w:color w:val="000000"/>
        </w:rPr>
        <w:t xml:space="preserve"> </w:t>
      </w:r>
      <w:r w:rsidRPr="00061975">
        <w:rPr>
          <w:color w:val="000000"/>
        </w:rPr>
        <w:t>is set at 82.5 percent of foundation budget, which means that the formula would fund a minimum of 17.5 percent of foundation through state aid, even for the wealthiest communities.</w:t>
      </w:r>
    </w:p>
    <w:p w14:paraId="573A46C8" w14:textId="796B8554" w:rsidR="00A321B4" w:rsidRDefault="005C4255" w:rsidP="005C4255">
      <w:pPr>
        <w:numPr>
          <w:ilvl w:val="0"/>
          <w:numId w:val="8"/>
        </w:numPr>
        <w:shd w:val="clear" w:color="auto" w:fill="FFFFFF"/>
        <w:spacing w:before="100" w:beforeAutospacing="1" w:after="100" w:afterAutospacing="1"/>
        <w:rPr>
          <w:color w:val="000000"/>
        </w:rPr>
      </w:pPr>
      <w:r w:rsidRPr="00061975">
        <w:rPr>
          <w:color w:val="000000"/>
        </w:rPr>
        <w:t>In FY19, 148 communities are assigned this maximum contribution. A municipality's</w:t>
      </w:r>
      <w:r w:rsidR="00D063FC">
        <w:rPr>
          <w:color w:val="000000"/>
        </w:rPr>
        <w:t xml:space="preserve"> </w:t>
      </w:r>
      <w:r w:rsidRPr="00061975">
        <w:rPr>
          <w:b/>
          <w:bCs/>
          <w:color w:val="000000"/>
        </w:rPr>
        <w:t>target local contribution</w:t>
      </w:r>
      <w:r w:rsidR="00D063FC">
        <w:rPr>
          <w:color w:val="000000"/>
        </w:rPr>
        <w:t xml:space="preserve"> </w:t>
      </w:r>
      <w:r w:rsidRPr="00061975">
        <w:rPr>
          <w:color w:val="000000"/>
        </w:rPr>
        <w:t>is the lesser of the combined effort yield and the maximum local contribution.</w:t>
      </w:r>
    </w:p>
    <w:p w14:paraId="7B1F7ED2" w14:textId="2CE6DEBA" w:rsidR="005C4255" w:rsidRPr="00061975" w:rsidRDefault="005C4255" w:rsidP="005C4255">
      <w:pPr>
        <w:numPr>
          <w:ilvl w:val="0"/>
          <w:numId w:val="8"/>
        </w:numPr>
        <w:shd w:val="clear" w:color="auto" w:fill="FFFFFF"/>
        <w:spacing w:before="100" w:beforeAutospacing="1" w:after="100" w:afterAutospacing="1"/>
        <w:rPr>
          <w:color w:val="000000"/>
        </w:rPr>
      </w:pPr>
      <w:r w:rsidRPr="00061975">
        <w:rPr>
          <w:color w:val="000000"/>
        </w:rPr>
        <w:t>The total target local contribution for all municipalities, after taking into account the 82.5 percent cap, equals 59 percent of statewide foundation budgets, or $6.359 billion.</w:t>
      </w:r>
    </w:p>
    <w:p w14:paraId="02513B93" w14:textId="77777777" w:rsidR="005C4255" w:rsidRPr="00061975" w:rsidRDefault="005C4255" w:rsidP="005C4255">
      <w:pPr>
        <w:numPr>
          <w:ilvl w:val="0"/>
          <w:numId w:val="8"/>
        </w:numPr>
        <w:shd w:val="clear" w:color="auto" w:fill="FFFFFF"/>
        <w:spacing w:before="100" w:beforeAutospacing="1" w:after="100" w:afterAutospacing="1"/>
        <w:rPr>
          <w:color w:val="000000"/>
        </w:rPr>
      </w:pPr>
      <w:r w:rsidRPr="00061975">
        <w:rPr>
          <w:color w:val="000000"/>
        </w:rPr>
        <w:t xml:space="preserve">A city or town's </w:t>
      </w:r>
      <w:r w:rsidRPr="000F7A4C">
        <w:rPr>
          <w:b/>
          <w:color w:val="000000"/>
        </w:rPr>
        <w:t>target local share</w:t>
      </w:r>
      <w:r w:rsidRPr="00061975">
        <w:rPr>
          <w:color w:val="000000"/>
        </w:rPr>
        <w:t xml:space="preserve"> presents the target local contribution as a percentage of its municipal foundation budget.</w:t>
      </w:r>
    </w:p>
    <w:p w14:paraId="01671E7E" w14:textId="77777777" w:rsidR="005C4255" w:rsidRPr="00E64326" w:rsidRDefault="005C4255" w:rsidP="00061975">
      <w:pPr>
        <w:pStyle w:val="Heading2"/>
      </w:pPr>
      <w:bookmarkStart w:id="5" w:name="_Toc524548283"/>
      <w:r w:rsidRPr="00E64326">
        <w:t>Calculation of the FY19 increments toward the targets</w:t>
      </w:r>
      <w:bookmarkEnd w:id="5"/>
    </w:p>
    <w:p w14:paraId="26A74628" w14:textId="14F84F1D" w:rsidR="00A05B06" w:rsidRDefault="00A05B06" w:rsidP="005C4255">
      <w:pPr>
        <w:numPr>
          <w:ilvl w:val="0"/>
          <w:numId w:val="9"/>
        </w:numPr>
        <w:shd w:val="clear" w:color="auto" w:fill="FFFFFF"/>
        <w:spacing w:before="100" w:beforeAutospacing="1" w:after="100" w:afterAutospacing="1"/>
        <w:rPr>
          <w:color w:val="000000"/>
        </w:rPr>
      </w:pPr>
      <w:r>
        <w:rPr>
          <w:color w:val="000000"/>
        </w:rPr>
        <w:t>First, i</w:t>
      </w:r>
      <w:r w:rsidR="005C4255" w:rsidRPr="00061975">
        <w:rPr>
          <w:color w:val="000000"/>
        </w:rPr>
        <w:t>ncrease (or decrease) the city or town's FY18 required local contribution by the</w:t>
      </w:r>
      <w:r w:rsidR="00A321B4">
        <w:rPr>
          <w:color w:val="000000"/>
        </w:rPr>
        <w:t xml:space="preserve"> </w:t>
      </w:r>
      <w:r w:rsidR="005C4255" w:rsidRPr="00061975">
        <w:rPr>
          <w:b/>
          <w:bCs/>
          <w:color w:val="000000"/>
        </w:rPr>
        <w:t>municipal revenue growth factor</w:t>
      </w:r>
      <w:r w:rsidR="00A321B4">
        <w:rPr>
          <w:color w:val="000000"/>
        </w:rPr>
        <w:t xml:space="preserve"> </w:t>
      </w:r>
      <w:r w:rsidR="005C4255" w:rsidRPr="00061975">
        <w:rPr>
          <w:color w:val="000000"/>
        </w:rPr>
        <w:t>(MRGF).</w:t>
      </w:r>
      <w:bookmarkStart w:id="6" w:name="_GoBack"/>
      <w:bookmarkEnd w:id="6"/>
    </w:p>
    <w:p w14:paraId="6C098211" w14:textId="14FFB9FE" w:rsidR="005C4255" w:rsidRPr="00061975" w:rsidRDefault="005C4255" w:rsidP="000D7476">
      <w:pPr>
        <w:numPr>
          <w:ilvl w:val="0"/>
          <w:numId w:val="9"/>
        </w:numPr>
        <w:shd w:val="clear" w:color="auto" w:fill="FFFFFF"/>
        <w:spacing w:before="100" w:beforeAutospacing="1" w:after="100" w:afterAutospacing="1"/>
        <w:rPr>
          <w:color w:val="000000"/>
        </w:rPr>
      </w:pPr>
      <w:r w:rsidRPr="00061975">
        <w:rPr>
          <w:color w:val="000000"/>
        </w:rPr>
        <w:t xml:space="preserve">The MRGF has been calculated each year since FY94 by </w:t>
      </w:r>
      <w:r w:rsidR="00A321B4">
        <w:rPr>
          <w:color w:val="000000"/>
        </w:rPr>
        <w:t>DOR</w:t>
      </w:r>
      <w:r w:rsidRPr="00061975">
        <w:rPr>
          <w:color w:val="000000"/>
        </w:rPr>
        <w:t xml:space="preserve"> and quantifies the most recent annual percentage change in each community's local revenues (such as the annual increase in the Proposition 2½ levy limit) that should be available for schools. The state average MRGF is 4.41 percent. The result of applying the MRGF to the FY18 required contribution is the FY19</w:t>
      </w:r>
      <w:r w:rsidR="00A321B4">
        <w:rPr>
          <w:color w:val="000000"/>
        </w:rPr>
        <w:t xml:space="preserve"> </w:t>
      </w:r>
      <w:r w:rsidRPr="00061975">
        <w:rPr>
          <w:b/>
          <w:bCs/>
          <w:color w:val="000000"/>
        </w:rPr>
        <w:t>preliminary local contribution</w:t>
      </w:r>
      <w:r w:rsidRPr="00061975">
        <w:rPr>
          <w:color w:val="000000"/>
        </w:rPr>
        <w:t>.</w:t>
      </w:r>
    </w:p>
    <w:p w14:paraId="43CFC327" w14:textId="34AFC645" w:rsidR="005C4255" w:rsidRPr="00061975" w:rsidRDefault="005C4255" w:rsidP="005C4255">
      <w:pPr>
        <w:numPr>
          <w:ilvl w:val="0"/>
          <w:numId w:val="9"/>
        </w:numPr>
        <w:shd w:val="clear" w:color="auto" w:fill="FFFFFF"/>
        <w:spacing w:before="100" w:beforeAutospacing="1" w:after="100" w:afterAutospacing="1"/>
        <w:rPr>
          <w:color w:val="000000"/>
        </w:rPr>
      </w:pPr>
      <w:r w:rsidRPr="00061975">
        <w:rPr>
          <w:color w:val="000000"/>
        </w:rPr>
        <w:t>If the preliminary local contribution is</w:t>
      </w:r>
      <w:r w:rsidR="00A321B4">
        <w:rPr>
          <w:color w:val="000000"/>
        </w:rPr>
        <w:t xml:space="preserve"> </w:t>
      </w:r>
      <w:r w:rsidRPr="00061975">
        <w:rPr>
          <w:b/>
          <w:bCs/>
          <w:color w:val="000000"/>
        </w:rPr>
        <w:t>greater than</w:t>
      </w:r>
      <w:r w:rsidR="00A321B4">
        <w:rPr>
          <w:color w:val="000000"/>
        </w:rPr>
        <w:t xml:space="preserve"> </w:t>
      </w:r>
      <w:r w:rsidRPr="00061975">
        <w:rPr>
          <w:color w:val="000000"/>
        </w:rPr>
        <w:t>the target local contribution, then the difference is called</w:t>
      </w:r>
      <w:r w:rsidR="00A321B4">
        <w:rPr>
          <w:color w:val="000000"/>
        </w:rPr>
        <w:t xml:space="preserve"> </w:t>
      </w:r>
      <w:r w:rsidRPr="00061975">
        <w:rPr>
          <w:b/>
          <w:bCs/>
          <w:color w:val="000000"/>
        </w:rPr>
        <w:t>excess local effort</w:t>
      </w:r>
      <w:r w:rsidRPr="00061975">
        <w:rPr>
          <w:color w:val="000000"/>
        </w:rPr>
        <w:t>. In FY19, 227 or 65 percent of the 351 cities and towns have a total of $68.7 million in excess local effort. For each of these communities the preliminary local contribution is reduced by 100 percent of their excess effort to arrive at the FY19</w:t>
      </w:r>
      <w:r w:rsidR="00A321B4">
        <w:rPr>
          <w:color w:val="000000"/>
        </w:rPr>
        <w:t xml:space="preserve"> </w:t>
      </w:r>
      <w:r w:rsidRPr="00061975">
        <w:rPr>
          <w:b/>
          <w:bCs/>
          <w:color w:val="000000"/>
        </w:rPr>
        <w:t>required local contribution</w:t>
      </w:r>
      <w:r w:rsidRPr="00061975">
        <w:rPr>
          <w:color w:val="000000"/>
        </w:rPr>
        <w:t>.</w:t>
      </w:r>
    </w:p>
    <w:p w14:paraId="4FA3D4B1" w14:textId="77777777" w:rsidR="00A05B06" w:rsidRDefault="005C4255" w:rsidP="005C4255">
      <w:pPr>
        <w:numPr>
          <w:ilvl w:val="0"/>
          <w:numId w:val="9"/>
        </w:numPr>
        <w:shd w:val="clear" w:color="auto" w:fill="FFFFFF"/>
        <w:spacing w:before="100" w:beforeAutospacing="1" w:after="100" w:afterAutospacing="1"/>
        <w:rPr>
          <w:color w:val="000000"/>
        </w:rPr>
      </w:pPr>
      <w:r w:rsidRPr="00061975">
        <w:lastRenderedPageBreak/>
        <w:t>If the preliminary local contribution i</w:t>
      </w:r>
      <w:r w:rsidRPr="00061975">
        <w:rPr>
          <w:color w:val="000000"/>
        </w:rPr>
        <w:t>s</w:t>
      </w:r>
      <w:r w:rsidR="00A321B4">
        <w:rPr>
          <w:color w:val="000000"/>
        </w:rPr>
        <w:t xml:space="preserve"> </w:t>
      </w:r>
      <w:r w:rsidRPr="00061975">
        <w:rPr>
          <w:b/>
          <w:bCs/>
          <w:color w:val="000000"/>
        </w:rPr>
        <w:t>less than</w:t>
      </w:r>
      <w:r w:rsidR="00A321B4">
        <w:rPr>
          <w:color w:val="000000"/>
        </w:rPr>
        <w:t xml:space="preserve"> </w:t>
      </w:r>
      <w:r w:rsidRPr="00061975">
        <w:rPr>
          <w:color w:val="000000"/>
        </w:rPr>
        <w:t>the city or town's target local contribution, an additional increment may augment the preliminary contribution. If the community is more than 7.5 percent below its target, the increment is 2 percent of the FY19 local contribution. If it is between 2.5 and 7.5 percent, the increment is 1 percent. If it is less than 2.5 percent, there is no additional increment.</w:t>
      </w:r>
    </w:p>
    <w:p w14:paraId="147E7514" w14:textId="318F106D" w:rsidR="005C4255" w:rsidRPr="00061975" w:rsidRDefault="005C4255" w:rsidP="005C4255">
      <w:pPr>
        <w:numPr>
          <w:ilvl w:val="0"/>
          <w:numId w:val="9"/>
        </w:numPr>
        <w:shd w:val="clear" w:color="auto" w:fill="FFFFFF"/>
        <w:spacing w:before="100" w:beforeAutospacing="1" w:after="100" w:afterAutospacing="1"/>
        <w:rPr>
          <w:color w:val="000000"/>
        </w:rPr>
      </w:pPr>
      <w:r w:rsidRPr="00061975">
        <w:rPr>
          <w:color w:val="000000"/>
        </w:rPr>
        <w:t>In FY19, 124 cities and towns have preliminary contributions that are below target, by $117 million. Those who fall below by more than 2.5 percent are required to make additional increments totaling $5.3 million to get closer to their effort goals.</w:t>
      </w:r>
    </w:p>
    <w:p w14:paraId="525E45CC" w14:textId="77777777" w:rsidR="005C4255" w:rsidRPr="00061975" w:rsidRDefault="005C4255" w:rsidP="005C4255">
      <w:pPr>
        <w:numPr>
          <w:ilvl w:val="0"/>
          <w:numId w:val="9"/>
        </w:numPr>
        <w:shd w:val="clear" w:color="auto" w:fill="FFFFFF"/>
        <w:spacing w:before="100" w:beforeAutospacing="1" w:after="100" w:afterAutospacing="1"/>
        <w:rPr>
          <w:color w:val="000000"/>
        </w:rPr>
      </w:pPr>
      <w:r w:rsidRPr="00061975">
        <w:rPr>
          <w:color w:val="000000"/>
        </w:rPr>
        <w:t>Most cities and towns belong to at least one regional school district. Some operate a local district and are members of as many as three regionals. A municipality's total contribution is apportioned among the various districts to which it belongs, based on each district's share of the total foundation budget for all of the municipality's students.</w:t>
      </w:r>
    </w:p>
    <w:p w14:paraId="0C842E77" w14:textId="77777777" w:rsidR="00394F07" w:rsidRDefault="00394F07" w:rsidP="008A4024"/>
    <w:p w14:paraId="45F742E7" w14:textId="77777777" w:rsidR="00F22ADF" w:rsidRDefault="00F22ADF" w:rsidP="00394F07">
      <w:pPr>
        <w:shd w:val="clear" w:color="auto" w:fill="FFFFFF"/>
        <w:spacing w:before="100" w:beforeAutospacing="1" w:after="100" w:afterAutospacing="1"/>
        <w:outlineLvl w:val="1"/>
        <w:rPr>
          <w:rFonts w:ascii="Verdana" w:hAnsi="Verdana"/>
          <w:b/>
          <w:bCs/>
          <w:color w:val="000000"/>
        </w:rPr>
        <w:sectPr w:rsidR="00F22ADF" w:rsidSect="00C52463">
          <w:pgSz w:w="12240" w:h="15840"/>
          <w:pgMar w:top="1440" w:right="1440" w:bottom="1440" w:left="1440" w:header="720" w:footer="720" w:gutter="0"/>
          <w:cols w:space="720"/>
        </w:sectPr>
      </w:pPr>
    </w:p>
    <w:p w14:paraId="39CE702F" w14:textId="6E8FB908" w:rsidR="00394F07" w:rsidRPr="00E64326" w:rsidRDefault="00394F07" w:rsidP="00061975">
      <w:pPr>
        <w:pStyle w:val="Heading1"/>
      </w:pPr>
      <w:bookmarkStart w:id="7" w:name="_Toc524548284"/>
      <w:r>
        <w:lastRenderedPageBreak/>
        <w:t xml:space="preserve">Appendix </w:t>
      </w:r>
      <w:r w:rsidR="00CF445E">
        <w:t>B</w:t>
      </w:r>
      <w:r>
        <w:t xml:space="preserve">: </w:t>
      </w:r>
      <w:r w:rsidR="008439C1">
        <w:t xml:space="preserve">Assumptions underlying foundation </w:t>
      </w:r>
      <w:r w:rsidR="00356A8C">
        <w:t xml:space="preserve">budget </w:t>
      </w:r>
      <w:r w:rsidR="008439C1">
        <w:t>rates</w:t>
      </w:r>
      <w:bookmarkEnd w:id="7"/>
    </w:p>
    <w:tbl>
      <w:tblPr>
        <w:tblStyle w:val="ESETablesGridStyle"/>
        <w:tblW w:w="0" w:type="auto"/>
        <w:tblLook w:val="04A0" w:firstRow="1" w:lastRow="0" w:firstColumn="1" w:lastColumn="0" w:noHBand="0" w:noVBand="1"/>
        <w:tblDescription w:val="Appendix B: Description of assumptions undelrying the foundation budget rates"/>
      </w:tblPr>
      <w:tblGrid>
        <w:gridCol w:w="2142"/>
        <w:gridCol w:w="11802"/>
      </w:tblGrid>
      <w:tr w:rsidR="004F792C" w14:paraId="792145B5"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A47704F"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Administration</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C8A851B" w14:textId="7695EECC" w:rsidR="004F792C" w:rsidRPr="00BB4D74" w:rsidRDefault="004F792C" w:rsidP="00D5598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81.7% of FY04 state average expenditure per pupil for administration, factored up by inflation, for a FY19 average of $511 per pupil.</w:t>
            </w:r>
          </w:p>
        </w:tc>
      </w:tr>
      <w:tr w:rsidR="004F792C" w14:paraId="1E88D16C"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C7C2CFD"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Instructional Leadership</w:t>
            </w:r>
          </w:p>
        </w:tc>
        <w:tc>
          <w:tcPr>
            <w:tcW w:w="0" w:type="auto"/>
            <w:hideMark/>
          </w:tcPr>
          <w:p w14:paraId="4EB8B1C6" w14:textId="36D87011"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81.7% of FY04 state average expenditure per pupil for instructional leadership, factored up by inflation</w:t>
            </w:r>
            <w:r w:rsidR="001F7755" w:rsidRPr="00BB4D74">
              <w:rPr>
                <w:rFonts w:ascii="Calibri" w:hAnsi="Calibri" w:cs="Calibri"/>
                <w:b w:val="0"/>
                <w:sz w:val="20"/>
                <w:szCs w:val="20"/>
              </w:rPr>
              <w:t>,</w:t>
            </w:r>
            <w:r w:rsidRPr="00BB4D74">
              <w:rPr>
                <w:rFonts w:ascii="Calibri" w:hAnsi="Calibri" w:cs="Calibri"/>
                <w:b w:val="0"/>
                <w:sz w:val="20"/>
                <w:szCs w:val="20"/>
              </w:rPr>
              <w:t xml:space="preserve"> for a FY19 average of $698 per pupil.</w:t>
            </w:r>
          </w:p>
        </w:tc>
      </w:tr>
      <w:tr w:rsidR="004F792C" w14:paraId="56A696E4"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1D6E392" w14:textId="3DB1B058"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Classroom and Specialist Teachers</w:t>
            </w:r>
          </w:p>
        </w:tc>
        <w:tc>
          <w:tcPr>
            <w:tcW w:w="0" w:type="auto"/>
            <w:hideMark/>
          </w:tcPr>
          <w:p w14:paraId="0C849DCE" w14:textId="517B200B" w:rsidR="004F792C" w:rsidRPr="00BB4D74" w:rsidRDefault="004F792C" w:rsidP="001F775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Assumed class sizes of 22 for elementary, 25 for junior high/middle, and 17 for senior high</w:t>
            </w:r>
            <w:proofErr w:type="gramStart"/>
            <w:r w:rsidRPr="00BB4D74">
              <w:rPr>
                <w:rFonts w:ascii="Calibri" w:hAnsi="Calibri" w:cs="Calibri"/>
                <w:b w:val="0"/>
                <w:sz w:val="20"/>
                <w:szCs w:val="20"/>
              </w:rPr>
              <w:t>;</w:t>
            </w:r>
            <w:proofErr w:type="gramEnd"/>
            <w:r w:rsidRPr="00BB4D74">
              <w:rPr>
                <w:rFonts w:ascii="Calibri" w:hAnsi="Calibri" w:cs="Calibri"/>
                <w:b w:val="0"/>
                <w:sz w:val="20"/>
                <w:szCs w:val="20"/>
              </w:rPr>
              <w:t xml:space="preserve"> at an average salary in FY94 of $38,000. Inflation has increased this salary by 83% through FY19, to $69,677 per teacher. In per pupil terms, the rates are $3,128 for elementary, $2,753 for junior high/middle, and $4,049 for senior high. These rates include the statutory $380 per pupil for expanded programs for low-income students, adjusted by inflation.</w:t>
            </w:r>
          </w:p>
        </w:tc>
      </w:tr>
      <w:tr w:rsidR="004F792C" w14:paraId="71C4A83D"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FF7855D"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Other Teaching Services</w:t>
            </w:r>
          </w:p>
        </w:tc>
        <w:tc>
          <w:tcPr>
            <w:tcW w:w="0" w:type="auto"/>
            <w:hideMark/>
          </w:tcPr>
          <w:p w14:paraId="311E4833" w14:textId="3D0ED28A"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81.7% of the FY04 state average expenditure per pupil for other teaching services, factored up by inflation and further adjusted by the following ratios: elementary (1.25), junior high/middle (.90) and senior high (.75). FY19 per pupil rates are $802 for elementary, $578 for junior high/middle, and $481 for senior high.</w:t>
            </w:r>
          </w:p>
        </w:tc>
      </w:tr>
      <w:tr w:rsidR="004F792C" w14:paraId="7F8B658D"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0771297"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Professional Development</w:t>
            </w:r>
          </w:p>
        </w:tc>
        <w:tc>
          <w:tcPr>
            <w:tcW w:w="0" w:type="auto"/>
            <w:hideMark/>
          </w:tcPr>
          <w:p w14:paraId="0AEEA061" w14:textId="7CAFD617"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3% of the salary of teachers and support staff as described in the statutory foundation budget, factored up by inflation. FY19 per pupil rates are $124 for elementary, $134 for junior high/middle, and $130 for senior high.</w:t>
            </w:r>
          </w:p>
        </w:tc>
      </w:tr>
      <w:tr w:rsidR="004F792C" w14:paraId="7BEBE6CA"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1C3DAE5" w14:textId="00B52805"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Instructional Equipment and Technology</w:t>
            </w:r>
          </w:p>
        </w:tc>
        <w:tc>
          <w:tcPr>
            <w:tcW w:w="0" w:type="auto"/>
            <w:hideMark/>
          </w:tcPr>
          <w:p w14:paraId="3856FB1A" w14:textId="3E851E5B"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Statutory per pupil amounts factored up by inflation. FY19 per pupil rates are $453 for elementary and junior high/middle, and $724 for senior high.</w:t>
            </w:r>
          </w:p>
        </w:tc>
      </w:tr>
      <w:tr w:rsidR="004F792C" w14:paraId="4429EA54"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401C520" w14:textId="40CCFE70"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Guidance and Psychological Services</w:t>
            </w:r>
          </w:p>
        </w:tc>
        <w:tc>
          <w:tcPr>
            <w:tcW w:w="0" w:type="auto"/>
            <w:hideMark/>
          </w:tcPr>
          <w:p w14:paraId="1C53567E" w14:textId="2C320624"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81.7% of FY04 state average expenditure per pupil for guidance and psychological</w:t>
            </w:r>
            <w:r w:rsidR="007A3269" w:rsidRPr="00BB4D74">
              <w:rPr>
                <w:rFonts w:ascii="Calibri" w:hAnsi="Calibri" w:cs="Calibri"/>
                <w:b w:val="0"/>
                <w:sz w:val="20"/>
                <w:szCs w:val="20"/>
              </w:rPr>
              <w:t xml:space="preserve"> </w:t>
            </w:r>
            <w:proofErr w:type="gramStart"/>
            <w:r w:rsidR="007A3269" w:rsidRPr="00BB4D74">
              <w:rPr>
                <w:rFonts w:ascii="Calibri" w:hAnsi="Calibri" w:cs="Calibri"/>
                <w:b w:val="0"/>
                <w:sz w:val="20"/>
                <w:szCs w:val="20"/>
              </w:rPr>
              <w:t>services</w:t>
            </w:r>
            <w:r w:rsidRPr="00BB4D74">
              <w:rPr>
                <w:rFonts w:ascii="Calibri" w:hAnsi="Calibri" w:cs="Calibri"/>
                <w:b w:val="0"/>
                <w:sz w:val="20"/>
                <w:szCs w:val="20"/>
              </w:rPr>
              <w:t>,</w:t>
            </w:r>
            <w:proofErr w:type="gramEnd"/>
            <w:r w:rsidRPr="00BB4D74">
              <w:rPr>
                <w:rFonts w:ascii="Calibri" w:hAnsi="Calibri" w:cs="Calibri"/>
                <w:b w:val="0"/>
                <w:sz w:val="20"/>
                <w:szCs w:val="20"/>
              </w:rPr>
              <w:t xml:space="preserve"> factored up by inflation and further adjusted by the following ratios: elementary (.75), senior high (1.25). In FY19, </w:t>
            </w:r>
            <w:proofErr w:type="gramStart"/>
            <w:r w:rsidRPr="00BB4D74">
              <w:rPr>
                <w:rFonts w:ascii="Calibri" w:hAnsi="Calibri" w:cs="Calibri"/>
                <w:b w:val="0"/>
                <w:sz w:val="20"/>
                <w:szCs w:val="20"/>
              </w:rPr>
              <w:t>the per</w:t>
            </w:r>
            <w:proofErr w:type="gramEnd"/>
            <w:r w:rsidRPr="00BB4D74">
              <w:rPr>
                <w:rFonts w:ascii="Calibri" w:hAnsi="Calibri" w:cs="Calibri"/>
                <w:b w:val="0"/>
                <w:sz w:val="20"/>
                <w:szCs w:val="20"/>
              </w:rPr>
              <w:t xml:space="preserve"> pupil rates are $228 for elementary, $303 for junior high/middle, and $379 for senior high.</w:t>
            </w:r>
          </w:p>
        </w:tc>
      </w:tr>
      <w:tr w:rsidR="004F792C" w14:paraId="1BFBA39A"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70F6818"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Pupil Services</w:t>
            </w:r>
          </w:p>
        </w:tc>
        <w:tc>
          <w:tcPr>
            <w:tcW w:w="0" w:type="auto"/>
            <w:hideMark/>
          </w:tcPr>
          <w:p w14:paraId="6D98DA4D" w14:textId="0E649672"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Combined statutory per pupil rates for health staff ($50 elementary/junior high/middle, $38 at senior high); athletics ($50 junior high/middle, $200 senior high); and activities ($25 elementary, $35 junior high/middle, and $45 senior high). After inflation</w:t>
            </w:r>
            <w:r w:rsidR="001F7755" w:rsidRPr="00BB4D74">
              <w:rPr>
                <w:rFonts w:ascii="Calibri" w:hAnsi="Calibri" w:cs="Calibri"/>
                <w:b w:val="0"/>
                <w:sz w:val="20"/>
                <w:szCs w:val="20"/>
              </w:rPr>
              <w:t>,</w:t>
            </w:r>
            <w:r w:rsidRPr="00BB4D74">
              <w:rPr>
                <w:rFonts w:ascii="Calibri" w:hAnsi="Calibri" w:cs="Calibri"/>
                <w:b w:val="0"/>
                <w:sz w:val="20"/>
                <w:szCs w:val="20"/>
              </w:rPr>
              <w:t xml:space="preserve"> the FY19 rates are $136 for elementary, $222 for junior high/middle, and $512 for senior high.</w:t>
            </w:r>
          </w:p>
        </w:tc>
      </w:tr>
    </w:tbl>
    <w:p w14:paraId="548186A1" w14:textId="77777777" w:rsidR="00BB4D74" w:rsidRPr="00BB4D74" w:rsidRDefault="00BB4D74">
      <w:pPr>
        <w:rPr>
          <w:sz w:val="2"/>
          <w:szCs w:val="2"/>
        </w:rPr>
      </w:pPr>
      <w:r w:rsidRPr="00BB4D74">
        <w:rPr>
          <w:sz w:val="2"/>
          <w:szCs w:val="2"/>
        </w:rPr>
        <w:br w:type="page"/>
      </w:r>
    </w:p>
    <w:tbl>
      <w:tblPr>
        <w:tblStyle w:val="ESETablesGridStyle"/>
        <w:tblW w:w="0" w:type="auto"/>
        <w:tblLook w:val="04A0" w:firstRow="1" w:lastRow="0" w:firstColumn="1" w:lastColumn="0" w:noHBand="0" w:noVBand="1"/>
        <w:tblDescription w:val="Appendix B: Description of assumptions undelrying the foundation budget rates"/>
      </w:tblPr>
      <w:tblGrid>
        <w:gridCol w:w="1975"/>
        <w:gridCol w:w="11969"/>
      </w:tblGrid>
      <w:tr w:rsidR="004F792C" w:rsidRPr="00BB4D74" w14:paraId="1AE7699C"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1FC00684" w14:textId="0E1B9DCD"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lastRenderedPageBreak/>
              <w:t>Operations and Maintenance</w:t>
            </w:r>
          </w:p>
        </w:tc>
        <w:tc>
          <w:tcPr>
            <w:tcW w:w="0" w:type="auto"/>
            <w:hideMark/>
          </w:tcPr>
          <w:p w14:paraId="76B1B7DC" w14:textId="638504BC"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Combined statutory assumptions for custodial salaries (10% of the number of foundation teaching and support staff, at a custodial salary of $25,000); maintenance ($3,300 times the number of foundation teaching and support staff); and extraordinary maintenance ($2,200 times the number of foundation teaching and support staff). The combined FY19 per pupil amount after inflation equals $869 for elementary, $942 for junior high/middle, and $913 for senior high.</w:t>
            </w:r>
          </w:p>
        </w:tc>
      </w:tr>
      <w:tr w:rsidR="004F792C" w:rsidRPr="00BB4D74" w14:paraId="60D053F5"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ACB54B9" w14:textId="01139291"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Employee Benefits and Fixed Charges</w:t>
            </w:r>
          </w:p>
        </w:tc>
        <w:tc>
          <w:tcPr>
            <w:tcW w:w="0" w:type="auto"/>
            <w:hideMark/>
          </w:tcPr>
          <w:p w14:paraId="6F27B179" w14:textId="69ED8E56" w:rsidR="004F792C" w:rsidRPr="00BB4D74" w:rsidRDefault="004F792C">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proofErr w:type="gramStart"/>
            <w:r w:rsidRPr="00BB4D74">
              <w:rPr>
                <w:rFonts w:ascii="Calibri" w:hAnsi="Calibri" w:cs="Calibri"/>
                <w:b w:val="0"/>
                <w:sz w:val="20"/>
                <w:szCs w:val="20"/>
              </w:rPr>
              <w:t>Statutory assumption for salary benefits ($4,320 times the number of foundation staff in all categories, adjusted by the WAF, plus $468 times the same number of staff</w:t>
            </w:r>
            <w:r w:rsidR="00197B91" w:rsidRPr="00BB4D74">
              <w:rPr>
                <w:rFonts w:ascii="Calibri" w:hAnsi="Calibri" w:cs="Calibri"/>
                <w:b w:val="0"/>
                <w:sz w:val="20"/>
                <w:szCs w:val="20"/>
              </w:rPr>
              <w:t xml:space="preserve"> and $230 times the number of foundation vocational staff</w:t>
            </w:r>
            <w:r w:rsidRPr="00BB4D74">
              <w:rPr>
                <w:rFonts w:ascii="Calibri" w:hAnsi="Calibri" w:cs="Calibri"/>
                <w:b w:val="0"/>
                <w:sz w:val="20"/>
                <w:szCs w:val="20"/>
              </w:rPr>
              <w:t xml:space="preserve">, </w:t>
            </w:r>
            <w:r w:rsidR="00197B91" w:rsidRPr="00BB4D74">
              <w:rPr>
                <w:rFonts w:ascii="Calibri" w:hAnsi="Calibri" w:cs="Calibri"/>
                <w:b w:val="0"/>
                <w:sz w:val="20"/>
                <w:szCs w:val="20"/>
              </w:rPr>
              <w:t xml:space="preserve">both </w:t>
            </w:r>
            <w:r w:rsidRPr="00BB4D74">
              <w:rPr>
                <w:rFonts w:ascii="Calibri" w:hAnsi="Calibri" w:cs="Calibri"/>
                <w:b w:val="0"/>
                <w:sz w:val="20"/>
                <w:szCs w:val="20"/>
              </w:rPr>
              <w:t>not adjusted by the WAF), increased by inflation, plus additional amounts in FY18 and FY19 to continue implementing the 2015 recommendations of the Foundation Budget Review Commission (FBRC).</w:t>
            </w:r>
            <w:proofErr w:type="gramEnd"/>
            <w:r w:rsidRPr="00BB4D74">
              <w:rPr>
                <w:rFonts w:ascii="Calibri" w:hAnsi="Calibri" w:cs="Calibri"/>
                <w:b w:val="0"/>
                <w:sz w:val="20"/>
                <w:szCs w:val="20"/>
              </w:rPr>
              <w:t xml:space="preserve"> In FY19, </w:t>
            </w:r>
            <w:proofErr w:type="gramStart"/>
            <w:r w:rsidRPr="00BB4D74">
              <w:rPr>
                <w:rFonts w:ascii="Calibri" w:hAnsi="Calibri" w:cs="Calibri"/>
                <w:b w:val="0"/>
                <w:sz w:val="20"/>
                <w:szCs w:val="20"/>
              </w:rPr>
              <w:t>the per</w:t>
            </w:r>
            <w:proofErr w:type="gramEnd"/>
            <w:r w:rsidRPr="00BB4D74">
              <w:rPr>
                <w:rFonts w:ascii="Calibri" w:hAnsi="Calibri" w:cs="Calibri"/>
                <w:b w:val="0"/>
                <w:sz w:val="20"/>
                <w:szCs w:val="20"/>
              </w:rPr>
              <w:t xml:space="preserve"> pupil rate equals $963 for elementary, $980 for junior high/middle, and $892 for high school.</w:t>
            </w:r>
          </w:p>
        </w:tc>
      </w:tr>
      <w:tr w:rsidR="004F792C" w:rsidRPr="00BB4D74" w14:paraId="72C72B39"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331D883" w14:textId="77777777" w:rsidR="004F792C" w:rsidRPr="00BB4D74" w:rsidRDefault="004F792C" w:rsidP="00061975">
            <w:pPr>
              <w:rPr>
                <w:rFonts w:ascii="Calibri" w:hAnsi="Calibri" w:cs="Calibri"/>
                <w:b w:val="0"/>
                <w:sz w:val="20"/>
                <w:szCs w:val="20"/>
              </w:rPr>
            </w:pPr>
            <w:r w:rsidRPr="00BB4D74">
              <w:rPr>
                <w:rFonts w:ascii="Calibri" w:hAnsi="Calibri" w:cs="Calibri"/>
                <w:b w:val="0"/>
                <w:sz w:val="20"/>
                <w:szCs w:val="20"/>
              </w:rPr>
              <w:t>Special Education Tuition</w:t>
            </w:r>
          </w:p>
        </w:tc>
        <w:tc>
          <w:tcPr>
            <w:tcW w:w="0" w:type="auto"/>
            <w:tcBorders>
              <w:bottom w:val="single" w:sz="4" w:space="0" w:color="auto"/>
            </w:tcBorders>
            <w:hideMark/>
          </w:tcPr>
          <w:p w14:paraId="6EACB5CB" w14:textId="23C70D4F" w:rsidR="004F792C" w:rsidRPr="00BB4D74" w:rsidRDefault="004F792C" w:rsidP="00061975">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BB4D74">
              <w:rPr>
                <w:rFonts w:ascii="Calibri" w:hAnsi="Calibri" w:cs="Calibri"/>
                <w:b w:val="0"/>
                <w:sz w:val="20"/>
                <w:szCs w:val="20"/>
              </w:rPr>
              <w:t xml:space="preserve">Statutory assumption for special education tuition rate of $13,500 per pupil, factored up by inflation. In FY19 </w:t>
            </w:r>
            <w:proofErr w:type="gramStart"/>
            <w:r w:rsidRPr="00BB4D74">
              <w:rPr>
                <w:rFonts w:ascii="Calibri" w:hAnsi="Calibri" w:cs="Calibri"/>
                <w:b w:val="0"/>
                <w:sz w:val="20"/>
                <w:szCs w:val="20"/>
              </w:rPr>
              <w:t>the per</w:t>
            </w:r>
            <w:proofErr w:type="gramEnd"/>
            <w:r w:rsidRPr="00BB4D74">
              <w:rPr>
                <w:rFonts w:ascii="Calibri" w:hAnsi="Calibri" w:cs="Calibri"/>
                <w:b w:val="0"/>
                <w:sz w:val="20"/>
                <w:szCs w:val="20"/>
              </w:rPr>
              <w:t xml:space="preserve"> pupil rate is $24,754.</w:t>
            </w:r>
          </w:p>
        </w:tc>
      </w:tr>
      <w:tr w:rsidR="008439C1" w:rsidRPr="00BB4D74" w14:paraId="605FBB41" w14:textId="77777777" w:rsidTr="00BB4D74">
        <w:trPr>
          <w:cnfStyle w:val="100000000000" w:firstRow="1" w:lastRow="0" w:firstColumn="0" w:lastColumn="0" w:oddVBand="0" w:evenVBand="0" w:oddHBand="0" w:evenHBand="0" w:firstRowFirstColumn="0" w:firstRowLastColumn="0" w:lastRowFirstColumn="0" w:lastRowLastColumn="0"/>
          <w:trHeight w:val="977"/>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left w:val="nil"/>
              <w:bottom w:val="nil"/>
              <w:right w:val="nil"/>
            </w:tcBorders>
            <w:hideMark/>
          </w:tcPr>
          <w:p w14:paraId="036AE498" w14:textId="77777777" w:rsidR="00D55981" w:rsidRPr="00BB4D74" w:rsidRDefault="008439C1" w:rsidP="001F7755">
            <w:pPr>
              <w:rPr>
                <w:rFonts w:ascii="Calibri" w:hAnsi="Calibri" w:cs="Calibri"/>
                <w:b w:val="0"/>
                <w:sz w:val="20"/>
                <w:szCs w:val="20"/>
              </w:rPr>
            </w:pPr>
            <w:r w:rsidRPr="00BB4D74">
              <w:rPr>
                <w:rFonts w:ascii="Calibri" w:hAnsi="Calibri" w:cs="Calibri"/>
                <w:b w:val="0"/>
                <w:sz w:val="20"/>
                <w:szCs w:val="20"/>
              </w:rPr>
              <w:t>Note</w:t>
            </w:r>
            <w:r w:rsidR="00D55981" w:rsidRPr="00BB4D74">
              <w:rPr>
                <w:rFonts w:ascii="Calibri" w:hAnsi="Calibri" w:cs="Calibri"/>
                <w:b w:val="0"/>
                <w:sz w:val="20"/>
                <w:szCs w:val="20"/>
              </w:rPr>
              <w:t>s:</w:t>
            </w:r>
          </w:p>
          <w:p w14:paraId="3EAB320F" w14:textId="77777777" w:rsidR="00D55981" w:rsidRPr="00BB4D74" w:rsidRDefault="00D55981" w:rsidP="001F7755">
            <w:pPr>
              <w:rPr>
                <w:rFonts w:ascii="Calibri" w:hAnsi="Calibri" w:cs="Calibri"/>
                <w:b w:val="0"/>
                <w:sz w:val="20"/>
                <w:szCs w:val="20"/>
              </w:rPr>
            </w:pPr>
          </w:p>
          <w:p w14:paraId="27054ABB" w14:textId="441D4C3F" w:rsidR="00D55981" w:rsidRPr="00BB4D74" w:rsidRDefault="00D55981" w:rsidP="00E84FC5">
            <w:pPr>
              <w:pStyle w:val="ListParagraph"/>
              <w:numPr>
                <w:ilvl w:val="0"/>
                <w:numId w:val="8"/>
              </w:numPr>
              <w:tabs>
                <w:tab w:val="clear" w:pos="720"/>
                <w:tab w:val="num" w:pos="335"/>
              </w:tabs>
              <w:ind w:left="335"/>
              <w:rPr>
                <w:rFonts w:ascii="Calibri" w:hAnsi="Calibri" w:cs="Calibri"/>
                <w:b w:val="0"/>
                <w:sz w:val="20"/>
                <w:szCs w:val="20"/>
              </w:rPr>
            </w:pPr>
            <w:r w:rsidRPr="00BB4D74">
              <w:rPr>
                <w:rFonts w:ascii="Calibri" w:hAnsi="Calibri" w:cs="Calibri"/>
                <w:b w:val="0"/>
                <w:sz w:val="20"/>
                <w:szCs w:val="20"/>
              </w:rPr>
              <w:t xml:space="preserve">81.7% of the statewide average expenditure </w:t>
            </w:r>
            <w:proofErr w:type="gramStart"/>
            <w:r w:rsidRPr="00BB4D74">
              <w:rPr>
                <w:rFonts w:ascii="Calibri" w:hAnsi="Calibri" w:cs="Calibri"/>
                <w:b w:val="0"/>
                <w:sz w:val="20"/>
                <w:szCs w:val="20"/>
              </w:rPr>
              <w:t>was chosen</w:t>
            </w:r>
            <w:proofErr w:type="gramEnd"/>
            <w:r w:rsidRPr="00BB4D74">
              <w:rPr>
                <w:rFonts w:ascii="Calibri" w:hAnsi="Calibri" w:cs="Calibri"/>
                <w:b w:val="0"/>
                <w:sz w:val="20"/>
                <w:szCs w:val="20"/>
              </w:rPr>
              <w:t xml:space="preserve"> for all four of the newly created categories in FY07 because that is the factor which in combination with the other rates, yields the same statewide total foundation as would have been generated under the statutory calculations. The changes were fiscally neutral </w:t>
            </w:r>
            <w:proofErr w:type="gramStart"/>
            <w:r w:rsidRPr="00BB4D74">
              <w:rPr>
                <w:rFonts w:ascii="Calibri" w:hAnsi="Calibri" w:cs="Calibri"/>
                <w:b w:val="0"/>
                <w:sz w:val="20"/>
                <w:szCs w:val="20"/>
              </w:rPr>
              <w:t>in the</w:t>
            </w:r>
            <w:r w:rsidR="000F7A4C" w:rsidRPr="00BB4D74">
              <w:rPr>
                <w:rFonts w:ascii="Calibri" w:hAnsi="Calibri" w:cs="Calibri"/>
                <w:b w:val="0"/>
                <w:sz w:val="20"/>
                <w:szCs w:val="20"/>
              </w:rPr>
              <w:t xml:space="preserve"> </w:t>
            </w:r>
            <w:r w:rsidRPr="00BB4D74">
              <w:rPr>
                <w:rFonts w:ascii="Calibri" w:hAnsi="Calibri" w:cs="Calibri"/>
                <w:b w:val="0"/>
                <w:sz w:val="20"/>
                <w:szCs w:val="20"/>
              </w:rPr>
              <w:t>aggregate</w:t>
            </w:r>
            <w:proofErr w:type="gramEnd"/>
            <w:r w:rsidRPr="00BB4D74">
              <w:rPr>
                <w:rFonts w:ascii="Calibri" w:hAnsi="Calibri" w:cs="Calibri"/>
                <w:b w:val="0"/>
                <w:sz w:val="20"/>
                <w:szCs w:val="20"/>
              </w:rPr>
              <w:t>.</w:t>
            </w:r>
          </w:p>
          <w:p w14:paraId="31F5699C" w14:textId="6B1BDD4A" w:rsidR="008439C1" w:rsidRPr="00BB4D74" w:rsidRDefault="001F7755" w:rsidP="00E84FC5">
            <w:pPr>
              <w:pStyle w:val="ListParagraph"/>
              <w:numPr>
                <w:ilvl w:val="0"/>
                <w:numId w:val="8"/>
              </w:numPr>
              <w:tabs>
                <w:tab w:val="clear" w:pos="720"/>
                <w:tab w:val="num" w:pos="335"/>
              </w:tabs>
              <w:ind w:left="335"/>
              <w:rPr>
                <w:rFonts w:ascii="Calibri" w:hAnsi="Calibri" w:cs="Calibri"/>
                <w:b w:val="0"/>
                <w:sz w:val="20"/>
                <w:szCs w:val="20"/>
              </w:rPr>
            </w:pPr>
            <w:r w:rsidRPr="00BB4D74">
              <w:rPr>
                <w:rFonts w:ascii="Calibri" w:hAnsi="Calibri" w:cs="Calibri"/>
                <w:b w:val="0"/>
                <w:sz w:val="20"/>
                <w:szCs w:val="20"/>
              </w:rPr>
              <w:t>I</w:t>
            </w:r>
            <w:r w:rsidR="008439C1" w:rsidRPr="00BB4D74">
              <w:rPr>
                <w:rFonts w:ascii="Calibri" w:hAnsi="Calibri" w:cs="Calibri"/>
                <w:b w:val="0"/>
                <w:sz w:val="20"/>
                <w:szCs w:val="20"/>
              </w:rPr>
              <w:t>n many of the categories, there are higher rates</w:t>
            </w:r>
            <w:r w:rsidR="009D4EEC" w:rsidRPr="00BB4D74">
              <w:rPr>
                <w:rFonts w:ascii="Calibri" w:hAnsi="Calibri" w:cs="Calibri"/>
                <w:b w:val="0"/>
                <w:sz w:val="20"/>
                <w:szCs w:val="20"/>
              </w:rPr>
              <w:t xml:space="preserve"> for</w:t>
            </w:r>
            <w:r w:rsidR="008439C1" w:rsidRPr="00BB4D74">
              <w:rPr>
                <w:rFonts w:ascii="Calibri" w:hAnsi="Calibri" w:cs="Calibri"/>
                <w:b w:val="0"/>
                <w:sz w:val="20"/>
                <w:szCs w:val="20"/>
              </w:rPr>
              <w:t xml:space="preserve"> vocational pupils</w:t>
            </w:r>
            <w:r w:rsidR="0067284C" w:rsidRPr="00BB4D74">
              <w:rPr>
                <w:rFonts w:ascii="Calibri" w:hAnsi="Calibri" w:cs="Calibri"/>
                <w:b w:val="0"/>
                <w:sz w:val="20"/>
                <w:szCs w:val="20"/>
              </w:rPr>
              <w:t xml:space="preserve">. </w:t>
            </w:r>
            <w:r w:rsidR="008439C1" w:rsidRPr="00BB4D74">
              <w:rPr>
                <w:rFonts w:ascii="Calibri" w:hAnsi="Calibri" w:cs="Calibri"/>
                <w:b w:val="0"/>
                <w:sz w:val="20"/>
                <w:szCs w:val="20"/>
              </w:rPr>
              <w:t>There are also additional increments for</w:t>
            </w:r>
            <w:r w:rsidR="009D4EEC" w:rsidRPr="00BB4D74">
              <w:rPr>
                <w:rFonts w:ascii="Calibri" w:hAnsi="Calibri" w:cs="Calibri"/>
                <w:b w:val="0"/>
                <w:sz w:val="20"/>
                <w:szCs w:val="20"/>
              </w:rPr>
              <w:t xml:space="preserve"> economically disadvantaged students</w:t>
            </w:r>
            <w:r w:rsidR="0050405A" w:rsidRPr="00BB4D74">
              <w:rPr>
                <w:rFonts w:ascii="Calibri" w:hAnsi="Calibri" w:cs="Calibri"/>
                <w:b w:val="0"/>
                <w:sz w:val="20"/>
                <w:szCs w:val="20"/>
              </w:rPr>
              <w:t>, E</w:t>
            </w:r>
            <w:r w:rsidR="008E5C09" w:rsidRPr="00BB4D74">
              <w:rPr>
                <w:rFonts w:ascii="Calibri" w:hAnsi="Calibri" w:cs="Calibri"/>
                <w:b w:val="0"/>
                <w:sz w:val="20"/>
                <w:szCs w:val="20"/>
              </w:rPr>
              <w:t>LLs</w:t>
            </w:r>
            <w:r w:rsidR="0050405A" w:rsidRPr="00BB4D74">
              <w:rPr>
                <w:rFonts w:ascii="Calibri" w:hAnsi="Calibri" w:cs="Calibri"/>
                <w:b w:val="0"/>
                <w:sz w:val="20"/>
                <w:szCs w:val="20"/>
              </w:rPr>
              <w:t>,</w:t>
            </w:r>
            <w:r w:rsidR="008439C1" w:rsidRPr="00BB4D74">
              <w:rPr>
                <w:rFonts w:ascii="Calibri" w:hAnsi="Calibri" w:cs="Calibri"/>
                <w:b w:val="0"/>
                <w:sz w:val="20"/>
                <w:szCs w:val="20"/>
              </w:rPr>
              <w:t xml:space="preserve"> and assumed in-district special education pupils.</w:t>
            </w:r>
          </w:p>
          <w:p w14:paraId="5DD21AEC" w14:textId="2EEAB5A9" w:rsidR="001F7755" w:rsidRPr="00BB4D74" w:rsidRDefault="007A3269" w:rsidP="00E84FC5">
            <w:pPr>
              <w:pStyle w:val="ListParagraph"/>
              <w:numPr>
                <w:ilvl w:val="0"/>
                <w:numId w:val="8"/>
              </w:numPr>
              <w:tabs>
                <w:tab w:val="clear" w:pos="720"/>
                <w:tab w:val="num" w:pos="335"/>
              </w:tabs>
              <w:ind w:left="335"/>
              <w:rPr>
                <w:rFonts w:ascii="Calibri" w:hAnsi="Calibri" w:cs="Calibri"/>
                <w:b w:val="0"/>
                <w:sz w:val="20"/>
                <w:szCs w:val="20"/>
              </w:rPr>
            </w:pPr>
            <w:r w:rsidRPr="00BB4D74">
              <w:rPr>
                <w:rFonts w:ascii="Calibri" w:hAnsi="Calibri" w:cs="Calibri"/>
                <w:b w:val="0"/>
                <w:sz w:val="20"/>
                <w:szCs w:val="20"/>
              </w:rPr>
              <w:t>The WAF is applied to each foundation budget category with the except for: Instructional Materials, Equipment and Technology; Employee Benefits and Fixed Charges; and Special Education Tuition.</w:t>
            </w:r>
          </w:p>
        </w:tc>
      </w:tr>
    </w:tbl>
    <w:p w14:paraId="291EAB25" w14:textId="77777777" w:rsidR="00196A72" w:rsidRDefault="00196A72" w:rsidP="008A4024"/>
    <w:p w14:paraId="1FB33568" w14:textId="77777777" w:rsidR="00656EA4" w:rsidRDefault="00656EA4" w:rsidP="008A4024">
      <w:pPr>
        <w:sectPr w:rsidR="00656EA4" w:rsidSect="00FC69AA">
          <w:pgSz w:w="15840" w:h="12240" w:orient="landscape"/>
          <w:pgMar w:top="1440" w:right="1440" w:bottom="1440" w:left="446" w:header="720" w:footer="720" w:gutter="0"/>
          <w:cols w:space="720"/>
          <w:docGrid w:linePitch="326"/>
        </w:sectPr>
      </w:pPr>
    </w:p>
    <w:p w14:paraId="6F4F1B1C" w14:textId="74E3BD9C" w:rsidR="00656EA4" w:rsidRDefault="00656EA4" w:rsidP="00196A72"/>
    <w:sectPr w:rsidR="00656EA4" w:rsidSect="00656EA4">
      <w:footerReference w:type="default" r:id="rId21"/>
      <w:type w:val="continuous"/>
      <w:pgSz w:w="15840" w:h="12240" w:orient="landscape"/>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D514" w14:textId="77777777" w:rsidR="00455183" w:rsidRDefault="00455183" w:rsidP="00FD2C86">
      <w:r>
        <w:separator/>
      </w:r>
    </w:p>
  </w:endnote>
  <w:endnote w:type="continuationSeparator" w:id="0">
    <w:p w14:paraId="3B37B9C2" w14:textId="77777777" w:rsidR="00455183" w:rsidRDefault="00455183"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9565"/>
      <w:docPartObj>
        <w:docPartGallery w:val="Page Numbers (Bottom of Page)"/>
        <w:docPartUnique/>
      </w:docPartObj>
    </w:sdtPr>
    <w:sdtEndPr>
      <w:rPr>
        <w:noProof/>
      </w:rPr>
    </w:sdtEndPr>
    <w:sdtContent>
      <w:p w14:paraId="45DE36C6" w14:textId="3D9E2CCD" w:rsidR="00E84FC5" w:rsidRDefault="00E84FC5">
        <w:pPr>
          <w:pStyle w:val="Footer"/>
          <w:jc w:val="right"/>
        </w:pPr>
        <w:r>
          <w:fldChar w:fldCharType="begin"/>
        </w:r>
        <w:r>
          <w:instrText xml:space="preserve"> PAGE   \* MERGEFORMAT </w:instrText>
        </w:r>
        <w:r>
          <w:fldChar w:fldCharType="separate"/>
        </w:r>
        <w:r w:rsidR="00BB4D74">
          <w:rPr>
            <w:noProof/>
          </w:rPr>
          <w:t>14</w:t>
        </w:r>
        <w:r>
          <w:rPr>
            <w:noProof/>
          </w:rPr>
          <w:fldChar w:fldCharType="end"/>
        </w:r>
      </w:p>
    </w:sdtContent>
  </w:sdt>
  <w:p w14:paraId="17B8B1A6" w14:textId="77777777" w:rsidR="00E84FC5" w:rsidRDefault="00E8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8292" w14:textId="1F5FC5B7" w:rsidR="00E84FC5" w:rsidRDefault="00E84FC5" w:rsidP="00D674EF">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CE5F" w14:textId="77777777" w:rsidR="00455183" w:rsidRDefault="00455183" w:rsidP="00FD2C86">
      <w:r>
        <w:separator/>
      </w:r>
    </w:p>
  </w:footnote>
  <w:footnote w:type="continuationSeparator" w:id="0">
    <w:p w14:paraId="047D974E" w14:textId="77777777" w:rsidR="00455183" w:rsidRDefault="00455183" w:rsidP="00FD2C86">
      <w:r>
        <w:continuationSeparator/>
      </w:r>
    </w:p>
  </w:footnote>
  <w:footnote w:id="1">
    <w:p w14:paraId="48ED9F76" w14:textId="056D00F3" w:rsidR="00E84FC5" w:rsidRPr="00257C71" w:rsidRDefault="00E84FC5"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5F0B5DC3" w14:textId="115142EE" w:rsidR="00E84FC5" w:rsidRDefault="00E84FC5" w:rsidP="00305D19">
      <w:pPr>
        <w:pStyle w:val="FootnoteText"/>
        <w:tabs>
          <w:tab w:val="left" w:pos="180"/>
        </w:tabs>
        <w:ind w:left="180" w:hanging="180"/>
      </w:pPr>
      <w:r>
        <w:rPr>
          <w:rStyle w:val="FootnoteReference"/>
        </w:rPr>
        <w:footnoteRef/>
      </w:r>
      <w:r>
        <w:t xml:space="preserve"> </w:t>
      </w:r>
      <w:r>
        <w:tab/>
        <w:t xml:space="preserve">The State Constitutional Mandate for Education: The </w:t>
      </w:r>
      <w:proofErr w:type="spellStart"/>
      <w:r>
        <w:t>McDuffy</w:t>
      </w:r>
      <w:proofErr w:type="spellEnd"/>
      <w:r>
        <w:t xml:space="preserve"> and Hancock Decisions </w:t>
      </w:r>
      <w:hyperlink r:id="rId2" w:history="1">
        <w:r w:rsidRPr="00801B87">
          <w:rPr>
            <w:rStyle w:val="Hyperlink"/>
          </w:rPr>
          <w:t>http://www.doe.mass.edu/lawsregs/litigation/mcduffy_hancock.html</w:t>
        </w:r>
      </w:hyperlink>
      <w:r>
        <w:t xml:space="preserve"> </w:t>
      </w:r>
    </w:p>
  </w:footnote>
  <w:footnote w:id="3">
    <w:p w14:paraId="5218F142" w14:textId="19E3B259" w:rsidR="00E84FC5" w:rsidRDefault="00E84FC5"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21EC4EA4" w14:textId="7B29546D" w:rsidR="00E84FC5" w:rsidRDefault="00E84FC5" w:rsidP="00305D19">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919F02" w14:textId="264584BB" w:rsidR="00E84FC5" w:rsidRDefault="00E84FC5" w:rsidP="00305D19">
      <w:pPr>
        <w:pStyle w:val="FootnoteText"/>
        <w:tabs>
          <w:tab w:val="left" w:pos="180"/>
        </w:tabs>
        <w:ind w:left="180" w:hanging="180"/>
      </w:pPr>
      <w:r>
        <w:rPr>
          <w:rStyle w:val="FootnoteReference"/>
        </w:rPr>
        <w:footnoteRef/>
      </w:r>
      <w:r>
        <w:t xml:space="preserve"> </w:t>
      </w:r>
      <w:r>
        <w:tab/>
        <w:t xml:space="preserve">Special education pupils in life-skills and similar programs beyond the 9-12 curriculum </w:t>
      </w:r>
      <w:proofErr w:type="gramStart"/>
      <w:r>
        <w:t>are listed as being in grade 13 and counted as high school students</w:t>
      </w:r>
      <w:proofErr w:type="gramEnd"/>
      <w:r>
        <w:t>.</w:t>
      </w:r>
    </w:p>
  </w:footnote>
  <w:footnote w:id="6">
    <w:p w14:paraId="4A8DB065" w14:textId="5ACABA75" w:rsidR="00E84FC5" w:rsidRDefault="00E84FC5" w:rsidP="00305D19">
      <w:pPr>
        <w:pStyle w:val="FootnoteText"/>
        <w:tabs>
          <w:tab w:val="left" w:pos="180"/>
        </w:tabs>
        <w:ind w:left="180" w:hanging="180"/>
      </w:pPr>
      <w:r>
        <w:rPr>
          <w:rStyle w:val="FootnoteReference"/>
        </w:rPr>
        <w:footnoteRef/>
      </w:r>
      <w:r>
        <w:t xml:space="preserve"> </w:t>
      </w:r>
      <w:r>
        <w:tab/>
        <w:t xml:space="preserve">If a town is a member of a regional vocational district, its resident pupils at that district </w:t>
      </w:r>
      <w:proofErr w:type="gramStart"/>
      <w:r>
        <w:t>are not counted</w:t>
      </w:r>
      <w:proofErr w:type="gramEnd"/>
      <w:r>
        <w:t xml:space="preserve"> in local district enrollment. The vocational district reports those pupils and Chapter 70 aid goes directly to the vocational district. Post-graduate and post-secondary pupils in programs run by vocational districts </w:t>
      </w:r>
      <w:proofErr w:type="gramStart"/>
      <w:r>
        <w:t>may be counted</w:t>
      </w:r>
      <w:proofErr w:type="gramEnd"/>
      <w:r>
        <w:t xml:space="preserve"> if they pay less than the state-approved tuition rate.</w:t>
      </w:r>
    </w:p>
  </w:footnote>
  <w:footnote w:id="7">
    <w:p w14:paraId="38B4F406" w14:textId="673F70EF" w:rsidR="00E84FC5" w:rsidRPr="004E0CE9" w:rsidRDefault="00E84FC5" w:rsidP="00305D19">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proofErr w:type="spellStart"/>
      <w:r w:rsidRPr="004E0CE9">
        <w:rPr>
          <w:rFonts w:asciiTheme="minorHAnsi" w:hAnsiTheme="minorHAnsi" w:cstheme="minorHAnsi"/>
          <w:sz w:val="20"/>
          <w:szCs w:val="20"/>
        </w:rPr>
        <w:t>Verstegen</w:t>
      </w:r>
      <w:proofErr w:type="spellEnd"/>
      <w:r w:rsidRPr="004E0CE9">
        <w:rPr>
          <w:rFonts w:asciiTheme="minorHAnsi" w:hAnsiTheme="minorHAnsi" w:cstheme="minorHAnsi"/>
          <w:sz w:val="20"/>
          <w:szCs w:val="20"/>
        </w:rPr>
        <w:t>, D. A. (2014) “Policy Brief: How Do States Pay for Schools? An Update of a 50-State Survey of Finance Policies and Programs.</w:t>
      </w:r>
      <w:r>
        <w:rPr>
          <w:rFonts w:asciiTheme="minorHAnsi" w:hAnsiTheme="minorHAnsi" w:cstheme="minorHAnsi"/>
          <w:sz w:val="20"/>
          <w:szCs w:val="20"/>
        </w:rPr>
        <w:t>”</w:t>
      </w:r>
      <w:r w:rsidRPr="004E0CE9">
        <w:rPr>
          <w:rFonts w:asciiTheme="minorHAnsi" w:hAnsiTheme="minorHAnsi" w:cstheme="minorHAnsi"/>
          <w:sz w:val="20"/>
          <w:szCs w:val="20"/>
        </w:rPr>
        <w:t xml:space="preserve"> Association for Education Finance and Policy Annual Conference. Retrieved 6/8/2016, from </w:t>
      </w:r>
      <w:hyperlink r:id="rId4" w:history="1">
        <w:r w:rsidRPr="000B79AF">
          <w:rPr>
            <w:rStyle w:val="Hyperlink"/>
            <w:rFonts w:asciiTheme="minorHAnsi" w:hAnsiTheme="minorHAnsi" w:cstheme="minorHAnsi"/>
            <w:sz w:val="20"/>
            <w:szCs w:val="20"/>
          </w:rPr>
          <w:t>https://schoolfinancesdav.files.wordpress.com/2014/04/aefp-50-stateaidsystems.pdf</w:t>
        </w:r>
      </w:hyperlink>
      <w:r>
        <w:rPr>
          <w:rFonts w:asciiTheme="minorHAnsi" w:hAnsiTheme="minorHAnsi" w:cstheme="minorHAnsi"/>
          <w:sz w:val="20"/>
          <w:szCs w:val="20"/>
        </w:rPr>
        <w:t xml:space="preserve">. </w:t>
      </w:r>
      <w:r w:rsidRPr="004E0CE9">
        <w:rPr>
          <w:rFonts w:asciiTheme="minorHAnsi" w:hAnsiTheme="minorHAnsi" w:cstheme="minorHAnsi"/>
          <w:sz w:val="20"/>
          <w:szCs w:val="20"/>
        </w:rPr>
        <w:t>As of 2014, eight other states used a census-based approach similar to Massachusetts</w:t>
      </w:r>
      <w:r>
        <w:rPr>
          <w:rFonts w:asciiTheme="minorHAnsi" w:hAnsiTheme="minorHAnsi" w:cstheme="minorHAnsi"/>
          <w:sz w:val="20"/>
          <w:szCs w:val="20"/>
        </w:rPr>
        <w:t xml:space="preserve">. </w:t>
      </w:r>
    </w:p>
  </w:footnote>
  <w:footnote w:id="8">
    <w:p w14:paraId="11026D9D" w14:textId="2C639BAF" w:rsidR="00E84FC5" w:rsidRDefault="00E84FC5" w:rsidP="00061975">
      <w:pPr>
        <w:pStyle w:val="FootnoteText"/>
        <w:tabs>
          <w:tab w:val="left" w:pos="180"/>
        </w:tabs>
        <w:ind w:left="180" w:hanging="180"/>
      </w:pPr>
      <w:r>
        <w:rPr>
          <w:rStyle w:val="FootnoteReference"/>
        </w:rPr>
        <w:footnoteRef/>
      </w:r>
      <w:r>
        <w:t xml:space="preserve"> </w:t>
      </w:r>
      <w:r>
        <w:tab/>
        <w:t xml:space="preserve">Line 26, </w:t>
      </w:r>
      <w:r w:rsidRPr="00275A52">
        <w:t>Table 1.1.9. Implicit Price Deflators for Gross Domestic Product</w:t>
      </w:r>
      <w:r>
        <w:t xml:space="preserve">, Bureau of Economic Analysis. </w:t>
      </w:r>
      <w:hyperlink r:id="rId5" w:history="1">
        <w:r w:rsidRPr="000F7A4C">
          <w:rPr>
            <w:rStyle w:val="Hyperlink"/>
          </w:rPr>
          <w:t>https://apps.bea.gov/iTable/iTable.cfm?reqid=19&amp;step=3&amp;isuri=1&amp;1921=survey&amp;1903=13</w:t>
        </w:r>
      </w:hyperlink>
      <w:r>
        <w:t xml:space="preserve"> </w:t>
      </w:r>
    </w:p>
  </w:footnote>
  <w:footnote w:id="9">
    <w:p w14:paraId="2533D4F0" w14:textId="77777777" w:rsidR="00E84FC5" w:rsidRDefault="00E84FC5"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E84FC5" w:rsidRDefault="00E84FC5" w:rsidP="008A4024">
      <w:pPr>
        <w:pStyle w:val="FootnoteText"/>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BA3AD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A379B"/>
    <w:multiLevelType w:val="multilevel"/>
    <w:tmpl w:val="92CAC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13"/>
  </w:num>
  <w:num w:numId="5">
    <w:abstractNumId w:val="11"/>
  </w:num>
  <w:num w:numId="6">
    <w:abstractNumId w:val="18"/>
  </w:num>
  <w:num w:numId="7">
    <w:abstractNumId w:val="15"/>
  </w:num>
  <w:num w:numId="8">
    <w:abstractNumId w:val="3"/>
  </w:num>
  <w:num w:numId="9">
    <w:abstractNumId w:val="2"/>
  </w:num>
  <w:num w:numId="10">
    <w:abstractNumId w:val="12"/>
  </w:num>
  <w:num w:numId="11">
    <w:abstractNumId w:val="16"/>
  </w:num>
  <w:num w:numId="12">
    <w:abstractNumId w:val="6"/>
  </w:num>
  <w:num w:numId="13">
    <w:abstractNumId w:val="8"/>
  </w:num>
  <w:num w:numId="14">
    <w:abstractNumId w:val="17"/>
  </w:num>
  <w:num w:numId="15">
    <w:abstractNumId w:val="10"/>
  </w:num>
  <w:num w:numId="16">
    <w:abstractNumId w:val="20"/>
  </w:num>
  <w:num w:numId="17">
    <w:abstractNumId w:val="7"/>
  </w:num>
  <w:num w:numId="18">
    <w:abstractNumId w:val="23"/>
  </w:num>
  <w:num w:numId="19">
    <w:abstractNumId w:val="9"/>
  </w:num>
  <w:num w:numId="20">
    <w:abstractNumId w:val="21"/>
  </w:num>
  <w:num w:numId="21">
    <w:abstractNumId w:val="1"/>
  </w:num>
  <w:num w:numId="22">
    <w:abstractNumId w:val="19"/>
  </w:num>
  <w:num w:numId="23">
    <w:abstractNumId w:val="4"/>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C9"/>
    <w:rsid w:val="00032AF6"/>
    <w:rsid w:val="000506EE"/>
    <w:rsid w:val="00061975"/>
    <w:rsid w:val="00064ECC"/>
    <w:rsid w:val="000711BA"/>
    <w:rsid w:val="00081A52"/>
    <w:rsid w:val="00092A27"/>
    <w:rsid w:val="000A7B23"/>
    <w:rsid w:val="000B7C03"/>
    <w:rsid w:val="000C3B85"/>
    <w:rsid w:val="000C5AF1"/>
    <w:rsid w:val="000D09FC"/>
    <w:rsid w:val="000D0E81"/>
    <w:rsid w:val="000D1FA5"/>
    <w:rsid w:val="000D7476"/>
    <w:rsid w:val="000F7A4C"/>
    <w:rsid w:val="00126151"/>
    <w:rsid w:val="00132D59"/>
    <w:rsid w:val="00147F76"/>
    <w:rsid w:val="00152CC8"/>
    <w:rsid w:val="0017022D"/>
    <w:rsid w:val="001764CA"/>
    <w:rsid w:val="00180CD3"/>
    <w:rsid w:val="00186BFF"/>
    <w:rsid w:val="00196A72"/>
    <w:rsid w:val="00197B91"/>
    <w:rsid w:val="001A028D"/>
    <w:rsid w:val="001B0849"/>
    <w:rsid w:val="001B25AC"/>
    <w:rsid w:val="001C1CF3"/>
    <w:rsid w:val="001F35ED"/>
    <w:rsid w:val="001F7755"/>
    <w:rsid w:val="002034A0"/>
    <w:rsid w:val="0020780F"/>
    <w:rsid w:val="00217FC2"/>
    <w:rsid w:val="0022788F"/>
    <w:rsid w:val="00231A44"/>
    <w:rsid w:val="0024688E"/>
    <w:rsid w:val="00262FB3"/>
    <w:rsid w:val="00274356"/>
    <w:rsid w:val="00280779"/>
    <w:rsid w:val="002853D5"/>
    <w:rsid w:val="002B51B3"/>
    <w:rsid w:val="002C120B"/>
    <w:rsid w:val="00301951"/>
    <w:rsid w:val="00305D19"/>
    <w:rsid w:val="003219C9"/>
    <w:rsid w:val="00322780"/>
    <w:rsid w:val="003244A6"/>
    <w:rsid w:val="0033067B"/>
    <w:rsid w:val="00345DE2"/>
    <w:rsid w:val="00356A8C"/>
    <w:rsid w:val="00362692"/>
    <w:rsid w:val="00394F07"/>
    <w:rsid w:val="003A05E0"/>
    <w:rsid w:val="003B5F6D"/>
    <w:rsid w:val="003C3C3C"/>
    <w:rsid w:val="003D2308"/>
    <w:rsid w:val="003E4B00"/>
    <w:rsid w:val="003F3636"/>
    <w:rsid w:val="00412CFA"/>
    <w:rsid w:val="00440BAB"/>
    <w:rsid w:val="00455183"/>
    <w:rsid w:val="00464491"/>
    <w:rsid w:val="00484A33"/>
    <w:rsid w:val="00496319"/>
    <w:rsid w:val="004A5FDD"/>
    <w:rsid w:val="004B4C90"/>
    <w:rsid w:val="004C0F90"/>
    <w:rsid w:val="004D45D4"/>
    <w:rsid w:val="004E0CA6"/>
    <w:rsid w:val="004E0CE9"/>
    <w:rsid w:val="004F1C4B"/>
    <w:rsid w:val="004F792C"/>
    <w:rsid w:val="0050405A"/>
    <w:rsid w:val="00514191"/>
    <w:rsid w:val="00514F19"/>
    <w:rsid w:val="005152E7"/>
    <w:rsid w:val="00523914"/>
    <w:rsid w:val="00537450"/>
    <w:rsid w:val="005737D4"/>
    <w:rsid w:val="00574B63"/>
    <w:rsid w:val="00576CDF"/>
    <w:rsid w:val="005A1B5E"/>
    <w:rsid w:val="005A367D"/>
    <w:rsid w:val="005B1DEE"/>
    <w:rsid w:val="005C4255"/>
    <w:rsid w:val="005D3539"/>
    <w:rsid w:val="005E3408"/>
    <w:rsid w:val="005F037D"/>
    <w:rsid w:val="005F152D"/>
    <w:rsid w:val="005F1897"/>
    <w:rsid w:val="00656EA4"/>
    <w:rsid w:val="0067284C"/>
    <w:rsid w:val="00675B1B"/>
    <w:rsid w:val="0069558B"/>
    <w:rsid w:val="006A276E"/>
    <w:rsid w:val="006B1764"/>
    <w:rsid w:val="006C5ACA"/>
    <w:rsid w:val="006C6F88"/>
    <w:rsid w:val="006D1B5E"/>
    <w:rsid w:val="006E091E"/>
    <w:rsid w:val="006F29C9"/>
    <w:rsid w:val="006F4CF2"/>
    <w:rsid w:val="006F4DBC"/>
    <w:rsid w:val="00706286"/>
    <w:rsid w:val="0072099D"/>
    <w:rsid w:val="00731A10"/>
    <w:rsid w:val="00740C0D"/>
    <w:rsid w:val="00755977"/>
    <w:rsid w:val="00756852"/>
    <w:rsid w:val="00765318"/>
    <w:rsid w:val="0077336E"/>
    <w:rsid w:val="007771D5"/>
    <w:rsid w:val="007860D8"/>
    <w:rsid w:val="007A3269"/>
    <w:rsid w:val="007A60A4"/>
    <w:rsid w:val="007E31B2"/>
    <w:rsid w:val="007E3252"/>
    <w:rsid w:val="007F2B4F"/>
    <w:rsid w:val="007F52B9"/>
    <w:rsid w:val="008150EF"/>
    <w:rsid w:val="00820F49"/>
    <w:rsid w:val="00832115"/>
    <w:rsid w:val="008439C1"/>
    <w:rsid w:val="00871349"/>
    <w:rsid w:val="008734A6"/>
    <w:rsid w:val="00881DFE"/>
    <w:rsid w:val="0088258A"/>
    <w:rsid w:val="008A4024"/>
    <w:rsid w:val="008C4189"/>
    <w:rsid w:val="008C575C"/>
    <w:rsid w:val="008E5C09"/>
    <w:rsid w:val="008F2A4F"/>
    <w:rsid w:val="00901891"/>
    <w:rsid w:val="00907BC7"/>
    <w:rsid w:val="009164FB"/>
    <w:rsid w:val="00917329"/>
    <w:rsid w:val="00926BE0"/>
    <w:rsid w:val="00946FB9"/>
    <w:rsid w:val="00976882"/>
    <w:rsid w:val="00984735"/>
    <w:rsid w:val="009A01C4"/>
    <w:rsid w:val="009A3016"/>
    <w:rsid w:val="009A3130"/>
    <w:rsid w:val="009C4322"/>
    <w:rsid w:val="009C550C"/>
    <w:rsid w:val="009D4EEC"/>
    <w:rsid w:val="009D7BA2"/>
    <w:rsid w:val="009E45FA"/>
    <w:rsid w:val="009E4639"/>
    <w:rsid w:val="00A05B06"/>
    <w:rsid w:val="00A0626B"/>
    <w:rsid w:val="00A11174"/>
    <w:rsid w:val="00A24AA4"/>
    <w:rsid w:val="00A321B4"/>
    <w:rsid w:val="00A4576F"/>
    <w:rsid w:val="00A5157F"/>
    <w:rsid w:val="00A73051"/>
    <w:rsid w:val="00A87749"/>
    <w:rsid w:val="00AA2AF8"/>
    <w:rsid w:val="00AB774F"/>
    <w:rsid w:val="00AD0A1F"/>
    <w:rsid w:val="00AD298F"/>
    <w:rsid w:val="00AD72FC"/>
    <w:rsid w:val="00AE53BE"/>
    <w:rsid w:val="00B129CE"/>
    <w:rsid w:val="00B316B3"/>
    <w:rsid w:val="00B42CA2"/>
    <w:rsid w:val="00B53F5F"/>
    <w:rsid w:val="00B54A87"/>
    <w:rsid w:val="00B57C23"/>
    <w:rsid w:val="00B601E6"/>
    <w:rsid w:val="00B616AF"/>
    <w:rsid w:val="00B61B41"/>
    <w:rsid w:val="00B8771E"/>
    <w:rsid w:val="00B87F39"/>
    <w:rsid w:val="00B9061D"/>
    <w:rsid w:val="00BA1D2B"/>
    <w:rsid w:val="00BB4D74"/>
    <w:rsid w:val="00BB62CC"/>
    <w:rsid w:val="00BC227D"/>
    <w:rsid w:val="00BD2811"/>
    <w:rsid w:val="00BE39EF"/>
    <w:rsid w:val="00BF3479"/>
    <w:rsid w:val="00C052D1"/>
    <w:rsid w:val="00C118B2"/>
    <w:rsid w:val="00C33629"/>
    <w:rsid w:val="00C44DF4"/>
    <w:rsid w:val="00C4729E"/>
    <w:rsid w:val="00C52463"/>
    <w:rsid w:val="00C5344B"/>
    <w:rsid w:val="00C66ABF"/>
    <w:rsid w:val="00C8249A"/>
    <w:rsid w:val="00C95063"/>
    <w:rsid w:val="00CA5DCF"/>
    <w:rsid w:val="00CA5F8E"/>
    <w:rsid w:val="00CC22F1"/>
    <w:rsid w:val="00CC6A09"/>
    <w:rsid w:val="00CE1085"/>
    <w:rsid w:val="00CE5C67"/>
    <w:rsid w:val="00CF2241"/>
    <w:rsid w:val="00CF445E"/>
    <w:rsid w:val="00CF6B07"/>
    <w:rsid w:val="00D063FC"/>
    <w:rsid w:val="00D1708E"/>
    <w:rsid w:val="00D32D28"/>
    <w:rsid w:val="00D351CC"/>
    <w:rsid w:val="00D40A4A"/>
    <w:rsid w:val="00D4127E"/>
    <w:rsid w:val="00D53B5E"/>
    <w:rsid w:val="00D55981"/>
    <w:rsid w:val="00D674EF"/>
    <w:rsid w:val="00D72BD5"/>
    <w:rsid w:val="00D91043"/>
    <w:rsid w:val="00DD4A21"/>
    <w:rsid w:val="00DE0201"/>
    <w:rsid w:val="00E04B8E"/>
    <w:rsid w:val="00E15F46"/>
    <w:rsid w:val="00E248DB"/>
    <w:rsid w:val="00E25B58"/>
    <w:rsid w:val="00E34296"/>
    <w:rsid w:val="00E83408"/>
    <w:rsid w:val="00E84FC5"/>
    <w:rsid w:val="00E92D20"/>
    <w:rsid w:val="00EA2FF1"/>
    <w:rsid w:val="00EA7187"/>
    <w:rsid w:val="00EB1F6F"/>
    <w:rsid w:val="00EB7F04"/>
    <w:rsid w:val="00EC2EED"/>
    <w:rsid w:val="00EE0F06"/>
    <w:rsid w:val="00EE41C1"/>
    <w:rsid w:val="00F13965"/>
    <w:rsid w:val="00F22ADF"/>
    <w:rsid w:val="00F35C70"/>
    <w:rsid w:val="00F36062"/>
    <w:rsid w:val="00F44256"/>
    <w:rsid w:val="00F44C7B"/>
    <w:rsid w:val="00F47C49"/>
    <w:rsid w:val="00F66EB7"/>
    <w:rsid w:val="00F73429"/>
    <w:rsid w:val="00F7387F"/>
    <w:rsid w:val="00F95DCA"/>
    <w:rsid w:val="00FA0CDD"/>
    <w:rsid w:val="00FA585D"/>
    <w:rsid w:val="00FA66EB"/>
    <w:rsid w:val="00FC69AA"/>
    <w:rsid w:val="00FD2C86"/>
    <w:rsid w:val="00FD69E2"/>
    <w:rsid w:val="00FD72F8"/>
    <w:rsid w:val="00FE5B9D"/>
    <w:rsid w:val="00FF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semiHidden/>
    <w:unhideWhenUsed/>
    <w:rsid w:val="009A01C4"/>
    <w:rPr>
      <w:sz w:val="16"/>
      <w:szCs w:val="16"/>
    </w:rPr>
  </w:style>
  <w:style w:type="paragraph" w:styleId="CommentText">
    <w:name w:val="annotation text"/>
    <w:basedOn w:val="Normal"/>
    <w:link w:val="CommentTextChar"/>
    <w:semiHidden/>
    <w:unhideWhenUsed/>
    <w:rsid w:val="009A01C4"/>
    <w:rPr>
      <w:sz w:val="20"/>
      <w:szCs w:val="20"/>
    </w:rPr>
  </w:style>
  <w:style w:type="character" w:customStyle="1" w:styleId="CommentTextChar">
    <w:name w:val="Comment Text Char"/>
    <w:basedOn w:val="DefaultParagraphFont"/>
    <w:link w:val="CommentText"/>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finance/chapter70/fy2019/chapter-19.xls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finance/chapter70/keyfactors.xlsx"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finance/chapter70/chapter-cal-change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www.doe.mass.edu/lawsregs/litigation/mcduffy_hancock.html" TargetMode="External"/><Relationship Id="rId1" Type="http://schemas.openxmlformats.org/officeDocument/2006/relationships/hyperlink" Target="http://www.mbae.org/every-child-a-winner/" TargetMode="External"/><Relationship Id="rId5" Type="http://schemas.openxmlformats.org/officeDocument/2006/relationships/hyperlink" Target="https://apps.bea.gov/iTable/iTable.cfm?reqid=19&amp;step=3&amp;isuri=1&amp;1921=survey&amp;1903=13" TargetMode="External"/><Relationship Id="rId4" Type="http://schemas.openxmlformats.org/officeDocument/2006/relationships/hyperlink" Target="https://schoolfinancesdav.files.wordpress.com/2014/04/aefp-50-stateaidsyste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Reports\General%20Report%20-%20JC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doe.mass.edu\SHARED\FINANCE\SCHFIN\FY19data\c70fy19\final\web\white%20paper\chapter-cal-list19.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b="1"/>
            </a:pPr>
            <a:r>
              <a:rPr lang="en-US" sz="1400" b="1"/>
              <a:t>Figure 1: FY19 foundation budget per pupil, average by type of district</a:t>
            </a:r>
          </a:p>
        </c:rich>
      </c:tx>
      <c:layout>
        <c:manualLayout>
          <c:xMode val="edge"/>
          <c:yMode val="edge"/>
          <c:x val="0.22419845718731174"/>
          <c:y val="2.9010280999643253E-2"/>
        </c:manualLayout>
      </c:layout>
      <c:overlay val="0"/>
      <c:spPr>
        <a:noFill/>
        <a:ln w="25400">
          <a:noFill/>
        </a:ln>
      </c:spPr>
    </c:title>
    <c:autoTitleDeleted val="0"/>
    <c:plotArea>
      <c:layout>
        <c:manualLayout>
          <c:layoutTarget val="inner"/>
          <c:xMode val="edge"/>
          <c:yMode val="edge"/>
          <c:x val="0.38595371445318255"/>
          <c:y val="0.1704257213247117"/>
          <c:w val="0.52142667751094107"/>
          <c:h val="0.744250864347478"/>
        </c:manualLayout>
      </c:layout>
      <c:barChart>
        <c:barDir val="bar"/>
        <c:grouping val="clustered"/>
        <c:varyColors val="0"/>
        <c:ser>
          <c:idx val="0"/>
          <c:order val="0"/>
          <c:tx>
            <c:strRef>
              <c:f>graphs!$E$4</c:f>
              <c:strCache>
                <c:ptCount val="1"/>
              </c:strCache>
            </c:strRef>
          </c:tx>
          <c:spPr>
            <a:solidFill>
              <a:schemeClr val="bg1">
                <a:lumMod val="65000"/>
              </a:schemeClr>
            </a:solidFill>
            <a:ln w="12700">
              <a:noFill/>
              <a:prstDash val="solid"/>
            </a:ln>
          </c:spPr>
          <c:invertIfNegative val="0"/>
          <c:dPt>
            <c:idx val="7"/>
            <c:invertIfNegative val="0"/>
            <c:bubble3D val="0"/>
            <c:spPr>
              <a:solidFill>
                <a:srgbClr val="375F92"/>
              </a:solidFill>
              <a:ln w="12700">
                <a:noFill/>
                <a:prstDash val="solid"/>
              </a:ln>
            </c:spPr>
            <c:extLst>
              <c:ext xmlns:c16="http://schemas.microsoft.com/office/drawing/2014/chart" uri="{C3380CC4-5D6E-409C-BE32-E72D297353CC}">
                <c16:uniqueId val="{00000001-A9FE-477C-BB1E-6E81AB1F5477}"/>
              </c:ext>
            </c:extLst>
          </c:dPt>
          <c:dLbls>
            <c:numFmt formatCode="&quot;$&quot;#,##0" sourceLinked="0"/>
            <c:spPr>
              <a:noFill/>
              <a:ln w="25400">
                <a:noFill/>
              </a:ln>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graphs!$D$5:$D$12</c:f>
              <c:strCache>
                <c:ptCount val="8"/>
                <c:pt idx="0">
                  <c:v>Urbanized Centers</c:v>
                </c:pt>
                <c:pt idx="1">
                  <c:v>Economically Developed Suburbs</c:v>
                </c:pt>
                <c:pt idx="2">
                  <c:v>Residential Suburbs</c:v>
                </c:pt>
                <c:pt idx="3">
                  <c:v>Rural Economic Centers</c:v>
                </c:pt>
                <c:pt idx="4">
                  <c:v>Small Rural Communities</c:v>
                </c:pt>
                <c:pt idx="5">
                  <c:v>Resort/Retirement/Artistic</c:v>
                </c:pt>
                <c:pt idx="6">
                  <c:v>Vocational</c:v>
                </c:pt>
                <c:pt idx="7">
                  <c:v>State Average</c:v>
                </c:pt>
              </c:strCache>
            </c:strRef>
          </c:cat>
          <c:val>
            <c:numRef>
              <c:f>graphs!$E$5:$E$12</c:f>
              <c:numCache>
                <c:formatCode>_(* #,##0_);_(* \(#,##0\);_(* "-"??_);_(@_)</c:formatCode>
                <c:ptCount val="8"/>
                <c:pt idx="0">
                  <c:v>12476.263779566299</c:v>
                </c:pt>
                <c:pt idx="1">
                  <c:v>10461.022726422369</c:v>
                </c:pt>
                <c:pt idx="2">
                  <c:v>10010.571660075282</c:v>
                </c:pt>
                <c:pt idx="3">
                  <c:v>10595.932742853951</c:v>
                </c:pt>
                <c:pt idx="4">
                  <c:v>10238.248939021219</c:v>
                </c:pt>
                <c:pt idx="5">
                  <c:v>10870.793854339809</c:v>
                </c:pt>
                <c:pt idx="6">
                  <c:v>16797.576270056186</c:v>
                </c:pt>
                <c:pt idx="7">
                  <c:v>11448.335053875764</c:v>
                </c:pt>
              </c:numCache>
            </c:numRef>
          </c:val>
          <c:extLst>
            <c:ext xmlns:c16="http://schemas.microsoft.com/office/drawing/2014/chart" uri="{C3380CC4-5D6E-409C-BE32-E72D297353CC}">
              <c16:uniqueId val="{00000002-A9FE-477C-BB1E-6E81AB1F5477}"/>
            </c:ext>
          </c:extLst>
        </c:ser>
        <c:dLbls>
          <c:showLegendKey val="0"/>
          <c:showVal val="0"/>
          <c:showCatName val="0"/>
          <c:showSerName val="0"/>
          <c:showPercent val="0"/>
          <c:showBubbleSize val="0"/>
        </c:dLbls>
        <c:gapWidth val="30"/>
        <c:axId val="41232640"/>
        <c:axId val="41464192"/>
      </c:barChart>
      <c:catAx>
        <c:axId val="41232640"/>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a:pPr>
            <a:endParaRPr lang="en-US"/>
          </a:p>
        </c:txPr>
        <c:crossAx val="41464192"/>
        <c:crosses val="autoZero"/>
        <c:auto val="1"/>
        <c:lblAlgn val="ctr"/>
        <c:lblOffset val="100"/>
        <c:tickLblSkip val="1"/>
        <c:tickMarkSkip val="1"/>
        <c:noMultiLvlLbl val="0"/>
      </c:catAx>
      <c:valAx>
        <c:axId val="41464192"/>
        <c:scaling>
          <c:orientation val="minMax"/>
        </c:scaling>
        <c:delete val="0"/>
        <c:axPos val="b"/>
        <c:numFmt formatCode="&quot;$&quot;#,##0" sourceLinked="0"/>
        <c:majorTickMark val="out"/>
        <c:minorTickMark val="none"/>
        <c:tickLblPos val="nextTo"/>
        <c:spPr>
          <a:ln w="3175">
            <a:solidFill>
              <a:srgbClr val="000000"/>
            </a:solidFill>
            <a:prstDash val="solid"/>
          </a:ln>
        </c:spPr>
        <c:txPr>
          <a:bodyPr rot="0" vert="horz"/>
          <a:lstStyle/>
          <a:p>
            <a:pPr>
              <a:defRPr sz="1000"/>
            </a:pPr>
            <a:endParaRPr lang="en-US"/>
          </a:p>
        </c:txPr>
        <c:crossAx val="41232640"/>
        <c:crosses val="max"/>
        <c:crossBetween val="between"/>
      </c:valAx>
      <c:spPr>
        <a:noFill/>
        <a:ln w="25400">
          <a:noFill/>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mn-lt"/>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FY19 foundation budget percentages by expenditure category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5D3-4219-8226-66F44CDF1CF5}"/>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15D3-4219-8226-66F44CDF1CF5}"/>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15D3-4219-8226-66F44CDF1CF5}"/>
              </c:ext>
            </c:extLst>
          </c:dPt>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7-15D3-4219-8226-66F44CDF1CF5}"/>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15D3-4219-8226-66F44CDF1CF5}"/>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15D3-4219-8226-66F44CDF1CF5}"/>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D-15D3-4219-8226-66F44CDF1CF5}"/>
              </c:ext>
            </c:extLst>
          </c:dPt>
          <c:dPt>
            <c:idx val="7"/>
            <c:invertIfNegative val="0"/>
            <c:bubble3D val="0"/>
            <c:spPr>
              <a:solidFill>
                <a:schemeClr val="accent1">
                  <a:lumMod val="75000"/>
                </a:schemeClr>
              </a:solidFill>
              <a:ln>
                <a:noFill/>
              </a:ln>
              <a:effectLst/>
            </c:spPr>
            <c:extLst>
              <c:ext xmlns:c16="http://schemas.microsoft.com/office/drawing/2014/chart" uri="{C3380CC4-5D6E-409C-BE32-E72D297353CC}">
                <c16:uniqueId val="{0000000F-15D3-4219-8226-66F44CDF1CF5}"/>
              </c:ext>
            </c:extLst>
          </c:dPt>
          <c:dPt>
            <c:idx val="8"/>
            <c:invertIfNegative val="0"/>
            <c:bubble3D val="0"/>
            <c:spPr>
              <a:solidFill>
                <a:schemeClr val="bg1">
                  <a:lumMod val="65000"/>
                </a:schemeClr>
              </a:solidFill>
              <a:ln>
                <a:noFill/>
              </a:ln>
              <a:effectLst/>
            </c:spPr>
            <c:extLst>
              <c:ext xmlns:c16="http://schemas.microsoft.com/office/drawing/2014/chart" uri="{C3380CC4-5D6E-409C-BE32-E72D297353CC}">
                <c16:uniqueId val="{00000011-15D3-4219-8226-66F44CDF1CF5}"/>
              </c:ext>
            </c:extLst>
          </c:dPt>
          <c:dPt>
            <c:idx val="9"/>
            <c:invertIfNegative val="0"/>
            <c:bubble3D val="0"/>
            <c:spPr>
              <a:solidFill>
                <a:schemeClr val="bg1">
                  <a:lumMod val="65000"/>
                </a:schemeClr>
              </a:solidFill>
              <a:ln>
                <a:noFill/>
              </a:ln>
              <a:effectLst/>
            </c:spPr>
            <c:extLst>
              <c:ext xmlns:c16="http://schemas.microsoft.com/office/drawing/2014/chart" uri="{C3380CC4-5D6E-409C-BE32-E72D297353CC}">
                <c16:uniqueId val="{00000013-15D3-4219-8226-66F44CDF1CF5}"/>
              </c:ext>
            </c:extLst>
          </c:dPt>
          <c:dPt>
            <c:idx val="10"/>
            <c:invertIfNegative val="0"/>
            <c:bubble3D val="0"/>
            <c:spPr>
              <a:solidFill>
                <a:schemeClr val="accent1">
                  <a:lumMod val="75000"/>
                </a:schemeClr>
              </a:solidFill>
              <a:ln>
                <a:noFill/>
              </a:ln>
              <a:effectLst/>
            </c:spPr>
            <c:extLst>
              <c:ext xmlns:c16="http://schemas.microsoft.com/office/drawing/2014/chart" uri="{C3380CC4-5D6E-409C-BE32-E72D297353CC}">
                <c16:uniqueId val="{00000015-15D3-4219-8226-66F44CDF1C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 foundation by category'!$B$3:$B$13</c:f>
              <c:strCache>
                <c:ptCount val="11"/>
                <c:pt idx="0">
                  <c:v>Professional Development</c:v>
                </c:pt>
                <c:pt idx="1">
                  <c:v>Special Education Tuition</c:v>
                </c:pt>
                <c:pt idx="2">
                  <c:v>Pupil Services</c:v>
                </c:pt>
                <c:pt idx="3">
                  <c:v>Guidance and Psychological Services</c:v>
                </c:pt>
                <c:pt idx="4">
                  <c:v>Administration</c:v>
                </c:pt>
                <c:pt idx="5">
                  <c:v>Instructional Materials, Equipment, and Technology</c:v>
                </c:pt>
                <c:pt idx="6">
                  <c:v>Instructional Leadership</c:v>
                </c:pt>
                <c:pt idx="7">
                  <c:v>Other Teacher Services</c:v>
                </c:pt>
                <c:pt idx="8">
                  <c:v>Employee Benefits and Fixed Charges</c:v>
                </c:pt>
                <c:pt idx="9">
                  <c:v>Operations and Maintenance</c:v>
                </c:pt>
                <c:pt idx="10">
                  <c:v>Classroom and Specialist Teachers</c:v>
                </c:pt>
              </c:strCache>
            </c:strRef>
          </c:cat>
          <c:val>
            <c:numRef>
              <c:f>'State foundation by category'!$D$3:$D$13</c:f>
              <c:numCache>
                <c:formatCode>0%</c:formatCode>
                <c:ptCount val="11"/>
                <c:pt idx="0">
                  <c:v>1.6150520905423765E-2</c:v>
                </c:pt>
                <c:pt idx="1">
                  <c:v>2.0214230394944376E-2</c:v>
                </c:pt>
                <c:pt idx="2">
                  <c:v>2.4467102291964214E-2</c:v>
                </c:pt>
                <c:pt idx="3">
                  <c:v>2.6801502022235246E-2</c:v>
                </c:pt>
                <c:pt idx="4">
                  <c:v>4.5467536287737816E-2</c:v>
                </c:pt>
                <c:pt idx="5">
                  <c:v>5.1729990381508717E-2</c:v>
                </c:pt>
                <c:pt idx="6">
                  <c:v>6.2338960553819905E-2</c:v>
                </c:pt>
                <c:pt idx="7">
                  <c:v>8.630703756082847E-2</c:v>
                </c:pt>
                <c:pt idx="8">
                  <c:v>0.10749145885134527</c:v>
                </c:pt>
                <c:pt idx="9">
                  <c:v>0.11132599448757595</c:v>
                </c:pt>
                <c:pt idx="10">
                  <c:v>0.44770566626261654</c:v>
                </c:pt>
              </c:numCache>
            </c:numRef>
          </c:val>
          <c:extLst>
            <c:ext xmlns:c16="http://schemas.microsoft.com/office/drawing/2014/chart" uri="{C3380CC4-5D6E-409C-BE32-E72D297353CC}">
              <c16:uniqueId val="{00000016-15D3-4219-8226-66F44CDF1CF5}"/>
            </c:ext>
          </c:extLst>
        </c:ser>
        <c:dLbls>
          <c:showLegendKey val="0"/>
          <c:showVal val="0"/>
          <c:showCatName val="0"/>
          <c:showSerName val="0"/>
          <c:showPercent val="0"/>
          <c:showBubbleSize val="0"/>
        </c:dLbls>
        <c:gapWidth val="40"/>
        <c:axId val="1143721711"/>
        <c:axId val="1143723791"/>
      </c:barChart>
      <c:catAx>
        <c:axId val="114372171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43723791"/>
        <c:crosses val="autoZero"/>
        <c:auto val="1"/>
        <c:lblAlgn val="ctr"/>
        <c:lblOffset val="100"/>
        <c:noMultiLvlLbl val="0"/>
      </c:catAx>
      <c:valAx>
        <c:axId val="1143723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t>Percent of s</a:t>
                </a:r>
                <a:r>
                  <a:rPr lang="en-US" b="1"/>
                  <a:t>tatewide foundation</a:t>
                </a:r>
                <a:r>
                  <a:rPr lang="en-US" b="1" baseline="0"/>
                  <a:t> budget</a:t>
                </a: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43721711"/>
        <c:crosses val="autoZero"/>
        <c:crossBetween val="between"/>
        <c:majorUnit val="0.1"/>
        <c:min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DESE-231-46051</_dlc_DocId>
    <_dlc_DocIdUrl xmlns="733efe1c-5bbe-4968-87dc-d400e65c879f">
      <Url>https://sharepoint.doemass.org/ese/webteam/cps/_layouts/DocIdRedir.aspx?ID=DESE-231-46051</Url>
      <Description>DESE-231-46051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5215-03CD-4E35-BEBB-FE5BF0B620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EB47D0D-3E17-474E-A160-195823FF79F8}">
  <ds:schemaRefs>
    <ds:schemaRef ds:uri="http://schemas.microsoft.com/sharepoint/v3/contenttype/forms"/>
  </ds:schemaRefs>
</ds:datastoreItem>
</file>

<file path=customXml/itemProps3.xml><?xml version="1.0" encoding="utf-8"?>
<ds:datastoreItem xmlns:ds="http://schemas.openxmlformats.org/officeDocument/2006/customXml" ds:itemID="{DE152672-737E-4299-A93D-E4A8B812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319A2-C0BB-4364-91D3-788C3F5B2069}">
  <ds:schemaRefs>
    <ds:schemaRef ds:uri="http://schemas.microsoft.com/sharepoint/events"/>
  </ds:schemaRefs>
</ds:datastoreItem>
</file>

<file path=customXml/itemProps5.xml><?xml version="1.0" encoding="utf-8"?>
<ds:datastoreItem xmlns:ds="http://schemas.openxmlformats.org/officeDocument/2006/customXml" ds:itemID="{F8162A52-866D-435C-A035-307F87DA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Report - JCR.dotx</Template>
  <TotalTime>3</TotalTime>
  <Pages>19</Pages>
  <Words>4767</Words>
  <Characters>27173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Chapter 70 aid White paper, describing the major components of the formula in greater detail</dc:title>
  <dc:creator>DESE</dc:creator>
  <cp:lastModifiedBy>Zou, Dong (EOE)</cp:lastModifiedBy>
  <cp:revision>4</cp:revision>
  <cp:lastPrinted>2008-03-05T20:00:00Z</cp:lastPrinted>
  <dcterms:created xsi:type="dcterms:W3CDTF">2018-10-22T16:20:00Z</dcterms:created>
  <dcterms:modified xsi:type="dcterms:W3CDTF">2018-10-22T19:22:00Z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2018</vt:lpwstr>
  </property>
</Properties>
</file>