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03474D11" w14:textId="77777777">
        <w:trPr>
          <w:gridAfter w:val="1"/>
          <w:wAfter w:w="2070" w:type="dxa"/>
          <w:trHeight w:val="5040"/>
        </w:trPr>
        <w:tc>
          <w:tcPr>
            <w:tcW w:w="8010" w:type="dxa"/>
            <w:gridSpan w:val="3"/>
          </w:tcPr>
          <w:p w14:paraId="342BB4A3" w14:textId="77777777" w:rsidR="005F037D" w:rsidRDefault="000A7B23">
            <w:pPr>
              <w:keepNext/>
            </w:pPr>
            <w:r>
              <w:rPr>
                <w:noProof/>
              </w:rPr>
              <w:drawing>
                <wp:inline distT="0" distB="0" distL="0" distR="0" wp14:anchorId="79D18BD5" wp14:editId="59ABD58A">
                  <wp:extent cx="2785745" cy="1350645"/>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14:paraId="0BBD969A" w14:textId="77777777" w:rsidR="005F037D" w:rsidRDefault="005F037D" w:rsidP="00CE1085"/>
        </w:tc>
      </w:tr>
      <w:tr w:rsidR="005F037D" w14:paraId="2D3A0265" w14:textId="77777777">
        <w:trPr>
          <w:gridAfter w:val="1"/>
          <w:wAfter w:w="2070" w:type="dxa"/>
          <w:cantSplit/>
          <w:trHeight w:val="200"/>
        </w:trPr>
        <w:tc>
          <w:tcPr>
            <w:tcW w:w="990" w:type="dxa"/>
            <w:vMerge w:val="restart"/>
            <w:vAlign w:val="bottom"/>
          </w:tcPr>
          <w:p w14:paraId="616444B7" w14:textId="77777777" w:rsidR="005F037D" w:rsidRPr="00274356" w:rsidRDefault="005F037D" w:rsidP="00274356"/>
        </w:tc>
        <w:tc>
          <w:tcPr>
            <w:tcW w:w="7020" w:type="dxa"/>
            <w:gridSpan w:val="2"/>
            <w:vAlign w:val="bottom"/>
          </w:tcPr>
          <w:p w14:paraId="5EACFB85" w14:textId="77777777" w:rsidR="005F037D" w:rsidRPr="00F66EB7" w:rsidRDefault="003219C9" w:rsidP="00F66EB7">
            <w:pPr>
              <w:pStyle w:val="ESEReportName"/>
            </w:pPr>
            <w:r>
              <w:t>School Finance: Chapter 70 Program</w:t>
            </w:r>
          </w:p>
        </w:tc>
      </w:tr>
      <w:tr w:rsidR="005F037D" w14:paraId="06154DCD" w14:textId="77777777">
        <w:trPr>
          <w:gridAfter w:val="1"/>
          <w:wAfter w:w="2070" w:type="dxa"/>
          <w:cantSplit/>
          <w:trHeight w:val="240"/>
        </w:trPr>
        <w:tc>
          <w:tcPr>
            <w:tcW w:w="990" w:type="dxa"/>
            <w:vMerge/>
            <w:vAlign w:val="bottom"/>
          </w:tcPr>
          <w:p w14:paraId="257AB7CE" w14:textId="77777777" w:rsidR="005F037D" w:rsidRDefault="005F037D">
            <w:pPr>
              <w:spacing w:line="400" w:lineRule="exact"/>
              <w:rPr>
                <w:rFonts w:ascii="Arial" w:hAnsi="Arial"/>
                <w:color w:val="000000"/>
              </w:rPr>
            </w:pPr>
          </w:p>
        </w:tc>
        <w:tc>
          <w:tcPr>
            <w:tcW w:w="7020" w:type="dxa"/>
            <w:gridSpan w:val="2"/>
          </w:tcPr>
          <w:p w14:paraId="6FEA2EE0" w14:textId="77777777" w:rsidR="005F037D" w:rsidRPr="00EB1F6F" w:rsidRDefault="004E53E6">
            <w:r>
              <w:pict w14:anchorId="31F79943">
                <v:rect id="_x0000_i1025" style="width:0;height:1.5pt" o:hrstd="t" o:hr="t" fillcolor="#aaa" stroked="f"/>
              </w:pict>
            </w:r>
          </w:p>
        </w:tc>
      </w:tr>
      <w:tr w:rsidR="005F037D" w14:paraId="70C47E4C" w14:textId="77777777">
        <w:trPr>
          <w:gridAfter w:val="1"/>
          <w:wAfter w:w="2070" w:type="dxa"/>
          <w:cantSplit/>
          <w:trHeight w:val="760"/>
        </w:trPr>
        <w:tc>
          <w:tcPr>
            <w:tcW w:w="990" w:type="dxa"/>
            <w:vMerge/>
            <w:vAlign w:val="bottom"/>
          </w:tcPr>
          <w:p w14:paraId="7A565FDA" w14:textId="77777777" w:rsidR="005F037D" w:rsidRDefault="005F037D">
            <w:pPr>
              <w:spacing w:line="400" w:lineRule="exact"/>
              <w:rPr>
                <w:rFonts w:ascii="Arial" w:hAnsi="Arial"/>
                <w:color w:val="000000"/>
              </w:rPr>
            </w:pPr>
          </w:p>
        </w:tc>
        <w:tc>
          <w:tcPr>
            <w:tcW w:w="7020" w:type="dxa"/>
            <w:gridSpan w:val="2"/>
          </w:tcPr>
          <w:p w14:paraId="5EA818BE" w14:textId="4B253B60" w:rsidR="00F66EB7" w:rsidRPr="00F66EB7" w:rsidRDefault="003219C9" w:rsidP="00EB1F6F">
            <w:pPr>
              <w:pStyle w:val="arial9"/>
            </w:pPr>
            <w:bookmarkStart w:id="0" w:name="_GoBack"/>
            <w:r>
              <w:t>FY</w:t>
            </w:r>
            <w:r w:rsidR="00A50CB2">
              <w:t>20</w:t>
            </w:r>
            <w:r>
              <w:t xml:space="preserve"> Chapter 70 Aid and Required Contribution Calculations</w:t>
            </w:r>
          </w:p>
          <w:bookmarkEnd w:id="0"/>
          <w:p w14:paraId="71CA1640" w14:textId="37E5887E" w:rsidR="005F037D" w:rsidRDefault="00FC5E22" w:rsidP="00A50CB2">
            <w:pPr>
              <w:pStyle w:val="arial9"/>
            </w:pPr>
            <w:r>
              <w:t>August</w:t>
            </w:r>
            <w:r w:rsidR="00804EB4">
              <w:t xml:space="preserve"> </w:t>
            </w:r>
            <w:r w:rsidR="00A50CB2">
              <w:t>2019</w:t>
            </w:r>
          </w:p>
        </w:tc>
      </w:tr>
      <w:tr w:rsidR="005F037D" w14:paraId="05194E08" w14:textId="77777777">
        <w:trPr>
          <w:gridAfter w:val="1"/>
          <w:wAfter w:w="2070" w:type="dxa"/>
          <w:cantSplit/>
          <w:trHeight w:val="6246"/>
        </w:trPr>
        <w:tc>
          <w:tcPr>
            <w:tcW w:w="990" w:type="dxa"/>
            <w:vMerge/>
            <w:vAlign w:val="bottom"/>
          </w:tcPr>
          <w:p w14:paraId="3D2E1CED" w14:textId="77777777" w:rsidR="005F037D" w:rsidRDefault="005F037D">
            <w:pPr>
              <w:spacing w:line="400" w:lineRule="exact"/>
              <w:rPr>
                <w:rFonts w:ascii="Arial" w:hAnsi="Arial"/>
                <w:color w:val="000000"/>
              </w:rPr>
            </w:pPr>
          </w:p>
        </w:tc>
        <w:tc>
          <w:tcPr>
            <w:tcW w:w="7020" w:type="dxa"/>
            <w:gridSpan w:val="2"/>
            <w:vAlign w:val="bottom"/>
          </w:tcPr>
          <w:p w14:paraId="2D18788E" w14:textId="77777777" w:rsidR="005F037D" w:rsidRDefault="005F037D" w:rsidP="004E0CA6">
            <w:pPr>
              <w:pStyle w:val="AgencyTitle"/>
            </w:pPr>
            <w:r>
              <w:t xml:space="preserve">Massachusetts Department of </w:t>
            </w:r>
            <w:r w:rsidR="00440BAB">
              <w:t xml:space="preserve">Elementary and Secondary </w:t>
            </w:r>
            <w:r>
              <w:t>Education</w:t>
            </w:r>
          </w:p>
          <w:p w14:paraId="1ED5ABDE" w14:textId="77777777"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14:paraId="062F13AE" w14:textId="77777777"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14:paraId="5712BE3F" w14:textId="77777777" w:rsidR="005F037D" w:rsidRDefault="005F037D" w:rsidP="00EB1F6F">
            <w:pPr>
              <w:pStyle w:val="arial9"/>
            </w:pPr>
            <w:r>
              <w:rPr>
                <w:snapToGrid w:val="0"/>
              </w:rPr>
              <w:t>www.doe.mass.edu</w:t>
            </w:r>
          </w:p>
        </w:tc>
      </w:tr>
      <w:tr w:rsidR="005F037D" w14:paraId="014FD7F0" w14:textId="77777777">
        <w:tblPrEx>
          <w:tblCellMar>
            <w:left w:w="108" w:type="dxa"/>
            <w:right w:w="108" w:type="dxa"/>
          </w:tblCellMar>
        </w:tblPrEx>
        <w:trPr>
          <w:trHeight w:val="80"/>
        </w:trPr>
        <w:tc>
          <w:tcPr>
            <w:tcW w:w="5040" w:type="dxa"/>
            <w:gridSpan w:val="2"/>
          </w:tcPr>
          <w:p w14:paraId="36D345E6" w14:textId="77777777" w:rsidR="005F037D" w:rsidRDefault="005F037D" w:rsidP="00274356"/>
        </w:tc>
        <w:tc>
          <w:tcPr>
            <w:tcW w:w="5040" w:type="dxa"/>
            <w:gridSpan w:val="2"/>
          </w:tcPr>
          <w:p w14:paraId="622D5CD9" w14:textId="77777777" w:rsidR="005F037D" w:rsidRDefault="005F037D" w:rsidP="00274356"/>
        </w:tc>
      </w:tr>
      <w:tr w:rsidR="00C118B2" w14:paraId="44036348" w14:textId="77777777">
        <w:tblPrEx>
          <w:tblCellMar>
            <w:left w:w="108" w:type="dxa"/>
            <w:right w:w="108" w:type="dxa"/>
          </w:tblCellMar>
        </w:tblPrEx>
        <w:trPr>
          <w:trHeight w:val="8235"/>
        </w:trPr>
        <w:tc>
          <w:tcPr>
            <w:tcW w:w="10080" w:type="dxa"/>
            <w:gridSpan w:val="4"/>
          </w:tcPr>
          <w:p w14:paraId="6F1BC343" w14:textId="77777777" w:rsidR="00C118B2" w:rsidRPr="00345DE2" w:rsidRDefault="000A7B23" w:rsidP="008734A6">
            <w:pPr>
              <w:jc w:val="center"/>
            </w:pPr>
            <w:r>
              <w:rPr>
                <w:noProof/>
              </w:rPr>
              <w:drawing>
                <wp:inline distT="0" distB="0" distL="0" distR="0" wp14:anchorId="02BF65B4" wp14:editId="03AD4D03">
                  <wp:extent cx="2711450" cy="1308100"/>
                  <wp:effectExtent l="1905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14:paraId="171EE092" w14:textId="77777777" w:rsidR="00C118B2" w:rsidRDefault="00C118B2" w:rsidP="00345DE2"/>
          <w:p w14:paraId="169A1064" w14:textId="77777777" w:rsidR="00D4127E" w:rsidRDefault="00D4127E" w:rsidP="00345DE2"/>
          <w:p w14:paraId="2F738D84" w14:textId="77777777" w:rsidR="00D4127E" w:rsidRDefault="00D4127E" w:rsidP="00345DE2"/>
          <w:p w14:paraId="7F08DBD6" w14:textId="77777777" w:rsidR="00D4127E" w:rsidRPr="00345DE2" w:rsidRDefault="00D4127E" w:rsidP="00345DE2"/>
          <w:p w14:paraId="11E6AD9C" w14:textId="77777777" w:rsidR="00C118B2" w:rsidRPr="00345DE2" w:rsidRDefault="00C118B2" w:rsidP="00345DE2"/>
          <w:p w14:paraId="599EFFBB" w14:textId="77777777"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14:paraId="43C57C67" w14:textId="77777777" w:rsidR="00CC22F1" w:rsidRDefault="003A05E0" w:rsidP="008734A6">
            <w:pPr>
              <w:pStyle w:val="BoardMembers"/>
            </w:pPr>
            <w:r>
              <w:t>Jeffrey C. Riley</w:t>
            </w:r>
          </w:p>
          <w:p w14:paraId="0A426299" w14:textId="77777777" w:rsidR="00C118B2" w:rsidRDefault="008F2A4F" w:rsidP="008734A6">
            <w:pPr>
              <w:pStyle w:val="BoardMembers"/>
            </w:pPr>
            <w:r>
              <w:t>Commissioner</w:t>
            </w:r>
          </w:p>
          <w:p w14:paraId="2FCD3FA1" w14:textId="77777777" w:rsidR="00706286" w:rsidRDefault="00706286" w:rsidP="008734A6">
            <w:pPr>
              <w:pStyle w:val="BoardMembers"/>
            </w:pPr>
          </w:p>
          <w:p w14:paraId="700ED83B" w14:textId="77777777" w:rsidR="00706286" w:rsidRDefault="00706286" w:rsidP="008734A6">
            <w:pPr>
              <w:pStyle w:val="BoardMembers"/>
            </w:pPr>
          </w:p>
          <w:p w14:paraId="048A39FC" w14:textId="77777777" w:rsidR="00C118B2" w:rsidRDefault="00C118B2" w:rsidP="00345DE2"/>
          <w:p w14:paraId="6017D856" w14:textId="77777777" w:rsidR="00D4127E" w:rsidRDefault="00D4127E" w:rsidP="00345DE2"/>
          <w:p w14:paraId="0DD34C76" w14:textId="77777777" w:rsidR="00D4127E" w:rsidRPr="00345DE2" w:rsidRDefault="00D4127E" w:rsidP="00345DE2"/>
          <w:p w14:paraId="7E290FF3" w14:textId="77777777" w:rsidR="00322780" w:rsidRPr="00345DE2" w:rsidRDefault="00322780" w:rsidP="00AD72FC">
            <w:pPr>
              <w:autoSpaceDE w:val="0"/>
              <w:autoSpaceDN w:val="0"/>
              <w:adjustRightInd w:val="0"/>
              <w:jc w:val="center"/>
            </w:pPr>
          </w:p>
          <w:p w14:paraId="0855C941" w14:textId="77777777"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14:paraId="5E166C59" w14:textId="77777777" w:rsidR="00C118B2" w:rsidRDefault="00C118B2" w:rsidP="008734A6">
            <w:pPr>
              <w:pStyle w:val="BoardMembers"/>
            </w:pPr>
            <w:r>
              <w:t>We do not discriminate on the basis of age, color, disability, national origin, race, religion, sex</w:t>
            </w:r>
            <w:r w:rsidR="00D4127E">
              <w:t>, gender identity,</w:t>
            </w:r>
            <w:r>
              <w:t xml:space="preserve"> or sexual orientation. </w:t>
            </w:r>
          </w:p>
          <w:p w14:paraId="1D4772D8" w14:textId="77777777" w:rsidR="00C118B2" w:rsidRDefault="00C118B2" w:rsidP="008734A6">
            <w:pPr>
              <w:pStyle w:val="BoardMembers"/>
            </w:pPr>
            <w:r>
              <w:t xml:space="preserve"> Inquiries regarding the Department’s compliance with Title IX and other civil rights laws may be directed to the </w:t>
            </w:r>
          </w:p>
          <w:p w14:paraId="590D7A25" w14:textId="77777777" w:rsidR="00C118B2" w:rsidRDefault="00C118B2" w:rsidP="008734A6">
            <w:pPr>
              <w:pStyle w:val="BoardMembers"/>
            </w:pPr>
            <w:r>
              <w:t xml:space="preserve">Human Resources Director, </w:t>
            </w:r>
            <w:r w:rsidR="005152E7">
              <w:rPr>
                <w:snapToGrid w:val="0"/>
              </w:rPr>
              <w:t xml:space="preserve">75 Pleasant </w:t>
            </w:r>
            <w:r>
              <w:t>St., Malden, MA 02148</w:t>
            </w:r>
            <w:r w:rsidR="007E31B2">
              <w:t>-4906. Phone:</w:t>
            </w:r>
            <w:r>
              <w:t xml:space="preserve"> 781-338-6105.</w:t>
            </w:r>
          </w:p>
          <w:p w14:paraId="7513C7B0" w14:textId="77777777" w:rsidR="00C118B2" w:rsidRPr="00345DE2" w:rsidRDefault="00C118B2" w:rsidP="00345DE2"/>
          <w:p w14:paraId="12E09A82" w14:textId="77777777" w:rsidR="00C118B2" w:rsidRPr="00345DE2" w:rsidRDefault="00C118B2" w:rsidP="00345DE2"/>
          <w:p w14:paraId="4D943289" w14:textId="579C9B38" w:rsidR="00C118B2" w:rsidRDefault="00C118B2" w:rsidP="002B51B3">
            <w:pPr>
              <w:pStyle w:val="BoardMembers"/>
            </w:pPr>
            <w:r>
              <w:t>© 20</w:t>
            </w:r>
            <w:r w:rsidR="001F35ED">
              <w:t>1</w:t>
            </w:r>
            <w:r w:rsidR="00A50CB2">
              <w:t>9</w:t>
            </w:r>
            <w:r w:rsidR="00E25B58">
              <w:t xml:space="preserve"> </w:t>
            </w:r>
            <w:r>
              <w:t xml:space="preserve">Massachusetts Department of </w:t>
            </w:r>
            <w:r w:rsidR="00440BAB" w:rsidRPr="00440BAB">
              <w:t xml:space="preserve">Elementary and Secondary </w:t>
            </w:r>
            <w:r>
              <w:t>Education</w:t>
            </w:r>
          </w:p>
          <w:p w14:paraId="49638C48" w14:textId="77777777"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14:paraId="0B09902F" w14:textId="77777777" w:rsidR="00C118B2" w:rsidRPr="00345DE2" w:rsidRDefault="00C118B2" w:rsidP="00345DE2"/>
          <w:p w14:paraId="08ED0F61" w14:textId="77777777" w:rsidR="00C118B2" w:rsidRDefault="00C118B2" w:rsidP="00345DE2">
            <w:pPr>
              <w:pStyle w:val="Permission"/>
            </w:pPr>
            <w:r>
              <w:t>This document printed on recycled paper</w:t>
            </w:r>
          </w:p>
          <w:p w14:paraId="0973A77A" w14:textId="77777777" w:rsidR="00C118B2" w:rsidRPr="00345DE2" w:rsidRDefault="00C118B2" w:rsidP="00345DE2"/>
          <w:p w14:paraId="34EC9F61" w14:textId="77777777"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14:paraId="74AB1E95" w14:textId="77777777"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14:paraId="63C12BDE" w14:textId="77777777" w:rsidR="0020780F" w:rsidRDefault="0020780F" w:rsidP="008734A6">
            <w:pPr>
              <w:pStyle w:val="BoardMembers"/>
            </w:pPr>
            <w:r w:rsidRPr="0020780F">
              <w:t>Phone 781-338-3000  TTY: N.E.T. Relay 800-439-2370</w:t>
            </w:r>
          </w:p>
          <w:p w14:paraId="214BE58C" w14:textId="77777777" w:rsidR="00081A52" w:rsidRDefault="00081A52" w:rsidP="00C118B2">
            <w:pPr>
              <w:jc w:val="center"/>
            </w:pPr>
          </w:p>
          <w:p w14:paraId="3F506EBC" w14:textId="158BE1BA" w:rsidR="00081A52" w:rsidRDefault="00AB774F" w:rsidP="00C118B2">
            <w:pPr>
              <w:jc w:val="center"/>
            </w:pPr>
            <w:r>
              <w:rPr>
                <w:noProof/>
              </w:rPr>
              <w:drawing>
                <wp:inline distT="0" distB="0" distL="0" distR="0" wp14:anchorId="325F4AF4" wp14:editId="0CCB36D4">
                  <wp:extent cx="1031240" cy="1020445"/>
                  <wp:effectExtent l="19050" t="0" r="0" b="0"/>
                  <wp:docPr id="9" name="Picture 9"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p w14:paraId="053C3824" w14:textId="77777777" w:rsidR="00AB774F" w:rsidRDefault="00AB774F" w:rsidP="00C118B2">
            <w:pPr>
              <w:jc w:val="center"/>
            </w:pPr>
          </w:p>
          <w:p w14:paraId="2E9923E9" w14:textId="66B35212" w:rsidR="00C118B2" w:rsidRDefault="00C118B2">
            <w:pPr>
              <w:jc w:val="center"/>
              <w:rPr>
                <w:sz w:val="18"/>
              </w:rPr>
            </w:pPr>
            <w:r>
              <w:t>www.doe.mass.edu</w:t>
            </w:r>
          </w:p>
        </w:tc>
      </w:tr>
    </w:tbl>
    <w:p w14:paraId="51049F7E" w14:textId="77777777" w:rsidR="004D45D4" w:rsidRDefault="004D45D4" w:rsidP="00C118B2"/>
    <w:p w14:paraId="3967728D" w14:textId="77777777" w:rsidR="000D1FA5" w:rsidRDefault="004D45D4" w:rsidP="000D1FA5">
      <w:r>
        <w:br w:type="page"/>
      </w:r>
    </w:p>
    <w:p w14:paraId="50A25387" w14:textId="77777777" w:rsidR="003F3636" w:rsidRPr="005A367D" w:rsidRDefault="003F3636" w:rsidP="005A367D">
      <w:pPr>
        <w:pStyle w:val="ESETOCHeading"/>
      </w:pPr>
      <w:r w:rsidRPr="003F3636">
        <w:lastRenderedPageBreak/>
        <w:t>Table of Contents</w:t>
      </w:r>
    </w:p>
    <w:p w14:paraId="729FBE59" w14:textId="2F5874CD" w:rsidR="00347DC9" w:rsidRDefault="00FA0CDD">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"1-2" \h \z \u </w:instrText>
      </w:r>
      <w:r>
        <w:rPr>
          <w:b w:val="0"/>
        </w:rPr>
        <w:fldChar w:fldCharType="separate"/>
      </w:r>
      <w:hyperlink w:anchor="_Toc535866889" w:history="1">
        <w:r w:rsidR="00347DC9" w:rsidRPr="00E91945">
          <w:rPr>
            <w:rStyle w:val="Hyperlink"/>
            <w:noProof/>
          </w:rPr>
          <w:t>FY20 Chapter 70 aid and required contribution calculations</w:t>
        </w:r>
        <w:r w:rsidR="00347DC9">
          <w:rPr>
            <w:noProof/>
            <w:webHidden/>
          </w:rPr>
          <w:tab/>
        </w:r>
        <w:r w:rsidR="00347DC9">
          <w:rPr>
            <w:noProof/>
            <w:webHidden/>
          </w:rPr>
          <w:fldChar w:fldCharType="begin"/>
        </w:r>
        <w:r w:rsidR="00347DC9">
          <w:rPr>
            <w:noProof/>
            <w:webHidden/>
          </w:rPr>
          <w:instrText xml:space="preserve"> PAGEREF _Toc535866889 \h </w:instrText>
        </w:r>
        <w:r w:rsidR="00347DC9">
          <w:rPr>
            <w:noProof/>
            <w:webHidden/>
          </w:rPr>
        </w:r>
        <w:r w:rsidR="00347DC9">
          <w:rPr>
            <w:noProof/>
            <w:webHidden/>
          </w:rPr>
          <w:fldChar w:fldCharType="separate"/>
        </w:r>
        <w:r w:rsidR="00347DC9">
          <w:rPr>
            <w:noProof/>
            <w:webHidden/>
          </w:rPr>
          <w:t>1</w:t>
        </w:r>
        <w:r w:rsidR="00347DC9">
          <w:rPr>
            <w:noProof/>
            <w:webHidden/>
          </w:rPr>
          <w:fldChar w:fldCharType="end"/>
        </w:r>
      </w:hyperlink>
    </w:p>
    <w:p w14:paraId="75565291" w14:textId="61EB6736" w:rsidR="00347DC9" w:rsidRDefault="004E53E6">
      <w:pPr>
        <w:pStyle w:val="TOC2"/>
        <w:tabs>
          <w:tab w:val="right" w:leader="dot" w:pos="9350"/>
        </w:tabs>
        <w:rPr>
          <w:rFonts w:asciiTheme="minorHAnsi" w:eastAsiaTheme="minorEastAsia" w:hAnsiTheme="minorHAnsi" w:cstheme="minorBidi"/>
          <w:noProof/>
          <w:sz w:val="22"/>
          <w:szCs w:val="22"/>
        </w:rPr>
      </w:pPr>
      <w:hyperlink w:anchor="_Toc535866890" w:history="1">
        <w:r w:rsidR="00347DC9" w:rsidRPr="00E91945">
          <w:rPr>
            <w:rStyle w:val="Hyperlink"/>
            <w:noProof/>
          </w:rPr>
          <w:t>Summary of how the formula works</w:t>
        </w:r>
        <w:r w:rsidR="00347DC9">
          <w:rPr>
            <w:noProof/>
            <w:webHidden/>
          </w:rPr>
          <w:tab/>
        </w:r>
        <w:r w:rsidR="00347DC9">
          <w:rPr>
            <w:noProof/>
            <w:webHidden/>
          </w:rPr>
          <w:fldChar w:fldCharType="begin"/>
        </w:r>
        <w:r w:rsidR="00347DC9">
          <w:rPr>
            <w:noProof/>
            <w:webHidden/>
          </w:rPr>
          <w:instrText xml:space="preserve"> PAGEREF _Toc535866890 \h </w:instrText>
        </w:r>
        <w:r w:rsidR="00347DC9">
          <w:rPr>
            <w:noProof/>
            <w:webHidden/>
          </w:rPr>
        </w:r>
        <w:r w:rsidR="00347DC9">
          <w:rPr>
            <w:noProof/>
            <w:webHidden/>
          </w:rPr>
          <w:fldChar w:fldCharType="separate"/>
        </w:r>
        <w:r w:rsidR="00347DC9">
          <w:rPr>
            <w:noProof/>
            <w:webHidden/>
          </w:rPr>
          <w:t>1</w:t>
        </w:r>
        <w:r w:rsidR="00347DC9">
          <w:rPr>
            <w:noProof/>
            <w:webHidden/>
          </w:rPr>
          <w:fldChar w:fldCharType="end"/>
        </w:r>
      </w:hyperlink>
    </w:p>
    <w:p w14:paraId="0BAA76CC" w14:textId="5121688C" w:rsidR="00347DC9" w:rsidRDefault="004E53E6">
      <w:pPr>
        <w:pStyle w:val="TOC2"/>
        <w:tabs>
          <w:tab w:val="right" w:leader="dot" w:pos="9350"/>
        </w:tabs>
        <w:rPr>
          <w:rFonts w:asciiTheme="minorHAnsi" w:eastAsiaTheme="minorEastAsia" w:hAnsiTheme="minorHAnsi" w:cstheme="minorBidi"/>
          <w:noProof/>
          <w:sz w:val="22"/>
          <w:szCs w:val="22"/>
        </w:rPr>
      </w:pPr>
      <w:hyperlink w:anchor="_Toc535866891" w:history="1">
        <w:r w:rsidR="00347DC9" w:rsidRPr="00E91945">
          <w:rPr>
            <w:rStyle w:val="Hyperlink"/>
            <w:noProof/>
          </w:rPr>
          <w:t>How foundation budgets are calculated</w:t>
        </w:r>
        <w:r w:rsidR="00347DC9">
          <w:rPr>
            <w:noProof/>
            <w:webHidden/>
          </w:rPr>
          <w:tab/>
        </w:r>
        <w:r w:rsidR="00347DC9">
          <w:rPr>
            <w:noProof/>
            <w:webHidden/>
          </w:rPr>
          <w:fldChar w:fldCharType="begin"/>
        </w:r>
        <w:r w:rsidR="00347DC9">
          <w:rPr>
            <w:noProof/>
            <w:webHidden/>
          </w:rPr>
          <w:instrText xml:space="preserve"> PAGEREF _Toc535866891 \h </w:instrText>
        </w:r>
        <w:r w:rsidR="00347DC9">
          <w:rPr>
            <w:noProof/>
            <w:webHidden/>
          </w:rPr>
        </w:r>
        <w:r w:rsidR="00347DC9">
          <w:rPr>
            <w:noProof/>
            <w:webHidden/>
          </w:rPr>
          <w:fldChar w:fldCharType="separate"/>
        </w:r>
        <w:r w:rsidR="00347DC9">
          <w:rPr>
            <w:noProof/>
            <w:webHidden/>
          </w:rPr>
          <w:t>2</w:t>
        </w:r>
        <w:r w:rsidR="00347DC9">
          <w:rPr>
            <w:noProof/>
            <w:webHidden/>
          </w:rPr>
          <w:fldChar w:fldCharType="end"/>
        </w:r>
      </w:hyperlink>
    </w:p>
    <w:p w14:paraId="259C15CD" w14:textId="746ECA0C" w:rsidR="00347DC9" w:rsidRDefault="004E53E6">
      <w:pPr>
        <w:pStyle w:val="TOC1"/>
        <w:rPr>
          <w:rFonts w:asciiTheme="minorHAnsi" w:eastAsiaTheme="minorEastAsia" w:hAnsiTheme="minorHAnsi" w:cstheme="minorBidi"/>
          <w:b w:val="0"/>
          <w:noProof/>
          <w:sz w:val="22"/>
          <w:szCs w:val="22"/>
        </w:rPr>
      </w:pPr>
      <w:hyperlink w:anchor="_Toc535866892" w:history="1">
        <w:r w:rsidR="00347DC9" w:rsidRPr="00E91945">
          <w:rPr>
            <w:rStyle w:val="Hyperlink"/>
            <w:noProof/>
          </w:rPr>
          <w:t>Appendix A: How required local contributions are calculated</w:t>
        </w:r>
        <w:r w:rsidR="00347DC9">
          <w:rPr>
            <w:noProof/>
            <w:webHidden/>
          </w:rPr>
          <w:tab/>
        </w:r>
        <w:r w:rsidR="00347DC9">
          <w:rPr>
            <w:noProof/>
            <w:webHidden/>
          </w:rPr>
          <w:fldChar w:fldCharType="begin"/>
        </w:r>
        <w:r w:rsidR="00347DC9">
          <w:rPr>
            <w:noProof/>
            <w:webHidden/>
          </w:rPr>
          <w:instrText xml:space="preserve"> PAGEREF _Toc535866892 \h </w:instrText>
        </w:r>
        <w:r w:rsidR="00347DC9">
          <w:rPr>
            <w:noProof/>
            <w:webHidden/>
          </w:rPr>
        </w:r>
        <w:r w:rsidR="00347DC9">
          <w:rPr>
            <w:noProof/>
            <w:webHidden/>
          </w:rPr>
          <w:fldChar w:fldCharType="separate"/>
        </w:r>
        <w:r w:rsidR="00347DC9">
          <w:rPr>
            <w:noProof/>
            <w:webHidden/>
          </w:rPr>
          <w:t>15</w:t>
        </w:r>
        <w:r w:rsidR="00347DC9">
          <w:rPr>
            <w:noProof/>
            <w:webHidden/>
          </w:rPr>
          <w:fldChar w:fldCharType="end"/>
        </w:r>
      </w:hyperlink>
    </w:p>
    <w:p w14:paraId="6FFD1AF5" w14:textId="1FEC4C30" w:rsidR="00347DC9" w:rsidRDefault="004E53E6">
      <w:pPr>
        <w:pStyle w:val="TOC2"/>
        <w:tabs>
          <w:tab w:val="right" w:leader="dot" w:pos="9350"/>
        </w:tabs>
        <w:rPr>
          <w:rFonts w:asciiTheme="minorHAnsi" w:eastAsiaTheme="minorEastAsia" w:hAnsiTheme="minorHAnsi" w:cstheme="minorBidi"/>
          <w:noProof/>
          <w:sz w:val="22"/>
          <w:szCs w:val="22"/>
        </w:rPr>
      </w:pPr>
      <w:hyperlink w:anchor="_Toc535866893" w:history="1">
        <w:r w:rsidR="00347DC9" w:rsidRPr="00E91945">
          <w:rPr>
            <w:rStyle w:val="Hyperlink"/>
            <w:noProof/>
          </w:rPr>
          <w:t>Target contribution calculations</w:t>
        </w:r>
        <w:r w:rsidR="00347DC9">
          <w:rPr>
            <w:noProof/>
            <w:webHidden/>
          </w:rPr>
          <w:tab/>
        </w:r>
        <w:r w:rsidR="00347DC9">
          <w:rPr>
            <w:noProof/>
            <w:webHidden/>
          </w:rPr>
          <w:fldChar w:fldCharType="begin"/>
        </w:r>
        <w:r w:rsidR="00347DC9">
          <w:rPr>
            <w:noProof/>
            <w:webHidden/>
          </w:rPr>
          <w:instrText xml:space="preserve"> PAGEREF _Toc535866893 \h </w:instrText>
        </w:r>
        <w:r w:rsidR="00347DC9">
          <w:rPr>
            <w:noProof/>
            <w:webHidden/>
          </w:rPr>
        </w:r>
        <w:r w:rsidR="00347DC9">
          <w:rPr>
            <w:noProof/>
            <w:webHidden/>
          </w:rPr>
          <w:fldChar w:fldCharType="separate"/>
        </w:r>
        <w:r w:rsidR="00347DC9">
          <w:rPr>
            <w:noProof/>
            <w:webHidden/>
          </w:rPr>
          <w:t>15</w:t>
        </w:r>
        <w:r w:rsidR="00347DC9">
          <w:rPr>
            <w:noProof/>
            <w:webHidden/>
          </w:rPr>
          <w:fldChar w:fldCharType="end"/>
        </w:r>
      </w:hyperlink>
    </w:p>
    <w:p w14:paraId="5C001FC4" w14:textId="5BCB4A4B" w:rsidR="00347DC9" w:rsidRDefault="004E53E6">
      <w:pPr>
        <w:pStyle w:val="TOC2"/>
        <w:tabs>
          <w:tab w:val="right" w:leader="dot" w:pos="9350"/>
        </w:tabs>
        <w:rPr>
          <w:rFonts w:asciiTheme="minorHAnsi" w:eastAsiaTheme="minorEastAsia" w:hAnsiTheme="minorHAnsi" w:cstheme="minorBidi"/>
          <w:noProof/>
          <w:sz w:val="22"/>
          <w:szCs w:val="22"/>
        </w:rPr>
      </w:pPr>
      <w:hyperlink w:anchor="_Toc535866894" w:history="1">
        <w:r w:rsidR="00347DC9" w:rsidRPr="00E91945">
          <w:rPr>
            <w:rStyle w:val="Hyperlink"/>
            <w:noProof/>
          </w:rPr>
          <w:t>Calculation of the FY20 increments toward the targets</w:t>
        </w:r>
        <w:r w:rsidR="00347DC9">
          <w:rPr>
            <w:noProof/>
            <w:webHidden/>
          </w:rPr>
          <w:tab/>
        </w:r>
        <w:r w:rsidR="00347DC9">
          <w:rPr>
            <w:noProof/>
            <w:webHidden/>
          </w:rPr>
          <w:fldChar w:fldCharType="begin"/>
        </w:r>
        <w:r w:rsidR="00347DC9">
          <w:rPr>
            <w:noProof/>
            <w:webHidden/>
          </w:rPr>
          <w:instrText xml:space="preserve"> PAGEREF _Toc535866894 \h </w:instrText>
        </w:r>
        <w:r w:rsidR="00347DC9">
          <w:rPr>
            <w:noProof/>
            <w:webHidden/>
          </w:rPr>
        </w:r>
        <w:r w:rsidR="00347DC9">
          <w:rPr>
            <w:noProof/>
            <w:webHidden/>
          </w:rPr>
          <w:fldChar w:fldCharType="separate"/>
        </w:r>
        <w:r w:rsidR="00347DC9">
          <w:rPr>
            <w:noProof/>
            <w:webHidden/>
          </w:rPr>
          <w:t>15</w:t>
        </w:r>
        <w:r w:rsidR="00347DC9">
          <w:rPr>
            <w:noProof/>
            <w:webHidden/>
          </w:rPr>
          <w:fldChar w:fldCharType="end"/>
        </w:r>
      </w:hyperlink>
    </w:p>
    <w:p w14:paraId="0BCF784D" w14:textId="46DE8C21" w:rsidR="00347DC9" w:rsidRDefault="004E53E6">
      <w:pPr>
        <w:pStyle w:val="TOC1"/>
        <w:rPr>
          <w:rFonts w:asciiTheme="minorHAnsi" w:eastAsiaTheme="minorEastAsia" w:hAnsiTheme="minorHAnsi" w:cstheme="minorBidi"/>
          <w:b w:val="0"/>
          <w:noProof/>
          <w:sz w:val="22"/>
          <w:szCs w:val="22"/>
        </w:rPr>
      </w:pPr>
      <w:hyperlink w:anchor="_Toc535866895" w:history="1">
        <w:r w:rsidR="00347DC9" w:rsidRPr="00E91945">
          <w:rPr>
            <w:rStyle w:val="Hyperlink"/>
            <w:noProof/>
          </w:rPr>
          <w:t>Appendix B: FY20 foundation budget rates</w:t>
        </w:r>
        <w:r w:rsidR="00347DC9">
          <w:rPr>
            <w:noProof/>
            <w:webHidden/>
          </w:rPr>
          <w:tab/>
        </w:r>
        <w:r w:rsidR="00347DC9">
          <w:rPr>
            <w:noProof/>
            <w:webHidden/>
          </w:rPr>
          <w:fldChar w:fldCharType="begin"/>
        </w:r>
        <w:r w:rsidR="00347DC9">
          <w:rPr>
            <w:noProof/>
            <w:webHidden/>
          </w:rPr>
          <w:instrText xml:space="preserve"> PAGEREF _Toc535866895 \h </w:instrText>
        </w:r>
        <w:r w:rsidR="00347DC9">
          <w:rPr>
            <w:noProof/>
            <w:webHidden/>
          </w:rPr>
        </w:r>
        <w:r w:rsidR="00347DC9">
          <w:rPr>
            <w:noProof/>
            <w:webHidden/>
          </w:rPr>
          <w:fldChar w:fldCharType="separate"/>
        </w:r>
        <w:r w:rsidR="00347DC9">
          <w:rPr>
            <w:noProof/>
            <w:webHidden/>
          </w:rPr>
          <w:t>17</w:t>
        </w:r>
        <w:r w:rsidR="00347DC9">
          <w:rPr>
            <w:noProof/>
            <w:webHidden/>
          </w:rPr>
          <w:fldChar w:fldCharType="end"/>
        </w:r>
      </w:hyperlink>
    </w:p>
    <w:p w14:paraId="02D69A19" w14:textId="77777777" w:rsidR="00CC6A09" w:rsidRDefault="00FA0CDD">
      <w:pPr>
        <w:rPr>
          <w:rFonts w:ascii="Arial" w:hAnsi="Arial"/>
          <w:b/>
        </w:rPr>
        <w:sectPr w:rsidR="00CC6A09" w:rsidSect="00C52463">
          <w:footerReference w:type="default" r:id="rId14"/>
          <w:pgSz w:w="12240" w:h="15840"/>
          <w:pgMar w:top="1440" w:right="1440" w:bottom="1440" w:left="1440" w:header="720" w:footer="720" w:gutter="0"/>
          <w:cols w:space="720"/>
        </w:sectPr>
      </w:pPr>
      <w:r>
        <w:rPr>
          <w:rFonts w:ascii="Arial" w:hAnsi="Arial"/>
          <w:b/>
        </w:rPr>
        <w:fldChar w:fldCharType="end"/>
      </w:r>
    </w:p>
    <w:p w14:paraId="34285D25" w14:textId="25A93E27" w:rsidR="008A4024" w:rsidRPr="00E64326" w:rsidRDefault="008A4024" w:rsidP="00061975">
      <w:pPr>
        <w:pStyle w:val="Heading1"/>
      </w:pPr>
      <w:bookmarkStart w:id="1" w:name="_Toc535866889"/>
      <w:r w:rsidRPr="00E64326">
        <w:lastRenderedPageBreak/>
        <w:t>FY</w:t>
      </w:r>
      <w:r w:rsidR="00A50CB2">
        <w:t>20</w:t>
      </w:r>
      <w:r w:rsidRPr="00E64326">
        <w:t xml:space="preserve"> Chapter 70 </w:t>
      </w:r>
      <w:r w:rsidR="009D4EEC">
        <w:t>a</w:t>
      </w:r>
      <w:r w:rsidRPr="00E64326">
        <w:t xml:space="preserve">id and </w:t>
      </w:r>
      <w:r w:rsidR="009D4EEC">
        <w:t>r</w:t>
      </w:r>
      <w:r w:rsidRPr="00E64326">
        <w:t xml:space="preserve">equired </w:t>
      </w:r>
      <w:r w:rsidR="009D4EEC">
        <w:t>c</w:t>
      </w:r>
      <w:r w:rsidRPr="00E64326">
        <w:t xml:space="preserve">ontribution </w:t>
      </w:r>
      <w:r w:rsidR="009D4EEC">
        <w:t>c</w:t>
      </w:r>
      <w:r w:rsidRPr="00E64326">
        <w:t>alculations</w:t>
      </w:r>
      <w:bookmarkEnd w:id="1"/>
    </w:p>
    <w:p w14:paraId="0B8A224C" w14:textId="7A7D7B59" w:rsidR="008A4024" w:rsidRPr="00E64326" w:rsidRDefault="008A4024" w:rsidP="00305D19">
      <w:r w:rsidRPr="00E64326">
        <w:t>Chapter 70 is the Commonwealth's program for ensuring adequate and equitable K</w:t>
      </w:r>
      <w:r w:rsidR="00282DA8">
        <w:t>–</w:t>
      </w:r>
      <w:r w:rsidRPr="00E64326">
        <w:t>12 education funding. It determines an adequate spending level for each school district (the foundation budget). It then uses each community's property values and residents' incomes to determine how much of the foundation budget should be funded from local property taxes. Chapter 70 state aid pays for the remaining amount.</w:t>
      </w:r>
    </w:p>
    <w:p w14:paraId="4D526685" w14:textId="77777777" w:rsidR="008A4024" w:rsidRPr="00FA0CDD" w:rsidRDefault="008A4024">
      <w:pPr>
        <w:pStyle w:val="Heading2"/>
      </w:pPr>
      <w:bookmarkStart w:id="2" w:name="_Toc535866890"/>
      <w:r w:rsidRPr="00FA0CDD">
        <w:t>Summary of how the formula works</w:t>
      </w:r>
      <w:bookmarkEnd w:id="2"/>
    </w:p>
    <w:p w14:paraId="6D33DCE6" w14:textId="44D19E21" w:rsidR="008A4024" w:rsidRDefault="00C52463" w:rsidP="00BD2811">
      <w:pPr>
        <w:rPr>
          <w:shd w:val="clear" w:color="auto" w:fill="FFFFFF"/>
        </w:rPr>
      </w:pPr>
      <w:r>
        <w:rPr>
          <w:shd w:val="clear" w:color="auto" w:fill="FFFFFF"/>
        </w:rPr>
        <w:t>The first step in the formula is to calculate a</w:t>
      </w:r>
      <w:r w:rsidR="00347DC9">
        <w:rPr>
          <w:shd w:val="clear" w:color="auto" w:fill="FFFFFF"/>
        </w:rPr>
        <w:t xml:space="preserve"> </w:t>
      </w:r>
      <w:r w:rsidR="008A4024" w:rsidRPr="00656EA4">
        <w:rPr>
          <w:b/>
          <w:bCs/>
          <w:shd w:val="clear" w:color="auto" w:fill="FFFFFF"/>
        </w:rPr>
        <w:t>foundation budget</w:t>
      </w:r>
      <w:r w:rsidR="00347DC9">
        <w:rPr>
          <w:shd w:val="clear" w:color="auto" w:fill="FFFFFF"/>
        </w:rPr>
        <w:t xml:space="preserve"> </w:t>
      </w:r>
      <w:r w:rsidR="008A4024" w:rsidRPr="00656EA4">
        <w:rPr>
          <w:shd w:val="clear" w:color="auto" w:fill="FFFFFF"/>
        </w:rPr>
        <w:t xml:space="preserve">for each school district, </w:t>
      </w:r>
      <w:r>
        <w:rPr>
          <w:shd w:val="clear" w:color="auto" w:fill="FFFFFF"/>
        </w:rPr>
        <w:t>which represents</w:t>
      </w:r>
      <w:r w:rsidR="008A4024" w:rsidRPr="00656EA4">
        <w:rPr>
          <w:shd w:val="clear" w:color="auto" w:fill="FFFFFF"/>
        </w:rPr>
        <w:t xml:space="preserve"> the minimum spending level needed to provide an adequate education. The foundation budget is adjusted each year to reflect changes in the district's enrollment; changes in student demographics (grade levels</w:t>
      </w:r>
      <w:r w:rsidR="00AB774F">
        <w:rPr>
          <w:shd w:val="clear" w:color="auto" w:fill="FFFFFF"/>
        </w:rPr>
        <w:t>,</w:t>
      </w:r>
      <w:r w:rsidR="008A4024" w:rsidRPr="00656EA4">
        <w:rPr>
          <w:shd w:val="clear" w:color="auto" w:fill="FFFFFF"/>
        </w:rPr>
        <w:t xml:space="preserve"> economically disadvantaged status</w:t>
      </w:r>
      <w:r w:rsidR="00AB774F">
        <w:rPr>
          <w:shd w:val="clear" w:color="auto" w:fill="FFFFFF"/>
        </w:rPr>
        <w:t>,</w:t>
      </w:r>
      <w:r w:rsidR="008A4024" w:rsidRPr="00656EA4">
        <w:rPr>
          <w:shd w:val="clear" w:color="auto" w:fill="FFFFFF"/>
        </w:rPr>
        <w:t xml:space="preserve"> </w:t>
      </w:r>
      <w:r w:rsidR="00AB774F">
        <w:rPr>
          <w:shd w:val="clear" w:color="auto" w:fill="FFFFFF"/>
        </w:rPr>
        <w:t xml:space="preserve">and </w:t>
      </w:r>
      <w:r w:rsidR="008A4024" w:rsidRPr="00656EA4">
        <w:rPr>
          <w:shd w:val="clear" w:color="auto" w:fill="FFFFFF"/>
        </w:rPr>
        <w:t>English language proficiency); inflation</w:t>
      </w:r>
      <w:r w:rsidR="00AB774F">
        <w:rPr>
          <w:shd w:val="clear" w:color="auto" w:fill="FFFFFF"/>
        </w:rPr>
        <w:t>;</w:t>
      </w:r>
      <w:r w:rsidR="008A4024" w:rsidRPr="00656EA4">
        <w:rPr>
          <w:shd w:val="clear" w:color="auto" w:fill="FFFFFF"/>
        </w:rPr>
        <w:t xml:space="preserve"> and geographical differences in wage levels.</w:t>
      </w:r>
    </w:p>
    <w:p w14:paraId="5C39DCF3" w14:textId="77777777" w:rsidR="00C44DF4" w:rsidRPr="00656EA4" w:rsidRDefault="00C44DF4" w:rsidP="00BD2811">
      <w:pPr>
        <w:rPr>
          <w:shd w:val="clear" w:color="auto" w:fill="FFFFFF"/>
        </w:rPr>
      </w:pPr>
    </w:p>
    <w:p w14:paraId="79AE4290" w14:textId="0AD2A517" w:rsidR="008A4024" w:rsidRDefault="008A4024" w:rsidP="003935B7">
      <w:pPr>
        <w:pStyle w:val="ListParagraph"/>
        <w:numPr>
          <w:ilvl w:val="0"/>
          <w:numId w:val="22"/>
        </w:numPr>
        <w:spacing w:after="240"/>
        <w:contextualSpacing w:val="0"/>
      </w:pPr>
      <w:r w:rsidRPr="00E64326">
        <w:t>The inflation adjustment for FY</w:t>
      </w:r>
      <w:r w:rsidR="00A50CB2">
        <w:t>20</w:t>
      </w:r>
      <w:r w:rsidRPr="00E64326">
        <w:t xml:space="preserve"> is set at </w:t>
      </w:r>
      <w:r w:rsidR="00A50CB2">
        <w:t>3.75</w:t>
      </w:r>
      <w:r w:rsidRPr="00E64326">
        <w:t xml:space="preserve"> percent, in accordance with the Chapter 70 statute, which </w:t>
      </w:r>
      <w:r w:rsidR="00AB774F">
        <w:t>requires using</w:t>
      </w:r>
      <w:r w:rsidRPr="00E64326">
        <w:t xml:space="preserve"> the ratio of the current year's third-quarter inflation index </w:t>
      </w:r>
      <w:r w:rsidRPr="0016382B">
        <w:t>(201</w:t>
      </w:r>
      <w:r w:rsidR="00D1796B" w:rsidRPr="009D5F80">
        <w:t>8</w:t>
      </w:r>
      <w:r w:rsidRPr="0016382B">
        <w:t xml:space="preserve"> = 1</w:t>
      </w:r>
      <w:r w:rsidR="00D1796B" w:rsidRPr="009D5F80">
        <w:t>13</w:t>
      </w:r>
      <w:r w:rsidRPr="0016382B">
        <w:t>.</w:t>
      </w:r>
      <w:r w:rsidR="00D1796B" w:rsidRPr="009D5F80">
        <w:t>534</w:t>
      </w:r>
      <w:r w:rsidRPr="0016382B">
        <w:t>) to the prior year's third-quarter index (201</w:t>
      </w:r>
      <w:r w:rsidR="009D5F80">
        <w:t>7</w:t>
      </w:r>
      <w:r w:rsidRPr="0016382B">
        <w:t xml:space="preserve"> = 1</w:t>
      </w:r>
      <w:r w:rsidR="00D1796B" w:rsidRPr="009D5F80">
        <w:t>09</w:t>
      </w:r>
      <w:r w:rsidRPr="0016382B">
        <w:t>.</w:t>
      </w:r>
      <w:r w:rsidR="00D1796B" w:rsidRPr="009D5F80">
        <w:t>428</w:t>
      </w:r>
      <w:r w:rsidRPr="0016382B">
        <w:t>).</w:t>
      </w:r>
    </w:p>
    <w:p w14:paraId="2D3C7471" w14:textId="7BB20D48" w:rsidR="008A4024" w:rsidRDefault="008A4024" w:rsidP="003935B7">
      <w:pPr>
        <w:pStyle w:val="ListParagraph"/>
        <w:numPr>
          <w:ilvl w:val="0"/>
          <w:numId w:val="22"/>
        </w:numPr>
        <w:spacing w:after="240"/>
        <w:contextualSpacing w:val="0"/>
      </w:pPr>
      <w:r w:rsidRPr="00E64326">
        <w:t xml:space="preserve">Enrollment </w:t>
      </w:r>
      <w:r w:rsidR="00F456CE">
        <w:t>decreased</w:t>
      </w:r>
      <w:r>
        <w:t xml:space="preserve"> from 941,</w:t>
      </w:r>
      <w:r w:rsidR="00F456CE">
        <w:t>411</w:t>
      </w:r>
      <w:r>
        <w:t xml:space="preserve"> in FY1</w:t>
      </w:r>
      <w:r w:rsidR="00F456CE">
        <w:t>9</w:t>
      </w:r>
      <w:r>
        <w:t xml:space="preserve"> to</w:t>
      </w:r>
      <w:r w:rsidR="00676F8F">
        <w:t xml:space="preserve"> 939,683</w:t>
      </w:r>
      <w:r>
        <w:t xml:space="preserve"> </w:t>
      </w:r>
      <w:r w:rsidRPr="00E64326">
        <w:t>in FY</w:t>
      </w:r>
      <w:r w:rsidR="00F456CE">
        <w:t>20</w:t>
      </w:r>
      <w:r w:rsidRPr="00E64326">
        <w:t xml:space="preserve">, a </w:t>
      </w:r>
      <w:r>
        <w:t>0.</w:t>
      </w:r>
      <w:r w:rsidR="00F456CE">
        <w:t>18</w:t>
      </w:r>
      <w:r w:rsidRPr="00E64326">
        <w:t xml:space="preserve"> percent </w:t>
      </w:r>
      <w:r w:rsidR="00F456CE">
        <w:t>decrease</w:t>
      </w:r>
      <w:r w:rsidRPr="00900C15">
        <w:t xml:space="preserve">; </w:t>
      </w:r>
      <w:r w:rsidR="00F456CE">
        <w:t>8</w:t>
      </w:r>
      <w:r w:rsidRPr="00900C15">
        <w:t xml:space="preserve"> districts saw their foundation enrollment increase by over 5 percent.</w:t>
      </w:r>
    </w:p>
    <w:p w14:paraId="034BDCB6" w14:textId="6C60C11F" w:rsidR="008A4024" w:rsidRDefault="008A4024" w:rsidP="003935B7">
      <w:pPr>
        <w:pStyle w:val="ListParagraph"/>
        <w:numPr>
          <w:ilvl w:val="0"/>
          <w:numId w:val="22"/>
        </w:numPr>
        <w:spacing w:after="240"/>
        <w:contextualSpacing w:val="0"/>
      </w:pPr>
      <w:r w:rsidRPr="00E64326">
        <w:t>The total statewide foundation budget increased from $10.</w:t>
      </w:r>
      <w:r w:rsidR="00F456CE">
        <w:t>778</w:t>
      </w:r>
      <w:r w:rsidRPr="00E64326">
        <w:t xml:space="preserve"> billion in</w:t>
      </w:r>
      <w:r>
        <w:t xml:space="preserve"> FY1</w:t>
      </w:r>
      <w:r w:rsidR="00F456CE">
        <w:t>9</w:t>
      </w:r>
      <w:r>
        <w:t xml:space="preserve"> to $</w:t>
      </w:r>
      <w:r w:rsidR="00F456CE">
        <w:t>11.</w:t>
      </w:r>
      <w:r w:rsidR="00F2781A">
        <w:t xml:space="preserve">359 </w:t>
      </w:r>
      <w:r>
        <w:t>billion in FY</w:t>
      </w:r>
      <w:r w:rsidR="00F456CE">
        <w:t>20</w:t>
      </w:r>
      <w:r w:rsidRPr="00E64326">
        <w:t xml:space="preserve">, </w:t>
      </w:r>
      <w:r w:rsidR="001C226C">
        <w:t>growing by $</w:t>
      </w:r>
      <w:r w:rsidR="00F2781A">
        <w:t xml:space="preserve">581 </w:t>
      </w:r>
      <w:r w:rsidR="001C226C">
        <w:t xml:space="preserve">million or </w:t>
      </w:r>
      <w:r w:rsidR="00F2781A">
        <w:t>5.4</w:t>
      </w:r>
      <w:r w:rsidRPr="00E64326">
        <w:t xml:space="preserve"> percent.</w:t>
      </w:r>
    </w:p>
    <w:p w14:paraId="105ED470" w14:textId="61E68D1F" w:rsidR="008A4024" w:rsidRDefault="001C226C" w:rsidP="00305D19">
      <w:r>
        <w:t xml:space="preserve">A </w:t>
      </w:r>
      <w:r w:rsidR="008A4024" w:rsidRPr="00E64326">
        <w:rPr>
          <w:b/>
          <w:bCs/>
        </w:rPr>
        <w:t>target local contribution</w:t>
      </w:r>
      <w:r w:rsidR="008A4024" w:rsidRPr="00E64326">
        <w:t> establishes an ideal goal for how much each city and town should contribute toward its foundation budget, based on the municipality's wealth. Two measures of municipal wealth are used: aggregate property values and aggregate personal income, with each given equal weight. The target is recalculated each year based on the most recent income and property valuations.</w:t>
      </w:r>
    </w:p>
    <w:p w14:paraId="2FDE33DA" w14:textId="77777777" w:rsidR="00C44DF4" w:rsidRPr="00E64326" w:rsidRDefault="00C44DF4" w:rsidP="00305D19"/>
    <w:p w14:paraId="21088783" w14:textId="64C0CF07" w:rsidR="008A4024" w:rsidRDefault="008A4024" w:rsidP="00305D19">
      <w:r w:rsidRPr="00E64326">
        <w:t>The target calculations assume that local contributions in total should cover 59 percent of the statewide foundation budget (</w:t>
      </w:r>
      <w:r w:rsidRPr="00E64326">
        <w:rPr>
          <w:b/>
          <w:bCs/>
        </w:rPr>
        <w:t>target local share</w:t>
      </w:r>
      <w:r w:rsidRPr="00E64326">
        <w:t>), with state aid covering the remaining 41 percent (</w:t>
      </w:r>
      <w:r w:rsidRPr="00E64326">
        <w:rPr>
          <w:b/>
          <w:bCs/>
        </w:rPr>
        <w:t>target aid share</w:t>
      </w:r>
      <w:r w:rsidRPr="00E64326">
        <w:t>). The target local share and target aid share for any individual city or town will vary in proportion to the municipality's wealth. The target calculation also includes a</w:t>
      </w:r>
      <w:r w:rsidR="001C226C">
        <w:t xml:space="preserve"> </w:t>
      </w:r>
      <w:r w:rsidRPr="00E64326">
        <w:rPr>
          <w:b/>
          <w:bCs/>
        </w:rPr>
        <w:t>maximum local share</w:t>
      </w:r>
      <w:r w:rsidR="00EA2FF1">
        <w:t xml:space="preserve"> </w:t>
      </w:r>
      <w:r w:rsidRPr="00E64326">
        <w:t>of 82.5 percent, thus ensuring that all communities will get some minimum amount of state funding.</w:t>
      </w:r>
    </w:p>
    <w:p w14:paraId="202AD488" w14:textId="77777777" w:rsidR="00C44DF4" w:rsidRPr="00E64326" w:rsidRDefault="00C44DF4" w:rsidP="00305D19"/>
    <w:p w14:paraId="5F436742" w14:textId="5A52AFDC" w:rsidR="008A4024" w:rsidRDefault="008A4024" w:rsidP="00305D19">
      <w:r w:rsidRPr="00E64326">
        <w:t>The required local contribution for each municipality is based on the previous year's required contribution, and includes some transition factors so that the shift toward the target levels occurs over a period of several years.</w:t>
      </w:r>
    </w:p>
    <w:p w14:paraId="313181D6" w14:textId="77777777" w:rsidR="00C44DF4" w:rsidRPr="00E64326" w:rsidRDefault="00C44DF4" w:rsidP="00305D19"/>
    <w:p w14:paraId="3BBE3CBA" w14:textId="28770E16" w:rsidR="008A4024" w:rsidRDefault="00F67C9B" w:rsidP="00305D19">
      <w:r>
        <w:t>M</w:t>
      </w:r>
      <w:r w:rsidR="008A4024" w:rsidRPr="00305D19">
        <w:t>unicipalities whose local contribution requirements are higher than their targets will see a reduction in the requirement of 100 percent of the amount above the target.</w:t>
      </w:r>
      <w:r w:rsidR="00C62736">
        <w:t xml:space="preserve"> </w:t>
      </w:r>
      <w:r w:rsidR="008A4024" w:rsidRPr="00305D19">
        <w:t>Municipalities whose local contribution requirements are lower than their targets will continue to see their requirements increase by the municipal revenue growth factor</w:t>
      </w:r>
      <w:r w:rsidR="004C4643">
        <w:t xml:space="preserve"> (MRGF)</w:t>
      </w:r>
      <w:r w:rsidR="008A4024" w:rsidRPr="00305D19">
        <w:t xml:space="preserve">. If they are more than 2.5 </w:t>
      </w:r>
      <w:r w:rsidR="008A4024" w:rsidRPr="00305D19">
        <w:lastRenderedPageBreak/>
        <w:t xml:space="preserve">percent below their target, an increment of either 1 or 2 percent </w:t>
      </w:r>
      <w:r w:rsidR="00132D59">
        <w:t>is</w:t>
      </w:r>
      <w:r w:rsidR="008A4024" w:rsidRPr="00305D19">
        <w:t xml:space="preserve"> added to their growth factor</w:t>
      </w:r>
      <w:r w:rsidR="00AF5DD5">
        <w:t xml:space="preserve">. </w:t>
      </w:r>
      <w:r w:rsidR="00F2781A">
        <w:t>In addition</w:t>
      </w:r>
      <w:r w:rsidR="00A711E3">
        <w:t xml:space="preserve">, </w:t>
      </w:r>
      <w:r w:rsidR="00FC5E22">
        <w:t>the local contribution requirements for c</w:t>
      </w:r>
      <w:r w:rsidR="00FC5E22" w:rsidRPr="000C4BAE">
        <w:t xml:space="preserve">ities and towns with combined effort yields greater than 175 percent of foundation </w:t>
      </w:r>
      <w:r w:rsidR="00FC5E22">
        <w:t xml:space="preserve">are </w:t>
      </w:r>
      <w:r w:rsidR="00FC5E22" w:rsidRPr="000C4BAE">
        <w:t xml:space="preserve">set at </w:t>
      </w:r>
      <w:r w:rsidR="00FC5E22">
        <w:t xml:space="preserve">82.5 percent of foundation, </w:t>
      </w:r>
      <w:r w:rsidR="00AF5DD5">
        <w:t>see Appendix A for a more detailed explanation.</w:t>
      </w:r>
      <w:r w:rsidR="00F456CE">
        <w:t xml:space="preserve"> </w:t>
      </w:r>
    </w:p>
    <w:p w14:paraId="6DF661C7" w14:textId="77777777" w:rsidR="00BB62CC" w:rsidRPr="00E64326" w:rsidRDefault="00BB62CC" w:rsidP="00305D19">
      <w:pPr>
        <w:rPr>
          <w:sz w:val="20"/>
          <w:szCs w:val="20"/>
        </w:rPr>
      </w:pPr>
    </w:p>
    <w:p w14:paraId="2140AF01" w14:textId="0EB54E2D" w:rsidR="008A4024" w:rsidRPr="00305D19" w:rsidRDefault="008A4024" w:rsidP="00305D19">
      <w:r w:rsidRPr="00305D19">
        <w:t>In FY</w:t>
      </w:r>
      <w:r w:rsidR="00F456CE">
        <w:t>20</w:t>
      </w:r>
      <w:r w:rsidRPr="00305D19">
        <w:t>, the </w:t>
      </w:r>
      <w:r w:rsidRPr="00305D19">
        <w:rPr>
          <w:b/>
          <w:bCs/>
        </w:rPr>
        <w:t>Chapter 70 aid calculation</w:t>
      </w:r>
      <w:r w:rsidRPr="00305D19">
        <w:t> begins with each district's FY1</w:t>
      </w:r>
      <w:r w:rsidR="00F456CE">
        <w:t>9</w:t>
      </w:r>
      <w:r w:rsidRPr="00305D19">
        <w:t xml:space="preserve"> Chapter 70 amount</w:t>
      </w:r>
      <w:r w:rsidR="00AF5DD5">
        <w:t xml:space="preserve">, including </w:t>
      </w:r>
      <w:r w:rsidR="006352CF" w:rsidRPr="006352CF">
        <w:t>transition aid for 11 districts significantly impacted by the change from free and reduced price lunch counts to the economically disadvantaged measure</w:t>
      </w:r>
      <w:r w:rsidRPr="00305D19">
        <w:t>. If the sum of that amount and the required local contribution is less than the district's foundation budget, then foundation aid is added to cover the gap</w:t>
      </w:r>
      <w:r w:rsidR="00C44DF4" w:rsidRPr="00305D19">
        <w:t xml:space="preserve">; </w:t>
      </w:r>
      <w:r w:rsidRPr="00305D19">
        <w:t>1</w:t>
      </w:r>
      <w:r w:rsidR="00001A7A">
        <w:t>44</w:t>
      </w:r>
      <w:r w:rsidRPr="00305D19">
        <w:t xml:space="preserve"> operating districts receive</w:t>
      </w:r>
      <w:r w:rsidR="00C44DF4" w:rsidRPr="00305D19">
        <w:t xml:space="preserve"> foundation aid in FY</w:t>
      </w:r>
      <w:r w:rsidR="00F456CE">
        <w:t>20</w:t>
      </w:r>
      <w:r w:rsidRPr="00305D19">
        <w:t>.</w:t>
      </w:r>
      <w:r w:rsidR="00C44DF4" w:rsidRPr="00305D19">
        <w:t xml:space="preserve"> </w:t>
      </w:r>
      <w:r w:rsidRPr="00305D19">
        <w:t>Each district is guaranteed to receive at least $</w:t>
      </w:r>
      <w:r w:rsidR="00F2781A">
        <w:t>3</w:t>
      </w:r>
      <w:r w:rsidRPr="00305D19">
        <w:t>0 per pupil in additional Chapter 70 aid</w:t>
      </w:r>
      <w:r w:rsidR="0024688E">
        <w:t>, and</w:t>
      </w:r>
      <w:r w:rsidR="00C44DF4" w:rsidRPr="00305D19">
        <w:t xml:space="preserve"> </w:t>
      </w:r>
      <w:r w:rsidRPr="00305D19">
        <w:t>1</w:t>
      </w:r>
      <w:r w:rsidR="006352CF">
        <w:t>8</w:t>
      </w:r>
      <w:r w:rsidR="00F2781A">
        <w:t>2</w:t>
      </w:r>
      <w:r w:rsidRPr="00305D19">
        <w:t xml:space="preserve"> operating districts receive </w:t>
      </w:r>
      <w:r w:rsidR="00C44DF4" w:rsidRPr="00305D19">
        <w:t>minimum aid increase</w:t>
      </w:r>
      <w:r w:rsidR="00676F8F">
        <w:t>s</w:t>
      </w:r>
      <w:r w:rsidRPr="00305D19">
        <w:t>.</w:t>
      </w:r>
    </w:p>
    <w:p w14:paraId="59F679DF" w14:textId="77777777" w:rsidR="00C44DF4" w:rsidRPr="00061975" w:rsidRDefault="00C44DF4" w:rsidP="00061975">
      <w:pPr>
        <w:rPr>
          <w:highlight w:val="yellow"/>
        </w:rPr>
      </w:pPr>
    </w:p>
    <w:p w14:paraId="456B13C1" w14:textId="335798D8" w:rsidR="005C4255" w:rsidRPr="00061975" w:rsidRDefault="008A4024" w:rsidP="00061975">
      <w:r w:rsidRPr="00061975">
        <w:rPr>
          <w:color w:val="000000"/>
        </w:rPr>
        <w:t xml:space="preserve">Each district must spend the sum of its required district contribution and its Chapter 70 aid. This sum is referred to as the </w:t>
      </w:r>
      <w:r w:rsidR="00C44DF4" w:rsidRPr="00061975">
        <w:t xml:space="preserve">district’s </w:t>
      </w:r>
      <w:r w:rsidRPr="00061975">
        <w:rPr>
          <w:color w:val="000000"/>
        </w:rPr>
        <w:t>net school spending requirement</w:t>
      </w:r>
      <w:r w:rsidR="00BB62CC">
        <w:rPr>
          <w:color w:val="000000"/>
        </w:rPr>
        <w:t>.</w:t>
      </w:r>
    </w:p>
    <w:p w14:paraId="7C28B1CE" w14:textId="3DD6AC42" w:rsidR="008A4024" w:rsidRPr="00061975" w:rsidRDefault="008A4024">
      <w:pPr>
        <w:pStyle w:val="Heading2"/>
      </w:pPr>
      <w:bookmarkStart w:id="3" w:name="_Toc535866891"/>
      <w:r w:rsidRPr="00061975">
        <w:t>How foundation budgets are calculated</w:t>
      </w:r>
      <w:bookmarkEnd w:id="3"/>
    </w:p>
    <w:p w14:paraId="403A2DD6" w14:textId="4C37FA34" w:rsidR="008A4024" w:rsidRPr="008A4024" w:rsidRDefault="008A4024" w:rsidP="00BD2811">
      <w:r w:rsidRPr="008A4024">
        <w:t>In Massachusetts, the definition of an adequate spending level for a school district is called its foundation budget</w:t>
      </w:r>
      <w:r w:rsidR="00DE441D">
        <w:t xml:space="preserve">. </w:t>
      </w:r>
      <w:r w:rsidRPr="008A4024">
        <w:t>The goal of the Chapter 70 formula is to ensure that every district has sufficient resources to meet its foundation budget spending level, through an equitable combination of local property taxes and state aid. The foundation budget is perhaps the most important factor used in calculating a district’s Chapter 70 state education aid.</w:t>
      </w:r>
    </w:p>
    <w:p w14:paraId="12FD4A47" w14:textId="77777777" w:rsidR="008A4024" w:rsidRPr="008A4024" w:rsidRDefault="008A4024" w:rsidP="00BD2811"/>
    <w:p w14:paraId="1A174FFA" w14:textId="5987B86B" w:rsidR="008A4024" w:rsidRDefault="008A4024" w:rsidP="00BD2811">
      <w:r w:rsidRPr="008A4024">
        <w:t>The foundation budget has its origins in three milestones:</w:t>
      </w:r>
    </w:p>
    <w:p w14:paraId="46BAD9E1" w14:textId="77777777" w:rsidR="0024688E" w:rsidRPr="008A4024" w:rsidRDefault="0024688E" w:rsidP="00BD2811"/>
    <w:p w14:paraId="0B63D68E" w14:textId="094573FE" w:rsidR="008A4024" w:rsidRDefault="00C44DF4" w:rsidP="003935B7">
      <w:pPr>
        <w:pStyle w:val="ListParagraph"/>
        <w:numPr>
          <w:ilvl w:val="0"/>
          <w:numId w:val="16"/>
        </w:numPr>
        <w:spacing w:after="240"/>
        <w:contextualSpacing w:val="0"/>
      </w:pPr>
      <w:r>
        <w:t>T</w:t>
      </w:r>
      <w:r w:rsidR="008A4024" w:rsidRPr="008A4024">
        <w:t xml:space="preserve">he Massachusetts Business Alliance for Education’s </w:t>
      </w:r>
      <w:r>
        <w:t xml:space="preserve">(MBAE) </w:t>
      </w:r>
      <w:r w:rsidR="008A4024" w:rsidRPr="008A4024">
        <w:t xml:space="preserve">release of </w:t>
      </w:r>
      <w:r w:rsidR="008A4024" w:rsidRPr="00BD2811">
        <w:rPr>
          <w:i/>
        </w:rPr>
        <w:t>Every Child a Winner</w:t>
      </w:r>
      <w:r w:rsidR="008A4024" w:rsidRPr="008A4024">
        <w:t>, an influential report that laid the groundwork for what would ultimately become the 1993 Education Reform Act. In the report, MBAE calls for “high standards, accountability for performance, and equitable distribution of resources among school districts.”</w:t>
      </w:r>
      <w:r w:rsidR="008A4024" w:rsidRPr="008A4024">
        <w:rPr>
          <w:vertAlign w:val="superscript"/>
        </w:rPr>
        <w:footnoteReference w:id="1"/>
      </w:r>
    </w:p>
    <w:p w14:paraId="102AC9EC" w14:textId="3F4404CA" w:rsidR="008A4024" w:rsidRDefault="008A4024" w:rsidP="003935B7">
      <w:pPr>
        <w:pStyle w:val="ListParagraph"/>
        <w:numPr>
          <w:ilvl w:val="0"/>
          <w:numId w:val="16"/>
        </w:numPr>
        <w:spacing w:after="240"/>
        <w:contextualSpacing w:val="0"/>
      </w:pPr>
      <w:proofErr w:type="spellStart"/>
      <w:r w:rsidRPr="00BD2811">
        <w:rPr>
          <w:i/>
          <w:iCs/>
        </w:rPr>
        <w:t>McDuffy</w:t>
      </w:r>
      <w:proofErr w:type="spellEnd"/>
      <w:r w:rsidRPr="00BD2811">
        <w:rPr>
          <w:i/>
          <w:iCs/>
        </w:rPr>
        <w:t xml:space="preserve"> v. Secretary of the Executive Office of Education </w:t>
      </w:r>
      <w:r w:rsidRPr="008A4024">
        <w:t>(1993), where the Supreme Judicial Court held that the education clause imposes on the Commonwealth “an enforceable duty to provide an education for all students regardless of wealth through the public</w:t>
      </w:r>
      <w:r w:rsidRPr="00BD2811">
        <w:rPr>
          <w:i/>
          <w:iCs/>
        </w:rPr>
        <w:t xml:space="preserve"> </w:t>
      </w:r>
      <w:r w:rsidRPr="008A4024">
        <w:t>schools</w:t>
      </w:r>
      <w:r w:rsidR="00C44DF4">
        <w:t>.</w:t>
      </w:r>
      <w:r w:rsidRPr="008A4024">
        <w:t>”</w:t>
      </w:r>
      <w:r w:rsidRPr="008A4024">
        <w:rPr>
          <w:vertAlign w:val="superscript"/>
        </w:rPr>
        <w:footnoteReference w:id="2"/>
      </w:r>
    </w:p>
    <w:p w14:paraId="54912F63" w14:textId="50AFDBBE" w:rsidR="008A4024" w:rsidRPr="00052753" w:rsidRDefault="00C44DF4" w:rsidP="003935B7">
      <w:pPr>
        <w:pStyle w:val="ListParagraph"/>
        <w:numPr>
          <w:ilvl w:val="0"/>
          <w:numId w:val="16"/>
        </w:numPr>
        <w:spacing w:after="240"/>
        <w:contextualSpacing w:val="0"/>
        <w:rPr>
          <w:i/>
          <w:iCs/>
        </w:rPr>
      </w:pPr>
      <w:r>
        <w:t>T</w:t>
      </w:r>
      <w:r w:rsidR="008A4024" w:rsidRPr="008A4024">
        <w:t xml:space="preserve">he 1993 Education Reform Act, “which for the first time, established a required </w:t>
      </w:r>
      <w:r w:rsidR="00FA0CDD">
        <w:t>‘</w:t>
      </w:r>
      <w:r w:rsidR="008A4024" w:rsidRPr="008A4024">
        <w:t xml:space="preserve">foundation’ level of spending for each district in the Commonwealth that was to be </w:t>
      </w:r>
      <w:r w:rsidR="008A4024" w:rsidRPr="008A4024">
        <w:lastRenderedPageBreak/>
        <w:t>reached by the establishment of both a state-mandated, required local contribution and a supplemental amount of state aid.”</w:t>
      </w:r>
      <w:r w:rsidR="008A4024" w:rsidRPr="008A4024">
        <w:rPr>
          <w:vertAlign w:val="superscript"/>
        </w:rPr>
        <w:footnoteReference w:id="3"/>
      </w:r>
    </w:p>
    <w:p w14:paraId="35D9D689" w14:textId="2904E00F" w:rsidR="008A4024" w:rsidRPr="008A4024" w:rsidRDefault="008A4024">
      <w:pPr>
        <w:pStyle w:val="Heading3"/>
      </w:pPr>
      <w:r w:rsidRPr="00496319">
        <w:t xml:space="preserve">Foundation </w:t>
      </w:r>
      <w:r w:rsidRPr="00946FB9">
        <w:t>budgets</w:t>
      </w:r>
      <w:r w:rsidRPr="00496319">
        <w:t xml:space="preserve"> reflect meaningful differences in enrollment, student characteristics, and geographic differences in wages.</w:t>
      </w:r>
    </w:p>
    <w:p w14:paraId="2F91D6C5" w14:textId="1609A930" w:rsidR="008A4024" w:rsidRDefault="008A4024" w:rsidP="00061975">
      <w:r w:rsidRPr="008A4024">
        <w:t>A district’s foundation budget is updated each year</w:t>
      </w:r>
      <w:r w:rsidR="009D4EEC">
        <w:t xml:space="preserve"> and</w:t>
      </w:r>
      <w:r w:rsidRPr="008A4024">
        <w:t xml:space="preserve"> is influenced by three factors:</w:t>
      </w:r>
      <w:r w:rsidR="004F792C">
        <w:t xml:space="preserve"> Foundation enrollment, inflation, and the wage adjustment factor (WAF).</w:t>
      </w:r>
    </w:p>
    <w:p w14:paraId="63F366B5" w14:textId="0390FE29" w:rsidR="008A4024" w:rsidRPr="008A4024" w:rsidRDefault="008A4024" w:rsidP="00BD2811"/>
    <w:p w14:paraId="6F07ABFF" w14:textId="4EBF11C2" w:rsidR="008A4024" w:rsidRPr="008A4024" w:rsidRDefault="00052753" w:rsidP="00BD2811">
      <w:r>
        <w:t>C</w:t>
      </w:r>
      <w:r w:rsidR="008A4024" w:rsidRPr="008A4024">
        <w:t xml:space="preserve">harter school tuition rates </w:t>
      </w:r>
      <w:r>
        <w:t>also rely</w:t>
      </w:r>
      <w:r w:rsidR="008A4024" w:rsidRPr="008A4024">
        <w:t xml:space="preserve"> on foundation budgets calculated for each sending district’s pupils at each charter school.</w:t>
      </w:r>
    </w:p>
    <w:p w14:paraId="7E7DD3F9" w14:textId="3B335003" w:rsidR="008A4024" w:rsidRDefault="008A4024" w:rsidP="00305D19">
      <w:pPr>
        <w:pStyle w:val="Heading3"/>
      </w:pPr>
      <w:r w:rsidRPr="008A4024">
        <w:t xml:space="preserve">Foundation enrollment is a key factor in determining a school district’s foundation budget and Chapter 70 state education aid. </w:t>
      </w:r>
    </w:p>
    <w:p w14:paraId="7515E961" w14:textId="1E8AECDD" w:rsidR="009C1E9A" w:rsidRPr="008A4024" w:rsidRDefault="009C1E9A" w:rsidP="009C1E9A">
      <w:r>
        <w:t>The Massachusetts Department of Elementary and Secondary Education (</w:t>
      </w:r>
      <w:r w:rsidRPr="00061975">
        <w:t>DESE</w:t>
      </w:r>
      <w:r>
        <w:t>)</w:t>
      </w:r>
      <w:r w:rsidRPr="008A4024">
        <w:t xml:space="preserve"> computes foundation enrollment using student-specific data submitted by each Massachusetts school district through the Student Information Management System (SIMS). </w:t>
      </w:r>
      <w:r w:rsidR="001C226C" w:rsidRPr="008A4024">
        <w:t>Because of the timing involved in the state budget process, foundation enrollment lags by one year. For example, FY</w:t>
      </w:r>
      <w:r w:rsidR="001C226C">
        <w:t>20</w:t>
      </w:r>
      <w:r w:rsidR="001C226C" w:rsidRPr="008A4024">
        <w:t xml:space="preserve"> Chapter 70 relies on Octobe</w:t>
      </w:r>
      <w:r w:rsidR="001C226C">
        <w:t>r 1</w:t>
      </w:r>
      <w:r w:rsidR="001C226C" w:rsidRPr="008A4024">
        <w:t>, 201</w:t>
      </w:r>
      <w:r w:rsidR="001C226C">
        <w:t>8</w:t>
      </w:r>
      <w:r w:rsidR="001C226C" w:rsidRPr="008A4024">
        <w:t xml:space="preserve"> pupil counts</w:t>
      </w:r>
      <w:r w:rsidR="001C226C">
        <w:t>.</w:t>
      </w:r>
    </w:p>
    <w:p w14:paraId="66558FF2" w14:textId="77777777" w:rsidR="009C1E9A" w:rsidRPr="009C1E9A" w:rsidRDefault="009C1E9A" w:rsidP="009D5F80"/>
    <w:p w14:paraId="18C4AA37" w14:textId="2DEB809B" w:rsidR="008A4024" w:rsidRDefault="008A4024" w:rsidP="00BD2811">
      <w:r w:rsidRPr="008A4024">
        <w:t xml:space="preserve">Foundation enrollment </w:t>
      </w:r>
      <w:r w:rsidR="004C4643">
        <w:t>is based</w:t>
      </w:r>
      <w:r w:rsidR="004C4643" w:rsidRPr="008A4024">
        <w:t xml:space="preserve"> </w:t>
      </w:r>
      <w:r w:rsidRPr="008A4024">
        <w:t xml:space="preserve">on a count of the students </w:t>
      </w:r>
      <w:r w:rsidR="0024688E">
        <w:t>that</w:t>
      </w:r>
      <w:r w:rsidRPr="008A4024">
        <w:t xml:space="preserve"> a school district is financially responsible </w:t>
      </w:r>
      <w:r w:rsidR="0024688E">
        <w:t xml:space="preserve">for </w:t>
      </w:r>
      <w:r w:rsidRPr="008A4024">
        <w:t>on October 1</w:t>
      </w:r>
      <w:r w:rsidR="00CA5DCF">
        <w:t xml:space="preserve"> </w:t>
      </w:r>
      <w:r w:rsidRPr="008A4024">
        <w:t>of any given year</w:t>
      </w:r>
      <w:r w:rsidR="0067284C">
        <w:t xml:space="preserve">. </w:t>
      </w:r>
      <w:r w:rsidRPr="008A4024">
        <w:t xml:space="preserve">Those who leave in September or arrive after October </w:t>
      </w:r>
      <w:r w:rsidR="00676F8F">
        <w:t>1</w:t>
      </w:r>
      <w:r w:rsidR="00CA5DCF">
        <w:t xml:space="preserve"> </w:t>
      </w:r>
      <w:r w:rsidRPr="008A4024">
        <w:t>are not counted. A student who happens to be absent on October 1 is included nonetheless; this is a measure of enrollment, not attendance</w:t>
      </w:r>
      <w:r w:rsidR="0067284C">
        <w:t xml:space="preserve">. </w:t>
      </w:r>
      <w:r w:rsidRPr="008A4024">
        <w:t>Enrollment plays an important role not just because of the total number of pupils, but also because there are differences in the costs associated with various educational programs, grade levels, and student needs</w:t>
      </w:r>
      <w:r w:rsidR="0067284C">
        <w:t xml:space="preserve">. </w:t>
      </w:r>
      <w:r w:rsidRPr="008A4024">
        <w:t>Districts differ greatly in the percentages of their student population that fall into these enrollment categories</w:t>
      </w:r>
      <w:r w:rsidR="0067284C">
        <w:t>.</w:t>
      </w:r>
    </w:p>
    <w:p w14:paraId="55192F84" w14:textId="7DBC0A87" w:rsidR="00604BAD" w:rsidRDefault="00604BAD" w:rsidP="00BD2811"/>
    <w:p w14:paraId="77D2CA64" w14:textId="4F970088" w:rsidR="008A4024" w:rsidRDefault="00604BAD" w:rsidP="00BD2811">
      <w:r w:rsidRPr="005A1B5E">
        <w:t>Foundation enrollment is comprised primarily of local resident students attending their community’s local or regional school district.</w:t>
      </w:r>
      <w:r w:rsidRPr="008A4024">
        <w:rPr>
          <w:vertAlign w:val="superscript"/>
        </w:rPr>
        <w:footnoteReference w:id="4"/>
      </w:r>
      <w:r w:rsidRPr="008A4024">
        <w:t xml:space="preserve"> While Massachusetts cities and towns serve their resident students through a number of different governance structures, the most common structure is for a community to operate its own </w:t>
      </w:r>
      <w:r>
        <w:t>P</w:t>
      </w:r>
      <w:r w:rsidRPr="008A4024">
        <w:t>K</w:t>
      </w:r>
      <w:r>
        <w:t>–</w:t>
      </w:r>
      <w:r w:rsidRPr="008A4024">
        <w:t>12 system and to belong to a vocational regional school district. About 93 percent of publicly</w:t>
      </w:r>
      <w:r>
        <w:t xml:space="preserve"> </w:t>
      </w:r>
      <w:r w:rsidRPr="008A4024">
        <w:t>funded school</w:t>
      </w:r>
      <w:r>
        <w:t>children</w:t>
      </w:r>
      <w:r w:rsidRPr="008A4024">
        <w:t xml:space="preserve"> enroll in the school district directly associated with their cities and towns of residence</w:t>
      </w:r>
      <w:r w:rsidR="00FC5E22">
        <w:t xml:space="preserve">, while </w:t>
      </w:r>
      <w:r w:rsidR="008A4024" w:rsidRPr="008A4024">
        <w:t>7 percent of public schoolchildren attend in settings other than their home districts, including:</w:t>
      </w:r>
    </w:p>
    <w:p w14:paraId="0EA0E0B2" w14:textId="77777777" w:rsidR="0024688E" w:rsidRPr="008A4024" w:rsidRDefault="0024688E" w:rsidP="00BD2811"/>
    <w:p w14:paraId="6CAB4607" w14:textId="4CD8B50D" w:rsidR="008A4024" w:rsidRDefault="008A4024" w:rsidP="003935B7">
      <w:pPr>
        <w:pStyle w:val="ListParagraph"/>
        <w:numPr>
          <w:ilvl w:val="0"/>
          <w:numId w:val="18"/>
        </w:numPr>
        <w:spacing w:after="240"/>
        <w:contextualSpacing w:val="0"/>
      </w:pPr>
      <w:r w:rsidRPr="008A4024">
        <w:t>Students attending charter schools;</w:t>
      </w:r>
    </w:p>
    <w:p w14:paraId="01AA635F" w14:textId="0004C553" w:rsidR="008A4024" w:rsidRDefault="008A4024" w:rsidP="003935B7">
      <w:pPr>
        <w:pStyle w:val="ListParagraph"/>
        <w:numPr>
          <w:ilvl w:val="0"/>
          <w:numId w:val="18"/>
        </w:numPr>
        <w:spacing w:after="240"/>
        <w:contextualSpacing w:val="0"/>
      </w:pPr>
      <w:r w:rsidRPr="008A4024">
        <w:t xml:space="preserve">Students attending another public school district through </w:t>
      </w:r>
      <w:proofErr w:type="spellStart"/>
      <w:r w:rsidRPr="008A4024">
        <w:t>interdistrict</w:t>
      </w:r>
      <w:proofErr w:type="spellEnd"/>
      <w:r w:rsidRPr="008A4024">
        <w:t xml:space="preserve"> school choice;</w:t>
      </w:r>
    </w:p>
    <w:p w14:paraId="00B2EB7D" w14:textId="60695EF8" w:rsidR="008A4024" w:rsidRDefault="008A4024" w:rsidP="003935B7">
      <w:pPr>
        <w:pStyle w:val="ListParagraph"/>
        <w:numPr>
          <w:ilvl w:val="0"/>
          <w:numId w:val="18"/>
        </w:numPr>
        <w:spacing w:after="240"/>
        <w:contextualSpacing w:val="0"/>
      </w:pPr>
      <w:r w:rsidRPr="008A4024">
        <w:t>Special education students for whom their home district pays tuition to a private special education school or another public school district with an appropriate program; and</w:t>
      </w:r>
    </w:p>
    <w:p w14:paraId="6B00C1D3" w14:textId="25BE46BD" w:rsidR="008A4024" w:rsidRPr="008A4024" w:rsidRDefault="008A4024" w:rsidP="003935B7">
      <w:pPr>
        <w:pStyle w:val="ListParagraph"/>
        <w:numPr>
          <w:ilvl w:val="0"/>
          <w:numId w:val="18"/>
        </w:numPr>
        <w:spacing w:after="240"/>
        <w:contextualSpacing w:val="0"/>
      </w:pPr>
      <w:r w:rsidRPr="008A4024">
        <w:lastRenderedPageBreak/>
        <w:t xml:space="preserve">Vocational students attending a school </w:t>
      </w:r>
      <w:r w:rsidR="0024688E">
        <w:t>where</w:t>
      </w:r>
      <w:r w:rsidRPr="008A4024">
        <w:t xml:space="preserve"> their town is not a member when the home vocational district does not offer the program they are seeking (Chapter 74 non-resident tuition program).</w:t>
      </w:r>
    </w:p>
    <w:p w14:paraId="3B463114" w14:textId="2C48B99E" w:rsidR="0024688E" w:rsidRDefault="008A4024" w:rsidP="00BD2811">
      <w:r w:rsidRPr="008A4024">
        <w:t>There are two exceptions to the general rule that home district</w:t>
      </w:r>
      <w:r w:rsidR="0024688E">
        <w:t>s</w:t>
      </w:r>
      <w:r w:rsidRPr="008A4024">
        <w:t xml:space="preserve"> pay tuition for out-of-district placements.</w:t>
      </w:r>
    </w:p>
    <w:p w14:paraId="23D17B2F" w14:textId="7D05BB1C" w:rsidR="008A4024" w:rsidRPr="008A4024" w:rsidRDefault="008A4024" w:rsidP="00BD2811"/>
    <w:p w14:paraId="366F8A2C" w14:textId="0ED5ADFA" w:rsidR="008A4024" w:rsidRDefault="008A4024" w:rsidP="003935B7">
      <w:pPr>
        <w:pStyle w:val="ListParagraph"/>
        <w:numPr>
          <w:ilvl w:val="0"/>
          <w:numId w:val="19"/>
        </w:numPr>
        <w:spacing w:after="240"/>
        <w:contextualSpacing w:val="0"/>
      </w:pPr>
      <w:r w:rsidRPr="008A4024">
        <w:t xml:space="preserve">Students participating in the METCO racial imbalance program count in the district where they are educated. Home districts such as Boston and Springfield do not pay tuition for these pupils. </w:t>
      </w:r>
    </w:p>
    <w:p w14:paraId="6177ABD0" w14:textId="2BCA5173" w:rsidR="008A4024" w:rsidRPr="008A4024" w:rsidRDefault="008A4024" w:rsidP="003935B7">
      <w:pPr>
        <w:pStyle w:val="ListParagraph"/>
        <w:numPr>
          <w:ilvl w:val="0"/>
          <w:numId w:val="19"/>
        </w:numPr>
        <w:spacing w:after="240"/>
        <w:contextualSpacing w:val="0"/>
      </w:pPr>
      <w:r w:rsidRPr="008A4024">
        <w:t>Children of non-resident teachers, where the district’s collective bargaining agreements allow them to attend at no cost. Again, home districts do not pay tuition; the districts where the teachers work have chosen to take on the fiscal responsibility, and the Commonwealth shares in the cost.</w:t>
      </w:r>
    </w:p>
    <w:p w14:paraId="0B0B5A23" w14:textId="301EFA7A" w:rsidR="0042380A" w:rsidRDefault="0042380A" w:rsidP="0042380A">
      <w:pPr>
        <w:pStyle w:val="Heading3"/>
      </w:pPr>
      <w:r>
        <w:t xml:space="preserve">All students counted in foundation enrollment are assigned to a base enrollment category </w:t>
      </w:r>
      <w:r w:rsidR="00FD36EC">
        <w:t>to</w:t>
      </w:r>
      <w:r>
        <w:t xml:space="preserve"> calculat</w:t>
      </w:r>
      <w:r w:rsidR="00FD36EC">
        <w:t>e</w:t>
      </w:r>
      <w:r>
        <w:t xml:space="preserve"> each district’s foundation budget</w:t>
      </w:r>
      <w:r w:rsidR="00317A64">
        <w:t>.</w:t>
      </w:r>
    </w:p>
    <w:p w14:paraId="3E51DE0E" w14:textId="5B9F66E5" w:rsidR="004F792C" w:rsidRDefault="008A4024" w:rsidP="00A87749">
      <w:r w:rsidRPr="003D3913">
        <w:t xml:space="preserve">A district's foundation budget is derived by multiplying the number of pupils in </w:t>
      </w:r>
      <w:r w:rsidR="00D521C4" w:rsidRPr="003D3913">
        <w:t>15</w:t>
      </w:r>
      <w:r w:rsidR="00AC0AE1" w:rsidRPr="003D3913">
        <w:t xml:space="preserve"> </w:t>
      </w:r>
      <w:r w:rsidRPr="003D3913">
        <w:t xml:space="preserve">enrollment categories by cost rates in </w:t>
      </w:r>
      <w:r w:rsidR="0042380A">
        <w:t>11</w:t>
      </w:r>
      <w:r w:rsidRPr="003D3913">
        <w:t xml:space="preserve"> functional areas</w:t>
      </w:r>
      <w:r w:rsidR="0067284C" w:rsidRPr="003D3913">
        <w:t xml:space="preserve">. </w:t>
      </w:r>
      <w:r w:rsidRPr="003D3913">
        <w:t xml:space="preserve">In computing the foundation budget, each pupil </w:t>
      </w:r>
      <w:r w:rsidRPr="003D3913">
        <w:rPr>
          <w:b/>
        </w:rPr>
        <w:t>must</w:t>
      </w:r>
      <w:r w:rsidRPr="003D3913">
        <w:t xml:space="preserve"> first be assigned to one of the following </w:t>
      </w:r>
      <w:r w:rsidR="00F2781A">
        <w:t>7</w:t>
      </w:r>
      <w:r w:rsidR="00F2781A" w:rsidRPr="003D3913">
        <w:t xml:space="preserve"> </w:t>
      </w:r>
      <w:r w:rsidRPr="003D3913">
        <w:t>categories</w:t>
      </w:r>
      <w:r w:rsidR="003D3913">
        <w:t xml:space="preserve">. </w:t>
      </w:r>
      <w:r w:rsidRPr="008A4024">
        <w:t xml:space="preserve">Based on the pupil-specific information submitted by each school district </w:t>
      </w:r>
      <w:r w:rsidR="00FD36EC">
        <w:t>through SIMS</w:t>
      </w:r>
      <w:r w:rsidRPr="008A4024">
        <w:t xml:space="preserve">, a student is classified as being in one of the following </w:t>
      </w:r>
      <w:r w:rsidR="00AC0AE1">
        <w:t xml:space="preserve">base enrollment </w:t>
      </w:r>
      <w:r w:rsidRPr="008A4024">
        <w:t>categories</w:t>
      </w:r>
      <w:r w:rsidR="0067284C">
        <w:t xml:space="preserve">. </w:t>
      </w:r>
    </w:p>
    <w:p w14:paraId="213674B8" w14:textId="456330ED" w:rsidR="003B5F6D" w:rsidRDefault="003B5F6D"/>
    <w:tbl>
      <w:tblPr>
        <w:tblStyle w:val="ESETablesOpenStyle"/>
        <w:tblW w:w="0" w:type="auto"/>
        <w:jc w:val="center"/>
        <w:tblLook w:val="04A0" w:firstRow="1" w:lastRow="0" w:firstColumn="1" w:lastColumn="0" w:noHBand="0" w:noVBand="1"/>
        <w:tblDescription w:val="Table 1: Foundation budget enrollment categories"/>
      </w:tblPr>
      <w:tblGrid>
        <w:gridCol w:w="947"/>
        <w:gridCol w:w="5676"/>
      </w:tblGrid>
      <w:tr w:rsidR="007A60A4" w:rsidRPr="008A4024" w14:paraId="19EFC1A5" w14:textId="77777777" w:rsidTr="00523914">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2A65AECD" w14:textId="612CA226" w:rsidR="007A60A4" w:rsidRPr="00061975" w:rsidRDefault="007A60A4" w:rsidP="00CC0B00">
            <w:pPr>
              <w:jc w:val="center"/>
              <w:rPr>
                <w:rFonts w:asciiTheme="minorHAnsi" w:hAnsiTheme="minorHAnsi" w:cstheme="minorHAnsi"/>
                <w:sz w:val="28"/>
                <w:szCs w:val="28"/>
              </w:rPr>
            </w:pPr>
            <w:r>
              <w:rPr>
                <w:rFonts w:asciiTheme="minorHAnsi" w:hAnsiTheme="minorHAnsi" w:cstheme="minorHAnsi"/>
                <w:sz w:val="28"/>
                <w:szCs w:val="28"/>
              </w:rPr>
              <w:t xml:space="preserve">Table 1: </w:t>
            </w:r>
            <w:r w:rsidR="00CC0B00">
              <w:rPr>
                <w:rFonts w:asciiTheme="minorHAnsi" w:hAnsiTheme="minorHAnsi" w:cstheme="minorHAnsi"/>
                <w:sz w:val="28"/>
                <w:szCs w:val="28"/>
              </w:rPr>
              <w:t>Base f</w:t>
            </w:r>
            <w:r>
              <w:rPr>
                <w:rFonts w:asciiTheme="minorHAnsi" w:hAnsiTheme="minorHAnsi" w:cstheme="minorHAnsi"/>
                <w:sz w:val="28"/>
                <w:szCs w:val="28"/>
              </w:rPr>
              <w:t>oundation budget enrollment categories</w:t>
            </w:r>
          </w:p>
        </w:tc>
      </w:tr>
      <w:tr w:rsidR="008A4024" w:rsidRPr="008A4024" w14:paraId="7F77286E" w14:textId="77777777" w:rsidTr="00061975">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794A4FA1" w14:textId="77777777" w:rsidR="008A4024" w:rsidRPr="00061975" w:rsidRDefault="008A4024" w:rsidP="008A4024">
            <w:pPr>
              <w:rPr>
                <w:rFonts w:asciiTheme="minorHAnsi" w:hAnsiTheme="minorHAnsi" w:cstheme="minorHAnsi"/>
                <w:sz w:val="20"/>
                <w:szCs w:val="20"/>
              </w:rPr>
            </w:pPr>
            <w:r w:rsidRPr="00061975">
              <w:rPr>
                <w:rFonts w:asciiTheme="minorHAnsi" w:hAnsiTheme="minorHAnsi" w:cstheme="minorHAnsi"/>
                <w:sz w:val="20"/>
                <w:szCs w:val="20"/>
              </w:rPr>
              <w:t>Column</w:t>
            </w:r>
          </w:p>
        </w:tc>
        <w:tc>
          <w:tcPr>
            <w:tcW w:w="0" w:type="auto"/>
            <w:tcBorders>
              <w:top w:val="single" w:sz="12" w:space="0" w:color="auto"/>
              <w:bottom w:val="single" w:sz="6" w:space="0" w:color="auto"/>
            </w:tcBorders>
          </w:tcPr>
          <w:p w14:paraId="32DDBBB7" w14:textId="77777777" w:rsidR="008A4024" w:rsidRPr="00061975" w:rsidRDefault="008A4024" w:rsidP="000619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Description</w:t>
            </w:r>
          </w:p>
        </w:tc>
      </w:tr>
      <w:tr w:rsidR="008A4024" w:rsidRPr="008A4024" w14:paraId="087F3312"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1956F2B5"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1</w:t>
            </w:r>
          </w:p>
        </w:tc>
        <w:tc>
          <w:tcPr>
            <w:tcW w:w="0" w:type="auto"/>
            <w:tcBorders>
              <w:top w:val="single" w:sz="6" w:space="0" w:color="auto"/>
            </w:tcBorders>
          </w:tcPr>
          <w:p w14:paraId="37A9CF37" w14:textId="0855723C" w:rsidR="008A4024" w:rsidRPr="00061975" w:rsidRDefault="00CA5DCF" w:rsidP="001B08D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pre-</w:t>
            </w:r>
            <w:r w:rsidR="001B08DE">
              <w:rPr>
                <w:rFonts w:asciiTheme="minorHAnsi" w:hAnsiTheme="minorHAnsi" w:cstheme="minorHAnsi"/>
                <w:sz w:val="20"/>
                <w:szCs w:val="20"/>
              </w:rPr>
              <w:t>school</w:t>
            </w:r>
          </w:p>
        </w:tc>
      </w:tr>
      <w:tr w:rsidR="008A4024" w:rsidRPr="008A4024" w14:paraId="60B4716C"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12D6F4F6"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2</w:t>
            </w:r>
          </w:p>
        </w:tc>
        <w:tc>
          <w:tcPr>
            <w:tcW w:w="0" w:type="auto"/>
          </w:tcPr>
          <w:p w14:paraId="5B80366A" w14:textId="426E8F41"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half-day kindergarten</w:t>
            </w:r>
          </w:p>
        </w:tc>
      </w:tr>
      <w:tr w:rsidR="008A4024" w:rsidRPr="008A4024" w14:paraId="3B7405CB"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0570322D"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3</w:t>
            </w:r>
          </w:p>
        </w:tc>
        <w:tc>
          <w:tcPr>
            <w:tcW w:w="0" w:type="auto"/>
          </w:tcPr>
          <w:p w14:paraId="3C419814" w14:textId="267A9279" w:rsidR="008A4024" w:rsidRPr="00061975" w:rsidRDefault="00CA5DCF" w:rsidP="0006197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full-day kindergarten</w:t>
            </w:r>
          </w:p>
        </w:tc>
      </w:tr>
      <w:tr w:rsidR="008A4024" w:rsidRPr="008A4024" w14:paraId="180C5AAA"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6D0EFE02"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4</w:t>
            </w:r>
          </w:p>
        </w:tc>
        <w:tc>
          <w:tcPr>
            <w:tcW w:w="0" w:type="auto"/>
          </w:tcPr>
          <w:p w14:paraId="73337495" w14:textId="169B5C66"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elementary (grades 1</w:t>
            </w:r>
            <w:r w:rsidR="00282DA8">
              <w:rPr>
                <w:rFonts w:asciiTheme="minorHAnsi" w:hAnsiTheme="minorHAnsi" w:cstheme="minorHAnsi"/>
                <w:sz w:val="20"/>
                <w:szCs w:val="20"/>
              </w:rPr>
              <w:t>–</w:t>
            </w:r>
            <w:r w:rsidR="008A4024" w:rsidRPr="00061975">
              <w:rPr>
                <w:rFonts w:asciiTheme="minorHAnsi" w:hAnsiTheme="minorHAnsi" w:cstheme="minorHAnsi"/>
                <w:sz w:val="20"/>
                <w:szCs w:val="20"/>
              </w:rPr>
              <w:t>5)</w:t>
            </w:r>
          </w:p>
        </w:tc>
      </w:tr>
      <w:tr w:rsidR="008A4024" w:rsidRPr="008A4024" w14:paraId="0AB756DC"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2CFED9D7"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5</w:t>
            </w:r>
          </w:p>
        </w:tc>
        <w:tc>
          <w:tcPr>
            <w:tcW w:w="0" w:type="auto"/>
          </w:tcPr>
          <w:p w14:paraId="47F7DBC8" w14:textId="5981B680"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junior high/middle (grades 6</w:t>
            </w:r>
            <w:r w:rsidR="00282DA8">
              <w:rPr>
                <w:rFonts w:asciiTheme="minorHAnsi" w:hAnsiTheme="minorHAnsi" w:cstheme="minorHAnsi"/>
                <w:sz w:val="20"/>
                <w:szCs w:val="20"/>
              </w:rPr>
              <w:t>–</w:t>
            </w:r>
            <w:r w:rsidR="008A4024" w:rsidRPr="00061975">
              <w:rPr>
                <w:rFonts w:asciiTheme="minorHAnsi" w:hAnsiTheme="minorHAnsi" w:cstheme="minorHAnsi"/>
                <w:sz w:val="20"/>
                <w:szCs w:val="20"/>
              </w:rPr>
              <w:t>8)</w:t>
            </w:r>
          </w:p>
        </w:tc>
      </w:tr>
      <w:tr w:rsidR="008A4024" w:rsidRPr="008A4024" w14:paraId="4B45DE4A"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68BE92C" w14:textId="77777777" w:rsidR="008A4024" w:rsidRPr="00061975" w:rsidRDefault="008A4024" w:rsidP="00061975">
            <w:pPr>
              <w:jc w:val="center"/>
              <w:rPr>
                <w:rFonts w:asciiTheme="minorHAnsi" w:hAnsiTheme="minorHAnsi" w:cstheme="minorHAnsi"/>
                <w:sz w:val="20"/>
                <w:szCs w:val="20"/>
              </w:rPr>
            </w:pPr>
            <w:r w:rsidRPr="00061975">
              <w:rPr>
                <w:rFonts w:asciiTheme="minorHAnsi" w:hAnsiTheme="minorHAnsi" w:cstheme="minorHAnsi"/>
                <w:sz w:val="20"/>
                <w:szCs w:val="20"/>
              </w:rPr>
              <w:t>6</w:t>
            </w:r>
          </w:p>
        </w:tc>
        <w:tc>
          <w:tcPr>
            <w:tcW w:w="0" w:type="auto"/>
          </w:tcPr>
          <w:p w14:paraId="307D201E" w14:textId="36275236" w:rsidR="008A4024" w:rsidRPr="00061975" w:rsidRDefault="00CA5DCF" w:rsidP="00282D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R</w:t>
            </w:r>
            <w:r w:rsidR="008A4024" w:rsidRPr="00061975">
              <w:rPr>
                <w:rFonts w:asciiTheme="minorHAnsi" w:hAnsiTheme="minorHAnsi" w:cstheme="minorHAnsi"/>
                <w:sz w:val="20"/>
                <w:szCs w:val="20"/>
              </w:rPr>
              <w:t>egular or special education senior high (grades 9</w:t>
            </w:r>
            <w:r w:rsidR="00282DA8">
              <w:rPr>
                <w:rFonts w:asciiTheme="minorHAnsi" w:hAnsiTheme="minorHAnsi" w:cstheme="minorHAnsi"/>
                <w:sz w:val="20"/>
                <w:szCs w:val="20"/>
              </w:rPr>
              <w:t>–</w:t>
            </w:r>
            <w:r w:rsidR="008A4024" w:rsidRPr="00061975">
              <w:rPr>
                <w:rFonts w:asciiTheme="minorHAnsi" w:hAnsiTheme="minorHAnsi" w:cstheme="minorHAnsi"/>
                <w:sz w:val="20"/>
                <w:szCs w:val="20"/>
              </w:rPr>
              <w:t>13)</w:t>
            </w:r>
            <w:r w:rsidR="008A4024" w:rsidRPr="00061975">
              <w:rPr>
                <w:rFonts w:asciiTheme="minorHAnsi" w:hAnsiTheme="minorHAnsi" w:cstheme="minorHAnsi"/>
                <w:sz w:val="20"/>
                <w:szCs w:val="20"/>
                <w:vertAlign w:val="superscript"/>
              </w:rPr>
              <w:t xml:space="preserve"> </w:t>
            </w:r>
            <w:r w:rsidR="008A4024" w:rsidRPr="00061975">
              <w:rPr>
                <w:rFonts w:asciiTheme="minorHAnsi" w:hAnsiTheme="minorHAnsi" w:cstheme="minorHAnsi"/>
                <w:sz w:val="20"/>
                <w:szCs w:val="20"/>
                <w:vertAlign w:val="superscript"/>
              </w:rPr>
              <w:footnoteReference w:id="5"/>
            </w:r>
          </w:p>
        </w:tc>
      </w:tr>
      <w:tr w:rsidR="001B08DE" w:rsidRPr="008A4024" w14:paraId="4C6B27B7" w14:textId="77777777" w:rsidTr="00061975">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26D89FC" w14:textId="510C26E3" w:rsidR="001B08DE" w:rsidRPr="00061975" w:rsidRDefault="001B08DE" w:rsidP="00061975">
            <w:pPr>
              <w:jc w:val="center"/>
              <w:rPr>
                <w:rFonts w:asciiTheme="minorHAnsi" w:hAnsiTheme="minorHAnsi" w:cstheme="minorHAnsi"/>
                <w:sz w:val="20"/>
                <w:szCs w:val="20"/>
              </w:rPr>
            </w:pPr>
            <w:r>
              <w:rPr>
                <w:rFonts w:asciiTheme="minorHAnsi" w:hAnsiTheme="minorHAnsi" w:cstheme="minorHAnsi"/>
                <w:sz w:val="20"/>
                <w:szCs w:val="20"/>
              </w:rPr>
              <w:t>7</w:t>
            </w:r>
          </w:p>
        </w:tc>
        <w:tc>
          <w:tcPr>
            <w:tcW w:w="0" w:type="auto"/>
          </w:tcPr>
          <w:p w14:paraId="4F535EDD" w14:textId="0D3B5475" w:rsidR="001B08DE" w:rsidRPr="00061975" w:rsidRDefault="00F2781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Vocational education (grades 9</w:t>
            </w:r>
            <w:r>
              <w:rPr>
                <w:rFonts w:asciiTheme="minorHAnsi" w:hAnsiTheme="minorHAnsi" w:cstheme="minorHAnsi"/>
                <w:sz w:val="20"/>
                <w:szCs w:val="20"/>
              </w:rPr>
              <w:t>–</w:t>
            </w:r>
            <w:r w:rsidRPr="00061975">
              <w:rPr>
                <w:rFonts w:asciiTheme="minorHAnsi" w:hAnsiTheme="minorHAnsi" w:cstheme="minorHAnsi"/>
                <w:sz w:val="20"/>
                <w:szCs w:val="20"/>
              </w:rPr>
              <w:t>12)</w:t>
            </w:r>
            <w:r w:rsidRPr="00061975">
              <w:rPr>
                <w:rFonts w:asciiTheme="minorHAnsi" w:hAnsiTheme="minorHAnsi" w:cstheme="minorHAnsi"/>
                <w:sz w:val="20"/>
                <w:szCs w:val="20"/>
                <w:vertAlign w:val="superscript"/>
              </w:rPr>
              <w:footnoteReference w:id="6"/>
            </w:r>
          </w:p>
        </w:tc>
      </w:tr>
    </w:tbl>
    <w:p w14:paraId="45DF72BE" w14:textId="77777777" w:rsidR="008A4024" w:rsidRPr="008A4024" w:rsidRDefault="008A4024" w:rsidP="008A4024">
      <w:pPr>
        <w:rPr>
          <w:rFonts w:ascii="Georgia" w:hAnsi="Georgia"/>
          <w:sz w:val="20"/>
          <w:szCs w:val="20"/>
        </w:rPr>
      </w:pPr>
    </w:p>
    <w:p w14:paraId="2841C601" w14:textId="4C114962" w:rsidR="008A4024" w:rsidRPr="008A4024" w:rsidRDefault="008A4024" w:rsidP="00A87749">
      <w:r w:rsidRPr="008A4024">
        <w:t>The following rules apply in cases where it may not be clear which category is appropriate, or whether a pupil should be included in foundation enrollment at all</w:t>
      </w:r>
      <w:r w:rsidR="00CA5DCF">
        <w:t>:</w:t>
      </w:r>
    </w:p>
    <w:p w14:paraId="7E55EC2D" w14:textId="77777777" w:rsidR="008A4024" w:rsidRPr="008A4024" w:rsidRDefault="008A4024" w:rsidP="00A87749">
      <w:r w:rsidRPr="008A4024">
        <w:t xml:space="preserve"> </w:t>
      </w:r>
    </w:p>
    <w:p w14:paraId="3A20421A" w14:textId="77777777" w:rsidR="00CA5DCF" w:rsidRDefault="008A4024" w:rsidP="003935B7">
      <w:pPr>
        <w:pStyle w:val="ListParagraph"/>
        <w:numPr>
          <w:ilvl w:val="0"/>
          <w:numId w:val="20"/>
        </w:numPr>
        <w:spacing w:after="240"/>
        <w:contextualSpacing w:val="0"/>
      </w:pPr>
      <w:r w:rsidRPr="008A4024">
        <w:lastRenderedPageBreak/>
        <w:t>If parents/guardians pay tuition for kindergartners to attend the optional second half of a full-day kindergarten program, they are counted as half-day pupils.</w:t>
      </w:r>
    </w:p>
    <w:p w14:paraId="5BC5ED03" w14:textId="3BADD521" w:rsidR="008A4024" w:rsidRPr="008A4024" w:rsidRDefault="008A4024" w:rsidP="003935B7">
      <w:pPr>
        <w:pStyle w:val="ListParagraph"/>
        <w:numPr>
          <w:ilvl w:val="0"/>
          <w:numId w:val="20"/>
        </w:numPr>
        <w:spacing w:after="240"/>
        <w:contextualSpacing w:val="0"/>
      </w:pPr>
      <w:r w:rsidRPr="008A4024">
        <w:t>Students in vocational education must be in approved Chapter 74 programs</w:t>
      </w:r>
      <w:r w:rsidR="00FE5B9D">
        <w:t>, o</w:t>
      </w:r>
      <w:r w:rsidRPr="008A4024">
        <w:t>therwise they are placed in the regular education senior high category.</w:t>
      </w:r>
    </w:p>
    <w:p w14:paraId="00F778A0" w14:textId="77777777" w:rsidR="004C4643" w:rsidRDefault="004C4643" w:rsidP="004C4643">
      <w:pPr>
        <w:pStyle w:val="Heading3"/>
      </w:pPr>
      <w:r w:rsidRPr="005A1B5E">
        <w:t xml:space="preserve">Costs for special education, English </w:t>
      </w:r>
      <w:r>
        <w:t xml:space="preserve">language </w:t>
      </w:r>
      <w:r w:rsidRPr="005A1B5E">
        <w:t>learners</w:t>
      </w:r>
      <w:r>
        <w:t xml:space="preserve"> (ELs)</w:t>
      </w:r>
      <w:r w:rsidRPr="005A1B5E">
        <w:t xml:space="preserve">, and </w:t>
      </w:r>
      <w:r>
        <w:t>economically disadvantaged</w:t>
      </w:r>
      <w:r w:rsidRPr="005A1B5E">
        <w:t xml:space="preserve"> students are treated as costs above the base</w:t>
      </w:r>
      <w:r>
        <w:t>.</w:t>
      </w:r>
    </w:p>
    <w:p w14:paraId="30DB3DA9" w14:textId="32FF098D" w:rsidR="004C4643" w:rsidRPr="008A4024" w:rsidRDefault="00FD36EC" w:rsidP="004C4643">
      <w:r>
        <w:t>In addition to the base enrollment categories, t</w:t>
      </w:r>
      <w:r w:rsidR="004C4643" w:rsidRPr="005A1B5E">
        <w:t xml:space="preserve">here are </w:t>
      </w:r>
      <w:r w:rsidR="00F2781A">
        <w:t>6</w:t>
      </w:r>
      <w:r w:rsidR="00F2781A" w:rsidRPr="005A1B5E">
        <w:t xml:space="preserve"> </w:t>
      </w:r>
      <w:r w:rsidR="004C4643" w:rsidRPr="005A1B5E">
        <w:t>increment</w:t>
      </w:r>
      <w:r>
        <w:t>al enrollment</w:t>
      </w:r>
      <w:r w:rsidR="004C4643" w:rsidRPr="005A1B5E">
        <w:t xml:space="preserve"> categories that are intended to reflect the additional resources needed to educate </w:t>
      </w:r>
      <w:r>
        <w:t>students with disabilities, English language learners (ELs), and economically disadvantaged students</w:t>
      </w:r>
      <w:r w:rsidR="004C4643">
        <w:t xml:space="preserve">. </w:t>
      </w:r>
      <w:r w:rsidR="004C4643" w:rsidRPr="000D09FC">
        <w:t xml:space="preserve">Columns </w:t>
      </w:r>
      <w:r w:rsidR="00F2781A">
        <w:t>8</w:t>
      </w:r>
      <w:r w:rsidR="004C4643" w:rsidRPr="000D09FC">
        <w:t xml:space="preserve"> through 1</w:t>
      </w:r>
      <w:r w:rsidR="00F2781A">
        <w:t>3</w:t>
      </w:r>
      <w:r w:rsidR="004C4643" w:rsidRPr="000D09FC">
        <w:t xml:space="preserve"> reflect these incremental costs above the base</w:t>
      </w:r>
      <w:r w:rsidR="004C4643">
        <w:t xml:space="preserve">. </w:t>
      </w:r>
      <w:r w:rsidR="004C4643" w:rsidRPr="000D09FC">
        <w:t xml:space="preserve">These students </w:t>
      </w:r>
      <w:r w:rsidR="004C4643">
        <w:t>are already counted</w:t>
      </w:r>
      <w:r w:rsidR="004C4643" w:rsidRPr="000D09FC">
        <w:t xml:space="preserve"> in columns 1 through </w:t>
      </w:r>
      <w:r w:rsidR="00F2781A">
        <w:t>7</w:t>
      </w:r>
      <w:r w:rsidR="004C4643" w:rsidRPr="000D09FC">
        <w:t>, and are therefore not added to total enrollment</w:t>
      </w:r>
      <w:r w:rsidR="004C4643">
        <w:t>:</w:t>
      </w:r>
    </w:p>
    <w:p w14:paraId="65D94453" w14:textId="77777777" w:rsidR="004C4643" w:rsidRDefault="004C4643" w:rsidP="004C4643">
      <w:pPr>
        <w:rPr>
          <w:highlight w:val="lightGray"/>
        </w:rPr>
      </w:pPr>
    </w:p>
    <w:tbl>
      <w:tblPr>
        <w:tblStyle w:val="ESETablesOpenStyle"/>
        <w:tblW w:w="0" w:type="auto"/>
        <w:jc w:val="center"/>
        <w:tblLook w:val="04A0" w:firstRow="1" w:lastRow="0" w:firstColumn="1" w:lastColumn="0" w:noHBand="0" w:noVBand="1"/>
        <w:tblDescription w:val="Table 1: Foundation budget enrollment categories"/>
      </w:tblPr>
      <w:tblGrid>
        <w:gridCol w:w="1430"/>
        <w:gridCol w:w="7590"/>
      </w:tblGrid>
      <w:tr w:rsidR="004C4643" w:rsidRPr="008A4024" w14:paraId="52E3EE4D" w14:textId="77777777" w:rsidTr="004C4643">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5B1F17E1" w14:textId="77777777" w:rsidR="004C4643" w:rsidRPr="00061975" w:rsidRDefault="004C4643" w:rsidP="004C4643">
            <w:pPr>
              <w:jc w:val="center"/>
              <w:rPr>
                <w:rFonts w:asciiTheme="minorHAnsi" w:hAnsiTheme="minorHAnsi" w:cstheme="minorHAnsi"/>
                <w:sz w:val="28"/>
                <w:szCs w:val="28"/>
              </w:rPr>
            </w:pPr>
            <w:r>
              <w:rPr>
                <w:rFonts w:asciiTheme="minorHAnsi" w:hAnsiTheme="minorHAnsi" w:cstheme="minorHAnsi"/>
                <w:sz w:val="28"/>
                <w:szCs w:val="28"/>
              </w:rPr>
              <w:t>Table 2: Assumed and above base foundation budget enrollment categories</w:t>
            </w:r>
          </w:p>
        </w:tc>
      </w:tr>
      <w:tr w:rsidR="004C4643" w:rsidRPr="008A4024" w14:paraId="3F4BAF28" w14:textId="77777777" w:rsidTr="004C4643">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0D39D87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Column</w:t>
            </w:r>
          </w:p>
        </w:tc>
        <w:tc>
          <w:tcPr>
            <w:tcW w:w="0" w:type="auto"/>
            <w:tcBorders>
              <w:top w:val="single" w:sz="12" w:space="0" w:color="auto"/>
              <w:bottom w:val="single" w:sz="6" w:space="0" w:color="auto"/>
            </w:tcBorders>
          </w:tcPr>
          <w:p w14:paraId="7F32148F" w14:textId="77777777" w:rsidR="004C4643" w:rsidRPr="00061975" w:rsidRDefault="004C4643" w:rsidP="004C46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61975">
              <w:rPr>
                <w:rFonts w:asciiTheme="minorHAnsi" w:hAnsiTheme="minorHAnsi" w:cstheme="minorHAnsi"/>
                <w:sz w:val="20"/>
                <w:szCs w:val="20"/>
              </w:rPr>
              <w:t>Description</w:t>
            </w:r>
          </w:p>
        </w:tc>
      </w:tr>
      <w:tr w:rsidR="004C4643" w:rsidRPr="008A4024" w14:paraId="4A551024"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558B5916" w14:textId="7D1E2DC7" w:rsidR="004C4643" w:rsidRPr="00061975" w:rsidRDefault="00F2781A" w:rsidP="004C4643">
            <w:pPr>
              <w:jc w:val="center"/>
              <w:rPr>
                <w:rFonts w:asciiTheme="minorHAnsi" w:hAnsiTheme="minorHAnsi" w:cstheme="minorHAnsi"/>
                <w:sz w:val="20"/>
                <w:szCs w:val="20"/>
              </w:rPr>
            </w:pPr>
            <w:r>
              <w:rPr>
                <w:rFonts w:asciiTheme="minorHAnsi" w:hAnsiTheme="minorHAnsi" w:cstheme="minorHAnsi"/>
                <w:sz w:val="20"/>
                <w:szCs w:val="20"/>
              </w:rPr>
              <w:t>8</w:t>
            </w:r>
          </w:p>
        </w:tc>
        <w:tc>
          <w:tcPr>
            <w:tcW w:w="0" w:type="auto"/>
            <w:tcBorders>
              <w:top w:val="single" w:sz="6" w:space="0" w:color="auto"/>
            </w:tcBorders>
          </w:tcPr>
          <w:p w14:paraId="5DE58CBD" w14:textId="77777777"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Assumed in-district special education enrollment</w:t>
            </w:r>
          </w:p>
        </w:tc>
      </w:tr>
      <w:tr w:rsidR="004C4643" w:rsidRPr="008A4024" w14:paraId="0A625AC9"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3C591AFB" w14:textId="09CF170B" w:rsidR="004C4643" w:rsidRPr="00061975" w:rsidRDefault="00F2781A" w:rsidP="004C4643">
            <w:pPr>
              <w:jc w:val="center"/>
              <w:rPr>
                <w:rFonts w:asciiTheme="minorHAnsi" w:hAnsiTheme="minorHAnsi" w:cstheme="minorHAnsi"/>
                <w:sz w:val="20"/>
                <w:szCs w:val="20"/>
              </w:rPr>
            </w:pPr>
            <w:r>
              <w:rPr>
                <w:rFonts w:asciiTheme="minorHAnsi" w:hAnsiTheme="minorHAnsi" w:cstheme="minorHAnsi"/>
                <w:sz w:val="20"/>
                <w:szCs w:val="20"/>
              </w:rPr>
              <w:t>9</w:t>
            </w:r>
          </w:p>
        </w:tc>
        <w:tc>
          <w:tcPr>
            <w:tcW w:w="0" w:type="auto"/>
          </w:tcPr>
          <w:p w14:paraId="416CEA39" w14:textId="77777777"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Assumed out-of-district special education enrollment</w:t>
            </w:r>
          </w:p>
        </w:tc>
      </w:tr>
      <w:tr w:rsidR="004C4643" w:rsidRPr="008A4024" w14:paraId="79CD6C7F"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7A418ED5" w14:textId="68B3BC43"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0</w:t>
            </w:r>
          </w:p>
        </w:tc>
        <w:tc>
          <w:tcPr>
            <w:tcW w:w="0" w:type="auto"/>
          </w:tcPr>
          <w:p w14:paraId="40117BF6" w14:textId="524A4A2E"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English language learners (ELs) (grades </w:t>
            </w:r>
            <w:r w:rsidR="00F2781A">
              <w:rPr>
                <w:rFonts w:asciiTheme="minorHAnsi" w:hAnsiTheme="minorHAnsi" w:cstheme="minorHAnsi"/>
                <w:sz w:val="20"/>
                <w:szCs w:val="20"/>
              </w:rPr>
              <w:t>PK</w:t>
            </w:r>
            <w:r>
              <w:rPr>
                <w:rFonts w:asciiTheme="minorHAnsi" w:hAnsiTheme="minorHAnsi" w:cstheme="minorHAnsi"/>
                <w:sz w:val="20"/>
                <w:szCs w:val="20"/>
              </w:rPr>
              <w:t>–5)</w:t>
            </w:r>
          </w:p>
        </w:tc>
      </w:tr>
      <w:tr w:rsidR="004C4643" w:rsidRPr="008A4024" w14:paraId="7DC8B368"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58C84610" w14:textId="070C9983"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1</w:t>
            </w:r>
          </w:p>
        </w:tc>
        <w:tc>
          <w:tcPr>
            <w:tcW w:w="0" w:type="auto"/>
          </w:tcPr>
          <w:p w14:paraId="1634AC75" w14:textId="77777777"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English language learners (ELs) (grades 6–8)</w:t>
            </w:r>
          </w:p>
        </w:tc>
      </w:tr>
      <w:tr w:rsidR="004C4643" w:rsidRPr="008A4024" w14:paraId="3989AF01"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179791BF" w14:textId="0969DF0E"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2</w:t>
            </w:r>
          </w:p>
        </w:tc>
        <w:tc>
          <w:tcPr>
            <w:tcW w:w="0" w:type="auto"/>
          </w:tcPr>
          <w:p w14:paraId="2CBF14B2" w14:textId="77777777" w:rsidR="004C4643" w:rsidRPr="00061975" w:rsidRDefault="004C4643" w:rsidP="004C464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English language learners (ELs) (grades 9–13)</w:t>
            </w:r>
          </w:p>
        </w:tc>
      </w:tr>
      <w:tr w:rsidR="004C4643" w:rsidRPr="008A4024" w14:paraId="55FEFDDA" w14:textId="77777777" w:rsidTr="004C4643">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720B97FF" w14:textId="3D9ED2DC" w:rsidR="004C4643" w:rsidRPr="00061975" w:rsidRDefault="004C4643" w:rsidP="004C4643">
            <w:pPr>
              <w:jc w:val="center"/>
              <w:rPr>
                <w:rFonts w:asciiTheme="minorHAnsi" w:hAnsiTheme="minorHAnsi" w:cstheme="minorHAnsi"/>
                <w:sz w:val="20"/>
                <w:szCs w:val="20"/>
              </w:rPr>
            </w:pPr>
            <w:r>
              <w:rPr>
                <w:rFonts w:asciiTheme="minorHAnsi" w:hAnsiTheme="minorHAnsi" w:cstheme="minorHAnsi"/>
                <w:sz w:val="20"/>
                <w:szCs w:val="20"/>
              </w:rPr>
              <w:t>1</w:t>
            </w:r>
            <w:r w:rsidR="00F2781A">
              <w:rPr>
                <w:rFonts w:asciiTheme="minorHAnsi" w:hAnsiTheme="minorHAnsi" w:cstheme="minorHAnsi"/>
                <w:sz w:val="20"/>
                <w:szCs w:val="20"/>
              </w:rPr>
              <w:t>3</w:t>
            </w:r>
          </w:p>
        </w:tc>
        <w:tc>
          <w:tcPr>
            <w:tcW w:w="0" w:type="auto"/>
          </w:tcPr>
          <w:p w14:paraId="41D2FB49" w14:textId="174D0821" w:rsidR="004C4643" w:rsidRPr="00061975" w:rsidRDefault="004C4643" w:rsidP="00FD36E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Economically disadvantaged students</w:t>
            </w:r>
            <w:r w:rsidRPr="00061975">
              <w:rPr>
                <w:rFonts w:asciiTheme="minorHAnsi" w:hAnsiTheme="minorHAnsi" w:cstheme="minorHAnsi"/>
                <w:sz w:val="20"/>
                <w:szCs w:val="20"/>
                <w:vertAlign w:val="superscript"/>
              </w:rPr>
              <w:t xml:space="preserve"> </w:t>
            </w:r>
          </w:p>
        </w:tc>
      </w:tr>
    </w:tbl>
    <w:p w14:paraId="730460F2" w14:textId="77777777" w:rsidR="004C4643" w:rsidRPr="008A4024" w:rsidRDefault="004C4643" w:rsidP="004C4643">
      <w:pPr>
        <w:rPr>
          <w:highlight w:val="lightGray"/>
        </w:rPr>
      </w:pPr>
    </w:p>
    <w:p w14:paraId="0A080D91" w14:textId="7F135F2E" w:rsidR="004C4643" w:rsidRPr="008A4024" w:rsidRDefault="004C4643" w:rsidP="004C4643">
      <w:pPr>
        <w:pStyle w:val="ListParagraph"/>
        <w:numPr>
          <w:ilvl w:val="0"/>
          <w:numId w:val="21"/>
        </w:numPr>
        <w:spacing w:after="240"/>
        <w:contextualSpacing w:val="0"/>
      </w:pPr>
      <w:r w:rsidRPr="008A4024">
        <w:t xml:space="preserve">Assumed in-district special education enrollment (column </w:t>
      </w:r>
      <w:r w:rsidR="00597D70">
        <w:t>8</w:t>
      </w:r>
      <w:r w:rsidRPr="008A4024">
        <w:t>) is set at 3.7</w:t>
      </w:r>
      <w:r w:rsidR="00F67C9B">
        <w:t>9</w:t>
      </w:r>
      <w:r w:rsidRPr="008A4024">
        <w:t xml:space="preserve"> percent of foundation enrollment (not including pre-kindergarten and vocational pupils) and 4.7</w:t>
      </w:r>
      <w:r w:rsidR="00F67C9B">
        <w:t>9</w:t>
      </w:r>
      <w:r w:rsidRPr="008A4024">
        <w:t xml:space="preserve"> percent of vocational enrollment</w:t>
      </w:r>
      <w:r>
        <w:t xml:space="preserve">. </w:t>
      </w:r>
      <w:r w:rsidRPr="008A4024">
        <w:t xml:space="preserve">These headcounts are assumed rather than actual </w:t>
      </w:r>
      <w:r w:rsidR="00FD36EC">
        <w:t xml:space="preserve">student </w:t>
      </w:r>
      <w:r w:rsidRPr="008A4024">
        <w:t xml:space="preserve">counts of pupils, an approach </w:t>
      </w:r>
      <w:r>
        <w:t>that</w:t>
      </w:r>
      <w:r w:rsidRPr="008A4024">
        <w:t xml:space="preserve"> is practiced in other states around the country.</w:t>
      </w:r>
      <w:r w:rsidRPr="008A4024">
        <w:rPr>
          <w:vertAlign w:val="superscript"/>
        </w:rPr>
        <w:footnoteReference w:id="7"/>
      </w:r>
      <w:r w:rsidRPr="008A4024">
        <w:t xml:space="preserve"> This method is in place to prevent over identification of special education students for the purpose of fiscal gain.</w:t>
      </w:r>
    </w:p>
    <w:p w14:paraId="71FD2BA5" w14:textId="56477409" w:rsidR="004C4643" w:rsidRDefault="004C4643" w:rsidP="004C4643">
      <w:pPr>
        <w:pStyle w:val="ListParagraph"/>
        <w:numPr>
          <w:ilvl w:val="0"/>
          <w:numId w:val="21"/>
        </w:numPr>
        <w:spacing w:after="240"/>
        <w:contextualSpacing w:val="0"/>
      </w:pPr>
      <w:r w:rsidRPr="007E3252">
        <w:t xml:space="preserve">Assumed out-of-district special education enrollment (column </w:t>
      </w:r>
      <w:r w:rsidR="00597D70">
        <w:t>9</w:t>
      </w:r>
      <w:r w:rsidRPr="007E3252">
        <w:t xml:space="preserve">) is set at </w:t>
      </w:r>
      <w:r w:rsidR="00FD36EC">
        <w:t>1</w:t>
      </w:r>
      <w:r w:rsidRPr="007E3252">
        <w:t xml:space="preserve"> percent of total foundation enrollment (again not including pre-kindergarten and vocational pupils).</w:t>
      </w:r>
    </w:p>
    <w:p w14:paraId="18804D15" w14:textId="75B15BCB" w:rsidR="004C4643" w:rsidRPr="00462C30" w:rsidRDefault="004C4643" w:rsidP="004C4643">
      <w:pPr>
        <w:pStyle w:val="ListParagraph"/>
        <w:numPr>
          <w:ilvl w:val="0"/>
          <w:numId w:val="21"/>
        </w:numPr>
        <w:spacing w:after="240"/>
        <w:contextualSpacing w:val="0"/>
      </w:pPr>
      <w:r w:rsidRPr="00462C30">
        <w:t>E</w:t>
      </w:r>
      <w:r w:rsidR="00F67C9B">
        <w:t>nglish learner (EL)</w:t>
      </w:r>
      <w:r w:rsidRPr="00462C30">
        <w:t xml:space="preserve"> status (</w:t>
      </w:r>
      <w:r w:rsidRPr="00275397">
        <w:t>columns 1</w:t>
      </w:r>
      <w:r w:rsidR="00597D70" w:rsidRPr="00275397">
        <w:t>0</w:t>
      </w:r>
      <w:r w:rsidRPr="00275397">
        <w:t>–1</w:t>
      </w:r>
      <w:r w:rsidR="00597D70" w:rsidRPr="00275397">
        <w:t>2</w:t>
      </w:r>
      <w:r w:rsidRPr="00462C30">
        <w:t xml:space="preserve">) depends on a student’s home language and English language proficiency. </w:t>
      </w:r>
    </w:p>
    <w:p w14:paraId="0D19E717" w14:textId="6B98D501" w:rsidR="004C4643" w:rsidRPr="00462C30" w:rsidRDefault="004C4643" w:rsidP="004C4643">
      <w:pPr>
        <w:pStyle w:val="ListParagraph"/>
        <w:numPr>
          <w:ilvl w:val="0"/>
          <w:numId w:val="21"/>
        </w:numPr>
        <w:spacing w:after="240"/>
        <w:contextualSpacing w:val="0"/>
      </w:pPr>
      <w:r w:rsidRPr="00462C30">
        <w:t>Economically disadvantaged status (column 1</w:t>
      </w:r>
      <w:r w:rsidR="00597D70">
        <w:t>3</w:t>
      </w:r>
      <w:r w:rsidRPr="00462C30">
        <w:t xml:space="preserve">) is based on a student’s participation in one or more of the following state-administered programs: Supplemental Nutrition Assistance Program (SNAP); Transitional Assistance for Families with Dependent </w:t>
      </w:r>
      <w:r w:rsidRPr="00462C30">
        <w:lastRenderedPageBreak/>
        <w:t xml:space="preserve">Children (TAFDC); Department of Children and Families' (DCF) foster care program; or MassHealth (Medicaid) up to 133 percent of the federal poverty level (FPL). </w:t>
      </w:r>
      <w:r w:rsidR="001D4049" w:rsidRPr="001D4049">
        <w:t>E</w:t>
      </w:r>
      <w:r w:rsidRPr="001D4049">
        <w:t xml:space="preserve">conomically disadvantaged headcounts are assigned to the district where the pupils are actually enrolled and where the extra costs occur, even if they are </w:t>
      </w:r>
      <w:proofErr w:type="spellStart"/>
      <w:r w:rsidRPr="001D4049">
        <w:t>tuitioned</w:t>
      </w:r>
      <w:proofErr w:type="spellEnd"/>
      <w:r w:rsidRPr="001D4049">
        <w:t>-in from another district.</w:t>
      </w:r>
      <w:r w:rsidRPr="00462C30">
        <w:t xml:space="preserve"> Districts are assigned to deciles based on the share of economically disadvantaged students as a percent of total enrollment, with districts in higher deciles receiving more funding than districts in lower deciles. </w:t>
      </w:r>
    </w:p>
    <w:p w14:paraId="15614476" w14:textId="77777777" w:rsidR="004C4643" w:rsidRPr="005A1B5E" w:rsidRDefault="004C4643" w:rsidP="00604BAD">
      <w:pPr>
        <w:pStyle w:val="Heading3"/>
      </w:pPr>
      <w:r w:rsidRPr="005A1B5E">
        <w:t>After a district’s foundation enrollment is calculated, it is applied to specific cost rates in eleven functional areas to arrive at the upcoming year’s foundation budget.</w:t>
      </w:r>
    </w:p>
    <w:p w14:paraId="4F8C26E7" w14:textId="77777777" w:rsidR="004C4643" w:rsidRDefault="004C4643" w:rsidP="004C4643">
      <w:r w:rsidRPr="008A4024">
        <w:t>These cost rates are based on a model school budget developed by a group of superintendents and an economist in the early 1990s</w:t>
      </w:r>
      <w:r>
        <w:t xml:space="preserve">. </w:t>
      </w:r>
      <w:r w:rsidRPr="008A4024">
        <w:t>They reflect the major cost centers of school spending:</w:t>
      </w:r>
    </w:p>
    <w:p w14:paraId="4EBD430F" w14:textId="77777777" w:rsidR="004C4643" w:rsidRDefault="004C4643" w:rsidP="004C4643"/>
    <w:tbl>
      <w:tblPr>
        <w:tblStyle w:val="ESETablesOpenStyle"/>
        <w:tblW w:w="4032" w:type="dxa"/>
        <w:jc w:val="center"/>
        <w:tblLook w:val="04A0" w:firstRow="1" w:lastRow="0" w:firstColumn="1" w:lastColumn="0" w:noHBand="0" w:noVBand="1"/>
        <w:tblDescription w:val="Table 2: Foundation budget expenditure categories"/>
      </w:tblPr>
      <w:tblGrid>
        <w:gridCol w:w="4032"/>
      </w:tblGrid>
      <w:tr w:rsidR="004C4643" w:rsidRPr="00305D19" w14:paraId="38C7A822" w14:textId="77777777" w:rsidTr="004C4643">
        <w:trPr>
          <w:cnfStyle w:val="100000000000" w:firstRow="1" w:lastRow="0" w:firstColumn="0" w:lastColumn="0" w:oddVBand="0" w:evenVBand="0" w:oddHBand="0" w:evenHBand="0" w:firstRowFirstColumn="0" w:firstRowLastColumn="0" w:lastRowFirstColumn="0" w:lastRowLastColumn="0"/>
          <w:trHeight w:val="270"/>
          <w:tblHeader/>
          <w:jc w:val="center"/>
        </w:trPr>
        <w:tc>
          <w:tcPr>
            <w:cnfStyle w:val="001000000000" w:firstRow="0" w:lastRow="0" w:firstColumn="1" w:lastColumn="0" w:oddVBand="0" w:evenVBand="0" w:oddHBand="0" w:evenHBand="0" w:firstRowFirstColumn="0" w:firstRowLastColumn="0" w:lastRowFirstColumn="0" w:lastRowLastColumn="0"/>
            <w:tcW w:w="4032" w:type="dxa"/>
            <w:tcBorders>
              <w:top w:val="nil"/>
              <w:bottom w:val="single" w:sz="12" w:space="0" w:color="auto"/>
            </w:tcBorders>
            <w:noWrap/>
          </w:tcPr>
          <w:p w14:paraId="4DC279CE" w14:textId="77777777" w:rsidR="004C4643" w:rsidRPr="00061975" w:rsidRDefault="004C4643" w:rsidP="004C4643">
            <w:pPr>
              <w:rPr>
                <w:rFonts w:asciiTheme="minorHAnsi" w:hAnsiTheme="minorHAnsi" w:cstheme="minorHAnsi"/>
                <w:sz w:val="28"/>
                <w:szCs w:val="28"/>
              </w:rPr>
            </w:pPr>
            <w:r w:rsidRPr="00061975">
              <w:rPr>
                <w:rFonts w:asciiTheme="minorHAnsi" w:hAnsiTheme="minorHAnsi" w:cstheme="minorHAnsi"/>
                <w:sz w:val="28"/>
                <w:szCs w:val="28"/>
              </w:rPr>
              <w:t xml:space="preserve">Table </w:t>
            </w:r>
            <w:r>
              <w:rPr>
                <w:rFonts w:asciiTheme="minorHAnsi" w:hAnsiTheme="minorHAnsi" w:cstheme="minorHAnsi"/>
                <w:sz w:val="28"/>
                <w:szCs w:val="28"/>
              </w:rPr>
              <w:t>3</w:t>
            </w:r>
            <w:r w:rsidRPr="00061975">
              <w:rPr>
                <w:rFonts w:asciiTheme="minorHAnsi" w:hAnsiTheme="minorHAnsi" w:cstheme="minorHAnsi"/>
                <w:sz w:val="28"/>
                <w:szCs w:val="28"/>
              </w:rPr>
              <w:t xml:space="preserve">: Foundation </w:t>
            </w:r>
            <w:r>
              <w:rPr>
                <w:rFonts w:asciiTheme="minorHAnsi" w:hAnsiTheme="minorHAnsi" w:cstheme="minorHAnsi"/>
                <w:sz w:val="28"/>
                <w:szCs w:val="28"/>
              </w:rPr>
              <w:t xml:space="preserve">expenditure </w:t>
            </w:r>
            <w:r w:rsidRPr="00061975">
              <w:rPr>
                <w:rFonts w:asciiTheme="minorHAnsi" w:hAnsiTheme="minorHAnsi" w:cstheme="minorHAnsi"/>
                <w:sz w:val="28"/>
                <w:szCs w:val="28"/>
              </w:rPr>
              <w:t>categories</w:t>
            </w:r>
          </w:p>
        </w:tc>
      </w:tr>
      <w:tr w:rsidR="004C4643" w:rsidRPr="00305D19" w14:paraId="6A8D06CB"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12" w:space="0" w:color="auto"/>
              <w:bottom w:val="nil"/>
            </w:tcBorders>
            <w:noWrap/>
            <w:hideMark/>
          </w:tcPr>
          <w:p w14:paraId="5E89E11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Administration</w:t>
            </w:r>
          </w:p>
        </w:tc>
      </w:tr>
      <w:tr w:rsidR="004C4643" w:rsidRPr="00305D19" w14:paraId="2BDB72A2"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tcBorders>
              <w:top w:val="nil"/>
            </w:tcBorders>
            <w:noWrap/>
            <w:hideMark/>
          </w:tcPr>
          <w:p w14:paraId="3F4A98FA"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Instructional </w:t>
            </w:r>
            <w:r>
              <w:rPr>
                <w:rFonts w:asciiTheme="minorHAnsi" w:hAnsiTheme="minorHAnsi" w:cstheme="minorHAnsi"/>
                <w:sz w:val="20"/>
                <w:szCs w:val="20"/>
              </w:rPr>
              <w:t>l</w:t>
            </w:r>
            <w:r w:rsidRPr="00061975">
              <w:rPr>
                <w:rFonts w:asciiTheme="minorHAnsi" w:hAnsiTheme="minorHAnsi" w:cstheme="minorHAnsi"/>
                <w:sz w:val="20"/>
                <w:szCs w:val="20"/>
              </w:rPr>
              <w:t>eadership</w:t>
            </w:r>
          </w:p>
        </w:tc>
      </w:tr>
      <w:tr w:rsidR="004C4643" w:rsidRPr="00305D19" w14:paraId="775102B5"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1CC97317"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Classroom and </w:t>
            </w:r>
            <w:r>
              <w:rPr>
                <w:rFonts w:asciiTheme="minorHAnsi" w:hAnsiTheme="minorHAnsi" w:cstheme="minorHAnsi"/>
                <w:sz w:val="20"/>
                <w:szCs w:val="20"/>
              </w:rPr>
              <w:t>s</w:t>
            </w:r>
            <w:r w:rsidRPr="00061975">
              <w:rPr>
                <w:rFonts w:asciiTheme="minorHAnsi" w:hAnsiTheme="minorHAnsi" w:cstheme="minorHAnsi"/>
                <w:sz w:val="20"/>
                <w:szCs w:val="20"/>
              </w:rPr>
              <w:t xml:space="preserve">pecialist </w:t>
            </w:r>
            <w:r>
              <w:rPr>
                <w:rFonts w:asciiTheme="minorHAnsi" w:hAnsiTheme="minorHAnsi" w:cstheme="minorHAnsi"/>
                <w:sz w:val="20"/>
                <w:szCs w:val="20"/>
              </w:rPr>
              <w:t>t</w:t>
            </w:r>
            <w:r w:rsidRPr="00061975">
              <w:rPr>
                <w:rFonts w:asciiTheme="minorHAnsi" w:hAnsiTheme="minorHAnsi" w:cstheme="minorHAnsi"/>
                <w:sz w:val="20"/>
                <w:szCs w:val="20"/>
              </w:rPr>
              <w:t>eachers</w:t>
            </w:r>
          </w:p>
        </w:tc>
      </w:tr>
      <w:tr w:rsidR="004C4643" w:rsidRPr="00305D19" w14:paraId="67738955"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79E1D349"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Other </w:t>
            </w:r>
            <w:r>
              <w:rPr>
                <w:rFonts w:asciiTheme="minorHAnsi" w:hAnsiTheme="minorHAnsi" w:cstheme="minorHAnsi"/>
                <w:sz w:val="20"/>
                <w:szCs w:val="20"/>
              </w:rPr>
              <w:t>t</w:t>
            </w:r>
            <w:r w:rsidRPr="00061975">
              <w:rPr>
                <w:rFonts w:asciiTheme="minorHAnsi" w:hAnsiTheme="minorHAnsi" w:cstheme="minorHAnsi"/>
                <w:sz w:val="20"/>
                <w:szCs w:val="20"/>
              </w:rPr>
              <w:t xml:space="preserve">eaching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01D4B6FF"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56687EC9"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Professional </w:t>
            </w:r>
            <w:r>
              <w:rPr>
                <w:rFonts w:asciiTheme="minorHAnsi" w:hAnsiTheme="minorHAnsi" w:cstheme="minorHAnsi"/>
                <w:sz w:val="20"/>
                <w:szCs w:val="20"/>
              </w:rPr>
              <w:t>d</w:t>
            </w:r>
            <w:r w:rsidRPr="00061975">
              <w:rPr>
                <w:rFonts w:asciiTheme="minorHAnsi" w:hAnsiTheme="minorHAnsi" w:cstheme="minorHAnsi"/>
                <w:sz w:val="20"/>
                <w:szCs w:val="20"/>
              </w:rPr>
              <w:t>evelopment</w:t>
            </w:r>
          </w:p>
        </w:tc>
      </w:tr>
      <w:tr w:rsidR="004C4643" w:rsidRPr="00305D19" w14:paraId="4E096517"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587CFD2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Instructional </w:t>
            </w:r>
            <w:r>
              <w:rPr>
                <w:rFonts w:asciiTheme="minorHAnsi" w:hAnsiTheme="minorHAnsi" w:cstheme="minorHAnsi"/>
                <w:sz w:val="20"/>
                <w:szCs w:val="20"/>
              </w:rPr>
              <w:t>e</w:t>
            </w:r>
            <w:r w:rsidRPr="00061975">
              <w:rPr>
                <w:rFonts w:asciiTheme="minorHAnsi" w:hAnsiTheme="minorHAnsi" w:cstheme="minorHAnsi"/>
                <w:sz w:val="20"/>
                <w:szCs w:val="20"/>
              </w:rPr>
              <w:t xml:space="preserve">quipment and </w:t>
            </w:r>
            <w:r>
              <w:rPr>
                <w:rFonts w:asciiTheme="minorHAnsi" w:hAnsiTheme="minorHAnsi" w:cstheme="minorHAnsi"/>
                <w:sz w:val="20"/>
                <w:szCs w:val="20"/>
              </w:rPr>
              <w:t>t</w:t>
            </w:r>
            <w:r w:rsidRPr="00061975">
              <w:rPr>
                <w:rFonts w:asciiTheme="minorHAnsi" w:hAnsiTheme="minorHAnsi" w:cstheme="minorHAnsi"/>
                <w:sz w:val="20"/>
                <w:szCs w:val="20"/>
              </w:rPr>
              <w:t>echnology</w:t>
            </w:r>
          </w:p>
        </w:tc>
      </w:tr>
      <w:tr w:rsidR="004C4643" w:rsidRPr="00305D19" w14:paraId="6CC8C6DB"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5978079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Guidance and </w:t>
            </w:r>
            <w:r>
              <w:rPr>
                <w:rFonts w:asciiTheme="minorHAnsi" w:hAnsiTheme="minorHAnsi" w:cstheme="minorHAnsi"/>
                <w:sz w:val="20"/>
                <w:szCs w:val="20"/>
              </w:rPr>
              <w:t>p</w:t>
            </w:r>
            <w:r w:rsidRPr="00061975">
              <w:rPr>
                <w:rFonts w:asciiTheme="minorHAnsi" w:hAnsiTheme="minorHAnsi" w:cstheme="minorHAnsi"/>
                <w:sz w:val="20"/>
                <w:szCs w:val="20"/>
              </w:rPr>
              <w:t xml:space="preserve">sychological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25F9C9C3"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6D81C1EE"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Pupil </w:t>
            </w:r>
            <w:r>
              <w:rPr>
                <w:rFonts w:asciiTheme="minorHAnsi" w:hAnsiTheme="minorHAnsi" w:cstheme="minorHAnsi"/>
                <w:sz w:val="20"/>
                <w:szCs w:val="20"/>
              </w:rPr>
              <w:t>s</w:t>
            </w:r>
            <w:r w:rsidRPr="00061975">
              <w:rPr>
                <w:rFonts w:asciiTheme="minorHAnsi" w:hAnsiTheme="minorHAnsi" w:cstheme="minorHAnsi"/>
                <w:sz w:val="20"/>
                <w:szCs w:val="20"/>
              </w:rPr>
              <w:t>ervices</w:t>
            </w:r>
          </w:p>
        </w:tc>
      </w:tr>
      <w:tr w:rsidR="004C4643" w:rsidRPr="00305D19" w14:paraId="68E74828"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7ABE12E1"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Operations and </w:t>
            </w:r>
            <w:r>
              <w:rPr>
                <w:rFonts w:asciiTheme="minorHAnsi" w:hAnsiTheme="minorHAnsi" w:cstheme="minorHAnsi"/>
                <w:sz w:val="20"/>
                <w:szCs w:val="20"/>
              </w:rPr>
              <w:t>m</w:t>
            </w:r>
            <w:r w:rsidRPr="00061975">
              <w:rPr>
                <w:rFonts w:asciiTheme="minorHAnsi" w:hAnsiTheme="minorHAnsi" w:cstheme="minorHAnsi"/>
                <w:sz w:val="20"/>
                <w:szCs w:val="20"/>
              </w:rPr>
              <w:t>aintenance</w:t>
            </w:r>
          </w:p>
        </w:tc>
      </w:tr>
      <w:tr w:rsidR="004C4643" w:rsidRPr="00305D19" w14:paraId="17BF54C4"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0BC821A4"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Employee </w:t>
            </w:r>
            <w:r>
              <w:rPr>
                <w:rFonts w:asciiTheme="minorHAnsi" w:hAnsiTheme="minorHAnsi" w:cstheme="minorHAnsi"/>
                <w:sz w:val="20"/>
                <w:szCs w:val="20"/>
              </w:rPr>
              <w:t>b</w:t>
            </w:r>
            <w:r w:rsidRPr="00061975">
              <w:rPr>
                <w:rFonts w:asciiTheme="minorHAnsi" w:hAnsiTheme="minorHAnsi" w:cstheme="minorHAnsi"/>
                <w:sz w:val="20"/>
                <w:szCs w:val="20"/>
              </w:rPr>
              <w:t xml:space="preserve">enefits and </w:t>
            </w:r>
            <w:r>
              <w:rPr>
                <w:rFonts w:asciiTheme="minorHAnsi" w:hAnsiTheme="minorHAnsi" w:cstheme="minorHAnsi"/>
                <w:sz w:val="20"/>
                <w:szCs w:val="20"/>
              </w:rPr>
              <w:t>f</w:t>
            </w:r>
            <w:r w:rsidRPr="00061975">
              <w:rPr>
                <w:rFonts w:asciiTheme="minorHAnsi" w:hAnsiTheme="minorHAnsi" w:cstheme="minorHAnsi"/>
                <w:sz w:val="20"/>
                <w:szCs w:val="20"/>
              </w:rPr>
              <w:t xml:space="preserve">ixed </w:t>
            </w:r>
            <w:r>
              <w:rPr>
                <w:rFonts w:asciiTheme="minorHAnsi" w:hAnsiTheme="minorHAnsi" w:cstheme="minorHAnsi"/>
                <w:sz w:val="20"/>
                <w:szCs w:val="20"/>
              </w:rPr>
              <w:t>c</w:t>
            </w:r>
            <w:r w:rsidRPr="00061975">
              <w:rPr>
                <w:rFonts w:asciiTheme="minorHAnsi" w:hAnsiTheme="minorHAnsi" w:cstheme="minorHAnsi"/>
                <w:sz w:val="20"/>
                <w:szCs w:val="20"/>
              </w:rPr>
              <w:t>harges</w:t>
            </w:r>
          </w:p>
        </w:tc>
      </w:tr>
      <w:tr w:rsidR="004C4643" w:rsidRPr="00305D19" w14:paraId="4C078F7C" w14:textId="77777777" w:rsidTr="004C4643">
        <w:trPr>
          <w:trHeight w:val="270"/>
          <w:jc w:val="center"/>
        </w:trPr>
        <w:tc>
          <w:tcPr>
            <w:cnfStyle w:val="001000000000" w:firstRow="0" w:lastRow="0" w:firstColumn="1" w:lastColumn="0" w:oddVBand="0" w:evenVBand="0" w:oddHBand="0" w:evenHBand="0" w:firstRowFirstColumn="0" w:firstRowLastColumn="0" w:lastRowFirstColumn="0" w:lastRowLastColumn="0"/>
            <w:tcW w:w="4032" w:type="dxa"/>
            <w:noWrap/>
            <w:hideMark/>
          </w:tcPr>
          <w:p w14:paraId="2223A1EC" w14:textId="77777777" w:rsidR="004C4643" w:rsidRPr="00061975" w:rsidRDefault="004C4643" w:rsidP="004C4643">
            <w:pPr>
              <w:rPr>
                <w:rFonts w:asciiTheme="minorHAnsi" w:hAnsiTheme="minorHAnsi" w:cstheme="minorHAnsi"/>
                <w:sz w:val="20"/>
                <w:szCs w:val="20"/>
              </w:rPr>
            </w:pPr>
            <w:r w:rsidRPr="00061975">
              <w:rPr>
                <w:rFonts w:asciiTheme="minorHAnsi" w:hAnsiTheme="minorHAnsi" w:cstheme="minorHAnsi"/>
                <w:sz w:val="20"/>
                <w:szCs w:val="20"/>
              </w:rPr>
              <w:t xml:space="preserve">Special </w:t>
            </w:r>
            <w:r>
              <w:rPr>
                <w:rFonts w:asciiTheme="minorHAnsi" w:hAnsiTheme="minorHAnsi" w:cstheme="minorHAnsi"/>
                <w:sz w:val="20"/>
                <w:szCs w:val="20"/>
              </w:rPr>
              <w:t>e</w:t>
            </w:r>
            <w:r w:rsidRPr="00061975">
              <w:rPr>
                <w:rFonts w:asciiTheme="minorHAnsi" w:hAnsiTheme="minorHAnsi" w:cstheme="minorHAnsi"/>
                <w:sz w:val="20"/>
                <w:szCs w:val="20"/>
              </w:rPr>
              <w:t xml:space="preserve">ducation </w:t>
            </w:r>
            <w:r>
              <w:rPr>
                <w:rFonts w:asciiTheme="minorHAnsi" w:hAnsiTheme="minorHAnsi" w:cstheme="minorHAnsi"/>
                <w:sz w:val="20"/>
                <w:szCs w:val="20"/>
              </w:rPr>
              <w:t>t</w:t>
            </w:r>
            <w:r w:rsidRPr="00061975">
              <w:rPr>
                <w:rFonts w:asciiTheme="minorHAnsi" w:hAnsiTheme="minorHAnsi" w:cstheme="minorHAnsi"/>
                <w:sz w:val="20"/>
                <w:szCs w:val="20"/>
              </w:rPr>
              <w:t>uition</w:t>
            </w:r>
          </w:p>
        </w:tc>
      </w:tr>
    </w:tbl>
    <w:p w14:paraId="59185D17" w14:textId="77777777" w:rsidR="004C4643" w:rsidRPr="008A4024" w:rsidRDefault="004C4643" w:rsidP="004C4643">
      <w:pPr>
        <w:rPr>
          <w:rFonts w:ascii="Georgia" w:hAnsi="Georgia"/>
          <w:sz w:val="20"/>
          <w:szCs w:val="20"/>
        </w:rPr>
      </w:pPr>
    </w:p>
    <w:p w14:paraId="16B81B6B" w14:textId="5C767684" w:rsidR="004C4643" w:rsidRDefault="004C4643" w:rsidP="004C4643">
      <w:r w:rsidRPr="008A4024">
        <w:t>Foundation budget rates reflect differences in the cost of educating different types of students</w:t>
      </w:r>
      <w:r>
        <w:t xml:space="preserve">. </w:t>
      </w:r>
      <w:r w:rsidRPr="008A4024">
        <w:t>Each pupil generates a specific cost in each functional category</w:t>
      </w:r>
      <w:r>
        <w:t xml:space="preserve">. </w:t>
      </w:r>
      <w:r w:rsidRPr="008A4024">
        <w:t>The costs are higher at the upper grades</w:t>
      </w:r>
      <w:r>
        <w:t xml:space="preserve">. </w:t>
      </w:r>
      <w:r w:rsidRPr="008A4024">
        <w:t>They are also higher in vocational programs</w:t>
      </w:r>
      <w:r>
        <w:t xml:space="preserve">. </w:t>
      </w:r>
      <w:r w:rsidRPr="008A4024">
        <w:t xml:space="preserve">Special education, </w:t>
      </w:r>
      <w:r>
        <w:t>EL,</w:t>
      </w:r>
      <w:r w:rsidRPr="008A4024">
        <w:t xml:space="preserve"> and </w:t>
      </w:r>
      <w:r>
        <w:t>economically disadvantaged</w:t>
      </w:r>
      <w:r w:rsidRPr="008A4024">
        <w:t xml:space="preserve"> increments add substantial costs as well</w:t>
      </w:r>
      <w:r>
        <w:t xml:space="preserve">. </w:t>
      </w:r>
    </w:p>
    <w:p w14:paraId="47AD917A" w14:textId="65ACBBC8" w:rsidR="0042380A" w:rsidRDefault="0042380A" w:rsidP="004C4643"/>
    <w:p w14:paraId="39BDB2A3" w14:textId="77777777" w:rsidR="0042380A" w:rsidRDefault="0042380A" w:rsidP="0042380A">
      <w:r>
        <w:t>These headcounts are applied to specific cost rates to determine foundation budgets. A district’s total foundation enrollment equals the sum the above full-day headcounts plus the students in pre-kindergarten and half-day kindergarten divided by two (to reflect their relative full-time equivalency).</w:t>
      </w:r>
    </w:p>
    <w:p w14:paraId="3D7AE271" w14:textId="77777777" w:rsidR="0042380A" w:rsidRDefault="0042380A" w:rsidP="0042380A"/>
    <w:p w14:paraId="7F227E2F" w14:textId="1ECDC363" w:rsidR="0042380A" w:rsidRDefault="0042380A" w:rsidP="0042380A">
      <w:r>
        <w:t>Each district’s FY20 calculations can be seen on the foundation budget report available in the Chapter 70 formula spreadsheet , see the example using West</w:t>
      </w:r>
      <w:r w:rsidR="00043376">
        <w:t>port</w:t>
      </w:r>
      <w:r>
        <w:t xml:space="preserve">’s foundation budget below. The columns going across the page are the </w:t>
      </w:r>
      <w:r w:rsidR="00FD36EC">
        <w:t>1</w:t>
      </w:r>
      <w:r w:rsidR="00597D70">
        <w:t>3</w:t>
      </w:r>
      <w:r w:rsidR="00FD36EC">
        <w:t xml:space="preserve"> </w:t>
      </w:r>
      <w:r>
        <w:t>enrollment categories used in the foundation budget calculation.</w:t>
      </w:r>
    </w:p>
    <w:p w14:paraId="3000861A" w14:textId="77777777" w:rsidR="004C4643" w:rsidRPr="008A4024" w:rsidRDefault="004C4643" w:rsidP="004C4643">
      <w:pPr>
        <w:rPr>
          <w:rFonts w:ascii="Georgia" w:hAnsi="Georgia"/>
          <w:sz w:val="20"/>
          <w:szCs w:val="20"/>
        </w:rPr>
      </w:pPr>
    </w:p>
    <w:p w14:paraId="71913EA1" w14:textId="77777777" w:rsidR="004C4643" w:rsidRDefault="004C4643" w:rsidP="005B1DEE">
      <w:pPr>
        <w:rPr>
          <w:rFonts w:ascii="Georgia" w:hAnsi="Georgia"/>
          <w:sz w:val="20"/>
          <w:szCs w:val="20"/>
        </w:rPr>
        <w:sectPr w:rsidR="004C4643" w:rsidSect="00061975">
          <w:pgSz w:w="12240" w:h="15840"/>
          <w:pgMar w:top="1440" w:right="1440" w:bottom="1440" w:left="1440" w:header="720" w:footer="720" w:gutter="0"/>
          <w:pgNumType w:start="1"/>
          <w:cols w:space="720"/>
        </w:sectPr>
      </w:pPr>
    </w:p>
    <w:p w14:paraId="35ADC237" w14:textId="34D13924" w:rsidR="005B1DEE" w:rsidRDefault="005B1DEE" w:rsidP="005B1DEE">
      <w:pPr>
        <w:rPr>
          <w:rFonts w:ascii="Georgia" w:hAnsi="Georgia"/>
          <w:sz w:val="20"/>
          <w:szCs w:val="20"/>
        </w:rPr>
      </w:pPr>
    </w:p>
    <w:p w14:paraId="4FCFDCCC" w14:textId="5B693903" w:rsidR="008A4024" w:rsidRPr="008A4024" w:rsidRDefault="008A4024" w:rsidP="008A4024">
      <w:pPr>
        <w:rPr>
          <w:rFonts w:ascii="Georgia" w:hAnsi="Georgia"/>
          <w:noProof/>
          <w:sz w:val="20"/>
          <w:szCs w:val="20"/>
        </w:rPr>
      </w:pPr>
    </w:p>
    <w:p w14:paraId="2B470E77" w14:textId="522F9FE1" w:rsidR="00032AF6" w:rsidRDefault="00032AF6" w:rsidP="008A4024">
      <w:pPr>
        <w:rPr>
          <w:rFonts w:ascii="Georgia" w:hAnsi="Georgia"/>
          <w:noProof/>
          <w:sz w:val="20"/>
          <w:szCs w:val="20"/>
        </w:rPr>
      </w:pPr>
    </w:p>
    <w:p w14:paraId="12399557" w14:textId="77777777" w:rsidR="008A4024" w:rsidRPr="008A4024" w:rsidRDefault="008A4024" w:rsidP="008A4024">
      <w:pPr>
        <w:rPr>
          <w:rFonts w:ascii="Georgia" w:hAnsi="Georgia"/>
          <w:sz w:val="20"/>
          <w:szCs w:val="20"/>
        </w:rPr>
      </w:pPr>
    </w:p>
    <w:p w14:paraId="4C121749" w14:textId="1E8BB93A" w:rsidR="00FE5B9D" w:rsidRDefault="00275397">
      <w:pPr>
        <w:rPr>
          <w:rFonts w:ascii="Georgia" w:hAnsi="Georgia"/>
          <w:b/>
          <w:bCs/>
          <w:i/>
          <w:sz w:val="20"/>
          <w:szCs w:val="20"/>
        </w:rPr>
        <w:sectPr w:rsidR="00FE5B9D" w:rsidSect="00305D19">
          <w:pgSz w:w="24480" w:h="15840" w:orient="landscape" w:code="3"/>
          <w:pgMar w:top="1440" w:right="1440" w:bottom="1440" w:left="1440" w:header="720" w:footer="720" w:gutter="0"/>
          <w:cols w:space="720"/>
          <w:docGrid w:linePitch="326"/>
        </w:sectPr>
      </w:pPr>
      <w:r>
        <w:rPr>
          <w:noProof/>
        </w:rPr>
        <w:drawing>
          <wp:inline distT="0" distB="0" distL="0" distR="0" wp14:anchorId="714DB2B8" wp14:editId="0CA4A921">
            <wp:extent cx="11593871" cy="3810000"/>
            <wp:effectExtent l="0" t="0" r="7620" b="0"/>
            <wp:docPr id="13" name="Picture 13" descr="Chapter 70 foundation budget components using Westport as a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606795" cy="3814247"/>
                    </a:xfrm>
                    <a:prstGeom prst="rect">
                      <a:avLst/>
                    </a:prstGeom>
                  </pic:spPr>
                </pic:pic>
              </a:graphicData>
            </a:graphic>
          </wp:inline>
        </w:drawing>
      </w:r>
    </w:p>
    <w:p w14:paraId="067482C2" w14:textId="77777777" w:rsidR="004C4643" w:rsidRPr="00496319" w:rsidRDefault="004C4643" w:rsidP="004C4643">
      <w:pPr>
        <w:pStyle w:val="Heading3"/>
      </w:pPr>
      <w:r w:rsidRPr="00496319">
        <w:lastRenderedPageBreak/>
        <w:t>When districts’ foundation budgets are presented in per pupil terms, there is considerable variation.</w:t>
      </w:r>
    </w:p>
    <w:p w14:paraId="3EC903D0" w14:textId="2C0CB2B3" w:rsidR="004C4643" w:rsidRPr="00FD7E81" w:rsidRDefault="004C4643" w:rsidP="004C4643">
      <w:r w:rsidRPr="008A4024">
        <w:t>The FY</w:t>
      </w:r>
      <w:r>
        <w:t>20</w:t>
      </w:r>
      <w:r w:rsidRPr="008A4024">
        <w:t xml:space="preserve"> statewide average </w:t>
      </w:r>
      <w:r>
        <w:t xml:space="preserve">foundation budget per pupil </w:t>
      </w:r>
      <w:r w:rsidRPr="008A4024">
        <w:t>is $</w:t>
      </w:r>
      <w:r w:rsidR="00A7109D">
        <w:t>12,088</w:t>
      </w:r>
      <w:r w:rsidRPr="008A4024">
        <w:t xml:space="preserve"> per pupil. </w:t>
      </w:r>
      <w:r>
        <w:t xml:space="preserve">Foundation budgets are weighted to assume greater student needs and higher costs in districts that serve higher percentages of disadvantaged student. </w:t>
      </w:r>
      <w:r w:rsidRPr="00FD7E81">
        <w:t xml:space="preserve">For example, </w:t>
      </w:r>
      <w:r w:rsidRPr="00727324">
        <w:t>excluding vocational districts</w:t>
      </w:r>
      <w:r w:rsidRPr="00FD7E81">
        <w:t>, the foundation budget per pupil in decile 10 districts is $</w:t>
      </w:r>
      <w:r w:rsidR="00FD7E81" w:rsidRPr="00007A43">
        <w:t>3,1</w:t>
      </w:r>
      <w:r w:rsidR="00727324">
        <w:t>05</w:t>
      </w:r>
      <w:r w:rsidRPr="00FD7E81">
        <w:t xml:space="preserve"> higher than decile 1 districts to address the needs of students in districts with higher concentrations of poverty, see Figure 1.</w:t>
      </w:r>
      <w:r w:rsidR="00727324">
        <w:t xml:space="preserve"> </w:t>
      </w:r>
    </w:p>
    <w:p w14:paraId="2FE53355" w14:textId="3C5C4AF5" w:rsidR="00727324" w:rsidRPr="008A4024" w:rsidRDefault="00727324" w:rsidP="004C4643">
      <w:pPr>
        <w:jc w:val="center"/>
        <w:rPr>
          <w:rFonts w:ascii="Georgia" w:hAnsi="Georgia"/>
          <w:sz w:val="20"/>
          <w:szCs w:val="20"/>
          <w:highlight w:val="yellow"/>
        </w:rPr>
      </w:pPr>
      <w:r>
        <w:rPr>
          <w:noProof/>
        </w:rPr>
        <w:drawing>
          <wp:inline distT="0" distB="0" distL="0" distR="0" wp14:anchorId="3BB4704C" wp14:editId="133BEAFD">
            <wp:extent cx="5334000" cy="3390900"/>
            <wp:effectExtent l="0" t="0" r="0" b="0"/>
            <wp:docPr id="14" name="Chart 14" descr="foundation budget per pupil for each economically disadvantaged deci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F9FE12" w14:textId="28BA30D1" w:rsidR="008A4024" w:rsidRPr="005A1B5E" w:rsidRDefault="008A4024" w:rsidP="00007A43">
      <w:pPr>
        <w:pStyle w:val="Heading3"/>
      </w:pPr>
      <w:r w:rsidRPr="005A1B5E">
        <w:t>Foundation budget rates are adjusted each year by a statutorily defined inflation factor</w:t>
      </w:r>
      <w:r w:rsidR="00FC5E22">
        <w:t xml:space="preserve"> that</w:t>
      </w:r>
      <w:r w:rsidR="0067284C">
        <w:t xml:space="preserve"> </w:t>
      </w:r>
      <w:r w:rsidRPr="005A1B5E">
        <w:t>affects all districts in the same way.</w:t>
      </w:r>
    </w:p>
    <w:p w14:paraId="439A4477" w14:textId="3384CD4E" w:rsidR="008A4024" w:rsidRPr="00305D19" w:rsidRDefault="008A4024" w:rsidP="003E4B00">
      <w:pPr>
        <w:rPr>
          <w:rStyle w:val="Strong"/>
        </w:rPr>
      </w:pPr>
      <w:r w:rsidRPr="00305D19">
        <w:t>Chapter 70 statute stipulates usage of the ratio of the current year's third-quarter inflation index to the prior year's third-quarter ind</w:t>
      </w:r>
      <w:r w:rsidR="003E4B00">
        <w:t>ex.</w:t>
      </w:r>
      <w:r w:rsidRPr="00061975">
        <w:rPr>
          <w:rStyle w:val="Strong"/>
          <w:b w:val="0"/>
          <w:vertAlign w:val="superscript"/>
        </w:rPr>
        <w:footnoteReference w:id="8"/>
      </w:r>
      <w:r w:rsidRPr="00061975">
        <w:rPr>
          <w:rStyle w:val="Strong"/>
          <w:b w:val="0"/>
          <w:vertAlign w:val="superscript"/>
        </w:rPr>
        <w:t xml:space="preserve"> </w:t>
      </w:r>
    </w:p>
    <w:p w14:paraId="0C2041C6" w14:textId="522B7CE3" w:rsidR="00EA2FF1" w:rsidRDefault="00EA2FF1" w:rsidP="00007A43">
      <w:pPr>
        <w:pStyle w:val="Heading3"/>
      </w:pPr>
      <w:r w:rsidRPr="000F7A4C">
        <w:t>Some foundation budget rates are increased at a faster rate than inflation to address specific policy concerns.</w:t>
      </w:r>
    </w:p>
    <w:p w14:paraId="4A141622" w14:textId="77777777" w:rsidR="00B839D7" w:rsidRPr="004F168F" w:rsidRDefault="00B839D7" w:rsidP="00007A43">
      <w:pPr>
        <w:rPr>
          <w:i/>
        </w:rPr>
      </w:pPr>
      <w:r>
        <w:t>The FY20 budget implements foundation</w:t>
      </w:r>
      <w:r w:rsidRPr="004F168F">
        <w:t xml:space="preserve"> </w:t>
      </w:r>
      <w:r>
        <w:t xml:space="preserve">budget rate increases </w:t>
      </w:r>
      <w:r w:rsidRPr="004F168F">
        <w:t>toward</w:t>
      </w:r>
      <w:r>
        <w:rPr>
          <w:color w:val="C0504D" w:themeColor="accent2"/>
        </w:rPr>
        <w:t xml:space="preserve"> </w:t>
      </w:r>
      <w:r w:rsidRPr="004F168F">
        <w:t>multiyear goals</w:t>
      </w:r>
      <w:r w:rsidRPr="00321833">
        <w:t xml:space="preserve"> in </w:t>
      </w:r>
      <w:r>
        <w:t>the four areas identified by the Foundation Budget Review Commission (FBRC). These changes include:</w:t>
      </w:r>
    </w:p>
    <w:p w14:paraId="7FA1ED7D" w14:textId="77777777" w:rsidR="00B839D7" w:rsidRPr="00E56F55" w:rsidRDefault="00B839D7" w:rsidP="00007A43">
      <w:pPr>
        <w:pStyle w:val="ListParagraph"/>
        <w:numPr>
          <w:ilvl w:val="0"/>
          <w:numId w:val="30"/>
        </w:numPr>
      </w:pPr>
      <w:r w:rsidRPr="00E56F55">
        <w:t xml:space="preserve">Increasing the </w:t>
      </w:r>
      <w:r w:rsidRPr="00007A43">
        <w:rPr>
          <w:i/>
        </w:rPr>
        <w:t>benefits and fixed charges</w:t>
      </w:r>
      <w:r w:rsidRPr="00E56F55">
        <w:t xml:space="preserve"> rates to align with the most current Group Insurance Commission (GIC) premium rates for both active and retired municipal employees, closing one-seventh of the gap between the FY19 rates and the new goal rates.</w:t>
      </w:r>
    </w:p>
    <w:p w14:paraId="0220DE22" w14:textId="77777777" w:rsidR="00B839D7" w:rsidRDefault="00B839D7" w:rsidP="00007A43">
      <w:pPr>
        <w:pStyle w:val="ListParagraph"/>
        <w:numPr>
          <w:ilvl w:val="0"/>
          <w:numId w:val="30"/>
        </w:numPr>
      </w:pPr>
      <w:r>
        <w:lastRenderedPageBreak/>
        <w:t xml:space="preserve">Updating the foundation budget assumptions for in-district and out-of-district </w:t>
      </w:r>
      <w:r w:rsidRPr="00007A43">
        <w:rPr>
          <w:i/>
        </w:rPr>
        <w:t>special education</w:t>
      </w:r>
      <w:r>
        <w:t xml:space="preserve"> </w:t>
      </w:r>
      <w:r w:rsidRPr="00007A43">
        <w:rPr>
          <w:i/>
        </w:rPr>
        <w:t>students</w:t>
      </w:r>
      <w:r>
        <w:t>:</w:t>
      </w:r>
    </w:p>
    <w:p w14:paraId="41F66C6F" w14:textId="77777777" w:rsidR="00B839D7" w:rsidRPr="00D65747" w:rsidRDefault="00B839D7" w:rsidP="00007A43">
      <w:pPr>
        <w:pStyle w:val="ListParagraph"/>
        <w:numPr>
          <w:ilvl w:val="1"/>
          <w:numId w:val="30"/>
        </w:numPr>
      </w:pPr>
      <w:r>
        <w:t>T</w:t>
      </w:r>
      <w:r w:rsidRPr="001241AD">
        <w:t xml:space="preserve">he </w:t>
      </w:r>
      <w:r w:rsidRPr="00007A43">
        <w:rPr>
          <w:i/>
        </w:rPr>
        <w:t>in-district</w:t>
      </w:r>
      <w:r w:rsidRPr="001241AD">
        <w:t xml:space="preserve"> special education </w:t>
      </w:r>
      <w:r>
        <w:t xml:space="preserve">assumed </w:t>
      </w:r>
      <w:r w:rsidRPr="001241AD">
        <w:t>enrollment</w:t>
      </w:r>
      <w:r>
        <w:t xml:space="preserve"> percentages are increased toward the goal of</w:t>
      </w:r>
      <w:r w:rsidRPr="001241AD">
        <w:t xml:space="preserve"> 4</w:t>
      </w:r>
      <w:r>
        <w:t xml:space="preserve"> percent for non-vocational students and</w:t>
      </w:r>
      <w:r w:rsidRPr="001241AD">
        <w:t xml:space="preserve"> 5 percent </w:t>
      </w:r>
      <w:r>
        <w:t xml:space="preserve">for </w:t>
      </w:r>
      <w:r w:rsidRPr="001241AD">
        <w:t>vocatio</w:t>
      </w:r>
      <w:r>
        <w:t>nal students. The</w:t>
      </w:r>
      <w:r w:rsidRPr="001241AD">
        <w:t xml:space="preserve"> </w:t>
      </w:r>
      <w:r>
        <w:t xml:space="preserve">FY20 rates are 3.79 and 4.79 percent for non-vocational and vocational students, respectively, which closes </w:t>
      </w:r>
      <w:r w:rsidRPr="001241AD">
        <w:t xml:space="preserve">one-seventh of the gap </w:t>
      </w:r>
      <w:r>
        <w:t>toward</w:t>
      </w:r>
      <w:r w:rsidRPr="001241AD">
        <w:t xml:space="preserve"> the </w:t>
      </w:r>
      <w:r>
        <w:t>goals.</w:t>
      </w:r>
    </w:p>
    <w:p w14:paraId="25AAAD01" w14:textId="77777777" w:rsidR="00B839D7" w:rsidRPr="008A36AF" w:rsidRDefault="00B839D7" w:rsidP="00007A43">
      <w:pPr>
        <w:pStyle w:val="ListParagraph"/>
        <w:numPr>
          <w:ilvl w:val="1"/>
          <w:numId w:val="30"/>
        </w:numPr>
      </w:pPr>
      <w:r>
        <w:t>The r</w:t>
      </w:r>
      <w:r w:rsidRPr="001241AD">
        <w:t xml:space="preserve">ate for </w:t>
      </w:r>
      <w:r w:rsidRPr="00007A43">
        <w:rPr>
          <w:i/>
        </w:rPr>
        <w:t>out-of-district special education tuition</w:t>
      </w:r>
      <w:r w:rsidRPr="00E47E69">
        <w:t xml:space="preserve"> </w:t>
      </w:r>
      <w:r>
        <w:t xml:space="preserve">is increased </w:t>
      </w:r>
      <w:r w:rsidRPr="00E47E69">
        <w:t>to narrow the gap between the foundation budget and the circuit breaker</w:t>
      </w:r>
      <w:r>
        <w:t xml:space="preserve"> eligibility threshold, which is four times the statewide average foundation budget per pupil</w:t>
      </w:r>
      <w:r w:rsidRPr="00E47E69">
        <w:t xml:space="preserve">. </w:t>
      </w:r>
      <w:r>
        <w:t xml:space="preserve">The goal is set </w:t>
      </w:r>
      <w:r w:rsidRPr="00E47E69">
        <w:t xml:space="preserve">at three times the </w:t>
      </w:r>
      <w:r>
        <w:t>FY19</w:t>
      </w:r>
      <w:r w:rsidRPr="00E47E69">
        <w:t xml:space="preserve"> statewide average foundation budget per pupil</w:t>
      </w:r>
      <w:r>
        <w:t xml:space="preserve"> or $34,345 and the </w:t>
      </w:r>
      <w:r w:rsidRPr="00E47E69">
        <w:t xml:space="preserve">FY20 rate </w:t>
      </w:r>
      <w:r>
        <w:t>closes</w:t>
      </w:r>
      <w:r w:rsidRPr="00E47E69">
        <w:t xml:space="preserve"> one-seventh of the gap</w:t>
      </w:r>
      <w:r>
        <w:t xml:space="preserve"> toward this goal plus</w:t>
      </w:r>
      <w:r w:rsidRPr="00E47E69">
        <w:t xml:space="preserve"> inflation</w:t>
      </w:r>
      <w:r>
        <w:t>.</w:t>
      </w:r>
      <w:r w:rsidRPr="00E47E69">
        <w:t xml:space="preserve"> </w:t>
      </w:r>
    </w:p>
    <w:p w14:paraId="605A9586" w14:textId="77777777" w:rsidR="00B839D7" w:rsidRDefault="00B839D7" w:rsidP="00007A43">
      <w:pPr>
        <w:pStyle w:val="ListParagraph"/>
        <w:numPr>
          <w:ilvl w:val="0"/>
          <w:numId w:val="30"/>
        </w:numPr>
      </w:pPr>
      <w:r w:rsidRPr="00E56F55">
        <w:t xml:space="preserve">Increasing the increments for </w:t>
      </w:r>
      <w:r w:rsidRPr="00007A43">
        <w:rPr>
          <w:i/>
        </w:rPr>
        <w:t>English learners</w:t>
      </w:r>
      <w:r w:rsidRPr="00E56F55">
        <w:t xml:space="preserve"> (</w:t>
      </w:r>
      <w:r w:rsidRPr="00007A43">
        <w:rPr>
          <w:i/>
        </w:rPr>
        <w:t>ELs</w:t>
      </w:r>
      <w:r w:rsidRPr="00E56F55">
        <w:t>), including vocational students, toward a new, uniform goal rate of $2,537 per student. The FY20 rates close one-seventh of the gap toward the goal over FY19 rates plus inflation.</w:t>
      </w:r>
    </w:p>
    <w:p w14:paraId="28CF4BEF" w14:textId="54BA22D8" w:rsidR="00B839D7" w:rsidRDefault="00B839D7" w:rsidP="00007A43">
      <w:pPr>
        <w:pStyle w:val="ListParagraph"/>
        <w:numPr>
          <w:ilvl w:val="0"/>
          <w:numId w:val="30"/>
        </w:numPr>
      </w:pPr>
      <w:r>
        <w:t>Implementing a</w:t>
      </w:r>
      <w:r w:rsidRPr="004F168F">
        <w:t xml:space="preserve"> more progressive decile</w:t>
      </w:r>
      <w:r>
        <w:t xml:space="preserve"> rate structure for </w:t>
      </w:r>
      <w:r w:rsidRPr="00007A43">
        <w:rPr>
          <w:i/>
        </w:rPr>
        <w:t>economically</w:t>
      </w:r>
      <w:r>
        <w:t xml:space="preserve"> </w:t>
      </w:r>
      <w:r w:rsidRPr="00007A43">
        <w:rPr>
          <w:i/>
        </w:rPr>
        <w:t>disadvantaged students</w:t>
      </w:r>
      <w:r>
        <w:t xml:space="preserve"> that expands the foundation budget for deciles 6 to 10, setting the goal</w:t>
      </w:r>
      <w:r w:rsidRPr="004F168F">
        <w:t xml:space="preserve"> </w:t>
      </w:r>
      <w:r>
        <w:t>rate for decile 10 at</w:t>
      </w:r>
      <w:r w:rsidRPr="004F168F">
        <w:t xml:space="preserve"> 100</w:t>
      </w:r>
      <w:r>
        <w:t xml:space="preserve"> percent</w:t>
      </w:r>
      <w:r w:rsidRPr="004F168F">
        <w:t xml:space="preserve"> of the average base rate</w:t>
      </w:r>
      <w:r>
        <w:t>. The FY20 rates narrow</w:t>
      </w:r>
      <w:r w:rsidRPr="004F168F">
        <w:t xml:space="preserve"> one-seventh o</w:t>
      </w:r>
      <w:r>
        <w:t>f the gap toward the goal over FY19 rates plus inflation.</w:t>
      </w:r>
    </w:p>
    <w:p w14:paraId="38AD6DC3" w14:textId="60CBF91A" w:rsidR="008A4024" w:rsidRPr="005A1B5E" w:rsidRDefault="008A4024" w:rsidP="00305D19">
      <w:pPr>
        <w:pStyle w:val="Heading3"/>
      </w:pPr>
      <w:r w:rsidRPr="005A1B5E">
        <w:t>The wage adjustment factor</w:t>
      </w:r>
      <w:r w:rsidR="004B4C90">
        <w:t xml:space="preserve"> (WAF)</w:t>
      </w:r>
      <w:r w:rsidRPr="005A1B5E">
        <w:t xml:space="preserve"> gives a district credit for having higher school costs if it is located in a geographic area where average wages are higher than in other areas of the state.</w:t>
      </w:r>
    </w:p>
    <w:p w14:paraId="13B0D00B" w14:textId="74DAF51E" w:rsidR="008A4024" w:rsidRPr="008A4024" w:rsidRDefault="008A4024" w:rsidP="003E4B00">
      <w:r w:rsidRPr="008A4024">
        <w:t>In theory</w:t>
      </w:r>
      <w:r w:rsidR="004B4C90">
        <w:t>,</w:t>
      </w:r>
      <w:r w:rsidRPr="008A4024">
        <w:t xml:space="preserve"> it is more expensive for </w:t>
      </w:r>
      <w:r w:rsidR="004B4C90">
        <w:t>these districts</w:t>
      </w:r>
      <w:r w:rsidRPr="008A4024">
        <w:t xml:space="preserve"> to attract teachers and other staff because the cost of living is higher</w:t>
      </w:r>
      <w:r w:rsidR="0067284C">
        <w:t xml:space="preserve">. </w:t>
      </w:r>
      <w:r w:rsidRPr="008A4024">
        <w:t>Massachusetts is one of the few states in the country to use such a factor.</w:t>
      </w:r>
    </w:p>
    <w:p w14:paraId="0129ECC6" w14:textId="77777777" w:rsidR="008A4024" w:rsidRPr="008A4024" w:rsidRDefault="008A4024" w:rsidP="003E4B00"/>
    <w:p w14:paraId="406D12F0" w14:textId="336C8123" w:rsidR="003B5F6D" w:rsidRDefault="008A4024" w:rsidP="003E4B00">
      <w:r w:rsidRPr="008A4024">
        <w:t>The wage factor is calculated using the latest available average wage data supplied by the state’s Department of Employment</w:t>
      </w:r>
      <w:r w:rsidR="0067284C">
        <w:t xml:space="preserve">. </w:t>
      </w:r>
      <w:r w:rsidRPr="008A4024">
        <w:t xml:space="preserve">The factor reflects a town’s own average, but is </w:t>
      </w:r>
      <w:r w:rsidR="003B5F6D">
        <w:t xml:space="preserve">more </w:t>
      </w:r>
      <w:r w:rsidRPr="008A4024">
        <w:t>weighted to the average of the labor market area</w:t>
      </w:r>
      <w:r w:rsidR="004B4C90">
        <w:t xml:space="preserve"> (LMA)</w:t>
      </w:r>
      <w:r w:rsidRPr="008A4024">
        <w:t xml:space="preserve"> </w:t>
      </w:r>
      <w:r w:rsidR="003B5F6D">
        <w:t>where the</w:t>
      </w:r>
      <w:r w:rsidRPr="008A4024">
        <w:t xml:space="preserve"> town is located</w:t>
      </w:r>
      <w:r w:rsidR="0067284C">
        <w:t xml:space="preserve">. </w:t>
      </w:r>
      <w:r w:rsidRPr="008A4024">
        <w:t>There are real differences in these averages, which represent the combined total for all industries both private and public.</w:t>
      </w:r>
    </w:p>
    <w:p w14:paraId="63044F3B" w14:textId="497A3CAC" w:rsidR="002A601A" w:rsidRDefault="002A601A">
      <w:r>
        <w:br w:type="page"/>
      </w:r>
    </w:p>
    <w:p w14:paraId="71766E6B" w14:textId="77777777" w:rsidR="008A4024" w:rsidRDefault="008A4024" w:rsidP="003E4B00"/>
    <w:tbl>
      <w:tblPr>
        <w:tblStyle w:val="ESETablesOpenStyle"/>
        <w:tblW w:w="9900" w:type="dxa"/>
        <w:tblLayout w:type="fixed"/>
        <w:tblLook w:val="04A0" w:firstRow="1" w:lastRow="0" w:firstColumn="1" w:lastColumn="0" w:noHBand="0" w:noVBand="1"/>
        <w:tblDescription w:val="Table 3: 2016 labor market area average wages"/>
      </w:tblPr>
      <w:tblGrid>
        <w:gridCol w:w="5490"/>
        <w:gridCol w:w="1710"/>
        <w:gridCol w:w="1524"/>
        <w:gridCol w:w="1176"/>
      </w:tblGrid>
      <w:tr w:rsidR="00514F19" w:rsidRPr="00305D19" w14:paraId="265A53AE" w14:textId="77777777" w:rsidTr="00007A43">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9900" w:type="dxa"/>
            <w:gridSpan w:val="4"/>
            <w:tcBorders>
              <w:top w:val="nil"/>
              <w:bottom w:val="single" w:sz="12" w:space="0" w:color="auto"/>
            </w:tcBorders>
            <w:noWrap/>
          </w:tcPr>
          <w:p w14:paraId="4924DDB5" w14:textId="4EA7CBF7" w:rsidR="00514F19" w:rsidRPr="00061975" w:rsidRDefault="00EA2FF1" w:rsidP="00394F07">
            <w:pPr>
              <w:rPr>
                <w:rFonts w:asciiTheme="minorHAnsi" w:hAnsiTheme="minorHAnsi" w:cstheme="minorHAnsi"/>
                <w:bCs/>
                <w:sz w:val="28"/>
                <w:szCs w:val="28"/>
              </w:rPr>
            </w:pPr>
            <w:r>
              <w:rPr>
                <w:rFonts w:asciiTheme="minorHAnsi" w:hAnsiTheme="minorHAnsi" w:cstheme="minorHAnsi"/>
                <w:bCs/>
                <w:sz w:val="28"/>
                <w:szCs w:val="28"/>
              </w:rPr>
              <w:t xml:space="preserve">Table </w:t>
            </w:r>
            <w:r w:rsidR="002A601A">
              <w:rPr>
                <w:rFonts w:asciiTheme="minorHAnsi" w:hAnsiTheme="minorHAnsi" w:cstheme="minorHAnsi"/>
                <w:bCs/>
                <w:sz w:val="28"/>
                <w:szCs w:val="28"/>
              </w:rPr>
              <w:t>4</w:t>
            </w:r>
            <w:r>
              <w:rPr>
                <w:rFonts w:asciiTheme="minorHAnsi" w:hAnsiTheme="minorHAnsi" w:cstheme="minorHAnsi"/>
                <w:bCs/>
                <w:sz w:val="28"/>
                <w:szCs w:val="28"/>
              </w:rPr>
              <w:t>: 201</w:t>
            </w:r>
            <w:r w:rsidR="002A601A">
              <w:rPr>
                <w:rFonts w:asciiTheme="minorHAnsi" w:hAnsiTheme="minorHAnsi" w:cstheme="minorHAnsi"/>
                <w:bCs/>
                <w:sz w:val="28"/>
                <w:szCs w:val="28"/>
              </w:rPr>
              <w:t>7</w:t>
            </w:r>
            <w:r>
              <w:rPr>
                <w:rFonts w:asciiTheme="minorHAnsi" w:hAnsiTheme="minorHAnsi" w:cstheme="minorHAnsi"/>
                <w:bCs/>
                <w:sz w:val="28"/>
                <w:szCs w:val="28"/>
              </w:rPr>
              <w:t xml:space="preserve"> l</w:t>
            </w:r>
            <w:r w:rsidR="00514F19" w:rsidRPr="00061975">
              <w:rPr>
                <w:rFonts w:asciiTheme="minorHAnsi" w:hAnsiTheme="minorHAnsi" w:cstheme="minorHAnsi"/>
                <w:bCs/>
                <w:sz w:val="28"/>
                <w:szCs w:val="28"/>
              </w:rPr>
              <w:t>abor market area average wages</w:t>
            </w:r>
          </w:p>
        </w:tc>
      </w:tr>
      <w:tr w:rsidR="008A4024" w:rsidRPr="00305D19" w14:paraId="5E142E60"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tcBorders>
              <w:top w:val="single" w:sz="12" w:space="0" w:color="auto"/>
            </w:tcBorders>
            <w:noWrap/>
            <w:hideMark/>
          </w:tcPr>
          <w:p w14:paraId="2EA71AE2" w14:textId="79BC5400" w:rsidR="008A4024" w:rsidRPr="003935B7" w:rsidRDefault="00926BE0" w:rsidP="008A4024">
            <w:pPr>
              <w:rPr>
                <w:rFonts w:asciiTheme="minorHAnsi" w:hAnsiTheme="minorHAnsi" w:cstheme="minorHAnsi"/>
                <w:b/>
                <w:bCs/>
              </w:rPr>
            </w:pPr>
            <w:r w:rsidRPr="003935B7">
              <w:rPr>
                <w:rFonts w:asciiTheme="minorHAnsi" w:hAnsiTheme="minorHAnsi" w:cstheme="minorHAnsi"/>
                <w:b/>
                <w:bCs/>
              </w:rPr>
              <w:t>Labor Market Area</w:t>
            </w:r>
          </w:p>
        </w:tc>
        <w:tc>
          <w:tcPr>
            <w:tcW w:w="1710" w:type="dxa"/>
            <w:tcBorders>
              <w:top w:val="single" w:sz="12" w:space="0" w:color="auto"/>
            </w:tcBorders>
            <w:noWrap/>
            <w:hideMark/>
          </w:tcPr>
          <w:p w14:paraId="5BBF1B8E" w14:textId="1EB076A4" w:rsidR="00926BE0" w:rsidRPr="003935B7" w:rsidRDefault="00926BE0" w:rsidP="00394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Total Wages</w:t>
            </w:r>
          </w:p>
        </w:tc>
        <w:tc>
          <w:tcPr>
            <w:tcW w:w="1524" w:type="dxa"/>
            <w:tcBorders>
              <w:top w:val="single" w:sz="12" w:space="0" w:color="auto"/>
            </w:tcBorders>
            <w:noWrap/>
            <w:hideMark/>
          </w:tcPr>
          <w:p w14:paraId="4D90ED0D" w14:textId="224316BC" w:rsidR="00926BE0" w:rsidRPr="003935B7" w:rsidRDefault="00926BE0" w:rsidP="00394F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935B7">
              <w:rPr>
                <w:rFonts w:asciiTheme="minorHAnsi" w:hAnsiTheme="minorHAnsi" w:cstheme="minorHAnsi"/>
                <w:b/>
                <w:bCs/>
              </w:rPr>
              <w:t>Employment</w:t>
            </w:r>
          </w:p>
        </w:tc>
        <w:tc>
          <w:tcPr>
            <w:tcW w:w="1176" w:type="dxa"/>
            <w:tcBorders>
              <w:top w:val="single" w:sz="12" w:space="0" w:color="auto"/>
            </w:tcBorders>
            <w:noWrap/>
            <w:hideMark/>
          </w:tcPr>
          <w:p w14:paraId="4BE2FD17" w14:textId="4403CD56" w:rsidR="00926BE0" w:rsidRPr="003935B7" w:rsidRDefault="00926BE0" w:rsidP="00676F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roofErr w:type="spellStart"/>
            <w:r w:rsidRPr="003935B7">
              <w:rPr>
                <w:rFonts w:asciiTheme="minorHAnsi" w:hAnsiTheme="minorHAnsi" w:cstheme="minorHAnsi"/>
                <w:b/>
                <w:bCs/>
              </w:rPr>
              <w:t>AverageWages</w:t>
            </w:r>
            <w:proofErr w:type="spellEnd"/>
          </w:p>
        </w:tc>
      </w:tr>
      <w:tr w:rsidR="00A52164" w:rsidRPr="00305D19" w14:paraId="0792BB01"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tcBorders>
              <w:top w:val="single" w:sz="4" w:space="0" w:color="auto"/>
              <w:bottom w:val="nil"/>
            </w:tcBorders>
            <w:noWrap/>
            <w:hideMark/>
          </w:tcPr>
          <w:p w14:paraId="019E8C14" w14:textId="64A2E1FF"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Nantucket County/Town MA</w:t>
            </w:r>
          </w:p>
        </w:tc>
        <w:tc>
          <w:tcPr>
            <w:tcW w:w="1710" w:type="dxa"/>
            <w:tcBorders>
              <w:top w:val="single" w:sz="4" w:space="0" w:color="auto"/>
              <w:bottom w:val="nil"/>
            </w:tcBorders>
            <w:noWrap/>
            <w:vAlign w:val="top"/>
          </w:tcPr>
          <w:p w14:paraId="3A708081" w14:textId="00DB3075"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Pr="003935B7">
              <w:rPr>
                <w:rFonts w:asciiTheme="minorHAnsi" w:hAnsiTheme="minorHAnsi"/>
                <w:sz w:val="20"/>
                <w:szCs w:val="20"/>
              </w:rPr>
              <w:t>414,727,548</w:t>
            </w:r>
          </w:p>
        </w:tc>
        <w:tc>
          <w:tcPr>
            <w:tcW w:w="1524" w:type="dxa"/>
            <w:tcBorders>
              <w:top w:val="single" w:sz="4" w:space="0" w:color="auto"/>
              <w:bottom w:val="nil"/>
            </w:tcBorders>
            <w:noWrap/>
            <w:vAlign w:val="top"/>
          </w:tcPr>
          <w:p w14:paraId="08FEB946" w14:textId="73DE96FF"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7,373</w:t>
            </w:r>
          </w:p>
        </w:tc>
        <w:tc>
          <w:tcPr>
            <w:tcW w:w="1176" w:type="dxa"/>
            <w:tcBorders>
              <w:top w:val="single" w:sz="4" w:space="0" w:color="auto"/>
              <w:bottom w:val="nil"/>
            </w:tcBorders>
            <w:noWrap/>
            <w:vAlign w:val="top"/>
          </w:tcPr>
          <w:p w14:paraId="2F165A4B" w14:textId="4EE31E1A"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56,249</w:t>
            </w:r>
          </w:p>
        </w:tc>
      </w:tr>
      <w:tr w:rsidR="00A52164" w:rsidRPr="00305D19" w14:paraId="43C723F7"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tcBorders>
              <w:top w:val="nil"/>
            </w:tcBorders>
            <w:noWrap/>
            <w:hideMark/>
          </w:tcPr>
          <w:p w14:paraId="231CBAFB"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Athol MA Micropolitan NECTA</w:t>
            </w:r>
          </w:p>
        </w:tc>
        <w:tc>
          <w:tcPr>
            <w:tcW w:w="1710" w:type="dxa"/>
            <w:tcBorders>
              <w:top w:val="nil"/>
            </w:tcBorders>
            <w:noWrap/>
            <w:vAlign w:val="top"/>
          </w:tcPr>
          <w:p w14:paraId="203DE9B4" w14:textId="508AF9CD"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Pr="003935B7">
              <w:rPr>
                <w:rFonts w:asciiTheme="minorHAnsi" w:hAnsiTheme="minorHAnsi"/>
                <w:sz w:val="20"/>
                <w:szCs w:val="20"/>
              </w:rPr>
              <w:t>234,117,857</w:t>
            </w:r>
          </w:p>
        </w:tc>
        <w:tc>
          <w:tcPr>
            <w:tcW w:w="1524" w:type="dxa"/>
            <w:tcBorders>
              <w:top w:val="nil"/>
            </w:tcBorders>
            <w:noWrap/>
            <w:vAlign w:val="top"/>
          </w:tcPr>
          <w:p w14:paraId="023B72EA" w14:textId="7E9E10D3"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6,323</w:t>
            </w:r>
          </w:p>
        </w:tc>
        <w:tc>
          <w:tcPr>
            <w:tcW w:w="1176" w:type="dxa"/>
            <w:tcBorders>
              <w:top w:val="nil"/>
            </w:tcBorders>
            <w:noWrap/>
            <w:vAlign w:val="top"/>
          </w:tcPr>
          <w:p w14:paraId="3DB42A4A" w14:textId="24ECE2E1"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37,026</w:t>
            </w:r>
          </w:p>
        </w:tc>
      </w:tr>
      <w:tr w:rsidR="00A52164" w:rsidRPr="00305D19" w14:paraId="14F49011"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49BB855C"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Barnstable Town MA Metropolitan NECTA</w:t>
            </w:r>
          </w:p>
        </w:tc>
        <w:tc>
          <w:tcPr>
            <w:tcW w:w="1710" w:type="dxa"/>
            <w:noWrap/>
            <w:vAlign w:val="top"/>
          </w:tcPr>
          <w:p w14:paraId="39F7F0F7" w14:textId="7BAAE814"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Pr="003935B7">
              <w:rPr>
                <w:rFonts w:asciiTheme="minorHAnsi" w:hAnsiTheme="minorHAnsi"/>
                <w:sz w:val="20"/>
                <w:szCs w:val="20"/>
              </w:rPr>
              <w:t>5,033,083,947</w:t>
            </w:r>
          </w:p>
        </w:tc>
        <w:tc>
          <w:tcPr>
            <w:tcW w:w="1524" w:type="dxa"/>
            <w:noWrap/>
            <w:vAlign w:val="top"/>
          </w:tcPr>
          <w:p w14:paraId="77E405B3" w14:textId="66964704"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108,998</w:t>
            </w:r>
          </w:p>
        </w:tc>
        <w:tc>
          <w:tcPr>
            <w:tcW w:w="1176" w:type="dxa"/>
            <w:noWrap/>
            <w:vAlign w:val="top"/>
          </w:tcPr>
          <w:p w14:paraId="01BB994B" w14:textId="697AA69E"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46,176</w:t>
            </w:r>
          </w:p>
        </w:tc>
      </w:tr>
      <w:tr w:rsidR="00A52164" w:rsidRPr="00305D19" w14:paraId="2E51DC9D"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05478A0A"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Boston-Cambridge-Newton MA NECTA Division</w:t>
            </w:r>
          </w:p>
        </w:tc>
        <w:tc>
          <w:tcPr>
            <w:tcW w:w="1710" w:type="dxa"/>
            <w:noWrap/>
            <w:vAlign w:val="top"/>
          </w:tcPr>
          <w:p w14:paraId="24874C0B" w14:textId="0D45071E"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Pr="003935B7">
              <w:rPr>
                <w:rFonts w:asciiTheme="minorHAnsi" w:hAnsiTheme="minorHAnsi"/>
                <w:sz w:val="20"/>
                <w:szCs w:val="20"/>
              </w:rPr>
              <w:t>151,430,245,313</w:t>
            </w:r>
          </w:p>
        </w:tc>
        <w:tc>
          <w:tcPr>
            <w:tcW w:w="1524" w:type="dxa"/>
            <w:noWrap/>
            <w:vAlign w:val="top"/>
          </w:tcPr>
          <w:p w14:paraId="757D147D" w14:textId="2C2EB9A1"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1,812,933</w:t>
            </w:r>
          </w:p>
        </w:tc>
        <w:tc>
          <w:tcPr>
            <w:tcW w:w="1176" w:type="dxa"/>
            <w:noWrap/>
            <w:vAlign w:val="top"/>
          </w:tcPr>
          <w:p w14:paraId="5A87FF16" w14:textId="29366EB8"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83,528</w:t>
            </w:r>
          </w:p>
        </w:tc>
      </w:tr>
      <w:tr w:rsidR="00A52164" w:rsidRPr="00305D19" w14:paraId="0DCA4D80"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158942E9"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Brockton-Bridgewater-Easton MA NECTA Division</w:t>
            </w:r>
          </w:p>
        </w:tc>
        <w:tc>
          <w:tcPr>
            <w:tcW w:w="1710" w:type="dxa"/>
            <w:noWrap/>
            <w:vAlign w:val="top"/>
          </w:tcPr>
          <w:p w14:paraId="4DD8B03F" w14:textId="40086434"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Pr="003935B7">
              <w:rPr>
                <w:rFonts w:asciiTheme="minorHAnsi" w:hAnsiTheme="minorHAnsi"/>
                <w:sz w:val="20"/>
                <w:szCs w:val="20"/>
              </w:rPr>
              <w:t>3,939,640,513</w:t>
            </w:r>
          </w:p>
        </w:tc>
        <w:tc>
          <w:tcPr>
            <w:tcW w:w="1524" w:type="dxa"/>
            <w:noWrap/>
            <w:vAlign w:val="top"/>
          </w:tcPr>
          <w:p w14:paraId="0CEE454B" w14:textId="1CF8FCC7"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78,349</w:t>
            </w:r>
          </w:p>
        </w:tc>
        <w:tc>
          <w:tcPr>
            <w:tcW w:w="1176" w:type="dxa"/>
            <w:noWrap/>
            <w:vAlign w:val="top"/>
          </w:tcPr>
          <w:p w14:paraId="2BE51102" w14:textId="62513CCB"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50,283</w:t>
            </w:r>
          </w:p>
        </w:tc>
      </w:tr>
      <w:tr w:rsidR="00A52164" w:rsidRPr="00305D19" w14:paraId="6C3CA2D2"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250BDDD3"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Framingham MA NECTA Division</w:t>
            </w:r>
          </w:p>
        </w:tc>
        <w:tc>
          <w:tcPr>
            <w:tcW w:w="1710" w:type="dxa"/>
            <w:noWrap/>
            <w:vAlign w:val="top"/>
          </w:tcPr>
          <w:p w14:paraId="5349B594" w14:textId="176C6E38"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Pr="003935B7">
              <w:rPr>
                <w:rFonts w:asciiTheme="minorHAnsi" w:hAnsiTheme="minorHAnsi"/>
                <w:sz w:val="20"/>
                <w:szCs w:val="20"/>
              </w:rPr>
              <w:t>13,181,881,273</w:t>
            </w:r>
          </w:p>
        </w:tc>
        <w:tc>
          <w:tcPr>
            <w:tcW w:w="1524" w:type="dxa"/>
            <w:noWrap/>
            <w:vAlign w:val="top"/>
          </w:tcPr>
          <w:p w14:paraId="4DC7C502" w14:textId="35CD1C0F"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172,783</w:t>
            </w:r>
          </w:p>
        </w:tc>
        <w:tc>
          <w:tcPr>
            <w:tcW w:w="1176" w:type="dxa"/>
            <w:noWrap/>
            <w:vAlign w:val="top"/>
          </w:tcPr>
          <w:p w14:paraId="03DDBA31" w14:textId="38F907FC"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76,292</w:t>
            </w:r>
          </w:p>
        </w:tc>
      </w:tr>
      <w:tr w:rsidR="00A52164" w:rsidRPr="00305D19" w14:paraId="5E1174B3"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6D3F34E4"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Greenfield Town MA Micropolitan NECTA</w:t>
            </w:r>
          </w:p>
        </w:tc>
        <w:tc>
          <w:tcPr>
            <w:tcW w:w="1710" w:type="dxa"/>
            <w:noWrap/>
            <w:vAlign w:val="top"/>
          </w:tcPr>
          <w:p w14:paraId="2CDD1088" w14:textId="5948B734"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Pr="003935B7">
              <w:rPr>
                <w:rFonts w:asciiTheme="minorHAnsi" w:hAnsiTheme="minorHAnsi"/>
                <w:sz w:val="20"/>
                <w:szCs w:val="20"/>
              </w:rPr>
              <w:t>657,434,819</w:t>
            </w:r>
          </w:p>
        </w:tc>
        <w:tc>
          <w:tcPr>
            <w:tcW w:w="1524" w:type="dxa"/>
            <w:noWrap/>
            <w:vAlign w:val="top"/>
          </w:tcPr>
          <w:p w14:paraId="37CFF511" w14:textId="55A91982"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15,732</w:t>
            </w:r>
          </w:p>
        </w:tc>
        <w:tc>
          <w:tcPr>
            <w:tcW w:w="1176" w:type="dxa"/>
            <w:noWrap/>
            <w:vAlign w:val="top"/>
          </w:tcPr>
          <w:p w14:paraId="3FF967D7" w14:textId="06BC30C7"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41,790</w:t>
            </w:r>
          </w:p>
        </w:tc>
      </w:tr>
      <w:tr w:rsidR="00A52164" w:rsidRPr="00305D19" w14:paraId="0DD99957"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EB6EFCF"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Haverhill-Newburyport-Amesbury Town MA-NH NECTA Division</w:t>
            </w:r>
          </w:p>
        </w:tc>
        <w:tc>
          <w:tcPr>
            <w:tcW w:w="1710" w:type="dxa"/>
            <w:noWrap/>
            <w:vAlign w:val="top"/>
          </w:tcPr>
          <w:p w14:paraId="2B1AD0E9" w14:textId="586A4F6C"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Pr="003935B7">
              <w:rPr>
                <w:rFonts w:asciiTheme="minorHAnsi" w:hAnsiTheme="minorHAnsi"/>
                <w:sz w:val="20"/>
                <w:szCs w:val="20"/>
              </w:rPr>
              <w:t>2,285,686,938</w:t>
            </w:r>
          </w:p>
        </w:tc>
        <w:tc>
          <w:tcPr>
            <w:tcW w:w="1524" w:type="dxa"/>
            <w:noWrap/>
            <w:vAlign w:val="top"/>
          </w:tcPr>
          <w:p w14:paraId="3ECD4606" w14:textId="0175CFB5"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46,583</w:t>
            </w:r>
          </w:p>
        </w:tc>
        <w:tc>
          <w:tcPr>
            <w:tcW w:w="1176" w:type="dxa"/>
            <w:noWrap/>
            <w:vAlign w:val="top"/>
          </w:tcPr>
          <w:p w14:paraId="640423AD" w14:textId="745C9E25"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49,067</w:t>
            </w:r>
          </w:p>
        </w:tc>
      </w:tr>
      <w:tr w:rsidR="00A52164" w:rsidRPr="00305D19" w14:paraId="3D98B512"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6FDC4AE3"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Lawrence-Methuen Town-Salem MA-NH NECTA Division</w:t>
            </w:r>
          </w:p>
        </w:tc>
        <w:tc>
          <w:tcPr>
            <w:tcW w:w="1710" w:type="dxa"/>
            <w:noWrap/>
            <w:vAlign w:val="top"/>
          </w:tcPr>
          <w:p w14:paraId="7131CDB7" w14:textId="71E393E0"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3,056,471,328</w:t>
            </w:r>
          </w:p>
        </w:tc>
        <w:tc>
          <w:tcPr>
            <w:tcW w:w="1524" w:type="dxa"/>
            <w:noWrap/>
            <w:vAlign w:val="top"/>
          </w:tcPr>
          <w:p w14:paraId="1EADCB03" w14:textId="42ACD9EF"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60,410</w:t>
            </w:r>
          </w:p>
        </w:tc>
        <w:tc>
          <w:tcPr>
            <w:tcW w:w="1176" w:type="dxa"/>
            <w:noWrap/>
            <w:vAlign w:val="top"/>
          </w:tcPr>
          <w:p w14:paraId="0C51EA5D" w14:textId="0F1B8F8A"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50,595</w:t>
            </w:r>
          </w:p>
        </w:tc>
      </w:tr>
      <w:tr w:rsidR="00A52164" w:rsidRPr="00305D19" w14:paraId="7FDD4D4A"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266751BA"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Leominster-Gardner MA Metropolitan NECTA</w:t>
            </w:r>
          </w:p>
        </w:tc>
        <w:tc>
          <w:tcPr>
            <w:tcW w:w="1710" w:type="dxa"/>
            <w:noWrap/>
            <w:vAlign w:val="top"/>
          </w:tcPr>
          <w:p w14:paraId="64B70C68" w14:textId="6B13F41C"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2,290,690,189</w:t>
            </w:r>
          </w:p>
        </w:tc>
        <w:tc>
          <w:tcPr>
            <w:tcW w:w="1524" w:type="dxa"/>
            <w:noWrap/>
            <w:vAlign w:val="top"/>
          </w:tcPr>
          <w:p w14:paraId="5D63E8B1" w14:textId="7788BE65"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51,869</w:t>
            </w:r>
          </w:p>
        </w:tc>
        <w:tc>
          <w:tcPr>
            <w:tcW w:w="1176" w:type="dxa"/>
            <w:noWrap/>
            <w:vAlign w:val="top"/>
          </w:tcPr>
          <w:p w14:paraId="5CE2B241" w14:textId="3028412F"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44,163</w:t>
            </w:r>
          </w:p>
        </w:tc>
      </w:tr>
      <w:tr w:rsidR="00A52164" w:rsidRPr="00305D19" w14:paraId="5938089D"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67EAFC60"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Lowell-Billerica-Chelmsford MA-NH NECTA Division</w:t>
            </w:r>
          </w:p>
        </w:tc>
        <w:tc>
          <w:tcPr>
            <w:tcW w:w="1710" w:type="dxa"/>
            <w:noWrap/>
            <w:vAlign w:val="top"/>
          </w:tcPr>
          <w:p w14:paraId="3CE0EFAD" w14:textId="59F416EC"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10,656,602,312</w:t>
            </w:r>
          </w:p>
        </w:tc>
        <w:tc>
          <w:tcPr>
            <w:tcW w:w="1524" w:type="dxa"/>
            <w:noWrap/>
            <w:vAlign w:val="top"/>
          </w:tcPr>
          <w:p w14:paraId="1C57A2E8" w14:textId="04203787"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152,131</w:t>
            </w:r>
          </w:p>
        </w:tc>
        <w:tc>
          <w:tcPr>
            <w:tcW w:w="1176" w:type="dxa"/>
            <w:noWrap/>
            <w:vAlign w:val="top"/>
          </w:tcPr>
          <w:p w14:paraId="691156B3" w14:textId="657FE572"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70,049</w:t>
            </w:r>
          </w:p>
        </w:tc>
      </w:tr>
      <w:tr w:rsidR="00A52164" w:rsidRPr="00305D19" w14:paraId="4E152E62"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5AF44FA"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Lynn-Saugus-Marblehead MA NECTA Division</w:t>
            </w:r>
          </w:p>
        </w:tc>
        <w:tc>
          <w:tcPr>
            <w:tcW w:w="1710" w:type="dxa"/>
            <w:noWrap/>
            <w:vAlign w:val="top"/>
          </w:tcPr>
          <w:p w14:paraId="3FF611C6" w14:textId="1E9586B7"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2,155,449,591</w:t>
            </w:r>
          </w:p>
        </w:tc>
        <w:tc>
          <w:tcPr>
            <w:tcW w:w="1524" w:type="dxa"/>
            <w:noWrap/>
            <w:vAlign w:val="top"/>
          </w:tcPr>
          <w:p w14:paraId="5E14A26F" w14:textId="695DEAA7"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44,782</w:t>
            </w:r>
          </w:p>
        </w:tc>
        <w:tc>
          <w:tcPr>
            <w:tcW w:w="1176" w:type="dxa"/>
            <w:noWrap/>
            <w:vAlign w:val="top"/>
          </w:tcPr>
          <w:p w14:paraId="58A85D6E" w14:textId="3FAC8F5D"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48,132</w:t>
            </w:r>
          </w:p>
        </w:tc>
      </w:tr>
      <w:tr w:rsidR="00A52164" w:rsidRPr="00305D19" w14:paraId="78F46154"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1DA1553F" w14:textId="77777777" w:rsidR="00A52164" w:rsidRPr="003F0FDF" w:rsidRDefault="00A52164" w:rsidP="00A52164">
            <w:pPr>
              <w:rPr>
                <w:rFonts w:asciiTheme="minorHAnsi" w:hAnsiTheme="minorHAnsi" w:cstheme="minorHAnsi"/>
                <w:sz w:val="20"/>
                <w:szCs w:val="20"/>
                <w:lang w:val="pt-PT"/>
              </w:rPr>
            </w:pPr>
            <w:r w:rsidRPr="003F0FDF">
              <w:rPr>
                <w:rFonts w:asciiTheme="minorHAnsi" w:hAnsiTheme="minorHAnsi" w:cstheme="minorHAnsi"/>
                <w:sz w:val="20"/>
                <w:szCs w:val="20"/>
                <w:lang w:val="pt-PT"/>
              </w:rPr>
              <w:t>Nashua NH-MA NECTA Division</w:t>
            </w:r>
          </w:p>
        </w:tc>
        <w:tc>
          <w:tcPr>
            <w:tcW w:w="1710" w:type="dxa"/>
            <w:noWrap/>
            <w:vAlign w:val="top"/>
          </w:tcPr>
          <w:p w14:paraId="51501E17" w14:textId="319E1E7A"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89,569,519</w:t>
            </w:r>
          </w:p>
        </w:tc>
        <w:tc>
          <w:tcPr>
            <w:tcW w:w="1524" w:type="dxa"/>
            <w:noWrap/>
            <w:vAlign w:val="top"/>
          </w:tcPr>
          <w:p w14:paraId="099F27C8" w14:textId="1A040D8F"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1,966</w:t>
            </w:r>
          </w:p>
        </w:tc>
        <w:tc>
          <w:tcPr>
            <w:tcW w:w="1176" w:type="dxa"/>
            <w:noWrap/>
            <w:vAlign w:val="top"/>
          </w:tcPr>
          <w:p w14:paraId="39C5EBD0" w14:textId="246A0232"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45,559</w:t>
            </w:r>
          </w:p>
        </w:tc>
      </w:tr>
      <w:tr w:rsidR="00A52164" w:rsidRPr="00305D19" w14:paraId="21462567"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5246BA64"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New Bedford MA Metropolitan NECTA</w:t>
            </w:r>
          </w:p>
        </w:tc>
        <w:tc>
          <w:tcPr>
            <w:tcW w:w="1710" w:type="dxa"/>
            <w:noWrap/>
            <w:vAlign w:val="top"/>
          </w:tcPr>
          <w:p w14:paraId="7E69774D" w14:textId="73169CF1"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3,308,806,856</w:t>
            </w:r>
          </w:p>
        </w:tc>
        <w:tc>
          <w:tcPr>
            <w:tcW w:w="1524" w:type="dxa"/>
            <w:noWrap/>
            <w:vAlign w:val="top"/>
          </w:tcPr>
          <w:p w14:paraId="2F12B12C" w14:textId="458FB227"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67,156</w:t>
            </w:r>
          </w:p>
        </w:tc>
        <w:tc>
          <w:tcPr>
            <w:tcW w:w="1176" w:type="dxa"/>
            <w:noWrap/>
            <w:vAlign w:val="top"/>
          </w:tcPr>
          <w:p w14:paraId="7B23A38C" w14:textId="370826DA"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49,270</w:t>
            </w:r>
          </w:p>
        </w:tc>
      </w:tr>
      <w:tr w:rsidR="00A52164" w:rsidRPr="00305D19" w14:paraId="10BB915F"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1B15977E"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North Adams MA-VT Micropolitan NECTA</w:t>
            </w:r>
          </w:p>
        </w:tc>
        <w:tc>
          <w:tcPr>
            <w:tcW w:w="1710" w:type="dxa"/>
            <w:noWrap/>
            <w:vAlign w:val="top"/>
          </w:tcPr>
          <w:p w14:paraId="266183A8" w14:textId="1DBFDF36"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457,456,518</w:t>
            </w:r>
          </w:p>
        </w:tc>
        <w:tc>
          <w:tcPr>
            <w:tcW w:w="1524" w:type="dxa"/>
            <w:noWrap/>
            <w:vAlign w:val="top"/>
          </w:tcPr>
          <w:p w14:paraId="0604976E" w14:textId="64E2E47F"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10,177</w:t>
            </w:r>
          </w:p>
        </w:tc>
        <w:tc>
          <w:tcPr>
            <w:tcW w:w="1176" w:type="dxa"/>
            <w:noWrap/>
            <w:vAlign w:val="top"/>
          </w:tcPr>
          <w:p w14:paraId="793210CD" w14:textId="0635C308"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44,950</w:t>
            </w:r>
          </w:p>
        </w:tc>
      </w:tr>
      <w:tr w:rsidR="00A52164" w:rsidRPr="00305D19" w14:paraId="3AE5B1AE"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06C49799"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Peabody-Salem-Beverly MA NECTA Division</w:t>
            </w:r>
          </w:p>
        </w:tc>
        <w:tc>
          <w:tcPr>
            <w:tcW w:w="1710" w:type="dxa"/>
            <w:noWrap/>
            <w:vAlign w:val="top"/>
          </w:tcPr>
          <w:p w14:paraId="3EF870E5" w14:textId="0CD6BC51"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5,386,396,756</w:t>
            </w:r>
          </w:p>
        </w:tc>
        <w:tc>
          <w:tcPr>
            <w:tcW w:w="1524" w:type="dxa"/>
            <w:noWrap/>
            <w:vAlign w:val="top"/>
          </w:tcPr>
          <w:p w14:paraId="5C0FD064" w14:textId="25033257"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94,975</w:t>
            </w:r>
          </w:p>
        </w:tc>
        <w:tc>
          <w:tcPr>
            <w:tcW w:w="1176" w:type="dxa"/>
            <w:noWrap/>
            <w:vAlign w:val="top"/>
          </w:tcPr>
          <w:p w14:paraId="65BA65F1" w14:textId="0011B4BA"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56,714</w:t>
            </w:r>
          </w:p>
        </w:tc>
      </w:tr>
      <w:tr w:rsidR="00A52164" w:rsidRPr="00305D19" w14:paraId="7522B20E"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18DE45F7"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Pittsfield MA Metropolitan NECTA</w:t>
            </w:r>
          </w:p>
        </w:tc>
        <w:tc>
          <w:tcPr>
            <w:tcW w:w="1710" w:type="dxa"/>
            <w:noWrap/>
            <w:vAlign w:val="top"/>
          </w:tcPr>
          <w:p w14:paraId="222EE1D5" w14:textId="72E68E17"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1,962,145,218</w:t>
            </w:r>
          </w:p>
        </w:tc>
        <w:tc>
          <w:tcPr>
            <w:tcW w:w="1524" w:type="dxa"/>
            <w:noWrap/>
            <w:vAlign w:val="top"/>
          </w:tcPr>
          <w:p w14:paraId="7B9A7EB1" w14:textId="11E5F2E8"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41,759</w:t>
            </w:r>
          </w:p>
        </w:tc>
        <w:tc>
          <w:tcPr>
            <w:tcW w:w="1176" w:type="dxa"/>
            <w:noWrap/>
            <w:vAlign w:val="top"/>
          </w:tcPr>
          <w:p w14:paraId="70FB5617" w14:textId="67FC0D7D"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46,987</w:t>
            </w:r>
          </w:p>
        </w:tc>
      </w:tr>
      <w:tr w:rsidR="00A52164" w:rsidRPr="00305D19" w14:paraId="4A3ECF17"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4F15AD1C"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Providence-Warwick RI-MA Metropolitan NECTA</w:t>
            </w:r>
          </w:p>
        </w:tc>
        <w:tc>
          <w:tcPr>
            <w:tcW w:w="1710" w:type="dxa"/>
            <w:noWrap/>
            <w:vAlign w:val="top"/>
          </w:tcPr>
          <w:p w14:paraId="0D9EE5EA" w14:textId="432B7677"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4,601,572,600</w:t>
            </w:r>
          </w:p>
        </w:tc>
        <w:tc>
          <w:tcPr>
            <w:tcW w:w="1524" w:type="dxa"/>
            <w:noWrap/>
            <w:vAlign w:val="top"/>
          </w:tcPr>
          <w:p w14:paraId="23E6F436" w14:textId="756C7E75"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105,793</w:t>
            </w:r>
          </w:p>
        </w:tc>
        <w:tc>
          <w:tcPr>
            <w:tcW w:w="1176" w:type="dxa"/>
            <w:noWrap/>
            <w:vAlign w:val="top"/>
          </w:tcPr>
          <w:p w14:paraId="6E3389EA" w14:textId="4700F167"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43,496</w:t>
            </w:r>
          </w:p>
        </w:tc>
      </w:tr>
      <w:tr w:rsidR="00A52164" w:rsidRPr="00305D19" w14:paraId="2F9BF8C2"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669B9393"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Springfield MA-CT Metropolitan NECTA</w:t>
            </w:r>
          </w:p>
        </w:tc>
        <w:tc>
          <w:tcPr>
            <w:tcW w:w="1710" w:type="dxa"/>
            <w:noWrap/>
            <w:vAlign w:val="top"/>
          </w:tcPr>
          <w:p w14:paraId="79794FA8" w14:textId="05E82430"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13,533,607,829</w:t>
            </w:r>
          </w:p>
        </w:tc>
        <w:tc>
          <w:tcPr>
            <w:tcW w:w="1524" w:type="dxa"/>
            <w:noWrap/>
            <w:vAlign w:val="top"/>
          </w:tcPr>
          <w:p w14:paraId="3DF1D764" w14:textId="35C0FEC2"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280,228</w:t>
            </w:r>
          </w:p>
        </w:tc>
        <w:tc>
          <w:tcPr>
            <w:tcW w:w="1176" w:type="dxa"/>
            <w:noWrap/>
            <w:vAlign w:val="top"/>
          </w:tcPr>
          <w:p w14:paraId="01E0FECF" w14:textId="64270212"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48,295</w:t>
            </w:r>
          </w:p>
        </w:tc>
      </w:tr>
      <w:tr w:rsidR="00A52164" w:rsidRPr="00305D19" w14:paraId="23594FCF"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0DA2EEBE"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Taunton-Middleborough-Norton MA NECTA Division</w:t>
            </w:r>
          </w:p>
        </w:tc>
        <w:tc>
          <w:tcPr>
            <w:tcW w:w="1710" w:type="dxa"/>
            <w:noWrap/>
            <w:vAlign w:val="top"/>
          </w:tcPr>
          <w:p w14:paraId="3EADA559" w14:textId="51CF818F"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3,211,297,545</w:t>
            </w:r>
          </w:p>
        </w:tc>
        <w:tc>
          <w:tcPr>
            <w:tcW w:w="1524" w:type="dxa"/>
            <w:noWrap/>
            <w:vAlign w:val="top"/>
          </w:tcPr>
          <w:p w14:paraId="26AD1542" w14:textId="20AA28D6"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59,445</w:t>
            </w:r>
          </w:p>
        </w:tc>
        <w:tc>
          <w:tcPr>
            <w:tcW w:w="1176" w:type="dxa"/>
            <w:noWrap/>
            <w:vAlign w:val="top"/>
          </w:tcPr>
          <w:p w14:paraId="59155B38" w14:textId="4024E792"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54,021</w:t>
            </w:r>
          </w:p>
        </w:tc>
      </w:tr>
      <w:tr w:rsidR="00A52164" w:rsidRPr="00305D19" w14:paraId="76A4133D"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34577138"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Vineyard Haven MA Micropolitan NECTA</w:t>
            </w:r>
          </w:p>
        </w:tc>
        <w:tc>
          <w:tcPr>
            <w:tcW w:w="1710" w:type="dxa"/>
            <w:noWrap/>
            <w:vAlign w:val="top"/>
          </w:tcPr>
          <w:p w14:paraId="199F53F4" w14:textId="33766841"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453,699,919</w:t>
            </w:r>
          </w:p>
        </w:tc>
        <w:tc>
          <w:tcPr>
            <w:tcW w:w="1524" w:type="dxa"/>
            <w:noWrap/>
            <w:vAlign w:val="top"/>
          </w:tcPr>
          <w:p w14:paraId="10646C9E" w14:textId="608A4C92"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8,940</w:t>
            </w:r>
          </w:p>
        </w:tc>
        <w:tc>
          <w:tcPr>
            <w:tcW w:w="1176" w:type="dxa"/>
            <w:noWrap/>
            <w:vAlign w:val="top"/>
          </w:tcPr>
          <w:p w14:paraId="77A7ACFB" w14:textId="392DE681"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50,749</w:t>
            </w:r>
          </w:p>
        </w:tc>
      </w:tr>
      <w:tr w:rsidR="00A52164" w:rsidRPr="00305D19" w14:paraId="7361E2E6"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0F830752"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Worcester MA-CT Metropolitan NECTA</w:t>
            </w:r>
          </w:p>
        </w:tc>
        <w:tc>
          <w:tcPr>
            <w:tcW w:w="1710" w:type="dxa"/>
            <w:noWrap/>
            <w:vAlign w:val="top"/>
          </w:tcPr>
          <w:p w14:paraId="30BC8784" w14:textId="1CD49635"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13,785,745,496</w:t>
            </w:r>
          </w:p>
        </w:tc>
        <w:tc>
          <w:tcPr>
            <w:tcW w:w="1524" w:type="dxa"/>
            <w:noWrap/>
            <w:vAlign w:val="top"/>
          </w:tcPr>
          <w:p w14:paraId="4BA7ABAB" w14:textId="22933038"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252,889</w:t>
            </w:r>
          </w:p>
        </w:tc>
        <w:tc>
          <w:tcPr>
            <w:tcW w:w="1176" w:type="dxa"/>
            <w:noWrap/>
            <w:vAlign w:val="top"/>
          </w:tcPr>
          <w:p w14:paraId="7A719B5B" w14:textId="2BF865C1"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54,513</w:t>
            </w:r>
          </w:p>
        </w:tc>
      </w:tr>
      <w:tr w:rsidR="00A52164" w:rsidRPr="00305D19" w14:paraId="602C9BE4"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0D4A80AD"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Buckland MA LMA</w:t>
            </w:r>
          </w:p>
        </w:tc>
        <w:tc>
          <w:tcPr>
            <w:tcW w:w="1710" w:type="dxa"/>
            <w:noWrap/>
            <w:vAlign w:val="top"/>
          </w:tcPr>
          <w:p w14:paraId="7E372EB5" w14:textId="25DF5089"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54,898,420</w:t>
            </w:r>
          </w:p>
        </w:tc>
        <w:tc>
          <w:tcPr>
            <w:tcW w:w="1524" w:type="dxa"/>
            <w:noWrap/>
            <w:vAlign w:val="top"/>
          </w:tcPr>
          <w:p w14:paraId="2607C8FF" w14:textId="03216639"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1,775</w:t>
            </w:r>
          </w:p>
        </w:tc>
        <w:tc>
          <w:tcPr>
            <w:tcW w:w="1176" w:type="dxa"/>
            <w:noWrap/>
            <w:vAlign w:val="top"/>
          </w:tcPr>
          <w:p w14:paraId="13B6A034" w14:textId="518C0CFB"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30,929</w:t>
            </w:r>
          </w:p>
        </w:tc>
      </w:tr>
      <w:tr w:rsidR="00A52164" w:rsidRPr="00305D19" w14:paraId="57ACFA1D"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2A657217" w14:textId="77777777" w:rsidR="00A52164" w:rsidRPr="00061975" w:rsidRDefault="00A52164" w:rsidP="00A52164">
            <w:pPr>
              <w:rPr>
                <w:rFonts w:asciiTheme="minorHAnsi" w:hAnsiTheme="minorHAnsi" w:cstheme="minorHAnsi"/>
                <w:sz w:val="20"/>
                <w:szCs w:val="20"/>
              </w:rPr>
            </w:pPr>
            <w:r w:rsidRPr="00061975">
              <w:rPr>
                <w:rFonts w:asciiTheme="minorHAnsi" w:hAnsiTheme="minorHAnsi" w:cstheme="minorHAnsi"/>
                <w:sz w:val="20"/>
                <w:szCs w:val="20"/>
              </w:rPr>
              <w:t>Great Barrington MA LMA</w:t>
            </w:r>
          </w:p>
        </w:tc>
        <w:tc>
          <w:tcPr>
            <w:tcW w:w="1710" w:type="dxa"/>
            <w:noWrap/>
            <w:vAlign w:val="top"/>
          </w:tcPr>
          <w:p w14:paraId="10D6A44A" w14:textId="71590FB4"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405,404,131</w:t>
            </w:r>
          </w:p>
        </w:tc>
        <w:tc>
          <w:tcPr>
            <w:tcW w:w="1524" w:type="dxa"/>
            <w:noWrap/>
            <w:vAlign w:val="top"/>
          </w:tcPr>
          <w:p w14:paraId="15696CBF" w14:textId="00BC66E7"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sidRPr="003935B7">
              <w:rPr>
                <w:rFonts w:asciiTheme="minorHAnsi" w:hAnsiTheme="minorHAnsi"/>
                <w:sz w:val="20"/>
                <w:szCs w:val="20"/>
              </w:rPr>
              <w:t>9,764</w:t>
            </w:r>
          </w:p>
        </w:tc>
        <w:tc>
          <w:tcPr>
            <w:tcW w:w="1176" w:type="dxa"/>
            <w:noWrap/>
            <w:vAlign w:val="top"/>
          </w:tcPr>
          <w:p w14:paraId="087DA844" w14:textId="46757866"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lightGray"/>
              </w:rPr>
            </w:pPr>
            <w:r>
              <w:rPr>
                <w:rFonts w:asciiTheme="minorHAnsi" w:hAnsiTheme="minorHAnsi"/>
                <w:sz w:val="20"/>
                <w:szCs w:val="20"/>
              </w:rPr>
              <w:t>$</w:t>
            </w:r>
            <w:r w:rsidR="00A52164" w:rsidRPr="003935B7">
              <w:rPr>
                <w:rFonts w:asciiTheme="minorHAnsi" w:hAnsiTheme="minorHAnsi"/>
                <w:sz w:val="20"/>
                <w:szCs w:val="20"/>
              </w:rPr>
              <w:t>41,520</w:t>
            </w:r>
          </w:p>
        </w:tc>
      </w:tr>
      <w:tr w:rsidR="00A52164" w:rsidRPr="00305D19" w14:paraId="55750030" w14:textId="77777777" w:rsidTr="00007A43">
        <w:trPr>
          <w:trHeight w:val="260"/>
        </w:trPr>
        <w:tc>
          <w:tcPr>
            <w:cnfStyle w:val="001000000000" w:firstRow="0" w:lastRow="0" w:firstColumn="1" w:lastColumn="0" w:oddVBand="0" w:evenVBand="0" w:oddHBand="0" w:evenHBand="0" w:firstRowFirstColumn="0" w:firstRowLastColumn="0" w:lastRowFirstColumn="0" w:lastRowLastColumn="0"/>
            <w:tcW w:w="5490" w:type="dxa"/>
            <w:noWrap/>
            <w:hideMark/>
          </w:tcPr>
          <w:p w14:paraId="22041A55" w14:textId="77777777" w:rsidR="00A52164" w:rsidRPr="00061975" w:rsidRDefault="00A52164" w:rsidP="00A52164">
            <w:pPr>
              <w:rPr>
                <w:rFonts w:asciiTheme="minorHAnsi" w:hAnsiTheme="minorHAnsi" w:cstheme="minorHAnsi"/>
                <w:b/>
                <w:sz w:val="20"/>
                <w:szCs w:val="20"/>
              </w:rPr>
            </w:pPr>
            <w:r w:rsidRPr="00061975">
              <w:rPr>
                <w:rFonts w:asciiTheme="minorHAnsi" w:hAnsiTheme="minorHAnsi" w:cstheme="minorHAnsi"/>
                <w:b/>
                <w:sz w:val="20"/>
                <w:szCs w:val="20"/>
              </w:rPr>
              <w:t>State Total</w:t>
            </w:r>
          </w:p>
        </w:tc>
        <w:tc>
          <w:tcPr>
            <w:tcW w:w="1710" w:type="dxa"/>
            <w:noWrap/>
            <w:vAlign w:val="top"/>
          </w:tcPr>
          <w:p w14:paraId="1272E2A8" w14:textId="582A37CF"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highlight w:val="lightGray"/>
              </w:rPr>
            </w:pPr>
            <w:r w:rsidRPr="003935B7">
              <w:rPr>
                <w:rFonts w:asciiTheme="minorHAnsi" w:hAnsiTheme="minorHAnsi"/>
                <w:b/>
                <w:sz w:val="20"/>
                <w:szCs w:val="20"/>
              </w:rPr>
              <w:t>$</w:t>
            </w:r>
            <w:r w:rsidR="00A52164" w:rsidRPr="003935B7">
              <w:rPr>
                <w:rFonts w:asciiTheme="minorHAnsi" w:hAnsiTheme="minorHAnsi"/>
                <w:b/>
                <w:sz w:val="20"/>
                <w:szCs w:val="20"/>
              </w:rPr>
              <w:t>242,586,632,435</w:t>
            </w:r>
          </w:p>
        </w:tc>
        <w:tc>
          <w:tcPr>
            <w:tcW w:w="1524" w:type="dxa"/>
            <w:noWrap/>
            <w:vAlign w:val="top"/>
          </w:tcPr>
          <w:p w14:paraId="5C6E0E36" w14:textId="66ABF384" w:rsidR="00A52164" w:rsidRPr="003935B7" w:rsidRDefault="00A52164"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highlight w:val="lightGray"/>
              </w:rPr>
            </w:pPr>
            <w:r w:rsidRPr="003935B7">
              <w:rPr>
                <w:rFonts w:asciiTheme="minorHAnsi" w:hAnsiTheme="minorHAnsi"/>
                <w:b/>
                <w:sz w:val="20"/>
                <w:szCs w:val="20"/>
              </w:rPr>
              <w:t>3,493,133</w:t>
            </w:r>
          </w:p>
        </w:tc>
        <w:tc>
          <w:tcPr>
            <w:tcW w:w="1176" w:type="dxa"/>
            <w:noWrap/>
            <w:vAlign w:val="top"/>
          </w:tcPr>
          <w:p w14:paraId="05241CE4" w14:textId="2B293BD9" w:rsidR="00A52164" w:rsidRPr="003935B7" w:rsidRDefault="003935B7" w:rsidP="00A5216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highlight w:val="lightGray"/>
              </w:rPr>
            </w:pPr>
            <w:r w:rsidRPr="003935B7">
              <w:rPr>
                <w:rFonts w:asciiTheme="minorHAnsi" w:hAnsiTheme="minorHAnsi"/>
                <w:b/>
                <w:sz w:val="20"/>
                <w:szCs w:val="20"/>
              </w:rPr>
              <w:t>$</w:t>
            </w:r>
            <w:r w:rsidR="00A52164" w:rsidRPr="003935B7">
              <w:rPr>
                <w:rFonts w:asciiTheme="minorHAnsi" w:hAnsiTheme="minorHAnsi"/>
                <w:b/>
                <w:sz w:val="20"/>
                <w:szCs w:val="20"/>
              </w:rPr>
              <w:t>69,447</w:t>
            </w:r>
          </w:p>
        </w:tc>
      </w:tr>
    </w:tbl>
    <w:p w14:paraId="529E40CD" w14:textId="77777777" w:rsidR="00911F80" w:rsidRDefault="00911F80" w:rsidP="003E4B00"/>
    <w:p w14:paraId="666562E0" w14:textId="3751A7C7" w:rsidR="008A4024" w:rsidRPr="008A4024" w:rsidRDefault="008A4024" w:rsidP="003E4B00">
      <w:r w:rsidRPr="008A4024">
        <w:t>A district’s wage factor is a percentage that is applied to the eight salary-related functional categories in the foundation budget</w:t>
      </w:r>
      <w:r w:rsidR="003B5F6D">
        <w:t>.</w:t>
      </w:r>
      <w:r w:rsidRPr="008A4024">
        <w:rPr>
          <w:vertAlign w:val="superscript"/>
        </w:rPr>
        <w:footnoteReference w:id="9"/>
      </w:r>
      <w:r w:rsidR="0067284C">
        <w:t xml:space="preserve"> </w:t>
      </w:r>
      <w:r w:rsidRPr="008A4024">
        <w:t xml:space="preserve">The </w:t>
      </w:r>
      <w:r w:rsidR="003B5F6D">
        <w:t>LMA</w:t>
      </w:r>
      <w:r w:rsidRPr="008A4024">
        <w:t xml:space="preserve"> for a district is compared to the state average and weighted at 80 percent</w:t>
      </w:r>
      <w:r w:rsidR="0067284C">
        <w:t xml:space="preserve">. </w:t>
      </w:r>
      <w:r w:rsidRPr="008A4024">
        <w:t>The town’s own factor is weighted at 20 percent</w:t>
      </w:r>
      <w:r w:rsidR="0067284C">
        <w:t xml:space="preserve">. </w:t>
      </w:r>
      <w:r w:rsidRPr="008A4024">
        <w:t xml:space="preserve">The distance above or below the state average is then divided by three to determine the </w:t>
      </w:r>
      <w:r w:rsidR="003B5F6D">
        <w:t>WAF</w:t>
      </w:r>
      <w:r w:rsidRPr="008A4024">
        <w:t>.</w:t>
      </w:r>
    </w:p>
    <w:p w14:paraId="5A8F13C0" w14:textId="77777777" w:rsidR="008A4024" w:rsidRPr="008A4024" w:rsidRDefault="008A4024" w:rsidP="003E4B00"/>
    <w:p w14:paraId="1B78E0C6" w14:textId="27AE1E71" w:rsidR="008A4024" w:rsidRPr="008A4024" w:rsidRDefault="008A4024" w:rsidP="009D4EEC">
      <w:r w:rsidRPr="008A4024">
        <w:lastRenderedPageBreak/>
        <w:t>Prior to FY00, districts in lower-wage areas saw significant reductions in their foundation budgets, by as much as ten percent</w:t>
      </w:r>
      <w:r w:rsidR="0067284C">
        <w:t xml:space="preserve">. </w:t>
      </w:r>
      <w:r w:rsidRPr="008A4024">
        <w:t xml:space="preserve">Since then, annual budget language has cushioned districts from these reductions, to the point where beginning in FY04 only </w:t>
      </w:r>
      <w:r w:rsidR="00F73429">
        <w:t>districts</w:t>
      </w:r>
      <w:r w:rsidRPr="008A4024">
        <w:t xml:space="preserve"> with above-average wages </w:t>
      </w:r>
      <w:r w:rsidR="00F73429">
        <w:t>are</w:t>
      </w:r>
      <w:r w:rsidRPr="008A4024">
        <w:t xml:space="preserve"> affected by the </w:t>
      </w:r>
      <w:r w:rsidR="00F73429">
        <w:t>WAF</w:t>
      </w:r>
      <w:r w:rsidR="0067284C">
        <w:t xml:space="preserve">. </w:t>
      </w:r>
      <w:r w:rsidRPr="008A4024">
        <w:t>Those below the average are set to 100 percent</w:t>
      </w:r>
      <w:r w:rsidR="0067284C">
        <w:t xml:space="preserve">. </w:t>
      </w:r>
      <w:r w:rsidRPr="008A4024">
        <w:t>In FY</w:t>
      </w:r>
      <w:r w:rsidR="003935B7">
        <w:t>20</w:t>
      </w:r>
      <w:r w:rsidRPr="008A4024">
        <w:t xml:space="preserve">, </w:t>
      </w:r>
      <w:r w:rsidR="006F0B59">
        <w:t>108</w:t>
      </w:r>
      <w:r w:rsidR="006F0B59" w:rsidRPr="008A4024">
        <w:t xml:space="preserve"> </w:t>
      </w:r>
      <w:r w:rsidRPr="008A4024">
        <w:t xml:space="preserve">municipalities in </w:t>
      </w:r>
      <w:r w:rsidR="006F0B59">
        <w:t>the</w:t>
      </w:r>
      <w:r w:rsidR="006F0B59" w:rsidRPr="008A4024">
        <w:t xml:space="preserve"> </w:t>
      </w:r>
      <w:r w:rsidRPr="008A4024">
        <w:t xml:space="preserve">three labor market areas </w:t>
      </w:r>
      <w:r w:rsidR="006F0B59">
        <w:t>with above-average wages are affected by the WAF</w:t>
      </w:r>
      <w:r w:rsidRPr="008A4024">
        <w:t>:</w:t>
      </w:r>
      <w:r w:rsidR="00A24AA4">
        <w:t xml:space="preserve"> </w:t>
      </w:r>
      <w:r w:rsidRPr="008A4024">
        <w:t>Boston-Cambridge-Newton</w:t>
      </w:r>
      <w:r w:rsidR="00A24AA4">
        <w:t>,</w:t>
      </w:r>
      <w:r w:rsidRPr="008A4024">
        <w:t xml:space="preserve"> Framingham</w:t>
      </w:r>
      <w:r w:rsidR="00A24AA4">
        <w:t xml:space="preserve">, and </w:t>
      </w:r>
      <w:r w:rsidRPr="008A4024">
        <w:t>Lowell-Billerica-Chelmsfo</w:t>
      </w:r>
      <w:r w:rsidR="004A5FDD">
        <w:t>rd.</w:t>
      </w:r>
    </w:p>
    <w:p w14:paraId="0753D896" w14:textId="77777777" w:rsidR="008A4024" w:rsidRPr="008A4024" w:rsidRDefault="008A4024" w:rsidP="003E4B00"/>
    <w:p w14:paraId="36A89F00" w14:textId="40608634" w:rsidR="008A4024" w:rsidRDefault="008A4024" w:rsidP="003E4B00">
      <w:r w:rsidRPr="008A4024">
        <w:t>A district’s wage factor appears at the bottom of its foundation budget report</w:t>
      </w:r>
      <w:r w:rsidR="006F29C9">
        <w:t xml:space="preserve"> in row 13</w:t>
      </w:r>
      <w:r w:rsidR="0067284C">
        <w:t xml:space="preserve">. </w:t>
      </w:r>
      <w:r w:rsidR="004A5FDD">
        <w:t xml:space="preserve">In the previous </w:t>
      </w:r>
      <w:r w:rsidR="004A5FDD" w:rsidRPr="00AD46B3">
        <w:t xml:space="preserve">example, </w:t>
      </w:r>
      <w:r w:rsidR="00AD46B3" w:rsidRPr="00AD46B3">
        <w:t>West</w:t>
      </w:r>
      <w:r w:rsidR="00AD46B3" w:rsidRPr="00007A43">
        <w:t>port</w:t>
      </w:r>
      <w:r w:rsidR="00AD46B3">
        <w:t xml:space="preserve"> has </w:t>
      </w:r>
      <w:r w:rsidR="009B0085">
        <w:t xml:space="preserve">a </w:t>
      </w:r>
      <w:r w:rsidR="009D4EEC" w:rsidRPr="00AD46B3">
        <w:t xml:space="preserve">WAF </w:t>
      </w:r>
      <w:r w:rsidR="009B0085">
        <w:t xml:space="preserve">of </w:t>
      </w:r>
      <w:r w:rsidRPr="00AD46B3">
        <w:t>10</w:t>
      </w:r>
      <w:r w:rsidR="006F0B59" w:rsidRPr="00AD46B3">
        <w:t>0</w:t>
      </w:r>
      <w:r w:rsidRPr="00AD46B3">
        <w:t xml:space="preserve"> percent.</w:t>
      </w:r>
      <w:r w:rsidR="009B0085">
        <w:t xml:space="preserve"> Westport is in the Providence-Warwick NECTA, which has below-average wages, so its WAF is set at 100 percent.</w:t>
      </w:r>
    </w:p>
    <w:p w14:paraId="5F3A7CC2" w14:textId="7ABB62FA" w:rsidR="008A4024" w:rsidRPr="005A1B5E" w:rsidRDefault="008A4024" w:rsidP="00061975">
      <w:pPr>
        <w:pStyle w:val="Heading3"/>
      </w:pPr>
      <w:r w:rsidRPr="005A1B5E">
        <w:t>FY</w:t>
      </w:r>
      <w:r w:rsidR="003935B7">
        <w:t>20</w:t>
      </w:r>
      <w:r w:rsidRPr="005A1B5E">
        <w:t xml:space="preserve"> Foundation Budget: Massachusetts State Totals</w:t>
      </w:r>
    </w:p>
    <w:p w14:paraId="2D5C58DA" w14:textId="37A419C5" w:rsidR="008A4024" w:rsidRPr="00061975" w:rsidRDefault="008A4024" w:rsidP="008A4024">
      <w:r w:rsidRPr="00061975">
        <w:t>After applying the wage factor, the statewide total for all school districts in FY</w:t>
      </w:r>
      <w:r w:rsidR="003935B7">
        <w:t>20</w:t>
      </w:r>
      <w:r w:rsidRPr="00061975">
        <w:t xml:space="preserve"> is $</w:t>
      </w:r>
      <w:r w:rsidR="000B05F7" w:rsidRPr="00061975">
        <w:t>1</w:t>
      </w:r>
      <w:r w:rsidR="000B05F7">
        <w:t>1</w:t>
      </w:r>
      <w:r w:rsidRPr="00061975">
        <w:t>,</w:t>
      </w:r>
      <w:r w:rsidR="000B05F7">
        <w:t>359</w:t>
      </w:r>
      <w:r w:rsidR="000B05F7" w:rsidRPr="00061975">
        <w:t>B</w:t>
      </w:r>
      <w:r w:rsidRPr="00061975">
        <w:t xml:space="preserve">. Teaching makes up </w:t>
      </w:r>
      <w:r w:rsidR="000B05F7" w:rsidRPr="00061975">
        <w:t>4</w:t>
      </w:r>
      <w:r w:rsidR="000B05F7">
        <w:t>3</w:t>
      </w:r>
      <w:r w:rsidR="000B05F7" w:rsidRPr="00061975">
        <w:t xml:space="preserve"> </w:t>
      </w:r>
      <w:r w:rsidRPr="00061975">
        <w:t>percent</w:t>
      </w:r>
      <w:r w:rsidR="0067284C" w:rsidRPr="00061975">
        <w:t xml:space="preserve">. </w:t>
      </w:r>
      <w:r w:rsidRPr="00061975">
        <w:t xml:space="preserve">The six instructional categories (instructional leadership, teachers, other teaching services, professional development, instructional materials/technology, and guidance/psychological) account for a combined </w:t>
      </w:r>
      <w:r w:rsidR="000B05F7" w:rsidRPr="00061975">
        <w:t>6</w:t>
      </w:r>
      <w:r w:rsidR="000B05F7">
        <w:t>9</w:t>
      </w:r>
      <w:r w:rsidR="000B05F7" w:rsidRPr="00061975">
        <w:t xml:space="preserve"> </w:t>
      </w:r>
      <w:r w:rsidRPr="00061975">
        <w:t>percent.</w:t>
      </w:r>
    </w:p>
    <w:p w14:paraId="4AC96D4D" w14:textId="77777777" w:rsidR="008A4024" w:rsidRPr="00061975" w:rsidRDefault="008A4024" w:rsidP="008A4024"/>
    <w:tbl>
      <w:tblPr>
        <w:tblStyle w:val="ESETablesOpenStyle"/>
        <w:tblW w:w="7267" w:type="dxa"/>
        <w:jc w:val="center"/>
        <w:tblLook w:val="04A0" w:firstRow="1" w:lastRow="0" w:firstColumn="1" w:lastColumn="0" w:noHBand="0" w:noVBand="1"/>
        <w:tblDescription w:val="Table 4: FY19 foundation budget totals by category"/>
      </w:tblPr>
      <w:tblGrid>
        <w:gridCol w:w="3296"/>
        <w:gridCol w:w="1949"/>
        <w:gridCol w:w="2022"/>
      </w:tblGrid>
      <w:tr w:rsidR="00FA66EB" w:rsidRPr="00CF445E" w14:paraId="4961050B" w14:textId="77777777" w:rsidTr="0052391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7267" w:type="dxa"/>
            <w:gridSpan w:val="3"/>
            <w:tcBorders>
              <w:top w:val="nil"/>
              <w:bottom w:val="single" w:sz="12" w:space="0" w:color="auto"/>
            </w:tcBorders>
            <w:noWrap/>
          </w:tcPr>
          <w:p w14:paraId="548D3CC4" w14:textId="4A44D21A" w:rsidR="00FA66EB" w:rsidRPr="00061975" w:rsidRDefault="00FA66EB" w:rsidP="003935B7">
            <w:pPr>
              <w:jc w:val="center"/>
              <w:rPr>
                <w:rFonts w:ascii="Calibri" w:hAnsi="Calibri" w:cs="Calibri"/>
                <w:sz w:val="28"/>
                <w:szCs w:val="28"/>
              </w:rPr>
            </w:pPr>
            <w:r w:rsidRPr="00061975">
              <w:rPr>
                <w:rFonts w:ascii="Calibri" w:hAnsi="Calibri" w:cs="Calibri"/>
                <w:sz w:val="28"/>
                <w:szCs w:val="28"/>
              </w:rPr>
              <w:t xml:space="preserve">Table </w:t>
            </w:r>
            <w:r w:rsidR="003935B7">
              <w:rPr>
                <w:rFonts w:ascii="Calibri" w:hAnsi="Calibri" w:cs="Calibri"/>
                <w:sz w:val="28"/>
                <w:szCs w:val="28"/>
              </w:rPr>
              <w:t>5</w:t>
            </w:r>
            <w:r w:rsidRPr="00061975">
              <w:rPr>
                <w:rFonts w:ascii="Calibri" w:hAnsi="Calibri" w:cs="Calibri"/>
                <w:sz w:val="28"/>
                <w:szCs w:val="28"/>
              </w:rPr>
              <w:t>: FY</w:t>
            </w:r>
            <w:r w:rsidR="003935B7">
              <w:rPr>
                <w:rFonts w:ascii="Calibri" w:hAnsi="Calibri" w:cs="Calibri"/>
                <w:sz w:val="28"/>
                <w:szCs w:val="28"/>
              </w:rPr>
              <w:t>20</w:t>
            </w:r>
            <w:r w:rsidRPr="00061975">
              <w:rPr>
                <w:rFonts w:ascii="Calibri" w:hAnsi="Calibri" w:cs="Calibri"/>
                <w:sz w:val="28"/>
                <w:szCs w:val="28"/>
              </w:rPr>
              <w:t xml:space="preserve"> foundation budget totals by category</w:t>
            </w:r>
          </w:p>
        </w:tc>
      </w:tr>
      <w:tr w:rsidR="00626D2F" w:rsidRPr="00CF445E" w14:paraId="67DAD848" w14:textId="77777777" w:rsidTr="00626D2F">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tcBorders>
              <w:top w:val="single" w:sz="6" w:space="0" w:color="auto"/>
              <w:bottom w:val="nil"/>
            </w:tcBorders>
            <w:noWrap/>
          </w:tcPr>
          <w:p w14:paraId="706068FE" w14:textId="2D46FD6A" w:rsidR="00626D2F" w:rsidRDefault="00626D2F" w:rsidP="00626D2F">
            <w:pPr>
              <w:rPr>
                <w:rFonts w:ascii="Calibri" w:hAnsi="Calibri" w:cs="Calibri"/>
                <w:sz w:val="18"/>
                <w:szCs w:val="18"/>
              </w:rPr>
            </w:pPr>
            <w:r>
              <w:rPr>
                <w:rFonts w:ascii="Calibri" w:hAnsi="Calibri" w:cs="Calibri"/>
                <w:sz w:val="18"/>
                <w:szCs w:val="18"/>
              </w:rPr>
              <w:t>Categories</w:t>
            </w:r>
          </w:p>
        </w:tc>
        <w:tc>
          <w:tcPr>
            <w:tcW w:w="1949" w:type="dxa"/>
            <w:tcBorders>
              <w:top w:val="single" w:sz="6" w:space="0" w:color="auto"/>
              <w:bottom w:val="nil"/>
            </w:tcBorders>
            <w:noWrap/>
          </w:tcPr>
          <w:p w14:paraId="3DA8D747" w14:textId="70CDAB8D" w:rsidR="00626D2F" w:rsidRDefault="00626D2F" w:rsidP="00626D2F">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Foundation budget totals</w:t>
            </w:r>
          </w:p>
        </w:tc>
        <w:tc>
          <w:tcPr>
            <w:tcW w:w="2022" w:type="dxa"/>
            <w:tcBorders>
              <w:top w:val="single" w:sz="6" w:space="0" w:color="auto"/>
              <w:bottom w:val="nil"/>
            </w:tcBorders>
            <w:noWrap/>
          </w:tcPr>
          <w:p w14:paraId="11579424" w14:textId="776346EF" w:rsidR="00626D2F" w:rsidRPr="00626D2F" w:rsidRDefault="00626D2F" w:rsidP="00626D2F">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w:t>
            </w:r>
          </w:p>
        </w:tc>
      </w:tr>
      <w:tr w:rsidR="00CD5FFA" w:rsidRPr="00CF445E" w14:paraId="06E24C3A" w14:textId="77777777" w:rsidTr="00007A43">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tcBorders>
              <w:top w:val="single" w:sz="6" w:space="0" w:color="auto"/>
              <w:bottom w:val="nil"/>
            </w:tcBorders>
            <w:noWrap/>
            <w:hideMark/>
          </w:tcPr>
          <w:p w14:paraId="72C77445" w14:textId="381E9843" w:rsidR="00CD5FFA" w:rsidRPr="00061975" w:rsidRDefault="00CD5FFA" w:rsidP="00CD5FFA">
            <w:pPr>
              <w:rPr>
                <w:rFonts w:ascii="Calibri" w:hAnsi="Calibri" w:cs="Calibri"/>
                <w:sz w:val="18"/>
                <w:szCs w:val="18"/>
              </w:rPr>
            </w:pPr>
            <w:r>
              <w:rPr>
                <w:rFonts w:ascii="Calibri" w:hAnsi="Calibri" w:cs="Calibri"/>
                <w:sz w:val="18"/>
                <w:szCs w:val="18"/>
              </w:rPr>
              <w:t>Classroom and specialist t</w:t>
            </w:r>
            <w:r w:rsidRPr="00061975">
              <w:rPr>
                <w:rFonts w:ascii="Calibri" w:hAnsi="Calibri" w:cs="Calibri"/>
                <w:sz w:val="18"/>
                <w:szCs w:val="18"/>
              </w:rPr>
              <w:t>eachers</w:t>
            </w:r>
          </w:p>
        </w:tc>
        <w:tc>
          <w:tcPr>
            <w:tcW w:w="1949" w:type="dxa"/>
            <w:tcBorders>
              <w:top w:val="single" w:sz="6" w:space="0" w:color="auto"/>
              <w:bottom w:val="nil"/>
            </w:tcBorders>
            <w:noWrap/>
            <w:vAlign w:val="top"/>
          </w:tcPr>
          <w:p w14:paraId="68C46730" w14:textId="2D7D6BDD"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Pr="00007A43">
              <w:rPr>
                <w:rFonts w:asciiTheme="minorHAnsi" w:hAnsiTheme="minorHAnsi" w:cstheme="minorHAnsi"/>
                <w:sz w:val="18"/>
                <w:szCs w:val="18"/>
              </w:rPr>
              <w:t xml:space="preserve">4,877,517,442 </w:t>
            </w:r>
          </w:p>
        </w:tc>
        <w:tc>
          <w:tcPr>
            <w:tcW w:w="2022" w:type="dxa"/>
            <w:tcBorders>
              <w:top w:val="single" w:sz="6" w:space="0" w:color="auto"/>
              <w:bottom w:val="nil"/>
            </w:tcBorders>
            <w:noWrap/>
            <w:vAlign w:val="top"/>
          </w:tcPr>
          <w:p w14:paraId="51B77A79" w14:textId="3F9FDA32"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07A43">
              <w:rPr>
                <w:rFonts w:asciiTheme="minorHAnsi" w:hAnsiTheme="minorHAnsi" w:cstheme="minorHAnsi"/>
                <w:sz w:val="18"/>
                <w:szCs w:val="18"/>
              </w:rPr>
              <w:t>43%</w:t>
            </w:r>
          </w:p>
        </w:tc>
      </w:tr>
      <w:tr w:rsidR="00CD5FFA" w:rsidRPr="00CF445E" w14:paraId="00B13B80" w14:textId="77777777" w:rsidTr="00007A43">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tcBorders>
              <w:top w:val="nil"/>
            </w:tcBorders>
            <w:noWrap/>
            <w:hideMark/>
          </w:tcPr>
          <w:p w14:paraId="3292FF80" w14:textId="66A2C7D2" w:rsidR="00CD5FFA" w:rsidRPr="00061975" w:rsidRDefault="00CD5FFA" w:rsidP="00CD5FFA">
            <w:pPr>
              <w:rPr>
                <w:rFonts w:ascii="Calibri" w:hAnsi="Calibri" w:cs="Calibri"/>
                <w:sz w:val="18"/>
                <w:szCs w:val="18"/>
              </w:rPr>
            </w:pPr>
            <w:r>
              <w:rPr>
                <w:rFonts w:ascii="Calibri" w:hAnsi="Calibri" w:cs="Calibri"/>
                <w:sz w:val="18"/>
                <w:szCs w:val="18"/>
              </w:rPr>
              <w:t>Employee benefits and fixed charges</w:t>
            </w:r>
          </w:p>
        </w:tc>
        <w:tc>
          <w:tcPr>
            <w:tcW w:w="1949" w:type="dxa"/>
            <w:tcBorders>
              <w:top w:val="nil"/>
            </w:tcBorders>
            <w:noWrap/>
            <w:vAlign w:val="top"/>
          </w:tcPr>
          <w:p w14:paraId="4C608E57" w14:textId="62E035BD"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Pr="00007A43">
              <w:rPr>
                <w:rFonts w:asciiTheme="minorHAnsi" w:hAnsiTheme="minorHAnsi" w:cstheme="minorHAnsi"/>
                <w:sz w:val="18"/>
                <w:szCs w:val="18"/>
              </w:rPr>
              <w:t xml:space="preserve">1,280,117,046 </w:t>
            </w:r>
          </w:p>
        </w:tc>
        <w:tc>
          <w:tcPr>
            <w:tcW w:w="2022" w:type="dxa"/>
            <w:tcBorders>
              <w:top w:val="nil"/>
            </w:tcBorders>
            <w:noWrap/>
            <w:vAlign w:val="top"/>
          </w:tcPr>
          <w:p w14:paraId="2F418C54" w14:textId="4E7A83AD"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07A43">
              <w:rPr>
                <w:rFonts w:asciiTheme="minorHAnsi" w:hAnsiTheme="minorHAnsi" w:cstheme="minorHAnsi"/>
                <w:sz w:val="18"/>
                <w:szCs w:val="18"/>
              </w:rPr>
              <w:t>11%</w:t>
            </w:r>
          </w:p>
        </w:tc>
      </w:tr>
      <w:tr w:rsidR="00CD5FFA" w:rsidRPr="00CF445E" w14:paraId="7608341D" w14:textId="77777777" w:rsidTr="00007A43">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noWrap/>
            <w:hideMark/>
          </w:tcPr>
          <w:p w14:paraId="2A444DD5" w14:textId="21523538" w:rsidR="00CD5FFA" w:rsidRPr="00061975" w:rsidRDefault="00CD5FFA" w:rsidP="00CD5FFA">
            <w:pPr>
              <w:rPr>
                <w:rFonts w:ascii="Calibri" w:hAnsi="Calibri" w:cs="Calibri"/>
                <w:sz w:val="18"/>
                <w:szCs w:val="18"/>
              </w:rPr>
            </w:pPr>
            <w:r>
              <w:rPr>
                <w:rFonts w:ascii="Calibri" w:hAnsi="Calibri" w:cs="Calibri"/>
                <w:sz w:val="18"/>
                <w:szCs w:val="18"/>
              </w:rPr>
              <w:t>Operations and maintenance</w:t>
            </w:r>
          </w:p>
        </w:tc>
        <w:tc>
          <w:tcPr>
            <w:tcW w:w="1949" w:type="dxa"/>
            <w:noWrap/>
            <w:vAlign w:val="top"/>
          </w:tcPr>
          <w:p w14:paraId="196A9DED" w14:textId="1BE20625"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Pr="00007A43">
              <w:rPr>
                <w:rFonts w:asciiTheme="minorHAnsi" w:hAnsiTheme="minorHAnsi" w:cstheme="minorHAnsi"/>
                <w:sz w:val="18"/>
                <w:szCs w:val="18"/>
              </w:rPr>
              <w:t xml:space="preserve">1,076,910,304 </w:t>
            </w:r>
          </w:p>
        </w:tc>
        <w:tc>
          <w:tcPr>
            <w:tcW w:w="2022" w:type="dxa"/>
            <w:noWrap/>
            <w:vAlign w:val="top"/>
          </w:tcPr>
          <w:p w14:paraId="2A395F42" w14:textId="491283C5"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07A43">
              <w:rPr>
                <w:rFonts w:asciiTheme="minorHAnsi" w:hAnsiTheme="minorHAnsi" w:cstheme="minorHAnsi"/>
                <w:sz w:val="18"/>
                <w:szCs w:val="18"/>
              </w:rPr>
              <w:t>9%</w:t>
            </w:r>
          </w:p>
        </w:tc>
      </w:tr>
      <w:tr w:rsidR="00CD5FFA" w:rsidRPr="00CF445E" w14:paraId="2BB0561F" w14:textId="77777777" w:rsidTr="00007A43">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noWrap/>
            <w:hideMark/>
          </w:tcPr>
          <w:p w14:paraId="33C42985" w14:textId="241AE673" w:rsidR="00CD5FFA" w:rsidRPr="00061975" w:rsidRDefault="00CD5FFA" w:rsidP="00CD5FFA">
            <w:pPr>
              <w:rPr>
                <w:rFonts w:ascii="Calibri" w:hAnsi="Calibri" w:cs="Calibri"/>
                <w:sz w:val="18"/>
                <w:szCs w:val="18"/>
              </w:rPr>
            </w:pPr>
            <w:r w:rsidRPr="00061975">
              <w:rPr>
                <w:rFonts w:ascii="Calibri" w:hAnsi="Calibri" w:cs="Calibri"/>
                <w:sz w:val="18"/>
                <w:szCs w:val="18"/>
              </w:rPr>
              <w:t xml:space="preserve">Other </w:t>
            </w:r>
            <w:r>
              <w:rPr>
                <w:rFonts w:ascii="Calibri" w:hAnsi="Calibri" w:cs="Calibri"/>
                <w:sz w:val="18"/>
                <w:szCs w:val="18"/>
              </w:rPr>
              <w:t>t</w:t>
            </w:r>
            <w:r w:rsidRPr="00061975">
              <w:rPr>
                <w:rFonts w:ascii="Calibri" w:hAnsi="Calibri" w:cs="Calibri"/>
                <w:sz w:val="18"/>
                <w:szCs w:val="18"/>
              </w:rPr>
              <w:t xml:space="preserve">eaching </w:t>
            </w:r>
            <w:r>
              <w:rPr>
                <w:rFonts w:ascii="Calibri" w:hAnsi="Calibri" w:cs="Calibri"/>
                <w:sz w:val="18"/>
                <w:szCs w:val="18"/>
              </w:rPr>
              <w:t>s</w:t>
            </w:r>
            <w:r w:rsidRPr="00061975">
              <w:rPr>
                <w:rFonts w:ascii="Calibri" w:hAnsi="Calibri" w:cs="Calibri"/>
                <w:sz w:val="18"/>
                <w:szCs w:val="18"/>
              </w:rPr>
              <w:t>ervices</w:t>
            </w:r>
          </w:p>
        </w:tc>
        <w:tc>
          <w:tcPr>
            <w:tcW w:w="1949" w:type="dxa"/>
            <w:noWrap/>
            <w:vAlign w:val="top"/>
          </w:tcPr>
          <w:p w14:paraId="0779A19F" w14:textId="5EF518AA"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Pr="00007A43">
              <w:rPr>
                <w:rFonts w:asciiTheme="minorHAnsi" w:hAnsiTheme="minorHAnsi" w:cstheme="minorHAnsi"/>
                <w:sz w:val="18"/>
                <w:szCs w:val="18"/>
              </w:rPr>
              <w:t xml:space="preserve">965,898,185 </w:t>
            </w:r>
          </w:p>
        </w:tc>
        <w:tc>
          <w:tcPr>
            <w:tcW w:w="2022" w:type="dxa"/>
            <w:noWrap/>
            <w:vAlign w:val="top"/>
          </w:tcPr>
          <w:p w14:paraId="6039FD1E" w14:textId="7BC00A52"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07A43">
              <w:rPr>
                <w:rFonts w:asciiTheme="minorHAnsi" w:hAnsiTheme="minorHAnsi" w:cstheme="minorHAnsi"/>
                <w:sz w:val="18"/>
                <w:szCs w:val="18"/>
              </w:rPr>
              <w:t>9%</w:t>
            </w:r>
          </w:p>
        </w:tc>
      </w:tr>
      <w:tr w:rsidR="00CD5FFA" w:rsidRPr="00CF445E" w14:paraId="0EB1D95E" w14:textId="77777777" w:rsidTr="00007A43">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noWrap/>
            <w:hideMark/>
          </w:tcPr>
          <w:p w14:paraId="26E49E28" w14:textId="23361483" w:rsidR="00CD5FFA" w:rsidRPr="00061975" w:rsidRDefault="00CD5FFA" w:rsidP="00CD5FFA">
            <w:pPr>
              <w:rPr>
                <w:rFonts w:ascii="Calibri" w:hAnsi="Calibri" w:cs="Calibri"/>
                <w:sz w:val="18"/>
                <w:szCs w:val="18"/>
              </w:rPr>
            </w:pPr>
            <w:r w:rsidRPr="00061975">
              <w:rPr>
                <w:rFonts w:ascii="Calibri" w:hAnsi="Calibri" w:cs="Calibri"/>
                <w:sz w:val="18"/>
                <w:szCs w:val="18"/>
              </w:rPr>
              <w:t xml:space="preserve">Instructional </w:t>
            </w:r>
            <w:r>
              <w:rPr>
                <w:rFonts w:ascii="Calibri" w:hAnsi="Calibri" w:cs="Calibri"/>
                <w:sz w:val="18"/>
                <w:szCs w:val="18"/>
              </w:rPr>
              <w:t>l</w:t>
            </w:r>
            <w:r w:rsidRPr="00061975">
              <w:rPr>
                <w:rFonts w:ascii="Calibri" w:hAnsi="Calibri" w:cs="Calibri"/>
                <w:sz w:val="18"/>
                <w:szCs w:val="18"/>
              </w:rPr>
              <w:t>eadership</w:t>
            </w:r>
          </w:p>
        </w:tc>
        <w:tc>
          <w:tcPr>
            <w:tcW w:w="1949" w:type="dxa"/>
            <w:noWrap/>
            <w:vAlign w:val="top"/>
          </w:tcPr>
          <w:p w14:paraId="2B943588" w14:textId="73DACDEE"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Pr="00007A43">
              <w:rPr>
                <w:rFonts w:asciiTheme="minorHAnsi" w:hAnsiTheme="minorHAnsi" w:cstheme="minorHAnsi"/>
                <w:sz w:val="18"/>
                <w:szCs w:val="18"/>
              </w:rPr>
              <w:t xml:space="preserve">794,902,316 </w:t>
            </w:r>
          </w:p>
        </w:tc>
        <w:tc>
          <w:tcPr>
            <w:tcW w:w="2022" w:type="dxa"/>
            <w:noWrap/>
            <w:vAlign w:val="top"/>
          </w:tcPr>
          <w:p w14:paraId="6FD66371" w14:textId="2C1B0D09"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07A43">
              <w:rPr>
                <w:rFonts w:asciiTheme="minorHAnsi" w:hAnsiTheme="minorHAnsi" w:cstheme="minorHAnsi"/>
                <w:sz w:val="18"/>
                <w:szCs w:val="18"/>
              </w:rPr>
              <w:t>7%</w:t>
            </w:r>
          </w:p>
        </w:tc>
      </w:tr>
      <w:tr w:rsidR="00CD5FFA" w:rsidRPr="00CF445E" w14:paraId="43110D80" w14:textId="77777777" w:rsidTr="00007A43">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noWrap/>
            <w:hideMark/>
          </w:tcPr>
          <w:p w14:paraId="57ECB39A" w14:textId="1D938879" w:rsidR="00CD5FFA" w:rsidRPr="00061975" w:rsidRDefault="00CD5FFA" w:rsidP="00CD5FFA">
            <w:pPr>
              <w:rPr>
                <w:rFonts w:ascii="Calibri" w:hAnsi="Calibri" w:cs="Calibri"/>
                <w:sz w:val="18"/>
                <w:szCs w:val="18"/>
              </w:rPr>
            </w:pPr>
            <w:r w:rsidRPr="00061975">
              <w:rPr>
                <w:rFonts w:ascii="Calibri" w:hAnsi="Calibri" w:cs="Calibri"/>
                <w:sz w:val="18"/>
                <w:szCs w:val="18"/>
              </w:rPr>
              <w:t xml:space="preserve">Instructional </w:t>
            </w:r>
            <w:r>
              <w:rPr>
                <w:rFonts w:ascii="Calibri" w:hAnsi="Calibri" w:cs="Calibri"/>
                <w:sz w:val="18"/>
                <w:szCs w:val="18"/>
              </w:rPr>
              <w:t>equipment and technology</w:t>
            </w:r>
          </w:p>
        </w:tc>
        <w:tc>
          <w:tcPr>
            <w:tcW w:w="1949" w:type="dxa"/>
            <w:noWrap/>
            <w:vAlign w:val="top"/>
          </w:tcPr>
          <w:p w14:paraId="2EB30D96" w14:textId="3657AA3E"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Pr="00007A43">
              <w:rPr>
                <w:rFonts w:asciiTheme="minorHAnsi" w:hAnsiTheme="minorHAnsi" w:cstheme="minorHAnsi"/>
                <w:sz w:val="18"/>
                <w:szCs w:val="18"/>
              </w:rPr>
              <w:t xml:space="preserve">585,519,882 </w:t>
            </w:r>
          </w:p>
        </w:tc>
        <w:tc>
          <w:tcPr>
            <w:tcW w:w="2022" w:type="dxa"/>
            <w:noWrap/>
            <w:vAlign w:val="top"/>
          </w:tcPr>
          <w:p w14:paraId="261D09E3" w14:textId="5C2AEED4"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07A43">
              <w:rPr>
                <w:rFonts w:asciiTheme="minorHAnsi" w:hAnsiTheme="minorHAnsi" w:cstheme="minorHAnsi"/>
                <w:sz w:val="18"/>
                <w:szCs w:val="18"/>
              </w:rPr>
              <w:t>5%</w:t>
            </w:r>
          </w:p>
        </w:tc>
      </w:tr>
      <w:tr w:rsidR="00CD5FFA" w:rsidRPr="00CF445E" w14:paraId="1E71C163" w14:textId="77777777" w:rsidTr="00007A43">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noWrap/>
            <w:hideMark/>
          </w:tcPr>
          <w:p w14:paraId="003FBEA5" w14:textId="34324F0F" w:rsidR="00CD5FFA" w:rsidRPr="00061975" w:rsidRDefault="00CD5FFA" w:rsidP="00CD5FFA">
            <w:pPr>
              <w:rPr>
                <w:rFonts w:ascii="Calibri" w:hAnsi="Calibri" w:cs="Calibri"/>
                <w:sz w:val="18"/>
                <w:szCs w:val="18"/>
              </w:rPr>
            </w:pPr>
            <w:r>
              <w:rPr>
                <w:rFonts w:ascii="Calibri" w:hAnsi="Calibri" w:cs="Calibri"/>
                <w:sz w:val="18"/>
                <w:szCs w:val="18"/>
              </w:rPr>
              <w:t>A</w:t>
            </w:r>
            <w:r w:rsidRPr="00061975">
              <w:rPr>
                <w:rFonts w:ascii="Calibri" w:hAnsi="Calibri" w:cs="Calibri"/>
                <w:sz w:val="18"/>
                <w:szCs w:val="18"/>
              </w:rPr>
              <w:t>dministration</w:t>
            </w:r>
          </w:p>
        </w:tc>
        <w:tc>
          <w:tcPr>
            <w:tcW w:w="1949" w:type="dxa"/>
            <w:noWrap/>
            <w:vAlign w:val="top"/>
          </w:tcPr>
          <w:p w14:paraId="28817CEF" w14:textId="651F5E18"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Pr="00007A43">
              <w:rPr>
                <w:rFonts w:asciiTheme="minorHAnsi" w:hAnsiTheme="minorHAnsi" w:cstheme="minorHAnsi"/>
                <w:sz w:val="18"/>
                <w:szCs w:val="18"/>
              </w:rPr>
              <w:t xml:space="preserve">530,272,107 </w:t>
            </w:r>
          </w:p>
        </w:tc>
        <w:tc>
          <w:tcPr>
            <w:tcW w:w="2022" w:type="dxa"/>
            <w:noWrap/>
            <w:vAlign w:val="top"/>
          </w:tcPr>
          <w:p w14:paraId="0AA2B120" w14:textId="7F69A764"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07A43">
              <w:rPr>
                <w:rFonts w:asciiTheme="minorHAnsi" w:hAnsiTheme="minorHAnsi" w:cstheme="minorHAnsi"/>
                <w:sz w:val="18"/>
                <w:szCs w:val="18"/>
              </w:rPr>
              <w:t>5%</w:t>
            </w:r>
          </w:p>
        </w:tc>
      </w:tr>
      <w:tr w:rsidR="00CD5FFA" w:rsidRPr="00CF445E" w14:paraId="10C2183C" w14:textId="77777777" w:rsidTr="00007A43">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noWrap/>
            <w:hideMark/>
          </w:tcPr>
          <w:p w14:paraId="0D14C59D" w14:textId="58271DE2" w:rsidR="00CD5FFA" w:rsidRPr="00061975" w:rsidRDefault="00CD5FFA" w:rsidP="00CD5FFA">
            <w:pPr>
              <w:rPr>
                <w:rFonts w:ascii="Calibri" w:hAnsi="Calibri" w:cs="Calibri"/>
                <w:sz w:val="18"/>
                <w:szCs w:val="18"/>
              </w:rPr>
            </w:pPr>
            <w:r>
              <w:rPr>
                <w:rFonts w:ascii="Calibri" w:hAnsi="Calibri" w:cs="Calibri"/>
                <w:sz w:val="18"/>
                <w:szCs w:val="18"/>
              </w:rPr>
              <w:t>Pupil services</w:t>
            </w:r>
          </w:p>
        </w:tc>
        <w:tc>
          <w:tcPr>
            <w:tcW w:w="1949" w:type="dxa"/>
            <w:noWrap/>
            <w:vAlign w:val="top"/>
          </w:tcPr>
          <w:p w14:paraId="70EDD8EC" w14:textId="2A54326E"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Pr="00007A43">
              <w:rPr>
                <w:rFonts w:asciiTheme="minorHAnsi" w:hAnsiTheme="minorHAnsi" w:cstheme="minorHAnsi"/>
                <w:sz w:val="18"/>
                <w:szCs w:val="18"/>
              </w:rPr>
              <w:t xml:space="preserve">476,736,686 </w:t>
            </w:r>
          </w:p>
        </w:tc>
        <w:tc>
          <w:tcPr>
            <w:tcW w:w="2022" w:type="dxa"/>
            <w:noWrap/>
            <w:vAlign w:val="top"/>
          </w:tcPr>
          <w:p w14:paraId="6FA7BB1C" w14:textId="7B1F6D11"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07A43">
              <w:rPr>
                <w:rFonts w:asciiTheme="minorHAnsi" w:hAnsiTheme="minorHAnsi" w:cstheme="minorHAnsi"/>
                <w:sz w:val="18"/>
                <w:szCs w:val="18"/>
              </w:rPr>
              <w:t>4%</w:t>
            </w:r>
          </w:p>
        </w:tc>
      </w:tr>
      <w:tr w:rsidR="00CD5FFA" w:rsidRPr="00CF445E" w14:paraId="20E4E6C3" w14:textId="77777777" w:rsidTr="00007A43">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noWrap/>
            <w:hideMark/>
          </w:tcPr>
          <w:p w14:paraId="01288167" w14:textId="732293B3" w:rsidR="00CD5FFA" w:rsidRPr="00061975" w:rsidRDefault="00CD5FFA" w:rsidP="00CD5FFA">
            <w:pPr>
              <w:rPr>
                <w:rFonts w:ascii="Calibri" w:hAnsi="Calibri" w:cs="Calibri"/>
                <w:sz w:val="18"/>
                <w:szCs w:val="18"/>
              </w:rPr>
            </w:pPr>
            <w:r>
              <w:rPr>
                <w:rFonts w:ascii="Calibri" w:hAnsi="Calibri" w:cs="Calibri"/>
                <w:sz w:val="18"/>
                <w:szCs w:val="18"/>
              </w:rPr>
              <w:t>Guidance and psychological services</w:t>
            </w:r>
          </w:p>
        </w:tc>
        <w:tc>
          <w:tcPr>
            <w:tcW w:w="1949" w:type="dxa"/>
            <w:noWrap/>
            <w:vAlign w:val="top"/>
          </w:tcPr>
          <w:p w14:paraId="09F90A76" w14:textId="54C27604"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Pr="00007A43">
              <w:rPr>
                <w:rFonts w:asciiTheme="minorHAnsi" w:hAnsiTheme="minorHAnsi" w:cstheme="minorHAnsi"/>
                <w:sz w:val="18"/>
                <w:szCs w:val="18"/>
              </w:rPr>
              <w:t xml:space="preserve">338,578,046 </w:t>
            </w:r>
          </w:p>
        </w:tc>
        <w:tc>
          <w:tcPr>
            <w:tcW w:w="2022" w:type="dxa"/>
            <w:noWrap/>
            <w:vAlign w:val="top"/>
          </w:tcPr>
          <w:p w14:paraId="321313A1" w14:textId="43366C31"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07A43">
              <w:rPr>
                <w:rFonts w:asciiTheme="minorHAnsi" w:hAnsiTheme="minorHAnsi" w:cstheme="minorHAnsi"/>
                <w:sz w:val="18"/>
                <w:szCs w:val="18"/>
              </w:rPr>
              <w:t>3%</w:t>
            </w:r>
          </w:p>
        </w:tc>
      </w:tr>
      <w:tr w:rsidR="00CD5FFA" w:rsidRPr="00CF445E" w14:paraId="26E60E88" w14:textId="77777777" w:rsidTr="00007A43">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noWrap/>
            <w:hideMark/>
          </w:tcPr>
          <w:p w14:paraId="08758BD1" w14:textId="701392BB" w:rsidR="00CD5FFA" w:rsidRPr="00061975" w:rsidRDefault="00CD5FFA" w:rsidP="00CD5FFA">
            <w:pPr>
              <w:rPr>
                <w:rFonts w:ascii="Calibri" w:hAnsi="Calibri" w:cs="Calibri"/>
                <w:sz w:val="18"/>
                <w:szCs w:val="18"/>
              </w:rPr>
            </w:pPr>
            <w:r w:rsidRPr="00061975">
              <w:rPr>
                <w:rFonts w:ascii="Calibri" w:hAnsi="Calibri" w:cs="Calibri"/>
                <w:sz w:val="18"/>
                <w:szCs w:val="18"/>
              </w:rPr>
              <w:t xml:space="preserve">Special </w:t>
            </w:r>
            <w:r>
              <w:rPr>
                <w:rFonts w:ascii="Calibri" w:hAnsi="Calibri" w:cs="Calibri"/>
                <w:sz w:val="18"/>
                <w:szCs w:val="18"/>
              </w:rPr>
              <w:t>e</w:t>
            </w:r>
            <w:r w:rsidRPr="00061975">
              <w:rPr>
                <w:rFonts w:ascii="Calibri" w:hAnsi="Calibri" w:cs="Calibri"/>
                <w:sz w:val="18"/>
                <w:szCs w:val="18"/>
              </w:rPr>
              <w:t xml:space="preserve">ducation </w:t>
            </w:r>
            <w:r>
              <w:rPr>
                <w:rFonts w:ascii="Calibri" w:hAnsi="Calibri" w:cs="Calibri"/>
                <w:sz w:val="18"/>
                <w:szCs w:val="18"/>
              </w:rPr>
              <w:t>t</w:t>
            </w:r>
            <w:r w:rsidRPr="00061975">
              <w:rPr>
                <w:rFonts w:ascii="Calibri" w:hAnsi="Calibri" w:cs="Calibri"/>
                <w:sz w:val="18"/>
                <w:szCs w:val="18"/>
              </w:rPr>
              <w:t>uition</w:t>
            </w:r>
          </w:p>
        </w:tc>
        <w:tc>
          <w:tcPr>
            <w:tcW w:w="1949" w:type="dxa"/>
            <w:noWrap/>
            <w:vAlign w:val="top"/>
          </w:tcPr>
          <w:p w14:paraId="208178E7" w14:textId="16787D85"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Pr="00007A43">
              <w:rPr>
                <w:rFonts w:asciiTheme="minorHAnsi" w:hAnsiTheme="minorHAnsi" w:cstheme="minorHAnsi"/>
                <w:sz w:val="18"/>
                <w:szCs w:val="18"/>
              </w:rPr>
              <w:t xml:space="preserve">233,175,395 </w:t>
            </w:r>
          </w:p>
        </w:tc>
        <w:tc>
          <w:tcPr>
            <w:tcW w:w="2022" w:type="dxa"/>
            <w:noWrap/>
            <w:vAlign w:val="top"/>
          </w:tcPr>
          <w:p w14:paraId="2207F8F2" w14:textId="277426AB"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07A43">
              <w:rPr>
                <w:rFonts w:asciiTheme="minorHAnsi" w:hAnsiTheme="minorHAnsi" w:cstheme="minorHAnsi"/>
                <w:sz w:val="18"/>
                <w:szCs w:val="18"/>
              </w:rPr>
              <w:t>2%</w:t>
            </w:r>
          </w:p>
        </w:tc>
      </w:tr>
      <w:tr w:rsidR="00CD5FFA" w:rsidRPr="00CF445E" w14:paraId="249CFEA9" w14:textId="77777777" w:rsidTr="00007A43">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noWrap/>
            <w:hideMark/>
          </w:tcPr>
          <w:p w14:paraId="62C8327C" w14:textId="4602D6E1" w:rsidR="00CD5FFA" w:rsidRPr="00061975" w:rsidRDefault="00CD5FFA" w:rsidP="00CD5FFA">
            <w:pPr>
              <w:rPr>
                <w:rFonts w:ascii="Calibri" w:hAnsi="Calibri" w:cs="Calibri"/>
                <w:sz w:val="18"/>
                <w:szCs w:val="18"/>
              </w:rPr>
            </w:pPr>
            <w:r w:rsidRPr="00061975">
              <w:rPr>
                <w:rFonts w:ascii="Calibri" w:hAnsi="Calibri" w:cs="Calibri"/>
                <w:sz w:val="18"/>
                <w:szCs w:val="18"/>
              </w:rPr>
              <w:t xml:space="preserve">Professional </w:t>
            </w:r>
            <w:r>
              <w:rPr>
                <w:rFonts w:ascii="Calibri" w:hAnsi="Calibri" w:cs="Calibri"/>
                <w:sz w:val="18"/>
                <w:szCs w:val="18"/>
              </w:rPr>
              <w:t>d</w:t>
            </w:r>
            <w:r w:rsidRPr="00061975">
              <w:rPr>
                <w:rFonts w:ascii="Calibri" w:hAnsi="Calibri" w:cs="Calibri"/>
                <w:sz w:val="18"/>
                <w:szCs w:val="18"/>
              </w:rPr>
              <w:t>evelopment</w:t>
            </w:r>
          </w:p>
        </w:tc>
        <w:tc>
          <w:tcPr>
            <w:tcW w:w="1949" w:type="dxa"/>
            <w:noWrap/>
            <w:vAlign w:val="top"/>
          </w:tcPr>
          <w:p w14:paraId="3545B4A6" w14:textId="7DA59DB4"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r w:rsidRPr="00007A43">
              <w:rPr>
                <w:rFonts w:asciiTheme="minorHAnsi" w:hAnsiTheme="minorHAnsi" w:cstheme="minorHAnsi"/>
                <w:sz w:val="18"/>
                <w:szCs w:val="18"/>
              </w:rPr>
              <w:t xml:space="preserve">199,421,103 </w:t>
            </w:r>
          </w:p>
        </w:tc>
        <w:tc>
          <w:tcPr>
            <w:tcW w:w="2022" w:type="dxa"/>
            <w:noWrap/>
            <w:vAlign w:val="top"/>
          </w:tcPr>
          <w:p w14:paraId="4E300E2F" w14:textId="559FFF25"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07A43">
              <w:rPr>
                <w:rFonts w:asciiTheme="minorHAnsi" w:hAnsiTheme="minorHAnsi" w:cstheme="minorHAnsi"/>
                <w:sz w:val="18"/>
                <w:szCs w:val="18"/>
              </w:rPr>
              <w:t>2%</w:t>
            </w:r>
          </w:p>
        </w:tc>
      </w:tr>
      <w:tr w:rsidR="00CD5FFA" w:rsidRPr="00CF445E" w14:paraId="1614DD00" w14:textId="77777777" w:rsidTr="00007A43">
        <w:trPr>
          <w:trHeight w:val="276"/>
          <w:jc w:val="center"/>
        </w:trPr>
        <w:tc>
          <w:tcPr>
            <w:cnfStyle w:val="001000000000" w:firstRow="0" w:lastRow="0" w:firstColumn="1" w:lastColumn="0" w:oddVBand="0" w:evenVBand="0" w:oddHBand="0" w:evenHBand="0" w:firstRowFirstColumn="0" w:firstRowLastColumn="0" w:lastRowFirstColumn="0" w:lastRowLastColumn="0"/>
            <w:tcW w:w="3296" w:type="dxa"/>
            <w:noWrap/>
            <w:hideMark/>
          </w:tcPr>
          <w:p w14:paraId="3AE55365" w14:textId="1CD4D9B6" w:rsidR="00CD5FFA" w:rsidRPr="00061975" w:rsidRDefault="00CD5FFA" w:rsidP="00CD5FFA">
            <w:pPr>
              <w:rPr>
                <w:rFonts w:ascii="Calibri" w:hAnsi="Calibri" w:cs="Calibri"/>
                <w:b/>
                <w:sz w:val="18"/>
                <w:szCs w:val="18"/>
              </w:rPr>
            </w:pPr>
            <w:r>
              <w:rPr>
                <w:rFonts w:ascii="Calibri" w:hAnsi="Calibri" w:cs="Calibri"/>
                <w:b/>
                <w:sz w:val="18"/>
                <w:szCs w:val="18"/>
              </w:rPr>
              <w:t>State t</w:t>
            </w:r>
            <w:r w:rsidRPr="00061975">
              <w:rPr>
                <w:rFonts w:ascii="Calibri" w:hAnsi="Calibri" w:cs="Calibri"/>
                <w:b/>
                <w:sz w:val="18"/>
                <w:szCs w:val="18"/>
              </w:rPr>
              <w:t>otal</w:t>
            </w:r>
          </w:p>
        </w:tc>
        <w:tc>
          <w:tcPr>
            <w:tcW w:w="1949" w:type="dxa"/>
            <w:noWrap/>
            <w:vAlign w:val="top"/>
            <w:hideMark/>
          </w:tcPr>
          <w:p w14:paraId="0ABD1F30" w14:textId="0557CAA8"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sz w:val="18"/>
                <w:szCs w:val="18"/>
              </w:rPr>
              <w:t>$</w:t>
            </w:r>
            <w:r w:rsidRPr="00007A43">
              <w:rPr>
                <w:rFonts w:asciiTheme="minorHAnsi" w:hAnsiTheme="minorHAnsi" w:cstheme="minorHAnsi"/>
                <w:sz w:val="18"/>
                <w:szCs w:val="18"/>
              </w:rPr>
              <w:t xml:space="preserve">11,359,048,512 </w:t>
            </w:r>
          </w:p>
        </w:tc>
        <w:tc>
          <w:tcPr>
            <w:tcW w:w="2022" w:type="dxa"/>
            <w:noWrap/>
            <w:vAlign w:val="top"/>
            <w:hideMark/>
          </w:tcPr>
          <w:p w14:paraId="14623195" w14:textId="140635D9" w:rsidR="00CD5FFA" w:rsidRPr="006F0B59" w:rsidRDefault="00CD5FFA" w:rsidP="00CD5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07A43">
              <w:rPr>
                <w:rFonts w:asciiTheme="minorHAnsi" w:hAnsiTheme="minorHAnsi" w:cstheme="minorHAnsi"/>
                <w:sz w:val="18"/>
                <w:szCs w:val="18"/>
              </w:rPr>
              <w:t>100%</w:t>
            </w:r>
          </w:p>
        </w:tc>
      </w:tr>
    </w:tbl>
    <w:p w14:paraId="396F017F" w14:textId="1EDD33EA" w:rsidR="008A4024" w:rsidRDefault="008A4024" w:rsidP="008A4024">
      <w:pPr>
        <w:rPr>
          <w:rFonts w:ascii="Georgia" w:hAnsi="Georgia"/>
          <w:sz w:val="20"/>
          <w:szCs w:val="20"/>
        </w:rPr>
      </w:pPr>
    </w:p>
    <w:p w14:paraId="72993D53" w14:textId="0E111C82" w:rsidR="008A4024" w:rsidRPr="008A4024" w:rsidRDefault="008A4024" w:rsidP="008B0145">
      <w:pPr>
        <w:rPr>
          <w:rFonts w:ascii="Georgia" w:hAnsi="Georgia"/>
          <w:sz w:val="20"/>
          <w:szCs w:val="20"/>
        </w:rPr>
      </w:pPr>
    </w:p>
    <w:p w14:paraId="5F434059" w14:textId="2FA98318" w:rsidR="00A33571" w:rsidRDefault="00A33571">
      <w:r>
        <w:br w:type="page"/>
      </w:r>
    </w:p>
    <w:p w14:paraId="29DCC253" w14:textId="38B38FCF" w:rsidR="00F73429" w:rsidRDefault="006F0B59">
      <w:pPr>
        <w:rPr>
          <w:rFonts w:ascii="Verdana" w:hAnsi="Verdana"/>
          <w:b/>
          <w:sz w:val="21"/>
          <w:szCs w:val="21"/>
        </w:rPr>
      </w:pPr>
      <w:r>
        <w:rPr>
          <w:noProof/>
        </w:rPr>
        <w:lastRenderedPageBreak/>
        <w:drawing>
          <wp:inline distT="0" distB="0" distL="0" distR="0" wp14:anchorId="553BE24E" wp14:editId="3FE1C4C9">
            <wp:extent cx="6038850" cy="3716655"/>
            <wp:effectExtent l="0" t="0" r="0" b="0"/>
            <wp:docPr id="12" name="Chart 12" descr="FY20 foundation budget category totals as a percent of total statewide found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B05F7">
        <w:rPr>
          <w:rFonts w:ascii="Verdana" w:hAnsi="Verdana"/>
          <w:b/>
          <w:sz w:val="21"/>
          <w:szCs w:val="21"/>
        </w:rPr>
        <w:br/>
      </w:r>
      <w:r w:rsidR="000B05F7">
        <w:rPr>
          <w:rFonts w:ascii="Calibri" w:hAnsi="Calibri" w:cs="Calibri"/>
          <w:sz w:val="18"/>
          <w:szCs w:val="18"/>
        </w:rPr>
        <w:t xml:space="preserve">Note: The six instructional categories are shaded blue. </w:t>
      </w:r>
      <w:r w:rsidR="00F73429">
        <w:rPr>
          <w:rFonts w:ascii="Verdana" w:hAnsi="Verdana"/>
          <w:b/>
          <w:sz w:val="21"/>
          <w:szCs w:val="21"/>
        </w:rPr>
        <w:br w:type="page"/>
      </w:r>
    </w:p>
    <w:p w14:paraId="35EB3EC0" w14:textId="4EF52D26" w:rsidR="00F73429" w:rsidRDefault="00F73429" w:rsidP="00061975">
      <w:pPr>
        <w:pStyle w:val="Heading1"/>
      </w:pPr>
      <w:bookmarkStart w:id="4" w:name="_Toc535866892"/>
      <w:r>
        <w:lastRenderedPageBreak/>
        <w:t>Appendix A:</w:t>
      </w:r>
      <w:r w:rsidR="00A05B06">
        <w:t xml:space="preserve"> How required local contributions are calculated</w:t>
      </w:r>
      <w:bookmarkEnd w:id="4"/>
    </w:p>
    <w:p w14:paraId="62D3737C" w14:textId="305DEFE4" w:rsidR="000B05F7" w:rsidRDefault="005C4255" w:rsidP="00061975">
      <w:pPr>
        <w:pStyle w:val="Heading2"/>
      </w:pPr>
      <w:bookmarkStart w:id="5" w:name="_Toc535866893"/>
      <w:r w:rsidRPr="0016590B">
        <w:t>Target contribution</w:t>
      </w:r>
      <w:r w:rsidR="00E4163F">
        <w:t>s</w:t>
      </w:r>
    </w:p>
    <w:p w14:paraId="47D0FF32" w14:textId="6EF70255" w:rsidR="00A321B4" w:rsidRDefault="000B05F7" w:rsidP="008B0145">
      <w:r w:rsidRPr="000B05F7">
        <w:rPr>
          <w:noProof/>
        </w:rPr>
        <w:drawing>
          <wp:inline distT="0" distB="0" distL="0" distR="0" wp14:anchorId="497EAD31" wp14:editId="3A1A9C13">
            <wp:extent cx="5943600" cy="3342640"/>
            <wp:effectExtent l="0" t="0" r="0" b="0"/>
            <wp:docPr id="11" name="Picture 11" descr="How is the required local contribution calculated?&#10;Determining each community's target local share starts with the local share of statewide foundation.&#10;Calculate statewide foundation budget.&#10;Determine local share of statewide foundation. &#10;Statewide, determine percentages that yield 1/2 from property and 1/2 from income.&#10;Property and income percentages are applied uniformly across all cities and towns to determine the combined effort yield from property and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342640"/>
                    </a:xfrm>
                    <a:prstGeom prst="rect">
                      <a:avLst/>
                    </a:prstGeom>
                  </pic:spPr>
                </pic:pic>
              </a:graphicData>
            </a:graphic>
          </wp:inline>
        </w:drawing>
      </w:r>
      <w:r w:rsidRPr="000B05F7" w:rsidDel="000B05F7">
        <w:t xml:space="preserve"> </w:t>
      </w:r>
      <w:bookmarkEnd w:id="5"/>
      <w:r w:rsidR="00A05B06">
        <w:t>The first step is to d</w:t>
      </w:r>
      <w:r w:rsidR="005C4255" w:rsidRPr="00061975">
        <w:t xml:space="preserve">etermine the </w:t>
      </w:r>
      <w:r w:rsidR="005C4255" w:rsidRPr="005062A0">
        <w:t>statewide target local contribution</w:t>
      </w:r>
      <w:r w:rsidR="005C4255" w:rsidRPr="00061975">
        <w:t xml:space="preserve"> level</w:t>
      </w:r>
      <w:r w:rsidR="00D82E4B">
        <w:t>:</w:t>
      </w:r>
      <w:r w:rsidR="00A05B06">
        <w:t xml:space="preserve"> </w:t>
      </w:r>
    </w:p>
    <w:p w14:paraId="3B9380E3" w14:textId="28A0515E" w:rsidR="000D7476" w:rsidRPr="00D82E4B" w:rsidRDefault="000D7476">
      <w:pPr>
        <w:numPr>
          <w:ilvl w:val="0"/>
          <w:numId w:val="8"/>
        </w:numPr>
        <w:shd w:val="clear" w:color="auto" w:fill="FFFFFF"/>
        <w:spacing w:before="100" w:beforeAutospacing="1" w:after="100" w:afterAutospacing="1"/>
        <w:rPr>
          <w:color w:val="000000"/>
        </w:rPr>
      </w:pPr>
      <w:r w:rsidRPr="00D82E4B">
        <w:rPr>
          <w:color w:val="000000"/>
        </w:rPr>
        <w:t>The formula dictates that the statewide contribution goal must be funded equally from local property wealth and aggregate local income.</w:t>
      </w:r>
      <w:r w:rsidR="00D82E4B" w:rsidRPr="00D82E4B">
        <w:rPr>
          <w:color w:val="000000"/>
        </w:rPr>
        <w:t xml:space="preserve"> The </w:t>
      </w:r>
      <w:r w:rsidR="00D82E4B" w:rsidRPr="00007A43">
        <w:rPr>
          <w:b/>
          <w:color w:val="000000"/>
        </w:rPr>
        <w:t>statewide target local contribution</w:t>
      </w:r>
      <w:r w:rsidR="00D82E4B" w:rsidRPr="00D82E4B">
        <w:rPr>
          <w:color w:val="000000"/>
        </w:rPr>
        <w:t xml:space="preserve"> for all municipalities equals 59 percent of statewide foundation budgets. In FY20, that total is</w:t>
      </w:r>
      <w:r w:rsidR="00742DFF">
        <w:rPr>
          <w:color w:val="000000"/>
        </w:rPr>
        <w:t xml:space="preserve"> $6.702 billion.</w:t>
      </w:r>
      <w:r w:rsidR="00742DFF">
        <w:rPr>
          <w:color w:val="E36C0A" w:themeColor="accent6" w:themeShade="BF"/>
        </w:rPr>
        <w:t xml:space="preserve"> </w:t>
      </w:r>
    </w:p>
    <w:p w14:paraId="4191B80C" w14:textId="1F0C022B" w:rsidR="005062A0" w:rsidRPr="00F9139A" w:rsidRDefault="00F9139A">
      <w:pPr>
        <w:numPr>
          <w:ilvl w:val="0"/>
          <w:numId w:val="8"/>
        </w:numPr>
        <w:shd w:val="clear" w:color="auto" w:fill="FFFFFF"/>
        <w:spacing w:before="100" w:beforeAutospacing="1" w:after="100" w:afterAutospacing="1"/>
        <w:rPr>
          <w:color w:val="000000"/>
        </w:rPr>
      </w:pPr>
      <w:r w:rsidRPr="00007A43">
        <w:rPr>
          <w:color w:val="000000"/>
        </w:rPr>
        <w:t xml:space="preserve">Statewide, determine uniform percentages that—if applied uniformly to each municipality’s aggregate total personal income and aggregate property value (equalized property valuation)—yield </w:t>
      </w:r>
      <w:r w:rsidR="0021574D">
        <w:rPr>
          <w:color w:val="000000"/>
        </w:rPr>
        <w:t xml:space="preserve">half of the statewide target local contribution </w:t>
      </w:r>
      <w:r w:rsidRPr="00007A43">
        <w:rPr>
          <w:color w:val="000000"/>
        </w:rPr>
        <w:t xml:space="preserve">from property and </w:t>
      </w:r>
      <w:r w:rsidR="0021574D">
        <w:rPr>
          <w:color w:val="000000"/>
        </w:rPr>
        <w:t xml:space="preserve">half </w:t>
      </w:r>
      <w:r w:rsidRPr="00007A43">
        <w:rPr>
          <w:color w:val="000000"/>
        </w:rPr>
        <w:t>from income.</w:t>
      </w:r>
    </w:p>
    <w:p w14:paraId="0196091E" w14:textId="0E25C2DE" w:rsidR="00A321B4" w:rsidRPr="000D7476" w:rsidRDefault="005C4255" w:rsidP="000D7476">
      <w:pPr>
        <w:numPr>
          <w:ilvl w:val="0"/>
          <w:numId w:val="8"/>
        </w:numPr>
        <w:shd w:val="clear" w:color="auto" w:fill="FFFFFF"/>
        <w:spacing w:before="100" w:beforeAutospacing="1" w:after="100" w:afterAutospacing="1"/>
        <w:rPr>
          <w:color w:val="000000"/>
        </w:rPr>
      </w:pPr>
      <w:r w:rsidRPr="000D7476">
        <w:rPr>
          <w:color w:val="000000"/>
        </w:rPr>
        <w:t>For FY</w:t>
      </w:r>
      <w:r w:rsidR="003500F9">
        <w:rPr>
          <w:color w:val="000000"/>
        </w:rPr>
        <w:t>20</w:t>
      </w:r>
      <w:r w:rsidRPr="000D7476">
        <w:rPr>
          <w:color w:val="000000"/>
        </w:rPr>
        <w:t xml:space="preserve">, </w:t>
      </w:r>
      <w:r w:rsidRPr="00B53CD0">
        <w:rPr>
          <w:color w:val="000000"/>
        </w:rPr>
        <w:t>the</w:t>
      </w:r>
      <w:r w:rsidR="00926BE0" w:rsidRPr="00B53CD0">
        <w:rPr>
          <w:color w:val="000000"/>
        </w:rPr>
        <w:t xml:space="preserve"> </w:t>
      </w:r>
      <w:r w:rsidRPr="00007A43">
        <w:rPr>
          <w:bCs/>
          <w:color w:val="000000"/>
        </w:rPr>
        <w:t>property percentage</w:t>
      </w:r>
      <w:r w:rsidR="00926BE0" w:rsidRPr="00B53CD0">
        <w:rPr>
          <w:color w:val="000000"/>
        </w:rPr>
        <w:t xml:space="preserve"> </w:t>
      </w:r>
      <w:r w:rsidRPr="00B53CD0">
        <w:rPr>
          <w:color w:val="000000"/>
        </w:rPr>
        <w:t>is</w:t>
      </w:r>
      <w:r w:rsidRPr="000D7476">
        <w:rPr>
          <w:color w:val="000000"/>
        </w:rPr>
        <w:t xml:space="preserve"> set at 0.</w:t>
      </w:r>
      <w:r w:rsidR="00742DFF" w:rsidRPr="000D7476">
        <w:rPr>
          <w:color w:val="000000"/>
        </w:rPr>
        <w:t>3</w:t>
      </w:r>
      <w:r w:rsidR="00742DFF">
        <w:rPr>
          <w:color w:val="000000"/>
        </w:rPr>
        <w:t>456</w:t>
      </w:r>
      <w:r w:rsidRPr="000D7476">
        <w:rPr>
          <w:color w:val="000000"/>
        </w:rPr>
        <w:t>%</w:t>
      </w:r>
      <w:r w:rsidR="0021574D">
        <w:rPr>
          <w:color w:val="000000"/>
        </w:rPr>
        <w:t xml:space="preserve"> and </w:t>
      </w:r>
      <w:r w:rsidRPr="000D7476">
        <w:rPr>
          <w:color w:val="000000"/>
        </w:rPr>
        <w:t>is applied to each municipality's 201</w:t>
      </w:r>
      <w:r w:rsidR="003500F9">
        <w:rPr>
          <w:color w:val="000000"/>
        </w:rPr>
        <w:t>8</w:t>
      </w:r>
      <w:r w:rsidRPr="000D7476">
        <w:rPr>
          <w:color w:val="000000"/>
        </w:rPr>
        <w:t xml:space="preserve"> aggregate equalized property valuation.</w:t>
      </w:r>
      <w:r w:rsidR="0022788F" w:rsidRPr="000D7476">
        <w:rPr>
          <w:color w:val="000000"/>
        </w:rPr>
        <w:t xml:space="preserve"> </w:t>
      </w:r>
      <w:r w:rsidRPr="00B53CD0">
        <w:rPr>
          <w:color w:val="000000"/>
        </w:rPr>
        <w:t>The</w:t>
      </w:r>
      <w:r w:rsidR="00926BE0" w:rsidRPr="00B53CD0">
        <w:rPr>
          <w:color w:val="000000"/>
        </w:rPr>
        <w:t xml:space="preserve"> </w:t>
      </w:r>
      <w:r w:rsidRPr="00007A43">
        <w:rPr>
          <w:bCs/>
          <w:color w:val="000000"/>
        </w:rPr>
        <w:t>income percentage</w:t>
      </w:r>
      <w:r w:rsidR="00926BE0" w:rsidRPr="000D7476">
        <w:rPr>
          <w:color w:val="000000"/>
        </w:rPr>
        <w:t xml:space="preserve"> </w:t>
      </w:r>
      <w:r w:rsidRPr="000D7476">
        <w:rPr>
          <w:color w:val="000000"/>
        </w:rPr>
        <w:t>is set at 1.</w:t>
      </w:r>
      <w:r w:rsidR="00742DFF" w:rsidRPr="000D7476">
        <w:rPr>
          <w:color w:val="000000"/>
        </w:rPr>
        <w:t>4</w:t>
      </w:r>
      <w:r w:rsidR="00742DFF">
        <w:rPr>
          <w:color w:val="000000"/>
        </w:rPr>
        <w:t>981</w:t>
      </w:r>
      <w:r w:rsidRPr="000D7476">
        <w:rPr>
          <w:color w:val="000000"/>
        </w:rPr>
        <w:t>%</w:t>
      </w:r>
      <w:r w:rsidR="0021574D">
        <w:rPr>
          <w:color w:val="000000"/>
        </w:rPr>
        <w:t xml:space="preserve"> and </w:t>
      </w:r>
      <w:r w:rsidRPr="000D7476">
        <w:rPr>
          <w:color w:val="000000"/>
        </w:rPr>
        <w:t xml:space="preserve">is applied to each municipality's aggregate total personal income, as reported to the Department of Revenue </w:t>
      </w:r>
      <w:r w:rsidR="00FA66EB" w:rsidRPr="000D7476">
        <w:rPr>
          <w:color w:val="000000"/>
        </w:rPr>
        <w:t xml:space="preserve">(DOR) </w:t>
      </w:r>
      <w:r w:rsidRPr="000D7476">
        <w:rPr>
          <w:color w:val="000000"/>
        </w:rPr>
        <w:t>by local residents for the 201</w:t>
      </w:r>
      <w:r w:rsidR="003500F9">
        <w:rPr>
          <w:color w:val="000000"/>
        </w:rPr>
        <w:t>6</w:t>
      </w:r>
      <w:r w:rsidRPr="000D7476">
        <w:rPr>
          <w:color w:val="000000"/>
        </w:rPr>
        <w:t xml:space="preserve"> calendar year.</w:t>
      </w:r>
    </w:p>
    <w:p w14:paraId="1A8DCE40" w14:textId="44B20B94" w:rsidR="00D82E4B" w:rsidRPr="00007A43" w:rsidRDefault="005C4255" w:rsidP="00D82E4B">
      <w:pPr>
        <w:numPr>
          <w:ilvl w:val="0"/>
          <w:numId w:val="8"/>
        </w:numPr>
        <w:shd w:val="clear" w:color="auto" w:fill="FFFFFF"/>
        <w:spacing w:before="100" w:beforeAutospacing="1" w:after="100" w:afterAutospacing="1"/>
      </w:pPr>
      <w:r w:rsidRPr="00007A43">
        <w:t xml:space="preserve">When these two factors are applied statewide, they yield a total </w:t>
      </w:r>
      <w:r w:rsidR="00742DFF">
        <w:t xml:space="preserve">target </w:t>
      </w:r>
      <w:r w:rsidRPr="00007A43">
        <w:t>local contribution of $</w:t>
      </w:r>
      <w:r w:rsidR="00742DFF" w:rsidRPr="00007A43">
        <w:t>6</w:t>
      </w:r>
      <w:r w:rsidRPr="00007A43">
        <w:t>.</w:t>
      </w:r>
      <w:r w:rsidR="00742DFF" w:rsidRPr="00007A43">
        <w:t>702</w:t>
      </w:r>
      <w:r w:rsidRPr="00007A43">
        <w:t xml:space="preserve"> billion with half ($</w:t>
      </w:r>
      <w:r w:rsidR="00742DFF" w:rsidRPr="00007A43">
        <w:t>3.35</w:t>
      </w:r>
      <w:r w:rsidR="000B05F7">
        <w:t>1</w:t>
      </w:r>
      <w:r w:rsidR="00742DFF" w:rsidRPr="00007A43">
        <w:t xml:space="preserve"> </w:t>
      </w:r>
      <w:r w:rsidRPr="00007A43">
        <w:t>billion) coming from the property percentage and the other half from the income percentage.</w:t>
      </w:r>
      <w:r w:rsidR="00D82E4B" w:rsidRPr="00007A43">
        <w:t xml:space="preserve"> </w:t>
      </w:r>
    </w:p>
    <w:p w14:paraId="084A6C08" w14:textId="77777777" w:rsidR="00EB465C" w:rsidRDefault="00A05B06" w:rsidP="00EB465C">
      <w:pPr>
        <w:shd w:val="clear" w:color="auto" w:fill="FFFFFF"/>
        <w:spacing w:before="100" w:beforeAutospacing="1" w:after="100" w:afterAutospacing="1"/>
        <w:rPr>
          <w:color w:val="000000"/>
        </w:rPr>
      </w:pPr>
      <w:r w:rsidRPr="001F45CC">
        <w:rPr>
          <w:color w:val="000000"/>
        </w:rPr>
        <w:t xml:space="preserve">Next, </w:t>
      </w:r>
      <w:r w:rsidR="00B53CD0">
        <w:rPr>
          <w:color w:val="000000"/>
        </w:rPr>
        <w:t xml:space="preserve">the formula sets a </w:t>
      </w:r>
      <w:r w:rsidR="00B53CD0" w:rsidRPr="00007A43">
        <w:rPr>
          <w:bCs/>
          <w:color w:val="000000"/>
        </w:rPr>
        <w:t>target local contribution</w:t>
      </w:r>
      <w:r w:rsidR="00B53CD0" w:rsidRPr="003A2720">
        <w:rPr>
          <w:color w:val="000000"/>
        </w:rPr>
        <w:t xml:space="preserve"> </w:t>
      </w:r>
      <w:r w:rsidR="00B53CD0">
        <w:rPr>
          <w:color w:val="000000"/>
        </w:rPr>
        <w:t>for each municipality based on its income and its property values (more specifically, its equalized property valuation).</w:t>
      </w:r>
      <w:r w:rsidR="00EB465C" w:rsidRPr="00EB465C">
        <w:rPr>
          <w:color w:val="000000"/>
        </w:rPr>
        <w:t xml:space="preserve"> </w:t>
      </w:r>
    </w:p>
    <w:p w14:paraId="376F658E" w14:textId="7ED4BF77" w:rsidR="00EB465C" w:rsidRDefault="00B53CD0">
      <w:pPr>
        <w:numPr>
          <w:ilvl w:val="0"/>
          <w:numId w:val="8"/>
        </w:numPr>
        <w:shd w:val="clear" w:color="auto" w:fill="FFFFFF"/>
        <w:spacing w:before="100" w:beforeAutospacing="1" w:after="100" w:afterAutospacing="1"/>
        <w:rPr>
          <w:color w:val="000000"/>
        </w:rPr>
      </w:pPr>
      <w:r w:rsidRPr="00007A43">
        <w:rPr>
          <w:color w:val="000000"/>
        </w:rPr>
        <w:t>T</w:t>
      </w:r>
      <w:r w:rsidR="00A05B06" w:rsidRPr="00B53CD0">
        <w:rPr>
          <w:color w:val="000000"/>
        </w:rPr>
        <w:t>he formula applies</w:t>
      </w:r>
      <w:r w:rsidR="005C4255" w:rsidRPr="00B53CD0">
        <w:rPr>
          <w:color w:val="000000"/>
        </w:rPr>
        <w:t xml:space="preserve"> the property percentage and the income percentage to each individual municipality's aggregate property valuation and income, which determines the municipality's</w:t>
      </w:r>
      <w:r w:rsidR="00D063FC" w:rsidRPr="00B53CD0">
        <w:rPr>
          <w:color w:val="000000"/>
        </w:rPr>
        <w:t xml:space="preserve"> </w:t>
      </w:r>
      <w:r w:rsidR="005C4255" w:rsidRPr="00B53CD0">
        <w:rPr>
          <w:b/>
          <w:bCs/>
          <w:color w:val="000000"/>
        </w:rPr>
        <w:t>combined effort yield</w:t>
      </w:r>
      <w:r w:rsidR="005C4255" w:rsidRPr="00007A43">
        <w:rPr>
          <w:b/>
          <w:color w:val="000000"/>
        </w:rPr>
        <w:t>.</w:t>
      </w:r>
      <w:r w:rsidR="005C4255" w:rsidRPr="00B53CD0">
        <w:rPr>
          <w:color w:val="000000"/>
        </w:rPr>
        <w:t xml:space="preserve"> </w:t>
      </w:r>
    </w:p>
    <w:p w14:paraId="44EFFBEE" w14:textId="15215F8F" w:rsidR="005062A0" w:rsidRPr="005062A0" w:rsidRDefault="005C4255" w:rsidP="00007A43">
      <w:pPr>
        <w:numPr>
          <w:ilvl w:val="1"/>
          <w:numId w:val="8"/>
        </w:numPr>
        <w:shd w:val="clear" w:color="auto" w:fill="FFFFFF"/>
        <w:spacing w:before="100" w:beforeAutospacing="1" w:after="100" w:afterAutospacing="1"/>
        <w:rPr>
          <w:color w:val="000000"/>
        </w:rPr>
      </w:pPr>
      <w:r w:rsidRPr="00B53CD0">
        <w:rPr>
          <w:color w:val="000000"/>
        </w:rPr>
        <w:lastRenderedPageBreak/>
        <w:t>Some municipalities have so much wealth, or a small enough student population, that their combined effort yield is excessive.</w:t>
      </w:r>
      <w:r w:rsidR="00B53CD0" w:rsidRPr="00007A43">
        <w:rPr>
          <w:color w:val="000000"/>
        </w:rPr>
        <w:t xml:space="preserve"> </w:t>
      </w:r>
      <w:r w:rsidR="00B53CD0">
        <w:rPr>
          <w:color w:val="000000"/>
        </w:rPr>
        <w:t xml:space="preserve">The formula establishes a </w:t>
      </w:r>
      <w:r w:rsidR="00B53CD0" w:rsidRPr="003A00BC">
        <w:rPr>
          <w:b/>
          <w:bCs/>
          <w:color w:val="000000"/>
        </w:rPr>
        <w:t>maximum local contribution</w:t>
      </w:r>
      <w:r w:rsidR="00B53CD0">
        <w:rPr>
          <w:color w:val="000000"/>
        </w:rPr>
        <w:t xml:space="preserve"> of</w:t>
      </w:r>
      <w:r w:rsidR="00B53CD0" w:rsidRPr="00061975">
        <w:rPr>
          <w:color w:val="000000"/>
        </w:rPr>
        <w:t xml:space="preserve"> 82.5 percent of foundation budget, </w:t>
      </w:r>
      <w:r w:rsidR="00B53CD0">
        <w:rPr>
          <w:color w:val="000000"/>
        </w:rPr>
        <w:t>meaning</w:t>
      </w:r>
      <w:r w:rsidR="00B53CD0" w:rsidRPr="00061975">
        <w:rPr>
          <w:color w:val="000000"/>
        </w:rPr>
        <w:t xml:space="preserve"> that</w:t>
      </w:r>
      <w:r w:rsidR="00B53CD0">
        <w:rPr>
          <w:color w:val="000000"/>
        </w:rPr>
        <w:t xml:space="preserve"> municipalities </w:t>
      </w:r>
      <w:r w:rsidR="00464DC2">
        <w:rPr>
          <w:color w:val="000000"/>
        </w:rPr>
        <w:t>are</w:t>
      </w:r>
      <w:r w:rsidR="00B53CD0">
        <w:rPr>
          <w:color w:val="000000"/>
        </w:rPr>
        <w:t xml:space="preserve"> </w:t>
      </w:r>
      <w:r w:rsidR="00464DC2">
        <w:rPr>
          <w:color w:val="000000"/>
        </w:rPr>
        <w:t xml:space="preserve">not </w:t>
      </w:r>
      <w:r w:rsidR="00B53CD0">
        <w:rPr>
          <w:color w:val="000000"/>
        </w:rPr>
        <w:t>required to contribute more than 82.5</w:t>
      </w:r>
      <w:r w:rsidR="00B53CD0" w:rsidRPr="00061975">
        <w:rPr>
          <w:color w:val="000000"/>
        </w:rPr>
        <w:t xml:space="preserve"> </w:t>
      </w:r>
      <w:r w:rsidR="006F0B59">
        <w:rPr>
          <w:color w:val="000000"/>
        </w:rPr>
        <w:t xml:space="preserve">percent </w:t>
      </w:r>
      <w:r w:rsidR="00B53CD0">
        <w:rPr>
          <w:color w:val="000000"/>
        </w:rPr>
        <w:t xml:space="preserve">of </w:t>
      </w:r>
      <w:r w:rsidR="00464DC2">
        <w:rPr>
          <w:color w:val="000000"/>
        </w:rPr>
        <w:t>their</w:t>
      </w:r>
      <w:r w:rsidR="00B53CD0">
        <w:rPr>
          <w:color w:val="000000"/>
        </w:rPr>
        <w:t xml:space="preserve"> foundation budget</w:t>
      </w:r>
      <w:r w:rsidR="00464DC2">
        <w:rPr>
          <w:color w:val="000000"/>
        </w:rPr>
        <w:t>s</w:t>
      </w:r>
      <w:r w:rsidR="00B53CD0">
        <w:rPr>
          <w:color w:val="000000"/>
        </w:rPr>
        <w:t xml:space="preserve">. In other words, </w:t>
      </w:r>
      <w:r w:rsidR="00B53CD0" w:rsidRPr="00061975">
        <w:rPr>
          <w:color w:val="000000"/>
        </w:rPr>
        <w:t xml:space="preserve">the </w:t>
      </w:r>
      <w:r w:rsidR="00464DC2">
        <w:rPr>
          <w:color w:val="000000"/>
        </w:rPr>
        <w:t>Commonwealth</w:t>
      </w:r>
      <w:r w:rsidR="00B53CD0" w:rsidRPr="00061975">
        <w:rPr>
          <w:color w:val="000000"/>
        </w:rPr>
        <w:t xml:space="preserve"> </w:t>
      </w:r>
      <w:r w:rsidR="00B53CD0">
        <w:rPr>
          <w:color w:val="000000"/>
        </w:rPr>
        <w:t>provide</w:t>
      </w:r>
      <w:r w:rsidR="00464DC2">
        <w:rPr>
          <w:color w:val="000000"/>
        </w:rPr>
        <w:t>s</w:t>
      </w:r>
      <w:r w:rsidR="00B53CD0" w:rsidRPr="00061975">
        <w:rPr>
          <w:color w:val="000000"/>
        </w:rPr>
        <w:t xml:space="preserve"> a minimum of 17.5 percent of foundation through state aid, even </w:t>
      </w:r>
      <w:r w:rsidR="00464DC2">
        <w:rPr>
          <w:color w:val="000000"/>
        </w:rPr>
        <w:t>to</w:t>
      </w:r>
      <w:r w:rsidR="00B53CD0" w:rsidRPr="00061975">
        <w:rPr>
          <w:color w:val="000000"/>
        </w:rPr>
        <w:t xml:space="preserve"> the wealthiest communities.</w:t>
      </w:r>
      <w:r w:rsidR="00B53CD0">
        <w:rPr>
          <w:color w:val="000000"/>
        </w:rPr>
        <w:t xml:space="preserve"> </w:t>
      </w:r>
    </w:p>
    <w:p w14:paraId="7D96D397" w14:textId="47ED55F7" w:rsidR="00464DC2" w:rsidRDefault="00D82E4B">
      <w:pPr>
        <w:numPr>
          <w:ilvl w:val="0"/>
          <w:numId w:val="8"/>
        </w:numPr>
        <w:shd w:val="clear" w:color="auto" w:fill="FFFFFF"/>
        <w:spacing w:before="100" w:beforeAutospacing="1" w:after="100" w:afterAutospacing="1"/>
        <w:rPr>
          <w:color w:val="000000"/>
        </w:rPr>
      </w:pPr>
      <w:r>
        <w:rPr>
          <w:color w:val="000000"/>
        </w:rPr>
        <w:t xml:space="preserve">The </w:t>
      </w:r>
      <w:r w:rsidRPr="00007A43">
        <w:rPr>
          <w:b/>
          <w:color w:val="000000"/>
        </w:rPr>
        <w:t>target local contribution</w:t>
      </w:r>
      <w:r>
        <w:rPr>
          <w:color w:val="000000"/>
        </w:rPr>
        <w:t xml:space="preserve"> is equal to the combined effort yield unless the municipality’s combined effort yield exceeds this maximum</w:t>
      </w:r>
      <w:r w:rsidR="006429A3">
        <w:rPr>
          <w:color w:val="000000"/>
        </w:rPr>
        <w:t xml:space="preserve">. </w:t>
      </w:r>
      <w:r w:rsidR="006F0B59">
        <w:rPr>
          <w:color w:val="000000"/>
        </w:rPr>
        <w:t>In those cases</w:t>
      </w:r>
      <w:r w:rsidR="006429A3">
        <w:rPr>
          <w:color w:val="000000"/>
        </w:rPr>
        <w:t>,</w:t>
      </w:r>
      <w:r>
        <w:rPr>
          <w:color w:val="000000"/>
        </w:rPr>
        <w:t xml:space="preserve"> the target is set at the maximum level.</w:t>
      </w:r>
      <w:r w:rsidRPr="003A00BC">
        <w:rPr>
          <w:color w:val="000000"/>
        </w:rPr>
        <w:t xml:space="preserve"> </w:t>
      </w:r>
      <w:r w:rsidR="00B53CD0" w:rsidRPr="003A00BC">
        <w:rPr>
          <w:color w:val="000000"/>
        </w:rPr>
        <w:t xml:space="preserve">In FY20, </w:t>
      </w:r>
      <w:r w:rsidR="00EB465C">
        <w:rPr>
          <w:color w:val="000000"/>
        </w:rPr>
        <w:t xml:space="preserve">the formula assigns </w:t>
      </w:r>
      <w:r w:rsidR="00B53CD0" w:rsidRPr="003A00BC">
        <w:rPr>
          <w:color w:val="000000"/>
        </w:rPr>
        <w:t xml:space="preserve">145 communities </w:t>
      </w:r>
      <w:r w:rsidR="00EB465C">
        <w:rPr>
          <w:color w:val="000000"/>
        </w:rPr>
        <w:t xml:space="preserve">their </w:t>
      </w:r>
      <w:r w:rsidR="00B53CD0" w:rsidRPr="003A00BC">
        <w:rPr>
          <w:color w:val="000000"/>
        </w:rPr>
        <w:t xml:space="preserve">maximum </w:t>
      </w:r>
      <w:r w:rsidR="00EB465C">
        <w:rPr>
          <w:color w:val="000000"/>
        </w:rPr>
        <w:t xml:space="preserve">local </w:t>
      </w:r>
      <w:r w:rsidR="00B53CD0" w:rsidRPr="003A00BC">
        <w:rPr>
          <w:color w:val="000000"/>
        </w:rPr>
        <w:t>contribution</w:t>
      </w:r>
      <w:r w:rsidR="006F0B59">
        <w:rPr>
          <w:color w:val="000000"/>
        </w:rPr>
        <w:t xml:space="preserve"> (i.e., 82.5 percent of foundation).</w:t>
      </w:r>
    </w:p>
    <w:p w14:paraId="6FBB02EF" w14:textId="11BC267F" w:rsidR="00E4163F" w:rsidRDefault="00E4163F" w:rsidP="00061975">
      <w:pPr>
        <w:pStyle w:val="Heading2"/>
      </w:pPr>
      <w:r>
        <w:rPr>
          <w:color w:val="000000"/>
        </w:rPr>
        <w:t>Required contributions</w:t>
      </w:r>
      <w:bookmarkStart w:id="6" w:name="_Toc535866894"/>
    </w:p>
    <w:bookmarkEnd w:id="6"/>
    <w:p w14:paraId="24A4E7BC" w14:textId="3FD52F59" w:rsidR="00E4163F" w:rsidRDefault="00E4163F" w:rsidP="00007A43">
      <w:pPr>
        <w:shd w:val="clear" w:color="auto" w:fill="FFFFFF"/>
        <w:spacing w:before="100" w:beforeAutospacing="1" w:after="100" w:afterAutospacing="1"/>
        <w:rPr>
          <w:color w:val="000000"/>
        </w:rPr>
      </w:pPr>
      <w:r w:rsidRPr="001F45CC">
        <w:rPr>
          <w:color w:val="000000"/>
        </w:rPr>
        <w:t xml:space="preserve">Next, </w:t>
      </w:r>
      <w:r>
        <w:rPr>
          <w:color w:val="000000"/>
        </w:rPr>
        <w:t>the formula uses the</w:t>
      </w:r>
      <w:r w:rsidR="004D0748">
        <w:rPr>
          <w:color w:val="000000"/>
        </w:rPr>
        <w:t>se targets to determine</w:t>
      </w:r>
      <w:r>
        <w:rPr>
          <w:color w:val="000000"/>
        </w:rPr>
        <w:t xml:space="preserve"> required local contributions. </w:t>
      </w:r>
    </w:p>
    <w:p w14:paraId="26A74628" w14:textId="20FFF7E2" w:rsidR="00A05B06" w:rsidRDefault="00A05B06" w:rsidP="005C4255">
      <w:pPr>
        <w:numPr>
          <w:ilvl w:val="0"/>
          <w:numId w:val="9"/>
        </w:numPr>
        <w:shd w:val="clear" w:color="auto" w:fill="FFFFFF"/>
        <w:spacing w:before="100" w:beforeAutospacing="1" w:after="100" w:afterAutospacing="1"/>
        <w:rPr>
          <w:color w:val="000000"/>
        </w:rPr>
      </w:pPr>
      <w:r>
        <w:rPr>
          <w:color w:val="000000"/>
        </w:rPr>
        <w:t>First, i</w:t>
      </w:r>
      <w:r w:rsidR="005C4255" w:rsidRPr="00061975">
        <w:rPr>
          <w:color w:val="000000"/>
        </w:rPr>
        <w:t xml:space="preserve">ncrease (or decrease) the city or town's </w:t>
      </w:r>
      <w:r w:rsidR="009F05C1">
        <w:rPr>
          <w:color w:val="000000"/>
        </w:rPr>
        <w:t>prior year (</w:t>
      </w:r>
      <w:proofErr w:type="spellStart"/>
      <w:r w:rsidR="009F05C1">
        <w:rPr>
          <w:color w:val="000000"/>
        </w:rPr>
        <w:t>i.e</w:t>
      </w:r>
      <w:proofErr w:type="spellEnd"/>
      <w:r w:rsidR="009F05C1">
        <w:rPr>
          <w:color w:val="000000"/>
        </w:rPr>
        <w:t xml:space="preserve">, </w:t>
      </w:r>
      <w:r w:rsidR="005C4255" w:rsidRPr="00061975">
        <w:rPr>
          <w:color w:val="000000"/>
        </w:rPr>
        <w:t>FY1</w:t>
      </w:r>
      <w:r w:rsidR="003500F9">
        <w:rPr>
          <w:color w:val="000000"/>
        </w:rPr>
        <w:t>9</w:t>
      </w:r>
      <w:r w:rsidR="009F05C1">
        <w:rPr>
          <w:color w:val="000000"/>
        </w:rPr>
        <w:t>)</w:t>
      </w:r>
      <w:r w:rsidR="005C4255" w:rsidRPr="00061975">
        <w:rPr>
          <w:color w:val="000000"/>
        </w:rPr>
        <w:t xml:space="preserve"> required local contribution by the</w:t>
      </w:r>
      <w:r w:rsidR="00A321B4">
        <w:rPr>
          <w:color w:val="000000"/>
        </w:rPr>
        <w:t xml:space="preserve"> </w:t>
      </w:r>
      <w:r w:rsidR="005C4255" w:rsidRPr="00061975">
        <w:rPr>
          <w:b/>
          <w:bCs/>
          <w:color w:val="000000"/>
        </w:rPr>
        <w:t>municipal revenue growth factor</w:t>
      </w:r>
      <w:r w:rsidR="00A321B4">
        <w:rPr>
          <w:color w:val="000000"/>
        </w:rPr>
        <w:t xml:space="preserve"> </w:t>
      </w:r>
      <w:r w:rsidR="005C4255" w:rsidRPr="00061975">
        <w:rPr>
          <w:color w:val="000000"/>
        </w:rPr>
        <w:t>(MRGF).</w:t>
      </w:r>
    </w:p>
    <w:p w14:paraId="30F9ABB0" w14:textId="21558B91" w:rsidR="009F05C1" w:rsidRDefault="005C4255" w:rsidP="00007A43">
      <w:pPr>
        <w:numPr>
          <w:ilvl w:val="1"/>
          <w:numId w:val="9"/>
        </w:numPr>
        <w:shd w:val="clear" w:color="auto" w:fill="FFFFFF"/>
        <w:spacing w:before="100" w:beforeAutospacing="1" w:after="100" w:afterAutospacing="1"/>
        <w:rPr>
          <w:color w:val="000000"/>
        </w:rPr>
      </w:pPr>
      <w:r w:rsidRPr="00061975">
        <w:rPr>
          <w:color w:val="000000"/>
        </w:rPr>
        <w:t xml:space="preserve">The MRGF has been calculated each year since FY94 by </w:t>
      </w:r>
      <w:r w:rsidR="00A321B4">
        <w:rPr>
          <w:color w:val="000000"/>
        </w:rPr>
        <w:t>DOR</w:t>
      </w:r>
      <w:r w:rsidRPr="00061975">
        <w:rPr>
          <w:color w:val="000000"/>
        </w:rPr>
        <w:t xml:space="preserve"> and quantifies the most recent annual percentage change in each community's local revenues (such as the annual increase in the Proposition 2½ levy limit) that should be available for schools. The state average MRGF is 4.</w:t>
      </w:r>
      <w:r w:rsidR="003500F9">
        <w:rPr>
          <w:color w:val="000000"/>
        </w:rPr>
        <w:t>38</w:t>
      </w:r>
      <w:r w:rsidRPr="00061975">
        <w:rPr>
          <w:color w:val="000000"/>
        </w:rPr>
        <w:t xml:space="preserve"> percent.</w:t>
      </w:r>
    </w:p>
    <w:p w14:paraId="6C098211" w14:textId="4549D6FE" w:rsidR="005C4255" w:rsidRDefault="005C4255">
      <w:pPr>
        <w:numPr>
          <w:ilvl w:val="0"/>
          <w:numId w:val="9"/>
        </w:numPr>
        <w:shd w:val="clear" w:color="auto" w:fill="FFFFFF"/>
        <w:spacing w:before="100" w:beforeAutospacing="1" w:after="100" w:afterAutospacing="1"/>
        <w:rPr>
          <w:color w:val="000000"/>
        </w:rPr>
      </w:pPr>
      <w:r w:rsidRPr="009F05C1">
        <w:rPr>
          <w:color w:val="000000"/>
        </w:rPr>
        <w:t>The result of applying the MRGF to the FY1</w:t>
      </w:r>
      <w:r w:rsidR="003500F9" w:rsidRPr="009F05C1">
        <w:rPr>
          <w:color w:val="000000"/>
        </w:rPr>
        <w:t>9</w:t>
      </w:r>
      <w:r w:rsidRPr="009F05C1">
        <w:rPr>
          <w:color w:val="000000"/>
        </w:rPr>
        <w:t xml:space="preserve"> required contribution is the FY</w:t>
      </w:r>
      <w:r w:rsidR="003500F9" w:rsidRPr="009F05C1">
        <w:rPr>
          <w:color w:val="000000"/>
        </w:rPr>
        <w:t>20</w:t>
      </w:r>
      <w:r w:rsidR="00A321B4" w:rsidRPr="009F05C1">
        <w:rPr>
          <w:color w:val="000000"/>
        </w:rPr>
        <w:t xml:space="preserve"> </w:t>
      </w:r>
      <w:r w:rsidRPr="009F05C1">
        <w:rPr>
          <w:b/>
          <w:bCs/>
          <w:color w:val="000000"/>
        </w:rPr>
        <w:t>preliminary local contribution</w:t>
      </w:r>
      <w:r w:rsidRPr="009F05C1">
        <w:rPr>
          <w:color w:val="000000"/>
        </w:rPr>
        <w:t>.</w:t>
      </w:r>
    </w:p>
    <w:p w14:paraId="43CFC327" w14:textId="5628B878" w:rsidR="005C4255" w:rsidRPr="00362F8F" w:rsidRDefault="005C4255">
      <w:pPr>
        <w:numPr>
          <w:ilvl w:val="0"/>
          <w:numId w:val="9"/>
        </w:numPr>
        <w:shd w:val="clear" w:color="auto" w:fill="FFFFFF"/>
        <w:spacing w:before="100" w:beforeAutospacing="1" w:after="100" w:afterAutospacing="1"/>
        <w:rPr>
          <w:color w:val="000000"/>
        </w:rPr>
      </w:pPr>
      <w:r w:rsidRPr="00061975">
        <w:rPr>
          <w:color w:val="000000"/>
        </w:rPr>
        <w:t>If the preliminary local contribution is</w:t>
      </w:r>
      <w:r w:rsidR="00A321B4">
        <w:rPr>
          <w:color w:val="000000"/>
        </w:rPr>
        <w:t xml:space="preserve"> </w:t>
      </w:r>
      <w:r w:rsidRPr="00007A43">
        <w:rPr>
          <w:bCs/>
          <w:i/>
          <w:color w:val="000000"/>
        </w:rPr>
        <w:t>greater than</w:t>
      </w:r>
      <w:r w:rsidR="00A321B4">
        <w:rPr>
          <w:color w:val="000000"/>
        </w:rPr>
        <w:t xml:space="preserve"> </w:t>
      </w:r>
      <w:r w:rsidRPr="00061975">
        <w:rPr>
          <w:color w:val="000000"/>
        </w:rPr>
        <w:t xml:space="preserve">the target local contribution, </w:t>
      </w:r>
      <w:r w:rsidR="008B0145">
        <w:rPr>
          <w:color w:val="000000"/>
        </w:rPr>
        <w:t>contributions are brought down to target, closing 100 percent of the gap to determin</w:t>
      </w:r>
      <w:r w:rsidR="00AD0DAA">
        <w:rPr>
          <w:color w:val="000000"/>
        </w:rPr>
        <w:t>e</w:t>
      </w:r>
      <w:r w:rsidR="008B0145">
        <w:rPr>
          <w:color w:val="000000"/>
        </w:rPr>
        <w:t xml:space="preserve"> the </w:t>
      </w:r>
      <w:r w:rsidR="00362F8F" w:rsidRPr="00007A43">
        <w:rPr>
          <w:b/>
          <w:color w:val="000000"/>
        </w:rPr>
        <w:t>required local contribution</w:t>
      </w:r>
      <w:r w:rsidR="008B0145">
        <w:rPr>
          <w:color w:val="000000"/>
        </w:rPr>
        <w:t xml:space="preserve">. In FY20, this </w:t>
      </w:r>
      <w:r w:rsidR="00A67F53">
        <w:rPr>
          <w:color w:val="000000"/>
        </w:rPr>
        <w:t>impact</w:t>
      </w:r>
      <w:r w:rsidR="008B0145">
        <w:rPr>
          <w:color w:val="000000"/>
        </w:rPr>
        <w:t>s</w:t>
      </w:r>
      <w:r w:rsidR="00FF0B86">
        <w:rPr>
          <w:color w:val="000000"/>
        </w:rPr>
        <w:t xml:space="preserve"> </w:t>
      </w:r>
      <w:r w:rsidR="008B0145">
        <w:rPr>
          <w:color w:val="000000"/>
        </w:rPr>
        <w:t xml:space="preserve">contributions for </w:t>
      </w:r>
      <w:r w:rsidR="004625C3" w:rsidRPr="00362F8F">
        <w:rPr>
          <w:color w:val="000000"/>
        </w:rPr>
        <w:t>1</w:t>
      </w:r>
      <w:r w:rsidR="004625C3">
        <w:rPr>
          <w:color w:val="000000"/>
        </w:rPr>
        <w:t>19</w:t>
      </w:r>
      <w:r w:rsidR="004625C3" w:rsidRPr="00362F8F">
        <w:rPr>
          <w:color w:val="000000"/>
        </w:rPr>
        <w:t xml:space="preserve"> </w:t>
      </w:r>
      <w:r w:rsidRPr="00362F8F">
        <w:rPr>
          <w:color w:val="000000"/>
        </w:rPr>
        <w:t xml:space="preserve">or </w:t>
      </w:r>
      <w:r w:rsidR="004625C3">
        <w:rPr>
          <w:color w:val="000000"/>
        </w:rPr>
        <w:t>3</w:t>
      </w:r>
      <w:r w:rsidR="00326C4D" w:rsidRPr="00362F8F">
        <w:rPr>
          <w:color w:val="000000"/>
        </w:rPr>
        <w:t>4</w:t>
      </w:r>
      <w:r w:rsidRPr="00362F8F">
        <w:rPr>
          <w:color w:val="000000"/>
        </w:rPr>
        <w:t xml:space="preserve"> percent of the 351 cities and towns</w:t>
      </w:r>
      <w:r w:rsidR="00FF0B86">
        <w:rPr>
          <w:color w:val="000000"/>
        </w:rPr>
        <w:t>.</w:t>
      </w:r>
    </w:p>
    <w:p w14:paraId="38522045" w14:textId="4D9C16C2" w:rsidR="00362F8F" w:rsidRDefault="005C4255" w:rsidP="005C4255">
      <w:pPr>
        <w:numPr>
          <w:ilvl w:val="0"/>
          <w:numId w:val="9"/>
        </w:numPr>
        <w:shd w:val="clear" w:color="auto" w:fill="FFFFFF"/>
        <w:spacing w:before="100" w:beforeAutospacing="1" w:after="100" w:afterAutospacing="1"/>
        <w:rPr>
          <w:color w:val="000000"/>
        </w:rPr>
      </w:pPr>
      <w:r w:rsidRPr="00061975">
        <w:t>If the preliminary local contribution i</w:t>
      </w:r>
      <w:r w:rsidRPr="00061975">
        <w:rPr>
          <w:color w:val="000000"/>
        </w:rPr>
        <w:t>s</w:t>
      </w:r>
      <w:r w:rsidR="00A321B4">
        <w:rPr>
          <w:color w:val="000000"/>
        </w:rPr>
        <w:t xml:space="preserve"> </w:t>
      </w:r>
      <w:r w:rsidRPr="00007A43">
        <w:rPr>
          <w:bCs/>
          <w:i/>
          <w:color w:val="000000"/>
        </w:rPr>
        <w:t>less than</w:t>
      </w:r>
      <w:r w:rsidR="00A321B4">
        <w:rPr>
          <w:color w:val="000000"/>
        </w:rPr>
        <w:t xml:space="preserve"> </w:t>
      </w:r>
      <w:r w:rsidRPr="00061975">
        <w:rPr>
          <w:color w:val="000000"/>
        </w:rPr>
        <w:t>the target local contribution,</w:t>
      </w:r>
      <w:r w:rsidR="00362F8F">
        <w:rPr>
          <w:color w:val="000000"/>
        </w:rPr>
        <w:t xml:space="preserve"> the formula</w:t>
      </w:r>
      <w:r w:rsidRPr="00061975">
        <w:rPr>
          <w:color w:val="000000"/>
        </w:rPr>
        <w:t xml:space="preserve"> may augment the preliminary contribution</w:t>
      </w:r>
      <w:r w:rsidR="00362F8F" w:rsidRPr="00362F8F">
        <w:rPr>
          <w:color w:val="000000"/>
        </w:rPr>
        <w:t xml:space="preserve"> </w:t>
      </w:r>
      <w:r w:rsidR="00362F8F">
        <w:rPr>
          <w:color w:val="000000"/>
        </w:rPr>
        <w:t xml:space="preserve">by </w:t>
      </w:r>
      <w:r w:rsidR="00362F8F" w:rsidRPr="00061975">
        <w:rPr>
          <w:color w:val="000000"/>
        </w:rPr>
        <w:t>an increment</w:t>
      </w:r>
      <w:r w:rsidR="00362F8F">
        <w:rPr>
          <w:color w:val="000000"/>
        </w:rPr>
        <w:t xml:space="preserve"> to arrive at the </w:t>
      </w:r>
      <w:r w:rsidR="00362F8F" w:rsidRPr="00007A43">
        <w:rPr>
          <w:b/>
          <w:color w:val="000000"/>
        </w:rPr>
        <w:t>required local contribution</w:t>
      </w:r>
      <w:r w:rsidR="00362F8F" w:rsidRPr="00007A43">
        <w:rPr>
          <w:color w:val="000000"/>
        </w:rPr>
        <w:t>:</w:t>
      </w:r>
    </w:p>
    <w:p w14:paraId="2A8413A3" w14:textId="7821F208" w:rsidR="00362F8F" w:rsidRDefault="005C4255" w:rsidP="00007A43">
      <w:pPr>
        <w:numPr>
          <w:ilvl w:val="1"/>
          <w:numId w:val="9"/>
        </w:numPr>
        <w:shd w:val="clear" w:color="auto" w:fill="FFFFFF"/>
        <w:spacing w:before="100" w:beforeAutospacing="1" w:after="100" w:afterAutospacing="1"/>
        <w:rPr>
          <w:color w:val="000000"/>
        </w:rPr>
      </w:pPr>
      <w:r w:rsidRPr="00061975">
        <w:rPr>
          <w:color w:val="000000"/>
        </w:rPr>
        <w:t xml:space="preserve">If the community is more than 7.5 percent below its target, the increment is 2 </w:t>
      </w:r>
      <w:r w:rsidRPr="00007A43">
        <w:t xml:space="preserve">percent of the FY19 local contribution. </w:t>
      </w:r>
    </w:p>
    <w:p w14:paraId="72797A5B" w14:textId="77777777" w:rsidR="00362F8F" w:rsidRDefault="005C4255" w:rsidP="00007A43">
      <w:pPr>
        <w:numPr>
          <w:ilvl w:val="1"/>
          <w:numId w:val="9"/>
        </w:numPr>
        <w:shd w:val="clear" w:color="auto" w:fill="FFFFFF"/>
        <w:spacing w:before="100" w:beforeAutospacing="1" w:after="100" w:afterAutospacing="1"/>
        <w:rPr>
          <w:color w:val="000000"/>
        </w:rPr>
      </w:pPr>
      <w:r w:rsidRPr="00061975">
        <w:rPr>
          <w:color w:val="000000"/>
        </w:rPr>
        <w:t xml:space="preserve">If it is between 2.5 and 7.5 percent, the increment is 1 percent. </w:t>
      </w:r>
    </w:p>
    <w:p w14:paraId="5FE71EFF" w14:textId="77777777" w:rsidR="004625C3" w:rsidRDefault="005C4255" w:rsidP="00007A43">
      <w:pPr>
        <w:numPr>
          <w:ilvl w:val="1"/>
          <w:numId w:val="9"/>
        </w:numPr>
        <w:shd w:val="clear" w:color="auto" w:fill="FFFFFF"/>
        <w:spacing w:before="100" w:beforeAutospacing="1" w:after="100" w:afterAutospacing="1"/>
        <w:rPr>
          <w:color w:val="000000"/>
        </w:rPr>
      </w:pPr>
      <w:r w:rsidRPr="00061975">
        <w:rPr>
          <w:color w:val="000000"/>
        </w:rPr>
        <w:t>If it is less than 2.5 percent, there is no additional increment.</w:t>
      </w:r>
    </w:p>
    <w:p w14:paraId="4FA3D4B1" w14:textId="776A8D75" w:rsidR="00A05B06" w:rsidRDefault="000B05F7" w:rsidP="00007A43">
      <w:pPr>
        <w:shd w:val="clear" w:color="auto" w:fill="FFFFFF"/>
        <w:spacing w:before="100" w:beforeAutospacing="1" w:after="100" w:afterAutospacing="1"/>
        <w:rPr>
          <w:color w:val="000000"/>
        </w:rPr>
      </w:pPr>
      <w:r w:rsidRPr="008B0145">
        <w:rPr>
          <w:rFonts w:asciiTheme="minorHAnsi" w:hAnsiTheme="minorHAnsi" w:cstheme="minorHAnsi"/>
          <w:color w:val="000000"/>
          <w:sz w:val="28"/>
          <w:szCs w:val="28"/>
        </w:rPr>
        <w:lastRenderedPageBreak/>
        <w:t>Figure 3: Preliminary contributions are adjusted based on distance from target contributions</w:t>
      </w:r>
      <w:r w:rsidR="004625C3">
        <w:rPr>
          <w:noProof/>
          <w:color w:val="000000"/>
        </w:rPr>
        <w:drawing>
          <wp:inline distT="0" distB="0" distL="0" distR="0" wp14:anchorId="2E30A960" wp14:editId="2DFE137F">
            <wp:extent cx="5943600" cy="1805171"/>
            <wp:effectExtent l="0" t="0" r="0" b="24130"/>
            <wp:docPr id="6" name="Diagram 6" descr="diagram that illustrates how required local contributions are adjusted based on target local contributions, described in this sec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CB30101" w14:textId="4DC1AD7A" w:rsidR="00362F8F" w:rsidRDefault="005C4255" w:rsidP="00007A43">
      <w:pPr>
        <w:shd w:val="clear" w:color="auto" w:fill="FFFFFF"/>
        <w:spacing w:before="100" w:beforeAutospacing="1" w:after="100" w:afterAutospacing="1"/>
        <w:rPr>
          <w:color w:val="000000"/>
        </w:rPr>
      </w:pPr>
      <w:r w:rsidRPr="00061975">
        <w:rPr>
          <w:color w:val="000000"/>
        </w:rPr>
        <w:t>In FY</w:t>
      </w:r>
      <w:r w:rsidR="00326C4D">
        <w:rPr>
          <w:color w:val="000000"/>
        </w:rPr>
        <w:t>20</w:t>
      </w:r>
      <w:r w:rsidRPr="00061975">
        <w:rPr>
          <w:color w:val="000000"/>
        </w:rPr>
        <w:t xml:space="preserve">, </w:t>
      </w:r>
      <w:r w:rsidR="004625C3">
        <w:rPr>
          <w:color w:val="000000"/>
        </w:rPr>
        <w:t>232</w:t>
      </w:r>
      <w:r w:rsidR="004625C3" w:rsidRPr="00061975">
        <w:rPr>
          <w:color w:val="000000"/>
        </w:rPr>
        <w:t xml:space="preserve"> </w:t>
      </w:r>
      <w:r w:rsidRPr="00061975">
        <w:rPr>
          <w:color w:val="000000"/>
        </w:rPr>
        <w:t>cities and towns have preliminary contributions that are below target by $</w:t>
      </w:r>
      <w:r w:rsidR="004625C3">
        <w:rPr>
          <w:color w:val="000000"/>
        </w:rPr>
        <w:t>207.5</w:t>
      </w:r>
      <w:r w:rsidRPr="00061975">
        <w:rPr>
          <w:color w:val="000000"/>
        </w:rPr>
        <w:t xml:space="preserve"> million. Those who fall below by more than 2.5 percent are required to make additional increments totaling $</w:t>
      </w:r>
      <w:r w:rsidR="00326C4D">
        <w:rPr>
          <w:color w:val="000000"/>
        </w:rPr>
        <w:t>1</w:t>
      </w:r>
      <w:r w:rsidR="004625C3">
        <w:rPr>
          <w:color w:val="000000"/>
        </w:rPr>
        <w:t>2.4</w:t>
      </w:r>
      <w:r w:rsidRPr="00061975">
        <w:rPr>
          <w:color w:val="000000"/>
        </w:rPr>
        <w:t xml:space="preserve"> million to get closer to their effort goals.</w:t>
      </w:r>
    </w:p>
    <w:p w14:paraId="184AABC5" w14:textId="62860C8C" w:rsidR="003500F9" w:rsidRDefault="004625C3" w:rsidP="00007A43">
      <w:pPr>
        <w:shd w:val="clear" w:color="auto" w:fill="FFFFFF"/>
        <w:spacing w:before="100" w:beforeAutospacing="1" w:after="100" w:afterAutospacing="1"/>
        <w:rPr>
          <w:color w:val="000000"/>
        </w:rPr>
      </w:pPr>
      <w:r>
        <w:rPr>
          <w:color w:val="000000"/>
        </w:rPr>
        <w:t xml:space="preserve">In addition, </w:t>
      </w:r>
      <w:r w:rsidR="003500F9" w:rsidRPr="003500F9">
        <w:rPr>
          <w:color w:val="000000"/>
        </w:rPr>
        <w:t>municipalities with combined effort yields equal to or greater than 175 percent of foundation cannot have local contribution requirements less than 82.5 percent of foundation</w:t>
      </w:r>
      <w:r w:rsidR="00326C4D">
        <w:rPr>
          <w:color w:val="000000"/>
        </w:rPr>
        <w:t xml:space="preserve">. </w:t>
      </w:r>
      <w:r w:rsidR="00A22067">
        <w:rPr>
          <w:color w:val="000000"/>
        </w:rPr>
        <w:t>This change impact</w:t>
      </w:r>
      <w:r w:rsidR="00D645D7">
        <w:rPr>
          <w:color w:val="000000"/>
        </w:rPr>
        <w:t>s</w:t>
      </w:r>
      <w:r w:rsidR="00A22067">
        <w:rPr>
          <w:color w:val="000000"/>
        </w:rPr>
        <w:t xml:space="preserve"> </w:t>
      </w:r>
      <w:r>
        <w:rPr>
          <w:color w:val="000000"/>
        </w:rPr>
        <w:t xml:space="preserve">23 </w:t>
      </w:r>
      <w:r w:rsidR="00A22067">
        <w:rPr>
          <w:color w:val="000000"/>
        </w:rPr>
        <w:t>communities, adding</w:t>
      </w:r>
      <w:r w:rsidR="00326C4D">
        <w:rPr>
          <w:color w:val="000000"/>
        </w:rPr>
        <w:t xml:space="preserve"> $</w:t>
      </w:r>
      <w:r>
        <w:rPr>
          <w:color w:val="000000"/>
        </w:rPr>
        <w:t>6.8</w:t>
      </w:r>
      <w:r w:rsidR="00326C4D">
        <w:rPr>
          <w:color w:val="000000"/>
        </w:rPr>
        <w:t xml:space="preserve"> million</w:t>
      </w:r>
      <w:r w:rsidR="00A22067">
        <w:rPr>
          <w:color w:val="000000"/>
        </w:rPr>
        <w:t xml:space="preserve"> to their </w:t>
      </w:r>
      <w:r w:rsidR="00D645D7">
        <w:rPr>
          <w:color w:val="000000"/>
        </w:rPr>
        <w:t>contribution requirements.</w:t>
      </w:r>
    </w:p>
    <w:p w14:paraId="0C842E77" w14:textId="5BE4D5A6" w:rsidR="00394F07" w:rsidRDefault="005C4255" w:rsidP="00007A43">
      <w:pPr>
        <w:shd w:val="clear" w:color="auto" w:fill="FFFFFF"/>
        <w:spacing w:before="100" w:beforeAutospacing="1" w:after="100" w:afterAutospacing="1"/>
      </w:pPr>
      <w:r w:rsidRPr="00F9139A">
        <w:rPr>
          <w:color w:val="000000"/>
        </w:rPr>
        <w:t>Most cities and towns belong to at least one regional school district. Some operate a local district and are members of as many as three regionals. A municipality's total contribution is apportioned among the various districts to which it belongs, based on each district's share of the total foundation budget for all of the municipality's students.</w:t>
      </w:r>
    </w:p>
    <w:p w14:paraId="45F742E7" w14:textId="77777777" w:rsidR="00F22ADF" w:rsidRDefault="00F22ADF" w:rsidP="00394F07">
      <w:pPr>
        <w:shd w:val="clear" w:color="auto" w:fill="FFFFFF"/>
        <w:spacing w:before="100" w:beforeAutospacing="1" w:after="100" w:afterAutospacing="1"/>
        <w:outlineLvl w:val="1"/>
        <w:rPr>
          <w:rFonts w:ascii="Verdana" w:hAnsi="Verdana"/>
          <w:b/>
          <w:bCs/>
          <w:color w:val="000000"/>
        </w:rPr>
        <w:sectPr w:rsidR="00F22ADF" w:rsidSect="00C52463">
          <w:pgSz w:w="12240" w:h="15840"/>
          <w:pgMar w:top="1440" w:right="1440" w:bottom="1440" w:left="1440" w:header="720" w:footer="720" w:gutter="0"/>
          <w:cols w:space="720"/>
        </w:sectPr>
      </w:pPr>
    </w:p>
    <w:p w14:paraId="39CE702F" w14:textId="414A66D4" w:rsidR="00394F07" w:rsidRDefault="00394F07" w:rsidP="00061975">
      <w:pPr>
        <w:pStyle w:val="Heading1"/>
      </w:pPr>
      <w:bookmarkStart w:id="7" w:name="_Toc535866895"/>
      <w:r>
        <w:lastRenderedPageBreak/>
        <w:t xml:space="preserve">Appendix </w:t>
      </w:r>
      <w:r w:rsidR="00CF445E">
        <w:t>B</w:t>
      </w:r>
      <w:r>
        <w:t xml:space="preserve">: </w:t>
      </w:r>
      <w:r w:rsidR="00504EE4">
        <w:t>FY20</w:t>
      </w:r>
      <w:r w:rsidR="008439C1">
        <w:t xml:space="preserve"> foundation </w:t>
      </w:r>
      <w:r w:rsidR="00356A8C">
        <w:t xml:space="preserve">budget </w:t>
      </w:r>
      <w:r w:rsidR="008439C1">
        <w:t>rates</w:t>
      </w:r>
      <w:bookmarkEnd w:id="7"/>
    </w:p>
    <w:p w14:paraId="6A876C20" w14:textId="4F20CE93" w:rsidR="00462C30" w:rsidRDefault="00462C30" w:rsidP="00462C30"/>
    <w:tbl>
      <w:tblPr>
        <w:tblW w:w="23418" w:type="dxa"/>
        <w:tblLayout w:type="fixed"/>
        <w:tblLook w:val="04A0" w:firstRow="1" w:lastRow="0" w:firstColumn="1" w:lastColumn="0" w:noHBand="0" w:noVBand="1"/>
      </w:tblPr>
      <w:tblGrid>
        <w:gridCol w:w="4410"/>
        <w:gridCol w:w="1584"/>
        <w:gridCol w:w="1584"/>
        <w:gridCol w:w="1584"/>
        <w:gridCol w:w="1584"/>
        <w:gridCol w:w="1584"/>
        <w:gridCol w:w="1584"/>
        <w:gridCol w:w="1584"/>
        <w:gridCol w:w="1584"/>
        <w:gridCol w:w="1584"/>
        <w:gridCol w:w="1584"/>
        <w:gridCol w:w="1584"/>
        <w:gridCol w:w="1584"/>
      </w:tblGrid>
      <w:tr w:rsidR="00B16709" w:rsidRPr="00B16709" w14:paraId="531B9667" w14:textId="77777777" w:rsidTr="00007A43">
        <w:trPr>
          <w:gridAfter w:val="12"/>
          <w:wAfter w:w="19008" w:type="dxa"/>
          <w:trHeight w:val="290"/>
        </w:trPr>
        <w:tc>
          <w:tcPr>
            <w:tcW w:w="4410" w:type="dxa"/>
            <w:tcBorders>
              <w:top w:val="nil"/>
              <w:left w:val="nil"/>
              <w:bottom w:val="nil"/>
              <w:right w:val="nil"/>
            </w:tcBorders>
            <w:shd w:val="clear" w:color="auto" w:fill="auto"/>
            <w:noWrap/>
            <w:vAlign w:val="bottom"/>
            <w:hideMark/>
          </w:tcPr>
          <w:p w14:paraId="688BB7EB" w14:textId="443B3A8C" w:rsidR="00E1560E" w:rsidRPr="00007A43" w:rsidRDefault="00E1560E" w:rsidP="00676F8F">
            <w:pPr>
              <w:rPr>
                <w:rFonts w:asciiTheme="minorHAnsi" w:hAnsiTheme="minorHAnsi" w:cstheme="minorHAnsi"/>
                <w:b/>
                <w:color w:val="000000"/>
                <w:sz w:val="22"/>
                <w:szCs w:val="22"/>
              </w:rPr>
            </w:pPr>
          </w:p>
        </w:tc>
      </w:tr>
      <w:tr w:rsidR="00B16709" w:rsidRPr="00B16709" w14:paraId="506AA30D" w14:textId="77777777" w:rsidTr="00007A43">
        <w:trPr>
          <w:trHeight w:val="640"/>
        </w:trPr>
        <w:tc>
          <w:tcPr>
            <w:tcW w:w="4410" w:type="dxa"/>
            <w:tcBorders>
              <w:top w:val="nil"/>
              <w:left w:val="nil"/>
              <w:bottom w:val="nil"/>
              <w:right w:val="nil"/>
            </w:tcBorders>
            <w:shd w:val="clear" w:color="auto" w:fill="auto"/>
            <w:vAlign w:val="bottom"/>
            <w:hideMark/>
          </w:tcPr>
          <w:p w14:paraId="6465CAB4" w14:textId="77777777" w:rsidR="00462C30" w:rsidRPr="00007A43" w:rsidRDefault="00462C30" w:rsidP="004C4643">
            <w:pPr>
              <w:jc w:val="center"/>
              <w:rPr>
                <w:rFonts w:asciiTheme="minorHAnsi" w:hAnsiTheme="minorHAnsi" w:cstheme="minorHAnsi"/>
                <w:color w:val="000000"/>
                <w:sz w:val="22"/>
                <w:szCs w:val="22"/>
              </w:rPr>
            </w:pPr>
          </w:p>
        </w:tc>
        <w:tc>
          <w:tcPr>
            <w:tcW w:w="1584" w:type="dxa"/>
            <w:tcBorders>
              <w:top w:val="nil"/>
              <w:left w:val="nil"/>
              <w:right w:val="nil"/>
            </w:tcBorders>
            <w:shd w:val="clear" w:color="auto" w:fill="auto"/>
            <w:vAlign w:val="center"/>
            <w:hideMark/>
          </w:tcPr>
          <w:p w14:paraId="301E3AB3" w14:textId="77777777" w:rsidR="00462C30" w:rsidRPr="00007A43" w:rsidRDefault="00462C30" w:rsidP="004C4643">
            <w:pPr>
              <w:jc w:val="center"/>
              <w:rPr>
                <w:rFonts w:asciiTheme="minorHAnsi" w:hAnsiTheme="minorHAnsi" w:cstheme="minorHAnsi"/>
                <w:color w:val="000000"/>
                <w:sz w:val="22"/>
                <w:szCs w:val="22"/>
              </w:rPr>
            </w:pPr>
            <w:r w:rsidRPr="00007A43">
              <w:rPr>
                <w:rFonts w:asciiTheme="minorHAnsi" w:hAnsiTheme="minorHAnsi" w:cstheme="minorHAnsi"/>
                <w:color w:val="000000"/>
                <w:sz w:val="22"/>
                <w:szCs w:val="22"/>
              </w:rPr>
              <w:t>Administration</w:t>
            </w:r>
          </w:p>
        </w:tc>
        <w:tc>
          <w:tcPr>
            <w:tcW w:w="1584" w:type="dxa"/>
            <w:tcBorders>
              <w:top w:val="nil"/>
              <w:left w:val="nil"/>
              <w:right w:val="nil"/>
            </w:tcBorders>
            <w:shd w:val="clear" w:color="auto" w:fill="auto"/>
            <w:vAlign w:val="center"/>
            <w:hideMark/>
          </w:tcPr>
          <w:p w14:paraId="12BEC0AB" w14:textId="77777777" w:rsidR="00462C30" w:rsidRPr="00007A43" w:rsidRDefault="00462C30" w:rsidP="004C4643">
            <w:pPr>
              <w:jc w:val="center"/>
              <w:rPr>
                <w:rFonts w:asciiTheme="minorHAnsi" w:hAnsiTheme="minorHAnsi" w:cstheme="minorHAnsi"/>
                <w:color w:val="000000"/>
                <w:sz w:val="22"/>
                <w:szCs w:val="22"/>
              </w:rPr>
            </w:pPr>
            <w:r w:rsidRPr="00007A43">
              <w:rPr>
                <w:rFonts w:asciiTheme="minorHAnsi" w:hAnsiTheme="minorHAnsi" w:cstheme="minorHAnsi"/>
                <w:color w:val="000000"/>
                <w:sz w:val="22"/>
                <w:szCs w:val="22"/>
              </w:rPr>
              <w:t>Instructional Leadership</w:t>
            </w:r>
          </w:p>
        </w:tc>
        <w:tc>
          <w:tcPr>
            <w:tcW w:w="1584" w:type="dxa"/>
            <w:tcBorders>
              <w:top w:val="nil"/>
              <w:left w:val="nil"/>
              <w:right w:val="nil"/>
            </w:tcBorders>
            <w:shd w:val="clear" w:color="auto" w:fill="auto"/>
            <w:vAlign w:val="center"/>
            <w:hideMark/>
          </w:tcPr>
          <w:p w14:paraId="3AF21938" w14:textId="77777777" w:rsidR="00462C30" w:rsidRPr="00007A43" w:rsidRDefault="00462C30" w:rsidP="004C4643">
            <w:pPr>
              <w:jc w:val="center"/>
              <w:rPr>
                <w:rFonts w:asciiTheme="minorHAnsi" w:hAnsiTheme="minorHAnsi" w:cstheme="minorHAnsi"/>
                <w:color w:val="000000"/>
                <w:sz w:val="22"/>
                <w:szCs w:val="22"/>
              </w:rPr>
            </w:pPr>
            <w:r w:rsidRPr="00007A43">
              <w:rPr>
                <w:rFonts w:asciiTheme="minorHAnsi" w:hAnsiTheme="minorHAnsi" w:cstheme="minorHAnsi"/>
                <w:color w:val="000000"/>
                <w:sz w:val="22"/>
                <w:szCs w:val="22"/>
              </w:rPr>
              <w:t>Classroom and Specialist Teachers</w:t>
            </w:r>
          </w:p>
        </w:tc>
        <w:tc>
          <w:tcPr>
            <w:tcW w:w="1584" w:type="dxa"/>
            <w:tcBorders>
              <w:top w:val="nil"/>
              <w:left w:val="nil"/>
              <w:right w:val="nil"/>
            </w:tcBorders>
            <w:shd w:val="clear" w:color="auto" w:fill="auto"/>
            <w:vAlign w:val="center"/>
            <w:hideMark/>
          </w:tcPr>
          <w:p w14:paraId="74BE3C8D" w14:textId="77777777" w:rsidR="00462C30" w:rsidRPr="00007A43" w:rsidRDefault="00462C30" w:rsidP="004C4643">
            <w:pPr>
              <w:jc w:val="center"/>
              <w:rPr>
                <w:rFonts w:asciiTheme="minorHAnsi" w:hAnsiTheme="minorHAnsi" w:cstheme="minorHAnsi"/>
                <w:color w:val="000000"/>
                <w:sz w:val="22"/>
                <w:szCs w:val="22"/>
              </w:rPr>
            </w:pPr>
            <w:r w:rsidRPr="00007A43">
              <w:rPr>
                <w:rFonts w:asciiTheme="minorHAnsi" w:hAnsiTheme="minorHAnsi" w:cstheme="minorHAnsi"/>
                <w:color w:val="000000"/>
                <w:sz w:val="22"/>
                <w:szCs w:val="22"/>
              </w:rPr>
              <w:t>Other Teaching Services</w:t>
            </w:r>
          </w:p>
        </w:tc>
        <w:tc>
          <w:tcPr>
            <w:tcW w:w="1584" w:type="dxa"/>
            <w:tcBorders>
              <w:top w:val="nil"/>
              <w:left w:val="nil"/>
              <w:right w:val="nil"/>
            </w:tcBorders>
            <w:shd w:val="clear" w:color="auto" w:fill="auto"/>
            <w:vAlign w:val="center"/>
            <w:hideMark/>
          </w:tcPr>
          <w:p w14:paraId="4125EACD" w14:textId="77777777" w:rsidR="00462C30" w:rsidRPr="00007A43" w:rsidRDefault="00462C30" w:rsidP="004C4643">
            <w:pPr>
              <w:jc w:val="center"/>
              <w:rPr>
                <w:rFonts w:asciiTheme="minorHAnsi" w:hAnsiTheme="minorHAnsi" w:cstheme="minorHAnsi"/>
                <w:color w:val="000000"/>
                <w:sz w:val="22"/>
                <w:szCs w:val="22"/>
              </w:rPr>
            </w:pPr>
            <w:r w:rsidRPr="00007A43">
              <w:rPr>
                <w:rFonts w:asciiTheme="minorHAnsi" w:hAnsiTheme="minorHAnsi" w:cstheme="minorHAnsi"/>
                <w:color w:val="000000"/>
                <w:sz w:val="22"/>
                <w:szCs w:val="22"/>
              </w:rPr>
              <w:t>Professional Development</w:t>
            </w:r>
          </w:p>
        </w:tc>
        <w:tc>
          <w:tcPr>
            <w:tcW w:w="1584" w:type="dxa"/>
            <w:tcBorders>
              <w:top w:val="nil"/>
              <w:left w:val="nil"/>
              <w:right w:val="nil"/>
            </w:tcBorders>
            <w:shd w:val="clear" w:color="auto" w:fill="auto"/>
            <w:vAlign w:val="center"/>
            <w:hideMark/>
          </w:tcPr>
          <w:p w14:paraId="66ADA4CB" w14:textId="77777777" w:rsidR="00462C30" w:rsidRPr="00007A43" w:rsidRDefault="00462C30" w:rsidP="004C4643">
            <w:pPr>
              <w:jc w:val="center"/>
              <w:rPr>
                <w:rFonts w:asciiTheme="minorHAnsi" w:hAnsiTheme="minorHAnsi" w:cstheme="minorHAnsi"/>
                <w:color w:val="000000"/>
                <w:sz w:val="22"/>
                <w:szCs w:val="22"/>
              </w:rPr>
            </w:pPr>
            <w:r w:rsidRPr="00007A43">
              <w:rPr>
                <w:rFonts w:asciiTheme="minorHAnsi" w:hAnsiTheme="minorHAnsi" w:cstheme="minorHAnsi"/>
                <w:color w:val="000000"/>
                <w:sz w:val="22"/>
                <w:szCs w:val="22"/>
              </w:rPr>
              <w:t>Instructional Equipment &amp; Tech</w:t>
            </w:r>
          </w:p>
        </w:tc>
        <w:tc>
          <w:tcPr>
            <w:tcW w:w="1584" w:type="dxa"/>
            <w:tcBorders>
              <w:top w:val="nil"/>
              <w:left w:val="nil"/>
              <w:right w:val="nil"/>
            </w:tcBorders>
            <w:shd w:val="clear" w:color="auto" w:fill="auto"/>
            <w:vAlign w:val="center"/>
            <w:hideMark/>
          </w:tcPr>
          <w:p w14:paraId="2E97F649" w14:textId="77777777" w:rsidR="00462C30" w:rsidRPr="00007A43" w:rsidRDefault="00462C30" w:rsidP="004C4643">
            <w:pPr>
              <w:jc w:val="center"/>
              <w:rPr>
                <w:rFonts w:asciiTheme="minorHAnsi" w:hAnsiTheme="minorHAnsi" w:cstheme="minorHAnsi"/>
                <w:color w:val="000000"/>
                <w:sz w:val="22"/>
                <w:szCs w:val="22"/>
              </w:rPr>
            </w:pPr>
            <w:r w:rsidRPr="00007A43">
              <w:rPr>
                <w:rFonts w:asciiTheme="minorHAnsi" w:hAnsiTheme="minorHAnsi" w:cstheme="minorHAnsi"/>
                <w:color w:val="000000"/>
                <w:sz w:val="22"/>
                <w:szCs w:val="22"/>
              </w:rPr>
              <w:t>Guidance and Psychological</w:t>
            </w:r>
          </w:p>
        </w:tc>
        <w:tc>
          <w:tcPr>
            <w:tcW w:w="1584" w:type="dxa"/>
            <w:tcBorders>
              <w:top w:val="nil"/>
              <w:left w:val="nil"/>
              <w:right w:val="nil"/>
            </w:tcBorders>
            <w:shd w:val="clear" w:color="auto" w:fill="auto"/>
            <w:vAlign w:val="center"/>
            <w:hideMark/>
          </w:tcPr>
          <w:p w14:paraId="16D00FA3" w14:textId="77777777" w:rsidR="00462C30" w:rsidRPr="00007A43" w:rsidRDefault="00462C30" w:rsidP="004C4643">
            <w:pPr>
              <w:jc w:val="center"/>
              <w:rPr>
                <w:rFonts w:asciiTheme="minorHAnsi" w:hAnsiTheme="minorHAnsi" w:cstheme="minorHAnsi"/>
                <w:color w:val="000000"/>
                <w:sz w:val="22"/>
                <w:szCs w:val="22"/>
              </w:rPr>
            </w:pPr>
            <w:r w:rsidRPr="00007A43">
              <w:rPr>
                <w:rFonts w:asciiTheme="minorHAnsi" w:hAnsiTheme="minorHAnsi" w:cstheme="minorHAnsi"/>
                <w:color w:val="000000"/>
                <w:sz w:val="22"/>
                <w:szCs w:val="22"/>
              </w:rPr>
              <w:t>Pupil Services</w:t>
            </w:r>
          </w:p>
        </w:tc>
        <w:tc>
          <w:tcPr>
            <w:tcW w:w="1584" w:type="dxa"/>
            <w:tcBorders>
              <w:top w:val="nil"/>
              <w:left w:val="nil"/>
              <w:right w:val="nil"/>
            </w:tcBorders>
            <w:shd w:val="clear" w:color="auto" w:fill="auto"/>
            <w:vAlign w:val="center"/>
            <w:hideMark/>
          </w:tcPr>
          <w:p w14:paraId="46F48DC5" w14:textId="77777777" w:rsidR="00462C30" w:rsidRPr="00007A43" w:rsidRDefault="00462C30" w:rsidP="004C4643">
            <w:pPr>
              <w:jc w:val="center"/>
              <w:rPr>
                <w:rFonts w:asciiTheme="minorHAnsi" w:hAnsiTheme="minorHAnsi" w:cstheme="minorHAnsi"/>
                <w:color w:val="000000"/>
                <w:sz w:val="22"/>
                <w:szCs w:val="22"/>
              </w:rPr>
            </w:pPr>
            <w:r w:rsidRPr="00007A43">
              <w:rPr>
                <w:rFonts w:asciiTheme="minorHAnsi" w:hAnsiTheme="minorHAnsi" w:cstheme="minorHAnsi"/>
                <w:color w:val="000000"/>
                <w:sz w:val="22"/>
                <w:szCs w:val="22"/>
              </w:rPr>
              <w:t>Operations and Maintenance</w:t>
            </w:r>
          </w:p>
        </w:tc>
        <w:tc>
          <w:tcPr>
            <w:tcW w:w="1584" w:type="dxa"/>
            <w:tcBorders>
              <w:top w:val="nil"/>
              <w:left w:val="nil"/>
              <w:right w:val="nil"/>
            </w:tcBorders>
            <w:shd w:val="clear" w:color="auto" w:fill="auto"/>
            <w:vAlign w:val="center"/>
            <w:hideMark/>
          </w:tcPr>
          <w:p w14:paraId="2EEFA931" w14:textId="77777777" w:rsidR="00462C30" w:rsidRPr="00007A43" w:rsidRDefault="00462C30" w:rsidP="004C4643">
            <w:pPr>
              <w:jc w:val="center"/>
              <w:rPr>
                <w:rFonts w:asciiTheme="minorHAnsi" w:hAnsiTheme="minorHAnsi" w:cstheme="minorHAnsi"/>
                <w:color w:val="000000"/>
                <w:sz w:val="22"/>
                <w:szCs w:val="22"/>
              </w:rPr>
            </w:pPr>
            <w:r w:rsidRPr="00007A43">
              <w:rPr>
                <w:rFonts w:asciiTheme="minorHAnsi" w:hAnsiTheme="minorHAnsi" w:cstheme="minorHAnsi"/>
                <w:color w:val="000000"/>
                <w:sz w:val="22"/>
                <w:szCs w:val="22"/>
              </w:rPr>
              <w:t>Employee Benefits/Fixed Charges</w:t>
            </w:r>
          </w:p>
        </w:tc>
        <w:tc>
          <w:tcPr>
            <w:tcW w:w="1584" w:type="dxa"/>
            <w:tcBorders>
              <w:top w:val="nil"/>
              <w:left w:val="nil"/>
              <w:right w:val="nil"/>
            </w:tcBorders>
            <w:shd w:val="clear" w:color="auto" w:fill="auto"/>
            <w:vAlign w:val="center"/>
            <w:hideMark/>
          </w:tcPr>
          <w:p w14:paraId="3B3A827C" w14:textId="77777777" w:rsidR="00462C30" w:rsidRPr="00007A43" w:rsidRDefault="00462C30" w:rsidP="004C4643">
            <w:pPr>
              <w:jc w:val="center"/>
              <w:rPr>
                <w:rFonts w:asciiTheme="minorHAnsi" w:hAnsiTheme="minorHAnsi" w:cstheme="minorHAnsi"/>
                <w:color w:val="000000"/>
                <w:sz w:val="22"/>
                <w:szCs w:val="22"/>
              </w:rPr>
            </w:pPr>
            <w:r w:rsidRPr="00007A43">
              <w:rPr>
                <w:rFonts w:asciiTheme="minorHAnsi" w:hAnsiTheme="minorHAnsi" w:cstheme="minorHAnsi"/>
                <w:color w:val="000000"/>
                <w:sz w:val="22"/>
                <w:szCs w:val="22"/>
              </w:rPr>
              <w:t>Special Ed Tuition</w:t>
            </w:r>
          </w:p>
        </w:tc>
        <w:tc>
          <w:tcPr>
            <w:tcW w:w="1584" w:type="dxa"/>
            <w:tcBorders>
              <w:top w:val="nil"/>
              <w:left w:val="nil"/>
              <w:right w:val="nil"/>
            </w:tcBorders>
            <w:shd w:val="clear" w:color="auto" w:fill="auto"/>
            <w:vAlign w:val="center"/>
            <w:hideMark/>
          </w:tcPr>
          <w:p w14:paraId="4EACA60A" w14:textId="77777777" w:rsidR="00462C30" w:rsidRPr="00007A43" w:rsidRDefault="00462C30" w:rsidP="004C4643">
            <w:pPr>
              <w:jc w:val="center"/>
              <w:rPr>
                <w:rFonts w:asciiTheme="minorHAnsi" w:hAnsiTheme="minorHAnsi" w:cstheme="minorHAnsi"/>
                <w:color w:val="000000"/>
                <w:sz w:val="22"/>
                <w:szCs w:val="22"/>
              </w:rPr>
            </w:pPr>
            <w:r w:rsidRPr="00007A43">
              <w:rPr>
                <w:rFonts w:asciiTheme="minorHAnsi" w:hAnsiTheme="minorHAnsi" w:cstheme="minorHAnsi"/>
                <w:color w:val="000000"/>
                <w:sz w:val="22"/>
                <w:szCs w:val="22"/>
              </w:rPr>
              <w:t>Total, all categories</w:t>
            </w:r>
          </w:p>
        </w:tc>
      </w:tr>
      <w:tr w:rsidR="004C65D6" w:rsidRPr="00B16709" w14:paraId="1B798279" w14:textId="77777777" w:rsidTr="00007A43">
        <w:trPr>
          <w:trHeight w:val="300"/>
        </w:trPr>
        <w:tc>
          <w:tcPr>
            <w:tcW w:w="4410" w:type="dxa"/>
            <w:tcBorders>
              <w:top w:val="nil"/>
              <w:left w:val="nil"/>
              <w:bottom w:val="nil"/>
            </w:tcBorders>
            <w:shd w:val="clear" w:color="auto" w:fill="auto"/>
            <w:vAlign w:val="center"/>
          </w:tcPr>
          <w:p w14:paraId="74AC33FD" w14:textId="6EF44F06" w:rsidR="004C65D6" w:rsidRPr="00B16709" w:rsidRDefault="004C65D6" w:rsidP="00B16709">
            <w:pPr>
              <w:rPr>
                <w:rFonts w:asciiTheme="minorHAnsi" w:hAnsiTheme="minorHAnsi" w:cstheme="minorHAnsi"/>
                <w:color w:val="000000"/>
                <w:sz w:val="22"/>
                <w:szCs w:val="22"/>
              </w:rPr>
            </w:pPr>
            <w:r w:rsidRPr="00494930">
              <w:rPr>
                <w:rFonts w:asciiTheme="minorHAnsi" w:hAnsiTheme="minorHAnsi" w:cstheme="minorHAnsi"/>
                <w:b/>
                <w:color w:val="000000"/>
                <w:sz w:val="22"/>
                <w:szCs w:val="22"/>
              </w:rPr>
              <w:t>Base Rates</w:t>
            </w:r>
          </w:p>
        </w:tc>
        <w:tc>
          <w:tcPr>
            <w:tcW w:w="1584" w:type="dxa"/>
            <w:tcBorders>
              <w:bottom w:val="single" w:sz="4" w:space="0" w:color="auto"/>
            </w:tcBorders>
            <w:shd w:val="clear" w:color="auto" w:fill="auto"/>
            <w:noWrap/>
          </w:tcPr>
          <w:p w14:paraId="0D535CA9" w14:textId="77777777" w:rsidR="004C65D6" w:rsidRPr="00B16709"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52167AA9" w14:textId="77777777" w:rsidR="004C65D6" w:rsidRPr="00B16709"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36C993C" w14:textId="77777777" w:rsidR="004C65D6" w:rsidRPr="00B16709"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383F6598" w14:textId="77777777" w:rsidR="004C65D6" w:rsidRPr="00B16709"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7329470A" w14:textId="77777777" w:rsidR="004C65D6" w:rsidRPr="00B16709"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11974E23" w14:textId="77777777" w:rsidR="004C65D6" w:rsidRPr="00B16709"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749D3FCC" w14:textId="77777777" w:rsidR="004C65D6" w:rsidRPr="00B16709"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FA55FF5" w14:textId="77777777" w:rsidR="004C65D6" w:rsidRPr="00B16709"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165F14BF" w14:textId="77777777" w:rsidR="004C65D6" w:rsidRPr="00B16709"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58AB9596" w14:textId="77777777" w:rsidR="004C65D6" w:rsidRPr="00B16709"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49969028" w14:textId="77777777" w:rsidR="004C65D6" w:rsidRPr="00B16709" w:rsidRDefault="004C65D6" w:rsidP="006A219E">
            <w:pPr>
              <w:jc w:val="right"/>
              <w:rPr>
                <w:rFonts w:asciiTheme="minorHAnsi" w:hAnsiTheme="minorHAnsi" w:cstheme="minorHAnsi"/>
                <w:sz w:val="22"/>
                <w:szCs w:val="22"/>
              </w:rPr>
            </w:pPr>
          </w:p>
        </w:tc>
        <w:tc>
          <w:tcPr>
            <w:tcW w:w="1584" w:type="dxa"/>
            <w:tcBorders>
              <w:bottom w:val="single" w:sz="4" w:space="0" w:color="auto"/>
            </w:tcBorders>
            <w:shd w:val="clear" w:color="auto" w:fill="auto"/>
            <w:noWrap/>
          </w:tcPr>
          <w:p w14:paraId="30252141" w14:textId="77777777" w:rsidR="004C65D6" w:rsidRPr="00B16709" w:rsidRDefault="004C65D6" w:rsidP="006A219E">
            <w:pPr>
              <w:jc w:val="right"/>
              <w:rPr>
                <w:rFonts w:asciiTheme="minorHAnsi" w:hAnsiTheme="minorHAnsi" w:cstheme="minorHAnsi"/>
                <w:sz w:val="22"/>
                <w:szCs w:val="22"/>
              </w:rPr>
            </w:pPr>
          </w:p>
        </w:tc>
      </w:tr>
      <w:tr w:rsidR="00B16709" w:rsidRPr="00B16709" w14:paraId="604EA2CE"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25FE0643"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Pre-school</w:t>
            </w:r>
          </w:p>
        </w:tc>
        <w:tc>
          <w:tcPr>
            <w:tcW w:w="1584" w:type="dxa"/>
            <w:tcBorders>
              <w:top w:val="single" w:sz="4" w:space="0" w:color="auto"/>
              <w:left w:val="single" w:sz="4" w:space="0" w:color="auto"/>
            </w:tcBorders>
            <w:shd w:val="clear" w:color="auto" w:fill="auto"/>
            <w:noWrap/>
            <w:hideMark/>
          </w:tcPr>
          <w:p w14:paraId="1D42F855" w14:textId="2F41F755"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195.97</w:t>
            </w:r>
          </w:p>
        </w:tc>
        <w:tc>
          <w:tcPr>
            <w:tcW w:w="1584" w:type="dxa"/>
            <w:tcBorders>
              <w:top w:val="single" w:sz="4" w:space="0" w:color="auto"/>
            </w:tcBorders>
            <w:shd w:val="clear" w:color="auto" w:fill="auto"/>
            <w:noWrap/>
            <w:hideMark/>
          </w:tcPr>
          <w:p w14:paraId="2D3D8D00" w14:textId="10BA55FE"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353.93</w:t>
            </w:r>
          </w:p>
        </w:tc>
        <w:tc>
          <w:tcPr>
            <w:tcW w:w="1584" w:type="dxa"/>
            <w:tcBorders>
              <w:top w:val="single" w:sz="4" w:space="0" w:color="auto"/>
            </w:tcBorders>
            <w:shd w:val="clear" w:color="auto" w:fill="auto"/>
            <w:noWrap/>
            <w:hideMark/>
          </w:tcPr>
          <w:p w14:paraId="2D5714B7" w14:textId="5781AA25"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1,622.88</w:t>
            </w:r>
          </w:p>
        </w:tc>
        <w:tc>
          <w:tcPr>
            <w:tcW w:w="1584" w:type="dxa"/>
            <w:tcBorders>
              <w:top w:val="single" w:sz="4" w:space="0" w:color="auto"/>
            </w:tcBorders>
            <w:shd w:val="clear" w:color="auto" w:fill="auto"/>
            <w:noWrap/>
            <w:hideMark/>
          </w:tcPr>
          <w:p w14:paraId="00C2708C" w14:textId="2469221D"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416.22</w:t>
            </w:r>
          </w:p>
        </w:tc>
        <w:tc>
          <w:tcPr>
            <w:tcW w:w="1584" w:type="dxa"/>
            <w:tcBorders>
              <w:top w:val="single" w:sz="4" w:space="0" w:color="auto"/>
            </w:tcBorders>
            <w:shd w:val="clear" w:color="auto" w:fill="auto"/>
            <w:noWrap/>
            <w:hideMark/>
          </w:tcPr>
          <w:p w14:paraId="3E6469F3" w14:textId="704E6FC0"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64.18</w:t>
            </w:r>
          </w:p>
        </w:tc>
        <w:tc>
          <w:tcPr>
            <w:tcW w:w="1584" w:type="dxa"/>
            <w:tcBorders>
              <w:top w:val="single" w:sz="4" w:space="0" w:color="auto"/>
            </w:tcBorders>
            <w:shd w:val="clear" w:color="auto" w:fill="auto"/>
            <w:noWrap/>
            <w:hideMark/>
          </w:tcPr>
          <w:p w14:paraId="2D4166DF" w14:textId="0C2201F4"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234.89</w:t>
            </w:r>
          </w:p>
        </w:tc>
        <w:tc>
          <w:tcPr>
            <w:tcW w:w="1584" w:type="dxa"/>
            <w:tcBorders>
              <w:top w:val="single" w:sz="4" w:space="0" w:color="auto"/>
            </w:tcBorders>
            <w:shd w:val="clear" w:color="auto" w:fill="auto"/>
            <w:noWrap/>
            <w:hideMark/>
          </w:tcPr>
          <w:p w14:paraId="411444EA" w14:textId="0FB1A205"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118.08</w:t>
            </w:r>
          </w:p>
        </w:tc>
        <w:tc>
          <w:tcPr>
            <w:tcW w:w="1584" w:type="dxa"/>
            <w:tcBorders>
              <w:top w:val="single" w:sz="4" w:space="0" w:color="auto"/>
            </w:tcBorders>
            <w:shd w:val="clear" w:color="auto" w:fill="auto"/>
            <w:noWrap/>
            <w:hideMark/>
          </w:tcPr>
          <w:p w14:paraId="41A49EEC" w14:textId="2CA14C05"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46.96</w:t>
            </w:r>
          </w:p>
        </w:tc>
        <w:tc>
          <w:tcPr>
            <w:tcW w:w="1584" w:type="dxa"/>
            <w:tcBorders>
              <w:top w:val="single" w:sz="4" w:space="0" w:color="auto"/>
            </w:tcBorders>
            <w:shd w:val="clear" w:color="auto" w:fill="auto"/>
            <w:noWrap/>
            <w:hideMark/>
          </w:tcPr>
          <w:p w14:paraId="63719C5F" w14:textId="42EE2A1E"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450.66</w:t>
            </w:r>
          </w:p>
        </w:tc>
        <w:tc>
          <w:tcPr>
            <w:tcW w:w="1584" w:type="dxa"/>
            <w:tcBorders>
              <w:top w:val="single" w:sz="4" w:space="0" w:color="auto"/>
            </w:tcBorders>
            <w:shd w:val="clear" w:color="auto" w:fill="auto"/>
            <w:noWrap/>
            <w:hideMark/>
          </w:tcPr>
          <w:p w14:paraId="1888E425" w14:textId="45D2939F"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519.38</w:t>
            </w:r>
          </w:p>
        </w:tc>
        <w:tc>
          <w:tcPr>
            <w:tcW w:w="1584" w:type="dxa"/>
            <w:tcBorders>
              <w:top w:val="single" w:sz="4" w:space="0" w:color="auto"/>
            </w:tcBorders>
            <w:shd w:val="clear" w:color="auto" w:fill="auto"/>
            <w:noWrap/>
            <w:hideMark/>
          </w:tcPr>
          <w:p w14:paraId="56A52E0A" w14:textId="3A76029E"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single" w:sz="4" w:space="0" w:color="auto"/>
              <w:right w:val="single" w:sz="4" w:space="0" w:color="auto"/>
            </w:tcBorders>
            <w:shd w:val="clear" w:color="auto" w:fill="D9D9D9" w:themeFill="background1" w:themeFillShade="D9"/>
            <w:noWrap/>
            <w:hideMark/>
          </w:tcPr>
          <w:p w14:paraId="19E4243B" w14:textId="5C4F48A7"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4,023.15</w:t>
            </w:r>
          </w:p>
        </w:tc>
      </w:tr>
      <w:tr w:rsidR="00B16709" w:rsidRPr="00B16709" w14:paraId="0FA75AB1"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43C89B97"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Kindergarten(half)</w:t>
            </w:r>
          </w:p>
        </w:tc>
        <w:tc>
          <w:tcPr>
            <w:tcW w:w="1584" w:type="dxa"/>
            <w:tcBorders>
              <w:left w:val="single" w:sz="4" w:space="0" w:color="auto"/>
            </w:tcBorders>
            <w:shd w:val="clear" w:color="auto" w:fill="auto"/>
            <w:noWrap/>
            <w:hideMark/>
          </w:tcPr>
          <w:p w14:paraId="0205D922" w14:textId="68A32607"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195.97</w:t>
            </w:r>
          </w:p>
        </w:tc>
        <w:tc>
          <w:tcPr>
            <w:tcW w:w="1584" w:type="dxa"/>
            <w:shd w:val="clear" w:color="auto" w:fill="auto"/>
            <w:noWrap/>
            <w:hideMark/>
          </w:tcPr>
          <w:p w14:paraId="3567A8B2" w14:textId="55F6C1F1"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353.93</w:t>
            </w:r>
          </w:p>
        </w:tc>
        <w:tc>
          <w:tcPr>
            <w:tcW w:w="1584" w:type="dxa"/>
            <w:shd w:val="clear" w:color="auto" w:fill="auto"/>
            <w:noWrap/>
            <w:hideMark/>
          </w:tcPr>
          <w:p w14:paraId="64BF891C" w14:textId="767B2DDD"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1,622.88</w:t>
            </w:r>
          </w:p>
        </w:tc>
        <w:tc>
          <w:tcPr>
            <w:tcW w:w="1584" w:type="dxa"/>
            <w:shd w:val="clear" w:color="auto" w:fill="auto"/>
            <w:noWrap/>
            <w:hideMark/>
          </w:tcPr>
          <w:p w14:paraId="22FBDCDA" w14:textId="6E9B6607"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416.22</w:t>
            </w:r>
          </w:p>
        </w:tc>
        <w:tc>
          <w:tcPr>
            <w:tcW w:w="1584" w:type="dxa"/>
            <w:shd w:val="clear" w:color="auto" w:fill="auto"/>
            <w:noWrap/>
            <w:hideMark/>
          </w:tcPr>
          <w:p w14:paraId="33545D54" w14:textId="5AA6065D"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64.18</w:t>
            </w:r>
          </w:p>
        </w:tc>
        <w:tc>
          <w:tcPr>
            <w:tcW w:w="1584" w:type="dxa"/>
            <w:shd w:val="clear" w:color="auto" w:fill="auto"/>
            <w:noWrap/>
            <w:hideMark/>
          </w:tcPr>
          <w:p w14:paraId="468D39F4" w14:textId="2E4F0650"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234.89</w:t>
            </w:r>
          </w:p>
        </w:tc>
        <w:tc>
          <w:tcPr>
            <w:tcW w:w="1584" w:type="dxa"/>
            <w:shd w:val="clear" w:color="auto" w:fill="auto"/>
            <w:noWrap/>
            <w:hideMark/>
          </w:tcPr>
          <w:p w14:paraId="32F528B2" w14:textId="28B1ED73"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118.08</w:t>
            </w:r>
          </w:p>
        </w:tc>
        <w:tc>
          <w:tcPr>
            <w:tcW w:w="1584" w:type="dxa"/>
            <w:shd w:val="clear" w:color="auto" w:fill="auto"/>
            <w:noWrap/>
            <w:hideMark/>
          </w:tcPr>
          <w:p w14:paraId="02271374" w14:textId="4CEF2C11"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46.96</w:t>
            </w:r>
          </w:p>
        </w:tc>
        <w:tc>
          <w:tcPr>
            <w:tcW w:w="1584" w:type="dxa"/>
            <w:shd w:val="clear" w:color="auto" w:fill="auto"/>
            <w:noWrap/>
            <w:hideMark/>
          </w:tcPr>
          <w:p w14:paraId="3021F400" w14:textId="0E7A7979"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450.66</w:t>
            </w:r>
          </w:p>
        </w:tc>
        <w:tc>
          <w:tcPr>
            <w:tcW w:w="1584" w:type="dxa"/>
            <w:shd w:val="clear" w:color="auto" w:fill="auto"/>
            <w:noWrap/>
            <w:hideMark/>
          </w:tcPr>
          <w:p w14:paraId="219A79F3" w14:textId="0B92BCA6"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519.38</w:t>
            </w:r>
          </w:p>
        </w:tc>
        <w:tc>
          <w:tcPr>
            <w:tcW w:w="1584" w:type="dxa"/>
            <w:shd w:val="clear" w:color="auto" w:fill="auto"/>
            <w:noWrap/>
            <w:hideMark/>
          </w:tcPr>
          <w:p w14:paraId="3E451081" w14:textId="3CBE5525"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right w:val="single" w:sz="4" w:space="0" w:color="auto"/>
            </w:tcBorders>
            <w:shd w:val="clear" w:color="auto" w:fill="D9D9D9" w:themeFill="background1" w:themeFillShade="D9"/>
            <w:noWrap/>
            <w:hideMark/>
          </w:tcPr>
          <w:p w14:paraId="7A970BA9" w14:textId="6CD54275"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4,023.15</w:t>
            </w:r>
          </w:p>
        </w:tc>
      </w:tr>
      <w:tr w:rsidR="00B16709" w:rsidRPr="00B16709" w14:paraId="327B0F6C"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224EFB5D"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Kindergarten(full)</w:t>
            </w:r>
          </w:p>
        </w:tc>
        <w:tc>
          <w:tcPr>
            <w:tcW w:w="1584" w:type="dxa"/>
            <w:tcBorders>
              <w:left w:val="single" w:sz="4" w:space="0" w:color="auto"/>
            </w:tcBorders>
            <w:shd w:val="clear" w:color="auto" w:fill="auto"/>
            <w:noWrap/>
            <w:hideMark/>
          </w:tcPr>
          <w:p w14:paraId="4B0DE811" w14:textId="4C63706C"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391.93</w:t>
            </w:r>
          </w:p>
        </w:tc>
        <w:tc>
          <w:tcPr>
            <w:tcW w:w="1584" w:type="dxa"/>
            <w:shd w:val="clear" w:color="auto" w:fill="auto"/>
            <w:noWrap/>
            <w:hideMark/>
          </w:tcPr>
          <w:p w14:paraId="6F8CA060" w14:textId="1DDCCB0F"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707.86</w:t>
            </w:r>
          </w:p>
        </w:tc>
        <w:tc>
          <w:tcPr>
            <w:tcW w:w="1584" w:type="dxa"/>
            <w:shd w:val="clear" w:color="auto" w:fill="auto"/>
            <w:noWrap/>
            <w:hideMark/>
          </w:tcPr>
          <w:p w14:paraId="00F178AB" w14:textId="3A66C089"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3,245.76</w:t>
            </w:r>
          </w:p>
        </w:tc>
        <w:tc>
          <w:tcPr>
            <w:tcW w:w="1584" w:type="dxa"/>
            <w:shd w:val="clear" w:color="auto" w:fill="auto"/>
            <w:noWrap/>
            <w:hideMark/>
          </w:tcPr>
          <w:p w14:paraId="4AAED9EA" w14:textId="12F5298E"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832.47</w:t>
            </w:r>
          </w:p>
        </w:tc>
        <w:tc>
          <w:tcPr>
            <w:tcW w:w="1584" w:type="dxa"/>
            <w:shd w:val="clear" w:color="auto" w:fill="auto"/>
            <w:noWrap/>
            <w:hideMark/>
          </w:tcPr>
          <w:p w14:paraId="30EABCC7" w14:textId="6247E1A2"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128.42</w:t>
            </w:r>
          </w:p>
        </w:tc>
        <w:tc>
          <w:tcPr>
            <w:tcW w:w="1584" w:type="dxa"/>
            <w:shd w:val="clear" w:color="auto" w:fill="auto"/>
            <w:noWrap/>
            <w:hideMark/>
          </w:tcPr>
          <w:p w14:paraId="3858EA45" w14:textId="7AA7F4C4"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469.78</w:t>
            </w:r>
          </w:p>
        </w:tc>
        <w:tc>
          <w:tcPr>
            <w:tcW w:w="1584" w:type="dxa"/>
            <w:shd w:val="clear" w:color="auto" w:fill="auto"/>
            <w:noWrap/>
            <w:hideMark/>
          </w:tcPr>
          <w:p w14:paraId="462039F3" w14:textId="1865F925"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236.19</w:t>
            </w:r>
          </w:p>
        </w:tc>
        <w:tc>
          <w:tcPr>
            <w:tcW w:w="1584" w:type="dxa"/>
            <w:shd w:val="clear" w:color="auto" w:fill="auto"/>
            <w:noWrap/>
            <w:hideMark/>
          </w:tcPr>
          <w:p w14:paraId="5D5BF3CC" w14:textId="1B13B053"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93.97</w:t>
            </w:r>
          </w:p>
        </w:tc>
        <w:tc>
          <w:tcPr>
            <w:tcW w:w="1584" w:type="dxa"/>
            <w:shd w:val="clear" w:color="auto" w:fill="auto"/>
            <w:noWrap/>
            <w:hideMark/>
          </w:tcPr>
          <w:p w14:paraId="2BA4AEC1" w14:textId="5D601640"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901.30</w:t>
            </w:r>
          </w:p>
        </w:tc>
        <w:tc>
          <w:tcPr>
            <w:tcW w:w="1584" w:type="dxa"/>
            <w:shd w:val="clear" w:color="auto" w:fill="auto"/>
            <w:noWrap/>
            <w:hideMark/>
          </w:tcPr>
          <w:p w14:paraId="67D0ED30" w14:textId="4A4274A2"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1,038.75</w:t>
            </w:r>
          </w:p>
        </w:tc>
        <w:tc>
          <w:tcPr>
            <w:tcW w:w="1584" w:type="dxa"/>
            <w:shd w:val="clear" w:color="auto" w:fill="auto"/>
            <w:noWrap/>
            <w:hideMark/>
          </w:tcPr>
          <w:p w14:paraId="55284ACA" w14:textId="72814D74"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right w:val="single" w:sz="4" w:space="0" w:color="auto"/>
            </w:tcBorders>
            <w:shd w:val="clear" w:color="auto" w:fill="D9D9D9" w:themeFill="background1" w:themeFillShade="D9"/>
            <w:noWrap/>
            <w:hideMark/>
          </w:tcPr>
          <w:p w14:paraId="05CA06FF" w14:textId="65855CD7"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8,046.43</w:t>
            </w:r>
          </w:p>
        </w:tc>
      </w:tr>
      <w:tr w:rsidR="00B16709" w:rsidRPr="00B16709" w14:paraId="339CD1D5"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360B7136"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Elementary</w:t>
            </w:r>
          </w:p>
        </w:tc>
        <w:tc>
          <w:tcPr>
            <w:tcW w:w="1584" w:type="dxa"/>
            <w:tcBorders>
              <w:left w:val="single" w:sz="4" w:space="0" w:color="auto"/>
            </w:tcBorders>
            <w:shd w:val="clear" w:color="auto" w:fill="auto"/>
            <w:noWrap/>
            <w:hideMark/>
          </w:tcPr>
          <w:p w14:paraId="7002E953" w14:textId="48478E21"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391.93</w:t>
            </w:r>
          </w:p>
        </w:tc>
        <w:tc>
          <w:tcPr>
            <w:tcW w:w="1584" w:type="dxa"/>
            <w:shd w:val="clear" w:color="auto" w:fill="auto"/>
            <w:noWrap/>
            <w:hideMark/>
          </w:tcPr>
          <w:p w14:paraId="3ABE04A5" w14:textId="7C2462A6"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707.86</w:t>
            </w:r>
          </w:p>
        </w:tc>
        <w:tc>
          <w:tcPr>
            <w:tcW w:w="1584" w:type="dxa"/>
            <w:shd w:val="clear" w:color="auto" w:fill="auto"/>
            <w:noWrap/>
            <w:hideMark/>
          </w:tcPr>
          <w:p w14:paraId="26C51292" w14:textId="1AE97244"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3,245.72</w:t>
            </w:r>
          </w:p>
        </w:tc>
        <w:tc>
          <w:tcPr>
            <w:tcW w:w="1584" w:type="dxa"/>
            <w:shd w:val="clear" w:color="auto" w:fill="auto"/>
            <w:noWrap/>
            <w:hideMark/>
          </w:tcPr>
          <w:p w14:paraId="716642B4" w14:textId="08D16D34"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832.47</w:t>
            </w:r>
          </w:p>
        </w:tc>
        <w:tc>
          <w:tcPr>
            <w:tcW w:w="1584" w:type="dxa"/>
            <w:shd w:val="clear" w:color="auto" w:fill="auto"/>
            <w:noWrap/>
            <w:hideMark/>
          </w:tcPr>
          <w:p w14:paraId="7B19E128" w14:textId="655716D7"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128.44</w:t>
            </w:r>
          </w:p>
        </w:tc>
        <w:tc>
          <w:tcPr>
            <w:tcW w:w="1584" w:type="dxa"/>
            <w:shd w:val="clear" w:color="auto" w:fill="auto"/>
            <w:noWrap/>
            <w:hideMark/>
          </w:tcPr>
          <w:p w14:paraId="2ADFBFC8" w14:textId="591423B9"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469.78</w:t>
            </w:r>
          </w:p>
        </w:tc>
        <w:tc>
          <w:tcPr>
            <w:tcW w:w="1584" w:type="dxa"/>
            <w:shd w:val="clear" w:color="auto" w:fill="auto"/>
            <w:noWrap/>
            <w:hideMark/>
          </w:tcPr>
          <w:p w14:paraId="64CD260F" w14:textId="74AB6671"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236.19</w:t>
            </w:r>
          </w:p>
        </w:tc>
        <w:tc>
          <w:tcPr>
            <w:tcW w:w="1584" w:type="dxa"/>
            <w:shd w:val="clear" w:color="auto" w:fill="auto"/>
            <w:noWrap/>
            <w:hideMark/>
          </w:tcPr>
          <w:p w14:paraId="2D39F573" w14:textId="6E85EF04"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140.93</w:t>
            </w:r>
          </w:p>
        </w:tc>
        <w:tc>
          <w:tcPr>
            <w:tcW w:w="1584" w:type="dxa"/>
            <w:shd w:val="clear" w:color="auto" w:fill="auto"/>
            <w:noWrap/>
            <w:hideMark/>
          </w:tcPr>
          <w:p w14:paraId="238A1B1D" w14:textId="232F50EF"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901.30</w:t>
            </w:r>
          </w:p>
        </w:tc>
        <w:tc>
          <w:tcPr>
            <w:tcW w:w="1584" w:type="dxa"/>
            <w:shd w:val="clear" w:color="auto" w:fill="auto"/>
            <w:noWrap/>
            <w:hideMark/>
          </w:tcPr>
          <w:p w14:paraId="043EF551" w14:textId="6940AAA0"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1,038.78</w:t>
            </w:r>
          </w:p>
        </w:tc>
        <w:tc>
          <w:tcPr>
            <w:tcW w:w="1584" w:type="dxa"/>
            <w:shd w:val="clear" w:color="auto" w:fill="auto"/>
            <w:noWrap/>
            <w:hideMark/>
          </w:tcPr>
          <w:p w14:paraId="7E55C65D" w14:textId="70DEB91A"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right w:val="single" w:sz="4" w:space="0" w:color="auto"/>
            </w:tcBorders>
            <w:shd w:val="clear" w:color="auto" w:fill="D9D9D9" w:themeFill="background1" w:themeFillShade="D9"/>
            <w:noWrap/>
            <w:hideMark/>
          </w:tcPr>
          <w:p w14:paraId="3BA7E8DA" w14:textId="2B7019C0"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8,093.40</w:t>
            </w:r>
          </w:p>
        </w:tc>
      </w:tr>
      <w:tr w:rsidR="00B16709" w:rsidRPr="00B16709" w14:paraId="0F5C7BC1"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222A9BAB"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Junior/Middle</w:t>
            </w:r>
          </w:p>
        </w:tc>
        <w:tc>
          <w:tcPr>
            <w:tcW w:w="1584" w:type="dxa"/>
            <w:tcBorders>
              <w:left w:val="single" w:sz="4" w:space="0" w:color="auto"/>
            </w:tcBorders>
            <w:shd w:val="clear" w:color="auto" w:fill="auto"/>
            <w:noWrap/>
            <w:hideMark/>
          </w:tcPr>
          <w:p w14:paraId="57A2A6F1" w14:textId="0698A59B"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391.93</w:t>
            </w:r>
          </w:p>
        </w:tc>
        <w:tc>
          <w:tcPr>
            <w:tcW w:w="1584" w:type="dxa"/>
            <w:shd w:val="clear" w:color="auto" w:fill="auto"/>
            <w:noWrap/>
            <w:hideMark/>
          </w:tcPr>
          <w:p w14:paraId="15EB51C2" w14:textId="2915F065"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707.86</w:t>
            </w:r>
          </w:p>
        </w:tc>
        <w:tc>
          <w:tcPr>
            <w:tcW w:w="1584" w:type="dxa"/>
            <w:shd w:val="clear" w:color="auto" w:fill="auto"/>
            <w:noWrap/>
            <w:hideMark/>
          </w:tcPr>
          <w:p w14:paraId="7FAC29A8" w14:textId="49B4184D"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2,856.25</w:t>
            </w:r>
          </w:p>
        </w:tc>
        <w:tc>
          <w:tcPr>
            <w:tcW w:w="1584" w:type="dxa"/>
            <w:shd w:val="clear" w:color="auto" w:fill="auto"/>
            <w:noWrap/>
            <w:hideMark/>
          </w:tcPr>
          <w:p w14:paraId="0AC71C5A" w14:textId="1D151200"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599.25</w:t>
            </w:r>
          </w:p>
        </w:tc>
        <w:tc>
          <w:tcPr>
            <w:tcW w:w="1584" w:type="dxa"/>
            <w:shd w:val="clear" w:color="auto" w:fill="auto"/>
            <w:noWrap/>
            <w:hideMark/>
          </w:tcPr>
          <w:p w14:paraId="1397682A" w14:textId="4C603D2D"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139.24</w:t>
            </w:r>
          </w:p>
        </w:tc>
        <w:tc>
          <w:tcPr>
            <w:tcW w:w="1584" w:type="dxa"/>
            <w:shd w:val="clear" w:color="auto" w:fill="auto"/>
            <w:noWrap/>
            <w:hideMark/>
          </w:tcPr>
          <w:p w14:paraId="3283C0F7" w14:textId="2317C383"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469.78</w:t>
            </w:r>
          </w:p>
        </w:tc>
        <w:tc>
          <w:tcPr>
            <w:tcW w:w="1584" w:type="dxa"/>
            <w:shd w:val="clear" w:color="auto" w:fill="auto"/>
            <w:noWrap/>
            <w:hideMark/>
          </w:tcPr>
          <w:p w14:paraId="038E95EE" w14:textId="61B43C19"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314.38</w:t>
            </w:r>
          </w:p>
        </w:tc>
        <w:tc>
          <w:tcPr>
            <w:tcW w:w="1584" w:type="dxa"/>
            <w:shd w:val="clear" w:color="auto" w:fill="auto"/>
            <w:noWrap/>
            <w:hideMark/>
          </w:tcPr>
          <w:p w14:paraId="101A88E8" w14:textId="5A727E2C"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230.21</w:t>
            </w:r>
          </w:p>
        </w:tc>
        <w:tc>
          <w:tcPr>
            <w:tcW w:w="1584" w:type="dxa"/>
            <w:shd w:val="clear" w:color="auto" w:fill="auto"/>
            <w:noWrap/>
            <w:hideMark/>
          </w:tcPr>
          <w:p w14:paraId="6502DDA8" w14:textId="755F37D2"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977.13</w:t>
            </w:r>
          </w:p>
        </w:tc>
        <w:tc>
          <w:tcPr>
            <w:tcW w:w="1584" w:type="dxa"/>
            <w:shd w:val="clear" w:color="auto" w:fill="auto"/>
            <w:noWrap/>
            <w:hideMark/>
          </w:tcPr>
          <w:p w14:paraId="39FE6AC5" w14:textId="60ED6B53"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1,069.79</w:t>
            </w:r>
          </w:p>
        </w:tc>
        <w:tc>
          <w:tcPr>
            <w:tcW w:w="1584" w:type="dxa"/>
            <w:shd w:val="clear" w:color="auto" w:fill="auto"/>
            <w:noWrap/>
            <w:hideMark/>
          </w:tcPr>
          <w:p w14:paraId="7052E141" w14:textId="0F3B28B2"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right w:val="single" w:sz="4" w:space="0" w:color="auto"/>
            </w:tcBorders>
            <w:shd w:val="clear" w:color="auto" w:fill="D9D9D9" w:themeFill="background1" w:themeFillShade="D9"/>
            <w:noWrap/>
            <w:hideMark/>
          </w:tcPr>
          <w:p w14:paraId="369864B6" w14:textId="6B94EA76"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7,755.82</w:t>
            </w:r>
          </w:p>
        </w:tc>
      </w:tr>
      <w:tr w:rsidR="00B16709" w:rsidRPr="00B16709" w14:paraId="29583960"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6A044239"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High School</w:t>
            </w:r>
          </w:p>
        </w:tc>
        <w:tc>
          <w:tcPr>
            <w:tcW w:w="1584" w:type="dxa"/>
            <w:tcBorders>
              <w:left w:val="single" w:sz="4" w:space="0" w:color="auto"/>
            </w:tcBorders>
            <w:shd w:val="clear" w:color="auto" w:fill="auto"/>
            <w:noWrap/>
            <w:hideMark/>
          </w:tcPr>
          <w:p w14:paraId="406D7DDE" w14:textId="4AF39ABE"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391.93</w:t>
            </w:r>
          </w:p>
        </w:tc>
        <w:tc>
          <w:tcPr>
            <w:tcW w:w="1584" w:type="dxa"/>
            <w:shd w:val="clear" w:color="auto" w:fill="auto"/>
            <w:noWrap/>
            <w:hideMark/>
          </w:tcPr>
          <w:p w14:paraId="43827C79" w14:textId="7E8437D2"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707.86</w:t>
            </w:r>
          </w:p>
        </w:tc>
        <w:tc>
          <w:tcPr>
            <w:tcW w:w="1584" w:type="dxa"/>
            <w:shd w:val="clear" w:color="auto" w:fill="auto"/>
            <w:noWrap/>
            <w:hideMark/>
          </w:tcPr>
          <w:p w14:paraId="7FEE0B17" w14:textId="315E7A76"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4,200.34</w:t>
            </w:r>
          </w:p>
        </w:tc>
        <w:tc>
          <w:tcPr>
            <w:tcW w:w="1584" w:type="dxa"/>
            <w:shd w:val="clear" w:color="auto" w:fill="auto"/>
            <w:noWrap/>
            <w:hideMark/>
          </w:tcPr>
          <w:p w14:paraId="6A2C6917" w14:textId="108CCE6C"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498.88</w:t>
            </w:r>
          </w:p>
        </w:tc>
        <w:tc>
          <w:tcPr>
            <w:tcW w:w="1584" w:type="dxa"/>
            <w:shd w:val="clear" w:color="auto" w:fill="auto"/>
            <w:noWrap/>
            <w:hideMark/>
          </w:tcPr>
          <w:p w14:paraId="44C87B63" w14:textId="04D7B8A4"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135.01</w:t>
            </w:r>
          </w:p>
        </w:tc>
        <w:tc>
          <w:tcPr>
            <w:tcW w:w="1584" w:type="dxa"/>
            <w:shd w:val="clear" w:color="auto" w:fill="auto"/>
            <w:noWrap/>
            <w:hideMark/>
          </w:tcPr>
          <w:p w14:paraId="5A324B3F" w14:textId="62D30FEB"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751.65</w:t>
            </w:r>
          </w:p>
        </w:tc>
        <w:tc>
          <w:tcPr>
            <w:tcW w:w="1584" w:type="dxa"/>
            <w:shd w:val="clear" w:color="auto" w:fill="auto"/>
            <w:noWrap/>
            <w:hideMark/>
          </w:tcPr>
          <w:p w14:paraId="567D9843" w14:textId="561687E1"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394.09</w:t>
            </w:r>
          </w:p>
        </w:tc>
        <w:tc>
          <w:tcPr>
            <w:tcW w:w="1584" w:type="dxa"/>
            <w:shd w:val="clear" w:color="auto" w:fill="auto"/>
            <w:noWrap/>
            <w:hideMark/>
          </w:tcPr>
          <w:p w14:paraId="2B471D28" w14:textId="3967B6F4"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530.85</w:t>
            </w:r>
          </w:p>
        </w:tc>
        <w:tc>
          <w:tcPr>
            <w:tcW w:w="1584" w:type="dxa"/>
            <w:shd w:val="clear" w:color="auto" w:fill="auto"/>
            <w:noWrap/>
            <w:hideMark/>
          </w:tcPr>
          <w:p w14:paraId="623640B3" w14:textId="5AE27DEA"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947.43</w:t>
            </w:r>
          </w:p>
        </w:tc>
        <w:tc>
          <w:tcPr>
            <w:tcW w:w="1584" w:type="dxa"/>
            <w:shd w:val="clear" w:color="auto" w:fill="auto"/>
            <w:noWrap/>
            <w:hideMark/>
          </w:tcPr>
          <w:p w14:paraId="565D0392" w14:textId="3E055A97"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967.85</w:t>
            </w:r>
          </w:p>
        </w:tc>
        <w:tc>
          <w:tcPr>
            <w:tcW w:w="1584" w:type="dxa"/>
            <w:shd w:val="clear" w:color="auto" w:fill="auto"/>
            <w:noWrap/>
            <w:hideMark/>
          </w:tcPr>
          <w:p w14:paraId="495ECB22" w14:textId="6E7131DD"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right w:val="single" w:sz="4" w:space="0" w:color="auto"/>
            </w:tcBorders>
            <w:shd w:val="clear" w:color="auto" w:fill="D9D9D9" w:themeFill="background1" w:themeFillShade="D9"/>
            <w:noWrap/>
            <w:hideMark/>
          </w:tcPr>
          <w:p w14:paraId="54A3C20C" w14:textId="0792D16B"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9,525.89</w:t>
            </w:r>
          </w:p>
        </w:tc>
      </w:tr>
      <w:tr w:rsidR="00B16709" w:rsidRPr="00B16709" w14:paraId="6D376DEB"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08F69D37"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Vocational</w:t>
            </w:r>
          </w:p>
        </w:tc>
        <w:tc>
          <w:tcPr>
            <w:tcW w:w="1584" w:type="dxa"/>
            <w:tcBorders>
              <w:left w:val="single" w:sz="4" w:space="0" w:color="auto"/>
            </w:tcBorders>
            <w:shd w:val="clear" w:color="auto" w:fill="auto"/>
            <w:noWrap/>
            <w:hideMark/>
          </w:tcPr>
          <w:p w14:paraId="77FA07F1" w14:textId="2678992A"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391.93</w:t>
            </w:r>
          </w:p>
        </w:tc>
        <w:tc>
          <w:tcPr>
            <w:tcW w:w="1584" w:type="dxa"/>
            <w:shd w:val="clear" w:color="auto" w:fill="auto"/>
            <w:noWrap/>
            <w:hideMark/>
          </w:tcPr>
          <w:p w14:paraId="4E0F94E6" w14:textId="7B98A8EF"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707.86</w:t>
            </w:r>
          </w:p>
        </w:tc>
        <w:tc>
          <w:tcPr>
            <w:tcW w:w="1584" w:type="dxa"/>
            <w:shd w:val="clear" w:color="auto" w:fill="auto"/>
            <w:noWrap/>
            <w:hideMark/>
          </w:tcPr>
          <w:p w14:paraId="46D00835" w14:textId="2A95E05F"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7,140.62</w:t>
            </w:r>
          </w:p>
        </w:tc>
        <w:tc>
          <w:tcPr>
            <w:tcW w:w="1584" w:type="dxa"/>
            <w:shd w:val="clear" w:color="auto" w:fill="auto"/>
            <w:noWrap/>
            <w:hideMark/>
          </w:tcPr>
          <w:p w14:paraId="35D7AC20" w14:textId="52CD669D"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498.88</w:t>
            </w:r>
          </w:p>
        </w:tc>
        <w:tc>
          <w:tcPr>
            <w:tcW w:w="1584" w:type="dxa"/>
            <w:shd w:val="clear" w:color="auto" w:fill="auto"/>
            <w:noWrap/>
            <w:hideMark/>
          </w:tcPr>
          <w:p w14:paraId="2DF31D6B" w14:textId="2CE68787"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223.21</w:t>
            </w:r>
          </w:p>
        </w:tc>
        <w:tc>
          <w:tcPr>
            <w:tcW w:w="1584" w:type="dxa"/>
            <w:shd w:val="clear" w:color="auto" w:fill="auto"/>
            <w:noWrap/>
            <w:hideMark/>
          </w:tcPr>
          <w:p w14:paraId="62BC6AE2" w14:textId="22EA0E80"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1,315.37</w:t>
            </w:r>
          </w:p>
        </w:tc>
        <w:tc>
          <w:tcPr>
            <w:tcW w:w="1584" w:type="dxa"/>
            <w:shd w:val="clear" w:color="auto" w:fill="auto"/>
            <w:noWrap/>
            <w:hideMark/>
          </w:tcPr>
          <w:p w14:paraId="715D5835" w14:textId="083B10C8"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394.09</w:t>
            </w:r>
          </w:p>
        </w:tc>
        <w:tc>
          <w:tcPr>
            <w:tcW w:w="1584" w:type="dxa"/>
            <w:shd w:val="clear" w:color="auto" w:fill="auto"/>
            <w:noWrap/>
            <w:hideMark/>
          </w:tcPr>
          <w:p w14:paraId="250DEFFA" w14:textId="5CFF78AF"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530.85</w:t>
            </w:r>
          </w:p>
        </w:tc>
        <w:tc>
          <w:tcPr>
            <w:tcW w:w="1584" w:type="dxa"/>
            <w:shd w:val="clear" w:color="auto" w:fill="auto"/>
            <w:noWrap/>
            <w:hideMark/>
          </w:tcPr>
          <w:p w14:paraId="22BC1414" w14:textId="4FC5BBF9"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1,773.15</w:t>
            </w:r>
          </w:p>
        </w:tc>
        <w:tc>
          <w:tcPr>
            <w:tcW w:w="1584" w:type="dxa"/>
            <w:shd w:val="clear" w:color="auto" w:fill="auto"/>
            <w:noWrap/>
            <w:hideMark/>
          </w:tcPr>
          <w:p w14:paraId="245AF6F8" w14:textId="6FC91699"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1,395.84</w:t>
            </w:r>
          </w:p>
        </w:tc>
        <w:tc>
          <w:tcPr>
            <w:tcW w:w="1584" w:type="dxa"/>
            <w:shd w:val="clear" w:color="auto" w:fill="auto"/>
            <w:noWrap/>
            <w:hideMark/>
          </w:tcPr>
          <w:p w14:paraId="50C1484E" w14:textId="1074CEF1"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right w:val="single" w:sz="4" w:space="0" w:color="auto"/>
            </w:tcBorders>
            <w:shd w:val="clear" w:color="auto" w:fill="D9D9D9" w:themeFill="background1" w:themeFillShade="D9"/>
            <w:noWrap/>
            <w:hideMark/>
          </w:tcPr>
          <w:p w14:paraId="21FFCBBA" w14:textId="6C33A1A1"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14,371.80</w:t>
            </w:r>
          </w:p>
        </w:tc>
      </w:tr>
      <w:tr w:rsidR="00B16709" w:rsidRPr="00B16709" w14:paraId="0791419B"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0280B7ED"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Special education in-school</w:t>
            </w:r>
          </w:p>
        </w:tc>
        <w:tc>
          <w:tcPr>
            <w:tcW w:w="1584" w:type="dxa"/>
            <w:tcBorders>
              <w:left w:val="single" w:sz="4" w:space="0" w:color="auto"/>
            </w:tcBorders>
            <w:shd w:val="clear" w:color="auto" w:fill="auto"/>
            <w:noWrap/>
            <w:hideMark/>
          </w:tcPr>
          <w:p w14:paraId="1F1CB3C6" w14:textId="13CC9288"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2,704.98</w:t>
            </w:r>
          </w:p>
        </w:tc>
        <w:tc>
          <w:tcPr>
            <w:tcW w:w="1584" w:type="dxa"/>
            <w:shd w:val="clear" w:color="auto" w:fill="auto"/>
            <w:noWrap/>
            <w:hideMark/>
          </w:tcPr>
          <w:p w14:paraId="2B298102" w14:textId="2A1E1465"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shd w:val="clear" w:color="auto" w:fill="auto"/>
            <w:noWrap/>
            <w:hideMark/>
          </w:tcPr>
          <w:p w14:paraId="7246FE8B" w14:textId="5F0127E1"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8,925.75</w:t>
            </w:r>
          </w:p>
        </w:tc>
        <w:tc>
          <w:tcPr>
            <w:tcW w:w="1584" w:type="dxa"/>
            <w:shd w:val="clear" w:color="auto" w:fill="auto"/>
            <w:noWrap/>
            <w:hideMark/>
          </w:tcPr>
          <w:p w14:paraId="28A00C04" w14:textId="4A63BDA0"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8,333.85</w:t>
            </w:r>
          </w:p>
        </w:tc>
        <w:tc>
          <w:tcPr>
            <w:tcW w:w="1584" w:type="dxa"/>
            <w:shd w:val="clear" w:color="auto" w:fill="auto"/>
            <w:noWrap/>
            <w:hideMark/>
          </w:tcPr>
          <w:p w14:paraId="1EF9B020" w14:textId="6F6E89A0"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430.57</w:t>
            </w:r>
          </w:p>
        </w:tc>
        <w:tc>
          <w:tcPr>
            <w:tcW w:w="1584" w:type="dxa"/>
            <w:shd w:val="clear" w:color="auto" w:fill="auto"/>
            <w:noWrap/>
            <w:hideMark/>
          </w:tcPr>
          <w:p w14:paraId="6BE677B7" w14:textId="7EA2AB8B"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375.82</w:t>
            </w:r>
          </w:p>
        </w:tc>
        <w:tc>
          <w:tcPr>
            <w:tcW w:w="1584" w:type="dxa"/>
            <w:shd w:val="clear" w:color="auto" w:fill="auto"/>
            <w:noWrap/>
            <w:hideMark/>
          </w:tcPr>
          <w:p w14:paraId="038B9B40" w14:textId="419BED68"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shd w:val="clear" w:color="auto" w:fill="auto"/>
            <w:noWrap/>
            <w:hideMark/>
          </w:tcPr>
          <w:p w14:paraId="1DCF8BCB" w14:textId="15EF76A4"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shd w:val="clear" w:color="auto" w:fill="auto"/>
            <w:noWrap/>
            <w:hideMark/>
          </w:tcPr>
          <w:p w14:paraId="3E329E4C" w14:textId="1EA72C79"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3,021.59</w:t>
            </w:r>
          </w:p>
        </w:tc>
        <w:tc>
          <w:tcPr>
            <w:tcW w:w="1584" w:type="dxa"/>
            <w:shd w:val="clear" w:color="auto" w:fill="auto"/>
            <w:noWrap/>
            <w:hideMark/>
          </w:tcPr>
          <w:p w14:paraId="36EFA240" w14:textId="0E61EEF5"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3,374.83</w:t>
            </w:r>
          </w:p>
        </w:tc>
        <w:tc>
          <w:tcPr>
            <w:tcW w:w="1584" w:type="dxa"/>
            <w:shd w:val="clear" w:color="auto" w:fill="auto"/>
            <w:noWrap/>
            <w:hideMark/>
          </w:tcPr>
          <w:p w14:paraId="22304685" w14:textId="5E18EE0A"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right w:val="single" w:sz="4" w:space="0" w:color="auto"/>
            </w:tcBorders>
            <w:shd w:val="clear" w:color="auto" w:fill="D9D9D9" w:themeFill="background1" w:themeFillShade="D9"/>
            <w:noWrap/>
            <w:hideMark/>
          </w:tcPr>
          <w:p w14:paraId="310E2AEB" w14:textId="7D70E8F2"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27,167.39</w:t>
            </w:r>
          </w:p>
        </w:tc>
      </w:tr>
      <w:tr w:rsidR="00B16709" w:rsidRPr="00B16709" w14:paraId="524232D1" w14:textId="77777777" w:rsidTr="00007A43">
        <w:trPr>
          <w:trHeight w:val="300"/>
        </w:trPr>
        <w:tc>
          <w:tcPr>
            <w:tcW w:w="4410" w:type="dxa"/>
            <w:tcBorders>
              <w:top w:val="nil"/>
              <w:left w:val="nil"/>
              <w:bottom w:val="nil"/>
              <w:right w:val="single" w:sz="4" w:space="0" w:color="auto"/>
            </w:tcBorders>
            <w:shd w:val="clear" w:color="auto" w:fill="auto"/>
            <w:vAlign w:val="center"/>
            <w:hideMark/>
          </w:tcPr>
          <w:p w14:paraId="6A8E8EAE"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 xml:space="preserve">Special education </w:t>
            </w:r>
            <w:proofErr w:type="spellStart"/>
            <w:r w:rsidRPr="00007A43">
              <w:rPr>
                <w:rFonts w:asciiTheme="minorHAnsi" w:hAnsiTheme="minorHAnsi" w:cstheme="minorHAnsi"/>
                <w:color w:val="000000"/>
                <w:sz w:val="22"/>
                <w:szCs w:val="22"/>
              </w:rPr>
              <w:t>tuitioned</w:t>
            </w:r>
            <w:proofErr w:type="spellEnd"/>
            <w:r w:rsidRPr="00007A43">
              <w:rPr>
                <w:rFonts w:asciiTheme="minorHAnsi" w:hAnsiTheme="minorHAnsi" w:cstheme="minorHAnsi"/>
                <w:color w:val="000000"/>
                <w:sz w:val="22"/>
                <w:szCs w:val="22"/>
              </w:rPr>
              <w:t>-out</w:t>
            </w:r>
          </w:p>
        </w:tc>
        <w:tc>
          <w:tcPr>
            <w:tcW w:w="1584" w:type="dxa"/>
            <w:tcBorders>
              <w:left w:val="single" w:sz="4" w:space="0" w:color="auto"/>
              <w:bottom w:val="single" w:sz="4" w:space="0" w:color="auto"/>
            </w:tcBorders>
            <w:shd w:val="clear" w:color="auto" w:fill="auto"/>
            <w:noWrap/>
            <w:hideMark/>
          </w:tcPr>
          <w:p w14:paraId="7A048BF7" w14:textId="6FA57AA8"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2,802.91</w:t>
            </w:r>
          </w:p>
        </w:tc>
        <w:tc>
          <w:tcPr>
            <w:tcW w:w="1584" w:type="dxa"/>
            <w:tcBorders>
              <w:bottom w:val="single" w:sz="4" w:space="0" w:color="auto"/>
            </w:tcBorders>
            <w:shd w:val="clear" w:color="auto" w:fill="auto"/>
            <w:noWrap/>
            <w:hideMark/>
          </w:tcPr>
          <w:p w14:paraId="1B7A6C02" w14:textId="3A5F6ADB"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bottom w:val="single" w:sz="4" w:space="0" w:color="auto"/>
            </w:tcBorders>
            <w:shd w:val="clear" w:color="auto" w:fill="auto"/>
            <w:noWrap/>
            <w:hideMark/>
          </w:tcPr>
          <w:p w14:paraId="428E4425" w14:textId="799315B8"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bottom w:val="single" w:sz="4" w:space="0" w:color="auto"/>
            </w:tcBorders>
            <w:shd w:val="clear" w:color="auto" w:fill="auto"/>
            <w:noWrap/>
            <w:hideMark/>
          </w:tcPr>
          <w:p w14:paraId="66D91ADA" w14:textId="1AB51C99"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42.82</w:t>
            </w:r>
          </w:p>
        </w:tc>
        <w:tc>
          <w:tcPr>
            <w:tcW w:w="1584" w:type="dxa"/>
            <w:tcBorders>
              <w:bottom w:val="single" w:sz="4" w:space="0" w:color="auto"/>
            </w:tcBorders>
            <w:shd w:val="clear" w:color="auto" w:fill="auto"/>
            <w:noWrap/>
            <w:hideMark/>
          </w:tcPr>
          <w:p w14:paraId="31E80E1D" w14:textId="3116CAA9"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bottom w:val="single" w:sz="4" w:space="0" w:color="auto"/>
            </w:tcBorders>
            <w:shd w:val="clear" w:color="auto" w:fill="auto"/>
            <w:noWrap/>
            <w:hideMark/>
          </w:tcPr>
          <w:p w14:paraId="2E723E1C" w14:textId="52698E42"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bottom w:val="single" w:sz="4" w:space="0" w:color="auto"/>
            </w:tcBorders>
            <w:shd w:val="clear" w:color="auto" w:fill="auto"/>
            <w:noWrap/>
            <w:hideMark/>
          </w:tcPr>
          <w:p w14:paraId="6FC58E43" w14:textId="36836427"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bottom w:val="single" w:sz="4" w:space="0" w:color="auto"/>
            </w:tcBorders>
            <w:shd w:val="clear" w:color="auto" w:fill="auto"/>
            <w:noWrap/>
            <w:hideMark/>
          </w:tcPr>
          <w:p w14:paraId="08EF953B" w14:textId="69A5EE67"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bottom w:val="single" w:sz="4" w:space="0" w:color="auto"/>
            </w:tcBorders>
            <w:shd w:val="clear" w:color="auto" w:fill="auto"/>
            <w:noWrap/>
            <w:hideMark/>
          </w:tcPr>
          <w:p w14:paraId="6A3CB9B2" w14:textId="1DB7D523"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bottom w:val="single" w:sz="4" w:space="0" w:color="auto"/>
            </w:tcBorders>
            <w:shd w:val="clear" w:color="auto" w:fill="auto"/>
            <w:noWrap/>
            <w:hideMark/>
          </w:tcPr>
          <w:p w14:paraId="36ACC385" w14:textId="307872E3"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bottom w:val="single" w:sz="4" w:space="0" w:color="auto"/>
            </w:tcBorders>
            <w:shd w:val="clear" w:color="auto" w:fill="auto"/>
            <w:noWrap/>
            <w:hideMark/>
          </w:tcPr>
          <w:p w14:paraId="1CD5A7B3" w14:textId="17DC39C5"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26,612.12</w:t>
            </w:r>
          </w:p>
        </w:tc>
        <w:tc>
          <w:tcPr>
            <w:tcW w:w="1584" w:type="dxa"/>
            <w:tcBorders>
              <w:bottom w:val="single" w:sz="4" w:space="0" w:color="auto"/>
              <w:right w:val="single" w:sz="4" w:space="0" w:color="auto"/>
            </w:tcBorders>
            <w:shd w:val="clear" w:color="auto" w:fill="D9D9D9" w:themeFill="background1" w:themeFillShade="D9"/>
            <w:noWrap/>
            <w:hideMark/>
          </w:tcPr>
          <w:p w14:paraId="4B8F4476" w14:textId="76A10318" w:rsidR="00B16709" w:rsidRPr="00007A43" w:rsidRDefault="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29,457.85</w:t>
            </w:r>
          </w:p>
        </w:tc>
      </w:tr>
      <w:tr w:rsidR="00B16709" w:rsidRPr="00B16709" w14:paraId="09FF34B3" w14:textId="77777777" w:rsidTr="00007A43">
        <w:trPr>
          <w:trHeight w:val="290"/>
        </w:trPr>
        <w:tc>
          <w:tcPr>
            <w:tcW w:w="4410" w:type="dxa"/>
            <w:tcBorders>
              <w:top w:val="nil"/>
              <w:left w:val="nil"/>
              <w:bottom w:val="nil"/>
              <w:right w:val="nil"/>
            </w:tcBorders>
            <w:shd w:val="clear" w:color="auto" w:fill="auto"/>
            <w:vAlign w:val="center"/>
            <w:hideMark/>
          </w:tcPr>
          <w:p w14:paraId="50A44E7F" w14:textId="77777777" w:rsidR="00462C30" w:rsidRPr="00007A43" w:rsidRDefault="00462C30" w:rsidP="004C4643">
            <w:pPr>
              <w:jc w:val="right"/>
              <w:rPr>
                <w:rFonts w:asciiTheme="minorHAnsi" w:hAnsiTheme="minorHAnsi" w:cstheme="minorHAnsi"/>
                <w:color w:val="000000"/>
                <w:sz w:val="22"/>
                <w:szCs w:val="22"/>
              </w:rPr>
            </w:pPr>
          </w:p>
        </w:tc>
        <w:tc>
          <w:tcPr>
            <w:tcW w:w="1584" w:type="dxa"/>
            <w:tcBorders>
              <w:top w:val="single" w:sz="4" w:space="0" w:color="auto"/>
              <w:left w:val="nil"/>
              <w:bottom w:val="nil"/>
              <w:right w:val="nil"/>
            </w:tcBorders>
            <w:shd w:val="clear" w:color="auto" w:fill="auto"/>
            <w:noWrap/>
            <w:vAlign w:val="center"/>
            <w:hideMark/>
          </w:tcPr>
          <w:p w14:paraId="4A643E6B" w14:textId="77777777" w:rsidR="00462C30" w:rsidRPr="00007A43" w:rsidRDefault="00462C30" w:rsidP="004C4643">
            <w:pPr>
              <w:rPr>
                <w:rFonts w:asciiTheme="minorHAnsi" w:hAnsiTheme="minorHAnsi" w:cstheme="minorHAnsi"/>
                <w:color w:val="000000"/>
                <w:sz w:val="22"/>
                <w:szCs w:val="22"/>
              </w:rPr>
            </w:pPr>
            <w:r w:rsidRPr="00007A43">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02BB7860" w14:textId="77777777" w:rsidR="00462C30" w:rsidRPr="00007A43" w:rsidRDefault="00462C30" w:rsidP="004C4643">
            <w:pPr>
              <w:rPr>
                <w:rFonts w:asciiTheme="minorHAnsi" w:hAnsiTheme="minorHAnsi" w:cstheme="minorHAnsi"/>
                <w:color w:val="000000"/>
                <w:sz w:val="22"/>
                <w:szCs w:val="22"/>
              </w:rPr>
            </w:pPr>
            <w:r w:rsidRPr="00007A43">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6D05A4C2" w14:textId="77777777" w:rsidR="00462C30" w:rsidRPr="00007A43" w:rsidRDefault="00462C30" w:rsidP="004C4643">
            <w:pPr>
              <w:rPr>
                <w:rFonts w:asciiTheme="minorHAnsi" w:hAnsiTheme="minorHAnsi" w:cstheme="minorHAnsi"/>
                <w:color w:val="000000"/>
                <w:sz w:val="22"/>
                <w:szCs w:val="22"/>
              </w:rPr>
            </w:pPr>
            <w:r w:rsidRPr="00007A43">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0C8E94ED" w14:textId="77777777" w:rsidR="00462C30" w:rsidRPr="00007A43" w:rsidRDefault="00462C30" w:rsidP="004C4643">
            <w:pPr>
              <w:rPr>
                <w:rFonts w:asciiTheme="minorHAnsi" w:hAnsiTheme="minorHAnsi" w:cstheme="minorHAnsi"/>
                <w:color w:val="000000"/>
                <w:sz w:val="22"/>
                <w:szCs w:val="22"/>
              </w:rPr>
            </w:pPr>
            <w:r w:rsidRPr="00007A43">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54F4089C" w14:textId="77777777" w:rsidR="00462C30" w:rsidRPr="00007A43" w:rsidRDefault="00462C30" w:rsidP="004C4643">
            <w:pPr>
              <w:rPr>
                <w:rFonts w:asciiTheme="minorHAnsi" w:hAnsiTheme="minorHAnsi" w:cstheme="minorHAnsi"/>
                <w:color w:val="000000"/>
                <w:sz w:val="22"/>
                <w:szCs w:val="22"/>
              </w:rPr>
            </w:pPr>
            <w:r w:rsidRPr="00007A43">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0FB3193" w14:textId="77777777" w:rsidR="00462C30" w:rsidRPr="00007A43" w:rsidRDefault="00462C30" w:rsidP="004C4643">
            <w:pPr>
              <w:rPr>
                <w:rFonts w:asciiTheme="minorHAnsi" w:hAnsiTheme="minorHAnsi" w:cstheme="minorHAnsi"/>
                <w:color w:val="000000"/>
                <w:sz w:val="22"/>
                <w:szCs w:val="22"/>
              </w:rPr>
            </w:pPr>
            <w:r w:rsidRPr="00007A43">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2FA99345" w14:textId="77777777" w:rsidR="00462C30" w:rsidRPr="00007A43" w:rsidRDefault="00462C30" w:rsidP="004C4643">
            <w:pPr>
              <w:rPr>
                <w:rFonts w:asciiTheme="minorHAnsi" w:hAnsiTheme="minorHAnsi" w:cstheme="minorHAnsi"/>
                <w:color w:val="000000"/>
                <w:sz w:val="22"/>
                <w:szCs w:val="22"/>
              </w:rPr>
            </w:pPr>
            <w:r w:rsidRPr="00007A43">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178380C1" w14:textId="77777777" w:rsidR="00462C30" w:rsidRPr="00007A43" w:rsidRDefault="00462C30" w:rsidP="004C4643">
            <w:pPr>
              <w:rPr>
                <w:rFonts w:asciiTheme="minorHAnsi" w:hAnsiTheme="minorHAnsi" w:cstheme="minorHAnsi"/>
                <w:color w:val="000000"/>
                <w:sz w:val="22"/>
                <w:szCs w:val="22"/>
              </w:rPr>
            </w:pPr>
            <w:r w:rsidRPr="00007A43">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2AEF38EB" w14:textId="77777777" w:rsidR="00462C30" w:rsidRPr="00007A43" w:rsidRDefault="00462C30" w:rsidP="004C4643">
            <w:pPr>
              <w:rPr>
                <w:rFonts w:asciiTheme="minorHAnsi" w:hAnsiTheme="minorHAnsi" w:cstheme="minorHAnsi"/>
                <w:color w:val="000000"/>
                <w:sz w:val="22"/>
                <w:szCs w:val="22"/>
              </w:rPr>
            </w:pPr>
            <w:r w:rsidRPr="00007A43">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66749D1" w14:textId="77777777" w:rsidR="00462C30" w:rsidRPr="00007A43" w:rsidRDefault="00462C30" w:rsidP="004C4643">
            <w:pPr>
              <w:rPr>
                <w:rFonts w:asciiTheme="minorHAnsi" w:hAnsiTheme="minorHAnsi" w:cstheme="minorHAnsi"/>
                <w:color w:val="000000"/>
                <w:sz w:val="22"/>
                <w:szCs w:val="22"/>
              </w:rPr>
            </w:pPr>
            <w:r w:rsidRPr="00007A43">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3387A47A" w14:textId="77777777" w:rsidR="00462C30" w:rsidRPr="00007A43" w:rsidRDefault="00462C30" w:rsidP="004C4643">
            <w:pPr>
              <w:rPr>
                <w:rFonts w:asciiTheme="minorHAnsi" w:hAnsiTheme="minorHAnsi" w:cstheme="minorHAnsi"/>
                <w:color w:val="000000"/>
                <w:sz w:val="22"/>
                <w:szCs w:val="22"/>
              </w:rPr>
            </w:pPr>
            <w:r w:rsidRPr="00007A43">
              <w:rPr>
                <w:rFonts w:asciiTheme="minorHAnsi" w:hAnsiTheme="minorHAnsi" w:cstheme="minorHAnsi"/>
                <w:color w:val="000000"/>
                <w:sz w:val="22"/>
                <w:szCs w:val="22"/>
              </w:rPr>
              <w:t> </w:t>
            </w:r>
          </w:p>
        </w:tc>
        <w:tc>
          <w:tcPr>
            <w:tcW w:w="1584" w:type="dxa"/>
            <w:tcBorders>
              <w:top w:val="single" w:sz="4" w:space="0" w:color="auto"/>
              <w:left w:val="nil"/>
              <w:bottom w:val="nil"/>
              <w:right w:val="nil"/>
            </w:tcBorders>
            <w:shd w:val="clear" w:color="auto" w:fill="auto"/>
            <w:noWrap/>
            <w:vAlign w:val="center"/>
            <w:hideMark/>
          </w:tcPr>
          <w:p w14:paraId="75BDB615" w14:textId="77777777" w:rsidR="00462C30" w:rsidRPr="00007A43" w:rsidRDefault="00462C30" w:rsidP="004C4643">
            <w:pPr>
              <w:rPr>
                <w:rFonts w:asciiTheme="minorHAnsi" w:hAnsiTheme="minorHAnsi" w:cstheme="minorHAnsi"/>
                <w:color w:val="000000"/>
                <w:sz w:val="22"/>
                <w:szCs w:val="22"/>
              </w:rPr>
            </w:pPr>
            <w:r w:rsidRPr="00007A43">
              <w:rPr>
                <w:rFonts w:asciiTheme="minorHAnsi" w:hAnsiTheme="minorHAnsi" w:cstheme="minorHAnsi"/>
                <w:color w:val="000000"/>
                <w:sz w:val="22"/>
                <w:szCs w:val="22"/>
              </w:rPr>
              <w:t> </w:t>
            </w:r>
          </w:p>
        </w:tc>
      </w:tr>
      <w:tr w:rsidR="00B16709" w:rsidRPr="00B16709" w14:paraId="2DC617B2" w14:textId="77777777" w:rsidTr="00007A43">
        <w:trPr>
          <w:gridAfter w:val="12"/>
          <w:wAfter w:w="19008" w:type="dxa"/>
          <w:trHeight w:val="360"/>
        </w:trPr>
        <w:tc>
          <w:tcPr>
            <w:tcW w:w="4410" w:type="dxa"/>
            <w:tcBorders>
              <w:top w:val="nil"/>
              <w:left w:val="nil"/>
              <w:bottom w:val="nil"/>
              <w:right w:val="nil"/>
            </w:tcBorders>
            <w:shd w:val="clear" w:color="auto" w:fill="auto"/>
            <w:vAlign w:val="center"/>
            <w:hideMark/>
          </w:tcPr>
          <w:p w14:paraId="65B36211" w14:textId="77777777" w:rsidR="00E1560E" w:rsidRPr="00007A43" w:rsidRDefault="00E1560E" w:rsidP="00676F8F">
            <w:pPr>
              <w:rPr>
                <w:rFonts w:asciiTheme="minorHAnsi" w:hAnsiTheme="minorHAnsi" w:cstheme="minorHAnsi"/>
                <w:b/>
                <w:color w:val="000000"/>
                <w:sz w:val="22"/>
                <w:szCs w:val="22"/>
              </w:rPr>
            </w:pPr>
            <w:r w:rsidRPr="00007A43">
              <w:rPr>
                <w:rFonts w:asciiTheme="minorHAnsi" w:hAnsiTheme="minorHAnsi" w:cstheme="minorHAnsi"/>
                <w:b/>
                <w:color w:val="000000"/>
                <w:sz w:val="22"/>
                <w:szCs w:val="22"/>
              </w:rPr>
              <w:t>Incremental Rates</w:t>
            </w:r>
          </w:p>
        </w:tc>
      </w:tr>
      <w:tr w:rsidR="00B16709" w:rsidRPr="00B16709" w14:paraId="064B4C16" w14:textId="77777777" w:rsidTr="00007A43">
        <w:trPr>
          <w:trHeight w:val="300"/>
        </w:trPr>
        <w:tc>
          <w:tcPr>
            <w:tcW w:w="4410" w:type="dxa"/>
            <w:tcBorders>
              <w:top w:val="nil"/>
              <w:left w:val="nil"/>
              <w:bottom w:val="nil"/>
              <w:right w:val="nil"/>
            </w:tcBorders>
            <w:shd w:val="clear" w:color="auto" w:fill="auto"/>
            <w:vAlign w:val="center"/>
            <w:hideMark/>
          </w:tcPr>
          <w:p w14:paraId="69EEB5FA"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English learners PK-5</w:t>
            </w:r>
          </w:p>
        </w:tc>
        <w:tc>
          <w:tcPr>
            <w:tcW w:w="1584" w:type="dxa"/>
            <w:tcBorders>
              <w:top w:val="single" w:sz="4" w:space="0" w:color="auto"/>
              <w:left w:val="single" w:sz="8" w:space="0" w:color="auto"/>
            </w:tcBorders>
            <w:shd w:val="clear" w:color="auto" w:fill="auto"/>
            <w:noWrap/>
            <w:hideMark/>
          </w:tcPr>
          <w:p w14:paraId="05C82093" w14:textId="1A00A954"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90.14</w:t>
            </w:r>
          </w:p>
        </w:tc>
        <w:tc>
          <w:tcPr>
            <w:tcW w:w="1584" w:type="dxa"/>
            <w:tcBorders>
              <w:top w:val="single" w:sz="4" w:space="0" w:color="auto"/>
            </w:tcBorders>
            <w:shd w:val="clear" w:color="auto" w:fill="auto"/>
            <w:noWrap/>
            <w:hideMark/>
          </w:tcPr>
          <w:p w14:paraId="69965854" w14:textId="266CCDDD"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157.74</w:t>
            </w:r>
          </w:p>
        </w:tc>
        <w:tc>
          <w:tcPr>
            <w:tcW w:w="1584" w:type="dxa"/>
            <w:tcBorders>
              <w:top w:val="single" w:sz="4" w:space="0" w:color="auto"/>
            </w:tcBorders>
            <w:shd w:val="clear" w:color="auto" w:fill="auto"/>
            <w:noWrap/>
            <w:hideMark/>
          </w:tcPr>
          <w:p w14:paraId="47C77FCF" w14:textId="372262A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1,104.11</w:t>
            </w:r>
          </w:p>
        </w:tc>
        <w:tc>
          <w:tcPr>
            <w:tcW w:w="1584" w:type="dxa"/>
            <w:tcBorders>
              <w:top w:val="single" w:sz="4" w:space="0" w:color="auto"/>
            </w:tcBorders>
            <w:shd w:val="clear" w:color="auto" w:fill="auto"/>
            <w:noWrap/>
            <w:hideMark/>
          </w:tcPr>
          <w:p w14:paraId="4B7EF440" w14:textId="3D2FE342"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157.74</w:t>
            </w:r>
          </w:p>
        </w:tc>
        <w:tc>
          <w:tcPr>
            <w:tcW w:w="1584" w:type="dxa"/>
            <w:tcBorders>
              <w:top w:val="single" w:sz="4" w:space="0" w:color="auto"/>
            </w:tcBorders>
            <w:shd w:val="clear" w:color="auto" w:fill="auto"/>
            <w:noWrap/>
            <w:hideMark/>
          </w:tcPr>
          <w:p w14:paraId="606D2319" w14:textId="712E2A19"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45.06</w:t>
            </w:r>
          </w:p>
        </w:tc>
        <w:tc>
          <w:tcPr>
            <w:tcW w:w="1584" w:type="dxa"/>
            <w:tcBorders>
              <w:top w:val="single" w:sz="4" w:space="0" w:color="auto"/>
            </w:tcBorders>
            <w:shd w:val="clear" w:color="auto" w:fill="auto"/>
            <w:noWrap/>
            <w:hideMark/>
          </w:tcPr>
          <w:p w14:paraId="55E86CD8" w14:textId="1311FA18"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112.66</w:t>
            </w:r>
          </w:p>
        </w:tc>
        <w:tc>
          <w:tcPr>
            <w:tcW w:w="1584" w:type="dxa"/>
            <w:tcBorders>
              <w:top w:val="single" w:sz="4" w:space="0" w:color="auto"/>
            </w:tcBorders>
            <w:shd w:val="clear" w:color="auto" w:fill="auto"/>
            <w:noWrap/>
            <w:hideMark/>
          </w:tcPr>
          <w:p w14:paraId="50A4707C" w14:textId="33B42BAF"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67.60</w:t>
            </w:r>
          </w:p>
        </w:tc>
        <w:tc>
          <w:tcPr>
            <w:tcW w:w="1584" w:type="dxa"/>
            <w:tcBorders>
              <w:top w:val="single" w:sz="4" w:space="0" w:color="auto"/>
            </w:tcBorders>
            <w:shd w:val="clear" w:color="auto" w:fill="auto"/>
            <w:noWrap/>
            <w:hideMark/>
          </w:tcPr>
          <w:p w14:paraId="4F7C32F7" w14:textId="21FC9E8F"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22.54</w:t>
            </w:r>
          </w:p>
        </w:tc>
        <w:tc>
          <w:tcPr>
            <w:tcW w:w="1584" w:type="dxa"/>
            <w:tcBorders>
              <w:top w:val="single" w:sz="4" w:space="0" w:color="auto"/>
            </w:tcBorders>
            <w:shd w:val="clear" w:color="auto" w:fill="auto"/>
            <w:noWrap/>
            <w:hideMark/>
          </w:tcPr>
          <w:p w14:paraId="6ABC197A" w14:textId="735BA073"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270.40</w:t>
            </w:r>
          </w:p>
        </w:tc>
        <w:tc>
          <w:tcPr>
            <w:tcW w:w="1584" w:type="dxa"/>
            <w:tcBorders>
              <w:top w:val="single" w:sz="4" w:space="0" w:color="auto"/>
            </w:tcBorders>
            <w:shd w:val="clear" w:color="auto" w:fill="auto"/>
            <w:noWrap/>
            <w:hideMark/>
          </w:tcPr>
          <w:p w14:paraId="4D2A3ECD" w14:textId="1D274714"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247.86</w:t>
            </w:r>
          </w:p>
        </w:tc>
        <w:tc>
          <w:tcPr>
            <w:tcW w:w="1584" w:type="dxa"/>
            <w:tcBorders>
              <w:top w:val="single" w:sz="4" w:space="0" w:color="auto"/>
            </w:tcBorders>
            <w:shd w:val="clear" w:color="auto" w:fill="auto"/>
            <w:noWrap/>
            <w:hideMark/>
          </w:tcPr>
          <w:p w14:paraId="68B8245F" w14:textId="06DE81F1"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single" w:sz="4" w:space="0" w:color="auto"/>
              <w:right w:val="single" w:sz="8" w:space="0" w:color="auto"/>
            </w:tcBorders>
            <w:shd w:val="clear" w:color="auto" w:fill="D9D9D9" w:themeFill="background1" w:themeFillShade="D9"/>
            <w:noWrap/>
            <w:hideMark/>
          </w:tcPr>
          <w:p w14:paraId="7B5851E9" w14:textId="212BAC75"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2,275.85</w:t>
            </w:r>
          </w:p>
        </w:tc>
      </w:tr>
      <w:tr w:rsidR="00B16709" w:rsidRPr="00B16709" w14:paraId="4D3AFDB4" w14:textId="77777777" w:rsidTr="00007A43">
        <w:trPr>
          <w:trHeight w:val="300"/>
        </w:trPr>
        <w:tc>
          <w:tcPr>
            <w:tcW w:w="4410" w:type="dxa"/>
            <w:tcBorders>
              <w:top w:val="nil"/>
              <w:left w:val="nil"/>
              <w:bottom w:val="nil"/>
              <w:right w:val="nil"/>
            </w:tcBorders>
            <w:shd w:val="clear" w:color="auto" w:fill="auto"/>
            <w:vAlign w:val="center"/>
            <w:hideMark/>
          </w:tcPr>
          <w:p w14:paraId="11B2A5F6"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English learners 6-8</w:t>
            </w:r>
          </w:p>
        </w:tc>
        <w:tc>
          <w:tcPr>
            <w:tcW w:w="1584" w:type="dxa"/>
            <w:tcBorders>
              <w:top w:val="nil"/>
              <w:left w:val="single" w:sz="8" w:space="0" w:color="auto"/>
            </w:tcBorders>
            <w:shd w:val="clear" w:color="auto" w:fill="auto"/>
            <w:noWrap/>
            <w:hideMark/>
          </w:tcPr>
          <w:p w14:paraId="0D958A2A" w14:textId="2383B6EF"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94.28</w:t>
            </w:r>
          </w:p>
        </w:tc>
        <w:tc>
          <w:tcPr>
            <w:tcW w:w="1584" w:type="dxa"/>
            <w:tcBorders>
              <w:top w:val="nil"/>
            </w:tcBorders>
            <w:shd w:val="clear" w:color="auto" w:fill="auto"/>
            <w:noWrap/>
            <w:hideMark/>
          </w:tcPr>
          <w:p w14:paraId="3CE21EC9" w14:textId="0F0DABAB"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164.99</w:t>
            </w:r>
          </w:p>
        </w:tc>
        <w:tc>
          <w:tcPr>
            <w:tcW w:w="1584" w:type="dxa"/>
            <w:tcBorders>
              <w:top w:val="nil"/>
            </w:tcBorders>
            <w:shd w:val="clear" w:color="auto" w:fill="auto"/>
            <w:noWrap/>
            <w:hideMark/>
          </w:tcPr>
          <w:p w14:paraId="49C3E155" w14:textId="1A7F857B"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1,154.90</w:t>
            </w:r>
          </w:p>
        </w:tc>
        <w:tc>
          <w:tcPr>
            <w:tcW w:w="1584" w:type="dxa"/>
            <w:tcBorders>
              <w:top w:val="nil"/>
            </w:tcBorders>
            <w:shd w:val="clear" w:color="auto" w:fill="auto"/>
            <w:noWrap/>
            <w:hideMark/>
          </w:tcPr>
          <w:p w14:paraId="7AA84B53" w14:textId="293088A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164.99</w:t>
            </w:r>
          </w:p>
        </w:tc>
        <w:tc>
          <w:tcPr>
            <w:tcW w:w="1584" w:type="dxa"/>
            <w:tcBorders>
              <w:top w:val="nil"/>
            </w:tcBorders>
            <w:shd w:val="clear" w:color="auto" w:fill="auto"/>
            <w:noWrap/>
            <w:hideMark/>
          </w:tcPr>
          <w:p w14:paraId="255E9A01" w14:textId="45F7B873"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47.13</w:t>
            </w:r>
          </w:p>
        </w:tc>
        <w:tc>
          <w:tcPr>
            <w:tcW w:w="1584" w:type="dxa"/>
            <w:tcBorders>
              <w:top w:val="nil"/>
            </w:tcBorders>
            <w:shd w:val="clear" w:color="auto" w:fill="auto"/>
            <w:noWrap/>
            <w:hideMark/>
          </w:tcPr>
          <w:p w14:paraId="3946CCBD" w14:textId="4B6BF3AF"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117.84</w:t>
            </w:r>
          </w:p>
        </w:tc>
        <w:tc>
          <w:tcPr>
            <w:tcW w:w="1584" w:type="dxa"/>
            <w:tcBorders>
              <w:top w:val="nil"/>
            </w:tcBorders>
            <w:shd w:val="clear" w:color="auto" w:fill="auto"/>
            <w:noWrap/>
            <w:hideMark/>
          </w:tcPr>
          <w:p w14:paraId="6C294739" w14:textId="07706D99"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70.71</w:t>
            </w:r>
          </w:p>
        </w:tc>
        <w:tc>
          <w:tcPr>
            <w:tcW w:w="1584" w:type="dxa"/>
            <w:tcBorders>
              <w:top w:val="nil"/>
            </w:tcBorders>
            <w:shd w:val="clear" w:color="auto" w:fill="auto"/>
            <w:noWrap/>
            <w:hideMark/>
          </w:tcPr>
          <w:p w14:paraId="069E4A60" w14:textId="7F294512"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23.57</w:t>
            </w:r>
          </w:p>
        </w:tc>
        <w:tc>
          <w:tcPr>
            <w:tcW w:w="1584" w:type="dxa"/>
            <w:tcBorders>
              <w:top w:val="nil"/>
            </w:tcBorders>
            <w:shd w:val="clear" w:color="auto" w:fill="auto"/>
            <w:noWrap/>
            <w:hideMark/>
          </w:tcPr>
          <w:p w14:paraId="0197F150" w14:textId="6D4BB01C"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282.83</w:t>
            </w:r>
          </w:p>
        </w:tc>
        <w:tc>
          <w:tcPr>
            <w:tcW w:w="1584" w:type="dxa"/>
            <w:tcBorders>
              <w:top w:val="nil"/>
            </w:tcBorders>
            <w:shd w:val="clear" w:color="auto" w:fill="auto"/>
            <w:noWrap/>
            <w:hideMark/>
          </w:tcPr>
          <w:p w14:paraId="3D113286" w14:textId="0BB003A8"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259.26</w:t>
            </w:r>
          </w:p>
        </w:tc>
        <w:tc>
          <w:tcPr>
            <w:tcW w:w="1584" w:type="dxa"/>
            <w:tcBorders>
              <w:top w:val="nil"/>
            </w:tcBorders>
            <w:shd w:val="clear" w:color="auto" w:fill="auto"/>
            <w:noWrap/>
            <w:hideMark/>
          </w:tcPr>
          <w:p w14:paraId="57CC1BD1" w14:textId="7A8903A4"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right w:val="single" w:sz="8" w:space="0" w:color="auto"/>
            </w:tcBorders>
            <w:shd w:val="clear" w:color="auto" w:fill="D9D9D9" w:themeFill="background1" w:themeFillShade="D9"/>
            <w:noWrap/>
            <w:hideMark/>
          </w:tcPr>
          <w:p w14:paraId="4C53FDC3" w14:textId="755DB2F2"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2,380.50</w:t>
            </w:r>
          </w:p>
        </w:tc>
      </w:tr>
      <w:tr w:rsidR="00B16709" w:rsidRPr="00B16709" w14:paraId="7DF75077" w14:textId="77777777" w:rsidTr="00007A43">
        <w:trPr>
          <w:trHeight w:val="300"/>
        </w:trPr>
        <w:tc>
          <w:tcPr>
            <w:tcW w:w="4410" w:type="dxa"/>
            <w:tcBorders>
              <w:top w:val="nil"/>
              <w:left w:val="nil"/>
              <w:bottom w:val="nil"/>
              <w:right w:val="nil"/>
            </w:tcBorders>
            <w:shd w:val="clear" w:color="auto" w:fill="auto"/>
            <w:vAlign w:val="center"/>
            <w:hideMark/>
          </w:tcPr>
          <w:p w14:paraId="6B23B063"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English learners high school</w:t>
            </w:r>
          </w:p>
        </w:tc>
        <w:tc>
          <w:tcPr>
            <w:tcW w:w="1584" w:type="dxa"/>
            <w:tcBorders>
              <w:top w:val="nil"/>
              <w:left w:val="single" w:sz="8" w:space="0" w:color="auto"/>
            </w:tcBorders>
            <w:shd w:val="clear" w:color="auto" w:fill="auto"/>
            <w:noWrap/>
            <w:hideMark/>
          </w:tcPr>
          <w:p w14:paraId="5332C98A" w14:textId="26A6DE3C"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73.59</w:t>
            </w:r>
          </w:p>
        </w:tc>
        <w:tc>
          <w:tcPr>
            <w:tcW w:w="1584" w:type="dxa"/>
            <w:tcBorders>
              <w:top w:val="nil"/>
            </w:tcBorders>
            <w:shd w:val="clear" w:color="auto" w:fill="auto"/>
            <w:noWrap/>
            <w:hideMark/>
          </w:tcPr>
          <w:p w14:paraId="5E6A8B79" w14:textId="6AA8620F"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128.79</w:t>
            </w:r>
          </w:p>
        </w:tc>
        <w:tc>
          <w:tcPr>
            <w:tcW w:w="1584" w:type="dxa"/>
            <w:tcBorders>
              <w:top w:val="nil"/>
            </w:tcBorders>
            <w:shd w:val="clear" w:color="auto" w:fill="auto"/>
            <w:noWrap/>
            <w:hideMark/>
          </w:tcPr>
          <w:p w14:paraId="387580B7" w14:textId="58C6D77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901.48</w:t>
            </w:r>
          </w:p>
        </w:tc>
        <w:tc>
          <w:tcPr>
            <w:tcW w:w="1584" w:type="dxa"/>
            <w:tcBorders>
              <w:top w:val="nil"/>
            </w:tcBorders>
            <w:shd w:val="clear" w:color="auto" w:fill="auto"/>
            <w:noWrap/>
            <w:hideMark/>
          </w:tcPr>
          <w:p w14:paraId="0ED7CB91" w14:textId="5F455117"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128.79</w:t>
            </w:r>
          </w:p>
        </w:tc>
        <w:tc>
          <w:tcPr>
            <w:tcW w:w="1584" w:type="dxa"/>
            <w:tcBorders>
              <w:top w:val="nil"/>
            </w:tcBorders>
            <w:shd w:val="clear" w:color="auto" w:fill="auto"/>
            <w:noWrap/>
            <w:hideMark/>
          </w:tcPr>
          <w:p w14:paraId="07A94069" w14:textId="0144BD2B"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36.79</w:t>
            </w:r>
          </w:p>
        </w:tc>
        <w:tc>
          <w:tcPr>
            <w:tcW w:w="1584" w:type="dxa"/>
            <w:tcBorders>
              <w:top w:val="nil"/>
            </w:tcBorders>
            <w:shd w:val="clear" w:color="auto" w:fill="auto"/>
            <w:noWrap/>
            <w:hideMark/>
          </w:tcPr>
          <w:p w14:paraId="0318C19B" w14:textId="4519DDFB"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91.98</w:t>
            </w:r>
          </w:p>
        </w:tc>
        <w:tc>
          <w:tcPr>
            <w:tcW w:w="1584" w:type="dxa"/>
            <w:tcBorders>
              <w:top w:val="nil"/>
            </w:tcBorders>
            <w:shd w:val="clear" w:color="auto" w:fill="auto"/>
            <w:noWrap/>
            <w:hideMark/>
          </w:tcPr>
          <w:p w14:paraId="67C81965" w14:textId="0C65CB57"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55.19</w:t>
            </w:r>
          </w:p>
        </w:tc>
        <w:tc>
          <w:tcPr>
            <w:tcW w:w="1584" w:type="dxa"/>
            <w:tcBorders>
              <w:top w:val="nil"/>
            </w:tcBorders>
            <w:shd w:val="clear" w:color="auto" w:fill="auto"/>
            <w:noWrap/>
            <w:hideMark/>
          </w:tcPr>
          <w:p w14:paraId="0283197B" w14:textId="38368FC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18.40</w:t>
            </w:r>
          </w:p>
        </w:tc>
        <w:tc>
          <w:tcPr>
            <w:tcW w:w="1584" w:type="dxa"/>
            <w:tcBorders>
              <w:top w:val="nil"/>
            </w:tcBorders>
            <w:shd w:val="clear" w:color="auto" w:fill="auto"/>
            <w:noWrap/>
            <w:hideMark/>
          </w:tcPr>
          <w:p w14:paraId="7A75295F" w14:textId="2037014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220.77</w:t>
            </w:r>
          </w:p>
        </w:tc>
        <w:tc>
          <w:tcPr>
            <w:tcW w:w="1584" w:type="dxa"/>
            <w:tcBorders>
              <w:top w:val="nil"/>
            </w:tcBorders>
            <w:shd w:val="clear" w:color="auto" w:fill="auto"/>
            <w:noWrap/>
            <w:hideMark/>
          </w:tcPr>
          <w:p w14:paraId="7BC1095D" w14:textId="24E37557"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202.37</w:t>
            </w:r>
          </w:p>
        </w:tc>
        <w:tc>
          <w:tcPr>
            <w:tcW w:w="1584" w:type="dxa"/>
            <w:tcBorders>
              <w:top w:val="nil"/>
            </w:tcBorders>
            <w:shd w:val="clear" w:color="auto" w:fill="auto"/>
            <w:noWrap/>
            <w:hideMark/>
          </w:tcPr>
          <w:p w14:paraId="37911C43" w14:textId="451950F7"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right w:val="single" w:sz="8" w:space="0" w:color="auto"/>
            </w:tcBorders>
            <w:shd w:val="clear" w:color="auto" w:fill="D9D9D9" w:themeFill="background1" w:themeFillShade="D9"/>
            <w:noWrap/>
            <w:hideMark/>
          </w:tcPr>
          <w:p w14:paraId="54F60A55" w14:textId="7743DCB5"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1,858.15</w:t>
            </w:r>
          </w:p>
        </w:tc>
      </w:tr>
      <w:tr w:rsidR="00B16709" w:rsidRPr="00B16709" w14:paraId="3E469CDC" w14:textId="77777777" w:rsidTr="00007A43">
        <w:trPr>
          <w:trHeight w:val="300"/>
        </w:trPr>
        <w:tc>
          <w:tcPr>
            <w:tcW w:w="4410" w:type="dxa"/>
            <w:tcBorders>
              <w:top w:val="nil"/>
              <w:left w:val="nil"/>
              <w:bottom w:val="nil"/>
              <w:right w:val="nil"/>
            </w:tcBorders>
            <w:shd w:val="clear" w:color="auto" w:fill="auto"/>
            <w:vAlign w:val="center"/>
            <w:hideMark/>
          </w:tcPr>
          <w:p w14:paraId="13D6F386"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Economically disadvantaged 1</w:t>
            </w:r>
          </w:p>
        </w:tc>
        <w:tc>
          <w:tcPr>
            <w:tcW w:w="1584" w:type="dxa"/>
            <w:tcBorders>
              <w:top w:val="nil"/>
              <w:left w:val="single" w:sz="8" w:space="0" w:color="auto"/>
            </w:tcBorders>
            <w:shd w:val="clear" w:color="auto" w:fill="auto"/>
            <w:noWrap/>
            <w:hideMark/>
          </w:tcPr>
          <w:p w14:paraId="38490CC2" w14:textId="017708D0"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50.98</w:t>
            </w:r>
          </w:p>
        </w:tc>
        <w:tc>
          <w:tcPr>
            <w:tcW w:w="1584" w:type="dxa"/>
            <w:tcBorders>
              <w:top w:val="nil"/>
            </w:tcBorders>
            <w:shd w:val="clear" w:color="auto" w:fill="auto"/>
            <w:noWrap/>
            <w:hideMark/>
          </w:tcPr>
          <w:p w14:paraId="657B4757" w14:textId="4E99CD2F"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241.54</w:t>
            </w:r>
          </w:p>
        </w:tc>
        <w:tc>
          <w:tcPr>
            <w:tcW w:w="1584" w:type="dxa"/>
            <w:tcBorders>
              <w:top w:val="nil"/>
            </w:tcBorders>
            <w:shd w:val="clear" w:color="auto" w:fill="auto"/>
            <w:noWrap/>
            <w:hideMark/>
          </w:tcPr>
          <w:p w14:paraId="456CBEC7" w14:textId="7D6151B3"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2,357.86</w:t>
            </w:r>
          </w:p>
        </w:tc>
        <w:tc>
          <w:tcPr>
            <w:tcW w:w="1584" w:type="dxa"/>
            <w:tcBorders>
              <w:top w:val="nil"/>
            </w:tcBorders>
            <w:shd w:val="clear" w:color="auto" w:fill="auto"/>
            <w:noWrap/>
            <w:hideMark/>
          </w:tcPr>
          <w:p w14:paraId="77DFC0E4" w14:textId="19882C3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5DF7DA8B" w14:textId="18156BA3"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114.39</w:t>
            </w:r>
          </w:p>
        </w:tc>
        <w:tc>
          <w:tcPr>
            <w:tcW w:w="1584" w:type="dxa"/>
            <w:tcBorders>
              <w:top w:val="nil"/>
            </w:tcBorders>
            <w:shd w:val="clear" w:color="auto" w:fill="auto"/>
            <w:noWrap/>
            <w:hideMark/>
          </w:tcPr>
          <w:p w14:paraId="0888001C" w14:textId="08CF1965"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17.54</w:t>
            </w:r>
          </w:p>
        </w:tc>
        <w:tc>
          <w:tcPr>
            <w:tcW w:w="1584" w:type="dxa"/>
            <w:tcBorders>
              <w:top w:val="nil"/>
            </w:tcBorders>
            <w:shd w:val="clear" w:color="auto" w:fill="auto"/>
            <w:noWrap/>
            <w:hideMark/>
          </w:tcPr>
          <w:p w14:paraId="6478DE14" w14:textId="0C0DEE9E"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95.48</w:t>
            </w:r>
          </w:p>
        </w:tc>
        <w:tc>
          <w:tcPr>
            <w:tcW w:w="1584" w:type="dxa"/>
            <w:tcBorders>
              <w:top w:val="nil"/>
            </w:tcBorders>
            <w:shd w:val="clear" w:color="auto" w:fill="auto"/>
            <w:noWrap/>
            <w:hideMark/>
          </w:tcPr>
          <w:p w14:paraId="0BEC900B" w14:textId="0D87DC59"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496.13</w:t>
            </w:r>
          </w:p>
        </w:tc>
        <w:tc>
          <w:tcPr>
            <w:tcW w:w="1584" w:type="dxa"/>
            <w:tcBorders>
              <w:top w:val="nil"/>
            </w:tcBorders>
            <w:shd w:val="clear" w:color="auto" w:fill="auto"/>
            <w:noWrap/>
            <w:hideMark/>
          </w:tcPr>
          <w:p w14:paraId="0D5EA342" w14:textId="301CF79B"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02A9C35E" w14:textId="6253D4C4"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381.40</w:t>
            </w:r>
          </w:p>
        </w:tc>
        <w:tc>
          <w:tcPr>
            <w:tcW w:w="1584" w:type="dxa"/>
            <w:tcBorders>
              <w:top w:val="nil"/>
            </w:tcBorders>
            <w:shd w:val="clear" w:color="auto" w:fill="auto"/>
            <w:noWrap/>
            <w:hideMark/>
          </w:tcPr>
          <w:p w14:paraId="45B89CF4" w14:textId="45164CC7"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right w:val="single" w:sz="8" w:space="0" w:color="auto"/>
            </w:tcBorders>
            <w:shd w:val="clear" w:color="auto" w:fill="D9D9D9" w:themeFill="background1" w:themeFillShade="D9"/>
            <w:noWrap/>
            <w:hideMark/>
          </w:tcPr>
          <w:p w14:paraId="566A1223" w14:textId="038C4583"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3,755.32</w:t>
            </w:r>
          </w:p>
        </w:tc>
      </w:tr>
      <w:tr w:rsidR="00B16709" w:rsidRPr="00B16709" w14:paraId="66418D69" w14:textId="77777777" w:rsidTr="00007A43">
        <w:trPr>
          <w:trHeight w:val="300"/>
        </w:trPr>
        <w:tc>
          <w:tcPr>
            <w:tcW w:w="4410" w:type="dxa"/>
            <w:tcBorders>
              <w:top w:val="nil"/>
              <w:left w:val="nil"/>
              <w:bottom w:val="nil"/>
              <w:right w:val="nil"/>
            </w:tcBorders>
            <w:shd w:val="clear" w:color="auto" w:fill="auto"/>
            <w:vAlign w:val="center"/>
            <w:hideMark/>
          </w:tcPr>
          <w:p w14:paraId="35FC7D16"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Economically disadvantaged 2</w:t>
            </w:r>
          </w:p>
        </w:tc>
        <w:tc>
          <w:tcPr>
            <w:tcW w:w="1584" w:type="dxa"/>
            <w:tcBorders>
              <w:top w:val="nil"/>
              <w:left w:val="single" w:sz="8" w:space="0" w:color="auto"/>
            </w:tcBorders>
            <w:shd w:val="clear" w:color="auto" w:fill="auto"/>
            <w:noWrap/>
            <w:hideMark/>
          </w:tcPr>
          <w:p w14:paraId="325794AD" w14:textId="3753768D"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51.54</w:t>
            </w:r>
          </w:p>
        </w:tc>
        <w:tc>
          <w:tcPr>
            <w:tcW w:w="1584" w:type="dxa"/>
            <w:tcBorders>
              <w:top w:val="nil"/>
            </w:tcBorders>
            <w:shd w:val="clear" w:color="auto" w:fill="auto"/>
            <w:noWrap/>
            <w:hideMark/>
          </w:tcPr>
          <w:p w14:paraId="64EF88F6" w14:textId="18DC3D2C"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244.20</w:t>
            </w:r>
          </w:p>
        </w:tc>
        <w:tc>
          <w:tcPr>
            <w:tcW w:w="1584" w:type="dxa"/>
            <w:tcBorders>
              <w:top w:val="nil"/>
            </w:tcBorders>
            <w:shd w:val="clear" w:color="auto" w:fill="auto"/>
            <w:noWrap/>
            <w:hideMark/>
          </w:tcPr>
          <w:p w14:paraId="54663695" w14:textId="54236E8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2,383.92</w:t>
            </w:r>
          </w:p>
        </w:tc>
        <w:tc>
          <w:tcPr>
            <w:tcW w:w="1584" w:type="dxa"/>
            <w:tcBorders>
              <w:top w:val="nil"/>
            </w:tcBorders>
            <w:shd w:val="clear" w:color="auto" w:fill="auto"/>
            <w:noWrap/>
            <w:hideMark/>
          </w:tcPr>
          <w:p w14:paraId="7048DD93" w14:textId="6E548EC1"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36693C60" w14:textId="3CF56E29"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115.66</w:t>
            </w:r>
          </w:p>
        </w:tc>
        <w:tc>
          <w:tcPr>
            <w:tcW w:w="1584" w:type="dxa"/>
            <w:tcBorders>
              <w:top w:val="nil"/>
            </w:tcBorders>
            <w:shd w:val="clear" w:color="auto" w:fill="auto"/>
            <w:noWrap/>
            <w:hideMark/>
          </w:tcPr>
          <w:p w14:paraId="7E3DFEF8" w14:textId="2E8FF20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17.73</w:t>
            </w:r>
          </w:p>
        </w:tc>
        <w:tc>
          <w:tcPr>
            <w:tcW w:w="1584" w:type="dxa"/>
            <w:tcBorders>
              <w:top w:val="nil"/>
            </w:tcBorders>
            <w:shd w:val="clear" w:color="auto" w:fill="auto"/>
            <w:noWrap/>
            <w:hideMark/>
          </w:tcPr>
          <w:p w14:paraId="2B6B76F7" w14:textId="6345269F"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96.53</w:t>
            </w:r>
          </w:p>
        </w:tc>
        <w:tc>
          <w:tcPr>
            <w:tcW w:w="1584" w:type="dxa"/>
            <w:tcBorders>
              <w:top w:val="nil"/>
            </w:tcBorders>
            <w:shd w:val="clear" w:color="auto" w:fill="auto"/>
            <w:noWrap/>
            <w:hideMark/>
          </w:tcPr>
          <w:p w14:paraId="54BFB9C5" w14:textId="6EE79C6B"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501.61</w:t>
            </w:r>
          </w:p>
        </w:tc>
        <w:tc>
          <w:tcPr>
            <w:tcW w:w="1584" w:type="dxa"/>
            <w:tcBorders>
              <w:top w:val="nil"/>
            </w:tcBorders>
            <w:shd w:val="clear" w:color="auto" w:fill="auto"/>
            <w:noWrap/>
            <w:hideMark/>
          </w:tcPr>
          <w:p w14:paraId="5A46A4D0" w14:textId="46689BF9"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632DAF21" w14:textId="363476E6"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385.62</w:t>
            </w:r>
          </w:p>
        </w:tc>
        <w:tc>
          <w:tcPr>
            <w:tcW w:w="1584" w:type="dxa"/>
            <w:tcBorders>
              <w:top w:val="nil"/>
            </w:tcBorders>
            <w:shd w:val="clear" w:color="auto" w:fill="auto"/>
            <w:noWrap/>
            <w:hideMark/>
          </w:tcPr>
          <w:p w14:paraId="6AA47095" w14:textId="15C22E6C"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right w:val="single" w:sz="8" w:space="0" w:color="auto"/>
            </w:tcBorders>
            <w:shd w:val="clear" w:color="auto" w:fill="D9D9D9" w:themeFill="background1" w:themeFillShade="D9"/>
            <w:noWrap/>
            <w:hideMark/>
          </w:tcPr>
          <w:p w14:paraId="417FFE0A" w14:textId="557BA90B"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3,796.81</w:t>
            </w:r>
          </w:p>
        </w:tc>
      </w:tr>
      <w:tr w:rsidR="00B16709" w:rsidRPr="00B16709" w14:paraId="3C2CF7AE" w14:textId="77777777" w:rsidTr="00007A43">
        <w:trPr>
          <w:trHeight w:val="300"/>
        </w:trPr>
        <w:tc>
          <w:tcPr>
            <w:tcW w:w="4410" w:type="dxa"/>
            <w:tcBorders>
              <w:top w:val="nil"/>
              <w:left w:val="nil"/>
              <w:bottom w:val="nil"/>
              <w:right w:val="nil"/>
            </w:tcBorders>
            <w:shd w:val="clear" w:color="auto" w:fill="auto"/>
            <w:vAlign w:val="center"/>
            <w:hideMark/>
          </w:tcPr>
          <w:p w14:paraId="7BDAF5CB"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Economically disadvantaged 3</w:t>
            </w:r>
          </w:p>
        </w:tc>
        <w:tc>
          <w:tcPr>
            <w:tcW w:w="1584" w:type="dxa"/>
            <w:tcBorders>
              <w:top w:val="nil"/>
              <w:left w:val="single" w:sz="8" w:space="0" w:color="auto"/>
            </w:tcBorders>
            <w:shd w:val="clear" w:color="auto" w:fill="auto"/>
            <w:noWrap/>
            <w:hideMark/>
          </w:tcPr>
          <w:p w14:paraId="1A14683B" w14:textId="0410F39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52.10</w:t>
            </w:r>
          </w:p>
        </w:tc>
        <w:tc>
          <w:tcPr>
            <w:tcW w:w="1584" w:type="dxa"/>
            <w:tcBorders>
              <w:top w:val="nil"/>
            </w:tcBorders>
            <w:shd w:val="clear" w:color="auto" w:fill="auto"/>
            <w:noWrap/>
            <w:hideMark/>
          </w:tcPr>
          <w:p w14:paraId="1BEF6019" w14:textId="195DFDF1"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246.87</w:t>
            </w:r>
          </w:p>
        </w:tc>
        <w:tc>
          <w:tcPr>
            <w:tcW w:w="1584" w:type="dxa"/>
            <w:tcBorders>
              <w:top w:val="nil"/>
            </w:tcBorders>
            <w:shd w:val="clear" w:color="auto" w:fill="auto"/>
            <w:noWrap/>
            <w:hideMark/>
          </w:tcPr>
          <w:p w14:paraId="49466F8E" w14:textId="45E3B35C"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2,409.97</w:t>
            </w:r>
          </w:p>
        </w:tc>
        <w:tc>
          <w:tcPr>
            <w:tcW w:w="1584" w:type="dxa"/>
            <w:tcBorders>
              <w:top w:val="nil"/>
            </w:tcBorders>
            <w:shd w:val="clear" w:color="auto" w:fill="auto"/>
            <w:noWrap/>
            <w:hideMark/>
          </w:tcPr>
          <w:p w14:paraId="2E327793" w14:textId="4B649BB9"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612205D6" w14:textId="6DB6F719"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116.92</w:t>
            </w:r>
          </w:p>
        </w:tc>
        <w:tc>
          <w:tcPr>
            <w:tcW w:w="1584" w:type="dxa"/>
            <w:tcBorders>
              <w:top w:val="nil"/>
            </w:tcBorders>
            <w:shd w:val="clear" w:color="auto" w:fill="auto"/>
            <w:noWrap/>
            <w:hideMark/>
          </w:tcPr>
          <w:p w14:paraId="7146CEDC" w14:textId="1F3273B1"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17.92</w:t>
            </w:r>
          </w:p>
        </w:tc>
        <w:tc>
          <w:tcPr>
            <w:tcW w:w="1584" w:type="dxa"/>
            <w:tcBorders>
              <w:top w:val="nil"/>
            </w:tcBorders>
            <w:shd w:val="clear" w:color="auto" w:fill="auto"/>
            <w:noWrap/>
            <w:hideMark/>
          </w:tcPr>
          <w:p w14:paraId="447AD23F" w14:textId="6D8D1FA5"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97.59</w:t>
            </w:r>
          </w:p>
        </w:tc>
        <w:tc>
          <w:tcPr>
            <w:tcW w:w="1584" w:type="dxa"/>
            <w:tcBorders>
              <w:top w:val="nil"/>
            </w:tcBorders>
            <w:shd w:val="clear" w:color="auto" w:fill="auto"/>
            <w:noWrap/>
            <w:hideMark/>
          </w:tcPr>
          <w:p w14:paraId="36E08C56" w14:textId="5A03EEAE"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507.09</w:t>
            </w:r>
          </w:p>
        </w:tc>
        <w:tc>
          <w:tcPr>
            <w:tcW w:w="1584" w:type="dxa"/>
            <w:tcBorders>
              <w:top w:val="nil"/>
            </w:tcBorders>
            <w:shd w:val="clear" w:color="auto" w:fill="auto"/>
            <w:noWrap/>
            <w:hideMark/>
          </w:tcPr>
          <w:p w14:paraId="5F7483BA" w14:textId="63E87F39"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13EE5129" w14:textId="69658AC4"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389.83</w:t>
            </w:r>
          </w:p>
        </w:tc>
        <w:tc>
          <w:tcPr>
            <w:tcW w:w="1584" w:type="dxa"/>
            <w:tcBorders>
              <w:top w:val="nil"/>
            </w:tcBorders>
            <w:shd w:val="clear" w:color="auto" w:fill="auto"/>
            <w:noWrap/>
            <w:hideMark/>
          </w:tcPr>
          <w:p w14:paraId="38AC5C86" w14:textId="778971F8"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right w:val="single" w:sz="8" w:space="0" w:color="auto"/>
            </w:tcBorders>
            <w:shd w:val="clear" w:color="auto" w:fill="D9D9D9" w:themeFill="background1" w:themeFillShade="D9"/>
            <w:noWrap/>
            <w:hideMark/>
          </w:tcPr>
          <w:p w14:paraId="47665739" w14:textId="6EE61F17"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3,838.29</w:t>
            </w:r>
          </w:p>
        </w:tc>
      </w:tr>
      <w:tr w:rsidR="00B16709" w:rsidRPr="00B16709" w14:paraId="33EC7CFD" w14:textId="77777777" w:rsidTr="00007A43">
        <w:trPr>
          <w:trHeight w:val="300"/>
        </w:trPr>
        <w:tc>
          <w:tcPr>
            <w:tcW w:w="4410" w:type="dxa"/>
            <w:tcBorders>
              <w:top w:val="nil"/>
              <w:left w:val="nil"/>
              <w:bottom w:val="nil"/>
              <w:right w:val="nil"/>
            </w:tcBorders>
            <w:shd w:val="clear" w:color="auto" w:fill="auto"/>
            <w:vAlign w:val="center"/>
            <w:hideMark/>
          </w:tcPr>
          <w:p w14:paraId="24269D1D"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Economically disadvantaged 4</w:t>
            </w:r>
          </w:p>
        </w:tc>
        <w:tc>
          <w:tcPr>
            <w:tcW w:w="1584" w:type="dxa"/>
            <w:tcBorders>
              <w:top w:val="nil"/>
              <w:left w:val="single" w:sz="8" w:space="0" w:color="auto"/>
            </w:tcBorders>
            <w:shd w:val="clear" w:color="auto" w:fill="auto"/>
            <w:noWrap/>
            <w:hideMark/>
          </w:tcPr>
          <w:p w14:paraId="78661F46" w14:textId="0D43BA0F"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52.67</w:t>
            </w:r>
          </w:p>
        </w:tc>
        <w:tc>
          <w:tcPr>
            <w:tcW w:w="1584" w:type="dxa"/>
            <w:tcBorders>
              <w:top w:val="nil"/>
            </w:tcBorders>
            <w:shd w:val="clear" w:color="auto" w:fill="auto"/>
            <w:noWrap/>
            <w:hideMark/>
          </w:tcPr>
          <w:p w14:paraId="00CAB40C" w14:textId="7A4578EF"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249.54</w:t>
            </w:r>
          </w:p>
        </w:tc>
        <w:tc>
          <w:tcPr>
            <w:tcW w:w="1584" w:type="dxa"/>
            <w:tcBorders>
              <w:top w:val="nil"/>
            </w:tcBorders>
            <w:shd w:val="clear" w:color="auto" w:fill="auto"/>
            <w:noWrap/>
            <w:hideMark/>
          </w:tcPr>
          <w:p w14:paraId="7B69EE52" w14:textId="563D5E76"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2,436.03</w:t>
            </w:r>
          </w:p>
        </w:tc>
        <w:tc>
          <w:tcPr>
            <w:tcW w:w="1584" w:type="dxa"/>
            <w:tcBorders>
              <w:top w:val="nil"/>
            </w:tcBorders>
            <w:shd w:val="clear" w:color="auto" w:fill="auto"/>
            <w:noWrap/>
            <w:hideMark/>
          </w:tcPr>
          <w:p w14:paraId="29E8C850" w14:textId="0B5DB59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62596221" w14:textId="250C9B88"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118.18</w:t>
            </w:r>
          </w:p>
        </w:tc>
        <w:tc>
          <w:tcPr>
            <w:tcW w:w="1584" w:type="dxa"/>
            <w:tcBorders>
              <w:top w:val="nil"/>
            </w:tcBorders>
            <w:shd w:val="clear" w:color="auto" w:fill="auto"/>
            <w:noWrap/>
            <w:hideMark/>
          </w:tcPr>
          <w:p w14:paraId="1A166741" w14:textId="6FB767ED"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18.12</w:t>
            </w:r>
          </w:p>
        </w:tc>
        <w:tc>
          <w:tcPr>
            <w:tcW w:w="1584" w:type="dxa"/>
            <w:tcBorders>
              <w:top w:val="nil"/>
            </w:tcBorders>
            <w:shd w:val="clear" w:color="auto" w:fill="auto"/>
            <w:noWrap/>
            <w:hideMark/>
          </w:tcPr>
          <w:p w14:paraId="6883E53A" w14:textId="6A1ADFC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98.64</w:t>
            </w:r>
          </w:p>
        </w:tc>
        <w:tc>
          <w:tcPr>
            <w:tcW w:w="1584" w:type="dxa"/>
            <w:tcBorders>
              <w:top w:val="nil"/>
            </w:tcBorders>
            <w:shd w:val="clear" w:color="auto" w:fill="auto"/>
            <w:noWrap/>
            <w:hideMark/>
          </w:tcPr>
          <w:p w14:paraId="26FDE040" w14:textId="2408296B"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512.57</w:t>
            </w:r>
          </w:p>
        </w:tc>
        <w:tc>
          <w:tcPr>
            <w:tcW w:w="1584" w:type="dxa"/>
            <w:tcBorders>
              <w:top w:val="nil"/>
            </w:tcBorders>
            <w:shd w:val="clear" w:color="auto" w:fill="auto"/>
            <w:noWrap/>
            <w:hideMark/>
          </w:tcPr>
          <w:p w14:paraId="7490CC97" w14:textId="6829A9F6"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7205B8C9" w14:textId="216A3622"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394.05</w:t>
            </w:r>
          </w:p>
        </w:tc>
        <w:tc>
          <w:tcPr>
            <w:tcW w:w="1584" w:type="dxa"/>
            <w:tcBorders>
              <w:top w:val="nil"/>
            </w:tcBorders>
            <w:shd w:val="clear" w:color="auto" w:fill="auto"/>
            <w:noWrap/>
            <w:hideMark/>
          </w:tcPr>
          <w:p w14:paraId="608EE1A4" w14:textId="02AB822F"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right w:val="single" w:sz="8" w:space="0" w:color="auto"/>
            </w:tcBorders>
            <w:shd w:val="clear" w:color="auto" w:fill="D9D9D9" w:themeFill="background1" w:themeFillShade="D9"/>
            <w:noWrap/>
            <w:hideMark/>
          </w:tcPr>
          <w:p w14:paraId="64733CB3" w14:textId="08ADF1A9"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3,879.80</w:t>
            </w:r>
          </w:p>
        </w:tc>
      </w:tr>
      <w:tr w:rsidR="00B16709" w:rsidRPr="00B16709" w14:paraId="0110E381" w14:textId="77777777" w:rsidTr="00007A43">
        <w:trPr>
          <w:trHeight w:val="300"/>
        </w:trPr>
        <w:tc>
          <w:tcPr>
            <w:tcW w:w="4410" w:type="dxa"/>
            <w:tcBorders>
              <w:top w:val="nil"/>
              <w:left w:val="nil"/>
              <w:bottom w:val="nil"/>
              <w:right w:val="nil"/>
            </w:tcBorders>
            <w:shd w:val="clear" w:color="auto" w:fill="auto"/>
            <w:vAlign w:val="center"/>
            <w:hideMark/>
          </w:tcPr>
          <w:p w14:paraId="1283C736"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Economically disadvantaged 5</w:t>
            </w:r>
          </w:p>
        </w:tc>
        <w:tc>
          <w:tcPr>
            <w:tcW w:w="1584" w:type="dxa"/>
            <w:tcBorders>
              <w:top w:val="nil"/>
              <w:left w:val="single" w:sz="8" w:space="0" w:color="auto"/>
            </w:tcBorders>
            <w:shd w:val="clear" w:color="auto" w:fill="auto"/>
            <w:noWrap/>
            <w:hideMark/>
          </w:tcPr>
          <w:p w14:paraId="647E192A" w14:textId="141C96CC"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53.23</w:t>
            </w:r>
          </w:p>
        </w:tc>
        <w:tc>
          <w:tcPr>
            <w:tcW w:w="1584" w:type="dxa"/>
            <w:tcBorders>
              <w:top w:val="nil"/>
            </w:tcBorders>
            <w:shd w:val="clear" w:color="auto" w:fill="auto"/>
            <w:noWrap/>
            <w:hideMark/>
          </w:tcPr>
          <w:p w14:paraId="54984316" w14:textId="27D1D5A3"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252.21</w:t>
            </w:r>
          </w:p>
        </w:tc>
        <w:tc>
          <w:tcPr>
            <w:tcW w:w="1584" w:type="dxa"/>
            <w:tcBorders>
              <w:top w:val="nil"/>
            </w:tcBorders>
            <w:shd w:val="clear" w:color="auto" w:fill="auto"/>
            <w:noWrap/>
            <w:hideMark/>
          </w:tcPr>
          <w:p w14:paraId="7052933B" w14:textId="37FD8806"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2,462.09</w:t>
            </w:r>
          </w:p>
        </w:tc>
        <w:tc>
          <w:tcPr>
            <w:tcW w:w="1584" w:type="dxa"/>
            <w:tcBorders>
              <w:top w:val="nil"/>
            </w:tcBorders>
            <w:shd w:val="clear" w:color="auto" w:fill="auto"/>
            <w:noWrap/>
            <w:hideMark/>
          </w:tcPr>
          <w:p w14:paraId="2AE74262" w14:textId="14581A0C"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04EA7E80" w14:textId="12EC01A6"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119.45</w:t>
            </w:r>
          </w:p>
        </w:tc>
        <w:tc>
          <w:tcPr>
            <w:tcW w:w="1584" w:type="dxa"/>
            <w:tcBorders>
              <w:top w:val="nil"/>
            </w:tcBorders>
            <w:shd w:val="clear" w:color="auto" w:fill="auto"/>
            <w:noWrap/>
            <w:hideMark/>
          </w:tcPr>
          <w:p w14:paraId="3303A042" w14:textId="0307F521"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18.31</w:t>
            </w:r>
          </w:p>
        </w:tc>
        <w:tc>
          <w:tcPr>
            <w:tcW w:w="1584" w:type="dxa"/>
            <w:tcBorders>
              <w:top w:val="nil"/>
            </w:tcBorders>
            <w:shd w:val="clear" w:color="auto" w:fill="auto"/>
            <w:noWrap/>
            <w:hideMark/>
          </w:tcPr>
          <w:p w14:paraId="2D27E0D0" w14:textId="6353B2D3"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99.70</w:t>
            </w:r>
          </w:p>
        </w:tc>
        <w:tc>
          <w:tcPr>
            <w:tcW w:w="1584" w:type="dxa"/>
            <w:tcBorders>
              <w:top w:val="nil"/>
            </w:tcBorders>
            <w:shd w:val="clear" w:color="auto" w:fill="auto"/>
            <w:noWrap/>
            <w:hideMark/>
          </w:tcPr>
          <w:p w14:paraId="6DE8676C" w14:textId="1D003F91"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518.06</w:t>
            </w:r>
          </w:p>
        </w:tc>
        <w:tc>
          <w:tcPr>
            <w:tcW w:w="1584" w:type="dxa"/>
            <w:tcBorders>
              <w:top w:val="nil"/>
            </w:tcBorders>
            <w:shd w:val="clear" w:color="auto" w:fill="auto"/>
            <w:noWrap/>
            <w:hideMark/>
          </w:tcPr>
          <w:p w14:paraId="07D48E9A" w14:textId="2D937245"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006F60DF" w14:textId="0C939DAE"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398.26</w:t>
            </w:r>
          </w:p>
        </w:tc>
        <w:tc>
          <w:tcPr>
            <w:tcW w:w="1584" w:type="dxa"/>
            <w:tcBorders>
              <w:top w:val="nil"/>
            </w:tcBorders>
            <w:shd w:val="clear" w:color="auto" w:fill="auto"/>
            <w:noWrap/>
            <w:hideMark/>
          </w:tcPr>
          <w:p w14:paraId="4BE403F5" w14:textId="1614E32C"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right w:val="single" w:sz="8" w:space="0" w:color="auto"/>
            </w:tcBorders>
            <w:shd w:val="clear" w:color="auto" w:fill="D9D9D9" w:themeFill="background1" w:themeFillShade="D9"/>
            <w:noWrap/>
            <w:hideMark/>
          </w:tcPr>
          <w:p w14:paraId="0578A9A5" w14:textId="3A5BC2FC"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3,921.31</w:t>
            </w:r>
          </w:p>
        </w:tc>
      </w:tr>
      <w:tr w:rsidR="00B16709" w:rsidRPr="00B16709" w14:paraId="54C30ABE" w14:textId="77777777" w:rsidTr="00007A43">
        <w:trPr>
          <w:trHeight w:val="300"/>
        </w:trPr>
        <w:tc>
          <w:tcPr>
            <w:tcW w:w="4410" w:type="dxa"/>
            <w:tcBorders>
              <w:top w:val="nil"/>
              <w:left w:val="nil"/>
              <w:bottom w:val="nil"/>
              <w:right w:val="nil"/>
            </w:tcBorders>
            <w:shd w:val="clear" w:color="auto" w:fill="auto"/>
            <w:vAlign w:val="center"/>
            <w:hideMark/>
          </w:tcPr>
          <w:p w14:paraId="7FF4870E"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Economically disadvantaged 6</w:t>
            </w:r>
          </w:p>
        </w:tc>
        <w:tc>
          <w:tcPr>
            <w:tcW w:w="1584" w:type="dxa"/>
            <w:tcBorders>
              <w:top w:val="nil"/>
              <w:left w:val="single" w:sz="8" w:space="0" w:color="auto"/>
            </w:tcBorders>
            <w:shd w:val="clear" w:color="auto" w:fill="auto"/>
            <w:noWrap/>
            <w:hideMark/>
          </w:tcPr>
          <w:p w14:paraId="62EE10F5" w14:textId="6D5419A2"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56.89</w:t>
            </w:r>
          </w:p>
        </w:tc>
        <w:tc>
          <w:tcPr>
            <w:tcW w:w="1584" w:type="dxa"/>
            <w:tcBorders>
              <w:top w:val="nil"/>
            </w:tcBorders>
            <w:shd w:val="clear" w:color="auto" w:fill="auto"/>
            <w:noWrap/>
            <w:hideMark/>
          </w:tcPr>
          <w:p w14:paraId="620D6988" w14:textId="4E683EC2"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269.52</w:t>
            </w:r>
          </w:p>
        </w:tc>
        <w:tc>
          <w:tcPr>
            <w:tcW w:w="1584" w:type="dxa"/>
            <w:tcBorders>
              <w:top w:val="nil"/>
            </w:tcBorders>
            <w:shd w:val="clear" w:color="auto" w:fill="auto"/>
            <w:noWrap/>
            <w:hideMark/>
          </w:tcPr>
          <w:p w14:paraId="37968124" w14:textId="103C6954"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2,631.09</w:t>
            </w:r>
          </w:p>
        </w:tc>
        <w:tc>
          <w:tcPr>
            <w:tcW w:w="1584" w:type="dxa"/>
            <w:tcBorders>
              <w:top w:val="nil"/>
            </w:tcBorders>
            <w:shd w:val="clear" w:color="auto" w:fill="auto"/>
            <w:noWrap/>
            <w:hideMark/>
          </w:tcPr>
          <w:p w14:paraId="23E509C9" w14:textId="78A16E9D"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24B53757" w14:textId="641D7897"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127.65</w:t>
            </w:r>
          </w:p>
        </w:tc>
        <w:tc>
          <w:tcPr>
            <w:tcW w:w="1584" w:type="dxa"/>
            <w:tcBorders>
              <w:top w:val="nil"/>
            </w:tcBorders>
            <w:shd w:val="clear" w:color="auto" w:fill="auto"/>
            <w:noWrap/>
            <w:hideMark/>
          </w:tcPr>
          <w:p w14:paraId="5718DDD8" w14:textId="59A826ED"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19.57</w:t>
            </w:r>
          </w:p>
        </w:tc>
        <w:tc>
          <w:tcPr>
            <w:tcW w:w="1584" w:type="dxa"/>
            <w:tcBorders>
              <w:top w:val="nil"/>
            </w:tcBorders>
            <w:shd w:val="clear" w:color="auto" w:fill="auto"/>
            <w:noWrap/>
            <w:hideMark/>
          </w:tcPr>
          <w:p w14:paraId="70038E1E" w14:textId="0BAA531D"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106.54</w:t>
            </w:r>
          </w:p>
        </w:tc>
        <w:tc>
          <w:tcPr>
            <w:tcW w:w="1584" w:type="dxa"/>
            <w:tcBorders>
              <w:top w:val="nil"/>
            </w:tcBorders>
            <w:shd w:val="clear" w:color="auto" w:fill="auto"/>
            <w:noWrap/>
            <w:hideMark/>
          </w:tcPr>
          <w:p w14:paraId="53700F41" w14:textId="20433FD3"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553.62</w:t>
            </w:r>
          </w:p>
        </w:tc>
        <w:tc>
          <w:tcPr>
            <w:tcW w:w="1584" w:type="dxa"/>
            <w:tcBorders>
              <w:top w:val="nil"/>
            </w:tcBorders>
            <w:shd w:val="clear" w:color="auto" w:fill="auto"/>
            <w:noWrap/>
            <w:hideMark/>
          </w:tcPr>
          <w:p w14:paraId="0D062248" w14:textId="4EF455A5"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3F5DECB0" w14:textId="0E868C89"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425.60</w:t>
            </w:r>
          </w:p>
        </w:tc>
        <w:tc>
          <w:tcPr>
            <w:tcW w:w="1584" w:type="dxa"/>
            <w:tcBorders>
              <w:top w:val="nil"/>
            </w:tcBorders>
            <w:shd w:val="clear" w:color="auto" w:fill="auto"/>
            <w:noWrap/>
            <w:hideMark/>
          </w:tcPr>
          <w:p w14:paraId="114DEF30" w14:textId="5ACA2555"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right w:val="single" w:sz="8" w:space="0" w:color="auto"/>
            </w:tcBorders>
            <w:shd w:val="clear" w:color="auto" w:fill="D9D9D9" w:themeFill="background1" w:themeFillShade="D9"/>
            <w:noWrap/>
            <w:hideMark/>
          </w:tcPr>
          <w:p w14:paraId="75DDB058" w14:textId="18070540"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4,190.48</w:t>
            </w:r>
          </w:p>
        </w:tc>
      </w:tr>
      <w:tr w:rsidR="00B16709" w:rsidRPr="00B16709" w14:paraId="2A7E0083" w14:textId="77777777" w:rsidTr="00007A43">
        <w:trPr>
          <w:trHeight w:val="300"/>
        </w:trPr>
        <w:tc>
          <w:tcPr>
            <w:tcW w:w="4410" w:type="dxa"/>
            <w:tcBorders>
              <w:top w:val="nil"/>
              <w:left w:val="nil"/>
              <w:bottom w:val="nil"/>
              <w:right w:val="nil"/>
            </w:tcBorders>
            <w:shd w:val="clear" w:color="auto" w:fill="auto"/>
            <w:vAlign w:val="center"/>
            <w:hideMark/>
          </w:tcPr>
          <w:p w14:paraId="597FEEB8"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Economically disadvantaged 7</w:t>
            </w:r>
          </w:p>
        </w:tc>
        <w:tc>
          <w:tcPr>
            <w:tcW w:w="1584" w:type="dxa"/>
            <w:tcBorders>
              <w:top w:val="nil"/>
              <w:left w:val="single" w:sz="8" w:space="0" w:color="auto"/>
            </w:tcBorders>
            <w:shd w:val="clear" w:color="auto" w:fill="auto"/>
            <w:noWrap/>
            <w:hideMark/>
          </w:tcPr>
          <w:p w14:paraId="1BF5DE90" w14:textId="606113C8"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58.24</w:t>
            </w:r>
          </w:p>
        </w:tc>
        <w:tc>
          <w:tcPr>
            <w:tcW w:w="1584" w:type="dxa"/>
            <w:tcBorders>
              <w:top w:val="nil"/>
            </w:tcBorders>
            <w:shd w:val="clear" w:color="auto" w:fill="auto"/>
            <w:noWrap/>
            <w:hideMark/>
          </w:tcPr>
          <w:p w14:paraId="42680C5C" w14:textId="0740CDF4"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275.94</w:t>
            </w:r>
          </w:p>
        </w:tc>
        <w:tc>
          <w:tcPr>
            <w:tcW w:w="1584" w:type="dxa"/>
            <w:tcBorders>
              <w:top w:val="nil"/>
            </w:tcBorders>
            <w:shd w:val="clear" w:color="auto" w:fill="auto"/>
            <w:noWrap/>
            <w:hideMark/>
          </w:tcPr>
          <w:p w14:paraId="2CAEFB4B" w14:textId="5C29CB80"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2,693.72</w:t>
            </w:r>
          </w:p>
        </w:tc>
        <w:tc>
          <w:tcPr>
            <w:tcW w:w="1584" w:type="dxa"/>
            <w:tcBorders>
              <w:top w:val="nil"/>
            </w:tcBorders>
            <w:shd w:val="clear" w:color="auto" w:fill="auto"/>
            <w:noWrap/>
            <w:hideMark/>
          </w:tcPr>
          <w:p w14:paraId="4FEB25DE" w14:textId="4A70E0BD"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0B188347" w14:textId="676A9A6F"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130.69</w:t>
            </w:r>
          </w:p>
        </w:tc>
        <w:tc>
          <w:tcPr>
            <w:tcW w:w="1584" w:type="dxa"/>
            <w:tcBorders>
              <w:top w:val="nil"/>
            </w:tcBorders>
            <w:shd w:val="clear" w:color="auto" w:fill="auto"/>
            <w:noWrap/>
            <w:hideMark/>
          </w:tcPr>
          <w:p w14:paraId="4670F529" w14:textId="7FB3841D"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20.03</w:t>
            </w:r>
          </w:p>
        </w:tc>
        <w:tc>
          <w:tcPr>
            <w:tcW w:w="1584" w:type="dxa"/>
            <w:tcBorders>
              <w:top w:val="nil"/>
            </w:tcBorders>
            <w:shd w:val="clear" w:color="auto" w:fill="auto"/>
            <w:noWrap/>
            <w:hideMark/>
          </w:tcPr>
          <w:p w14:paraId="767A12D6" w14:textId="24E04D0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109.08</w:t>
            </w:r>
          </w:p>
        </w:tc>
        <w:tc>
          <w:tcPr>
            <w:tcW w:w="1584" w:type="dxa"/>
            <w:tcBorders>
              <w:top w:val="nil"/>
            </w:tcBorders>
            <w:shd w:val="clear" w:color="auto" w:fill="auto"/>
            <w:noWrap/>
            <w:hideMark/>
          </w:tcPr>
          <w:p w14:paraId="44319FFE" w14:textId="4BF83FE4"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566.80</w:t>
            </w:r>
          </w:p>
        </w:tc>
        <w:tc>
          <w:tcPr>
            <w:tcW w:w="1584" w:type="dxa"/>
            <w:tcBorders>
              <w:top w:val="nil"/>
            </w:tcBorders>
            <w:shd w:val="clear" w:color="auto" w:fill="auto"/>
            <w:noWrap/>
            <w:hideMark/>
          </w:tcPr>
          <w:p w14:paraId="3ED39DAD" w14:textId="0DB7DDB5"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5754DDD9" w14:textId="61C10DFE"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435.73</w:t>
            </w:r>
          </w:p>
        </w:tc>
        <w:tc>
          <w:tcPr>
            <w:tcW w:w="1584" w:type="dxa"/>
            <w:tcBorders>
              <w:top w:val="nil"/>
            </w:tcBorders>
            <w:shd w:val="clear" w:color="auto" w:fill="auto"/>
            <w:noWrap/>
            <w:hideMark/>
          </w:tcPr>
          <w:p w14:paraId="6DCFAC2A" w14:textId="4642ADAD"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right w:val="single" w:sz="8" w:space="0" w:color="auto"/>
            </w:tcBorders>
            <w:shd w:val="clear" w:color="auto" w:fill="D9D9D9" w:themeFill="background1" w:themeFillShade="D9"/>
            <w:noWrap/>
            <w:hideMark/>
          </w:tcPr>
          <w:p w14:paraId="530CBB65" w14:textId="070DAEF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4,290.23</w:t>
            </w:r>
          </w:p>
        </w:tc>
      </w:tr>
      <w:tr w:rsidR="00B16709" w:rsidRPr="00B16709" w14:paraId="2DDF8109" w14:textId="77777777" w:rsidTr="00007A43">
        <w:trPr>
          <w:trHeight w:val="300"/>
        </w:trPr>
        <w:tc>
          <w:tcPr>
            <w:tcW w:w="4410" w:type="dxa"/>
            <w:tcBorders>
              <w:top w:val="nil"/>
              <w:left w:val="nil"/>
              <w:bottom w:val="nil"/>
              <w:right w:val="nil"/>
            </w:tcBorders>
            <w:shd w:val="clear" w:color="auto" w:fill="auto"/>
            <w:vAlign w:val="center"/>
            <w:hideMark/>
          </w:tcPr>
          <w:p w14:paraId="3EE66DDE"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Economically disadvantaged 8</w:t>
            </w:r>
          </w:p>
        </w:tc>
        <w:tc>
          <w:tcPr>
            <w:tcW w:w="1584" w:type="dxa"/>
            <w:tcBorders>
              <w:top w:val="nil"/>
              <w:left w:val="single" w:sz="8" w:space="0" w:color="auto"/>
            </w:tcBorders>
            <w:shd w:val="clear" w:color="auto" w:fill="auto"/>
            <w:noWrap/>
            <w:hideMark/>
          </w:tcPr>
          <w:p w14:paraId="2911B40B" w14:textId="32FE5A3A"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59.59</w:t>
            </w:r>
          </w:p>
        </w:tc>
        <w:tc>
          <w:tcPr>
            <w:tcW w:w="1584" w:type="dxa"/>
            <w:tcBorders>
              <w:top w:val="nil"/>
            </w:tcBorders>
            <w:shd w:val="clear" w:color="auto" w:fill="auto"/>
            <w:noWrap/>
            <w:hideMark/>
          </w:tcPr>
          <w:p w14:paraId="2734CE08" w14:textId="62D83FC1"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282.36</w:t>
            </w:r>
          </w:p>
        </w:tc>
        <w:tc>
          <w:tcPr>
            <w:tcW w:w="1584" w:type="dxa"/>
            <w:tcBorders>
              <w:top w:val="nil"/>
            </w:tcBorders>
            <w:shd w:val="clear" w:color="auto" w:fill="auto"/>
            <w:noWrap/>
            <w:hideMark/>
          </w:tcPr>
          <w:p w14:paraId="2FD0E00D" w14:textId="1D12C368"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2,756.36</w:t>
            </w:r>
          </w:p>
        </w:tc>
        <w:tc>
          <w:tcPr>
            <w:tcW w:w="1584" w:type="dxa"/>
            <w:tcBorders>
              <w:top w:val="nil"/>
            </w:tcBorders>
            <w:shd w:val="clear" w:color="auto" w:fill="auto"/>
            <w:noWrap/>
            <w:hideMark/>
          </w:tcPr>
          <w:p w14:paraId="7B300FB6" w14:textId="73DF1CA8"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7DD7B3C5" w14:textId="515B5BDB"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133.72</w:t>
            </w:r>
          </w:p>
        </w:tc>
        <w:tc>
          <w:tcPr>
            <w:tcW w:w="1584" w:type="dxa"/>
            <w:tcBorders>
              <w:top w:val="nil"/>
            </w:tcBorders>
            <w:shd w:val="clear" w:color="auto" w:fill="auto"/>
            <w:noWrap/>
            <w:hideMark/>
          </w:tcPr>
          <w:p w14:paraId="57189A1B" w14:textId="38DFC018"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20.50</w:t>
            </w:r>
          </w:p>
        </w:tc>
        <w:tc>
          <w:tcPr>
            <w:tcW w:w="1584" w:type="dxa"/>
            <w:tcBorders>
              <w:top w:val="nil"/>
            </w:tcBorders>
            <w:shd w:val="clear" w:color="auto" w:fill="auto"/>
            <w:noWrap/>
            <w:hideMark/>
          </w:tcPr>
          <w:p w14:paraId="65DCDC4B" w14:textId="7AD922E5"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111.61</w:t>
            </w:r>
          </w:p>
        </w:tc>
        <w:tc>
          <w:tcPr>
            <w:tcW w:w="1584" w:type="dxa"/>
            <w:tcBorders>
              <w:top w:val="nil"/>
            </w:tcBorders>
            <w:shd w:val="clear" w:color="auto" w:fill="auto"/>
            <w:noWrap/>
            <w:hideMark/>
          </w:tcPr>
          <w:p w14:paraId="64FC04F5" w14:textId="771CA4A6"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579.97</w:t>
            </w:r>
          </w:p>
        </w:tc>
        <w:tc>
          <w:tcPr>
            <w:tcW w:w="1584" w:type="dxa"/>
            <w:tcBorders>
              <w:top w:val="nil"/>
            </w:tcBorders>
            <w:shd w:val="clear" w:color="auto" w:fill="auto"/>
            <w:noWrap/>
            <w:hideMark/>
          </w:tcPr>
          <w:p w14:paraId="3357116F" w14:textId="20E55F14"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2E448E6A" w14:textId="1A7D55F7"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445.86</w:t>
            </w:r>
          </w:p>
        </w:tc>
        <w:tc>
          <w:tcPr>
            <w:tcW w:w="1584" w:type="dxa"/>
            <w:tcBorders>
              <w:top w:val="nil"/>
            </w:tcBorders>
            <w:shd w:val="clear" w:color="auto" w:fill="auto"/>
            <w:noWrap/>
            <w:hideMark/>
          </w:tcPr>
          <w:p w14:paraId="1718501A" w14:textId="55579416"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right w:val="single" w:sz="8" w:space="0" w:color="auto"/>
            </w:tcBorders>
            <w:shd w:val="clear" w:color="auto" w:fill="D9D9D9" w:themeFill="background1" w:themeFillShade="D9"/>
            <w:noWrap/>
            <w:hideMark/>
          </w:tcPr>
          <w:p w14:paraId="1AC5B5E3" w14:textId="1BD8E20B"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4,389.97</w:t>
            </w:r>
          </w:p>
        </w:tc>
      </w:tr>
      <w:tr w:rsidR="00B16709" w:rsidRPr="00B16709" w14:paraId="0DC023DC" w14:textId="77777777" w:rsidTr="00007A43">
        <w:trPr>
          <w:trHeight w:val="300"/>
        </w:trPr>
        <w:tc>
          <w:tcPr>
            <w:tcW w:w="4410" w:type="dxa"/>
            <w:tcBorders>
              <w:top w:val="nil"/>
              <w:left w:val="nil"/>
              <w:bottom w:val="nil"/>
              <w:right w:val="nil"/>
            </w:tcBorders>
            <w:shd w:val="clear" w:color="auto" w:fill="auto"/>
            <w:vAlign w:val="center"/>
            <w:hideMark/>
          </w:tcPr>
          <w:p w14:paraId="7265F941"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Economically disadvantaged 9</w:t>
            </w:r>
          </w:p>
        </w:tc>
        <w:tc>
          <w:tcPr>
            <w:tcW w:w="1584" w:type="dxa"/>
            <w:tcBorders>
              <w:top w:val="nil"/>
              <w:left w:val="single" w:sz="8" w:space="0" w:color="auto"/>
            </w:tcBorders>
            <w:shd w:val="clear" w:color="auto" w:fill="auto"/>
            <w:noWrap/>
            <w:hideMark/>
          </w:tcPr>
          <w:p w14:paraId="4D181B4A" w14:textId="6A646F80"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60.95</w:t>
            </w:r>
          </w:p>
        </w:tc>
        <w:tc>
          <w:tcPr>
            <w:tcW w:w="1584" w:type="dxa"/>
            <w:tcBorders>
              <w:top w:val="nil"/>
            </w:tcBorders>
            <w:shd w:val="clear" w:color="auto" w:fill="auto"/>
            <w:noWrap/>
            <w:hideMark/>
          </w:tcPr>
          <w:p w14:paraId="30DBB648" w14:textId="2A16617C"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288.77</w:t>
            </w:r>
          </w:p>
        </w:tc>
        <w:tc>
          <w:tcPr>
            <w:tcW w:w="1584" w:type="dxa"/>
            <w:tcBorders>
              <w:top w:val="nil"/>
            </w:tcBorders>
            <w:shd w:val="clear" w:color="auto" w:fill="auto"/>
            <w:noWrap/>
            <w:hideMark/>
          </w:tcPr>
          <w:p w14:paraId="77ECBE2C" w14:textId="37A69FAC"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2,818.99</w:t>
            </w:r>
          </w:p>
        </w:tc>
        <w:tc>
          <w:tcPr>
            <w:tcW w:w="1584" w:type="dxa"/>
            <w:tcBorders>
              <w:top w:val="nil"/>
            </w:tcBorders>
            <w:shd w:val="clear" w:color="auto" w:fill="auto"/>
            <w:noWrap/>
            <w:hideMark/>
          </w:tcPr>
          <w:p w14:paraId="50488BE7" w14:textId="0E486A38"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0A2C08BE" w14:textId="5939DDFB"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136.76</w:t>
            </w:r>
          </w:p>
        </w:tc>
        <w:tc>
          <w:tcPr>
            <w:tcW w:w="1584" w:type="dxa"/>
            <w:tcBorders>
              <w:top w:val="nil"/>
            </w:tcBorders>
            <w:shd w:val="clear" w:color="auto" w:fill="auto"/>
            <w:noWrap/>
            <w:hideMark/>
          </w:tcPr>
          <w:p w14:paraId="5658231C" w14:textId="1C05D6E1"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20.96</w:t>
            </w:r>
          </w:p>
        </w:tc>
        <w:tc>
          <w:tcPr>
            <w:tcW w:w="1584" w:type="dxa"/>
            <w:tcBorders>
              <w:top w:val="nil"/>
            </w:tcBorders>
            <w:shd w:val="clear" w:color="auto" w:fill="auto"/>
            <w:noWrap/>
            <w:hideMark/>
          </w:tcPr>
          <w:p w14:paraId="0E47CAF5" w14:textId="27113069"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114.15</w:t>
            </w:r>
          </w:p>
        </w:tc>
        <w:tc>
          <w:tcPr>
            <w:tcW w:w="1584" w:type="dxa"/>
            <w:tcBorders>
              <w:top w:val="nil"/>
            </w:tcBorders>
            <w:shd w:val="clear" w:color="auto" w:fill="auto"/>
            <w:noWrap/>
            <w:hideMark/>
          </w:tcPr>
          <w:p w14:paraId="7341CE0D" w14:textId="597AE83C"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593.15</w:t>
            </w:r>
          </w:p>
        </w:tc>
        <w:tc>
          <w:tcPr>
            <w:tcW w:w="1584" w:type="dxa"/>
            <w:tcBorders>
              <w:top w:val="nil"/>
            </w:tcBorders>
            <w:shd w:val="clear" w:color="auto" w:fill="auto"/>
            <w:noWrap/>
            <w:hideMark/>
          </w:tcPr>
          <w:p w14:paraId="3E8AB9A4" w14:textId="5B2C398F"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tcBorders>
            <w:shd w:val="clear" w:color="auto" w:fill="auto"/>
            <w:noWrap/>
            <w:hideMark/>
          </w:tcPr>
          <w:p w14:paraId="6B009839" w14:textId="4AA91524"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455.99</w:t>
            </w:r>
          </w:p>
        </w:tc>
        <w:tc>
          <w:tcPr>
            <w:tcW w:w="1584" w:type="dxa"/>
            <w:tcBorders>
              <w:top w:val="nil"/>
            </w:tcBorders>
            <w:shd w:val="clear" w:color="auto" w:fill="auto"/>
            <w:noWrap/>
            <w:hideMark/>
          </w:tcPr>
          <w:p w14:paraId="10DCC622" w14:textId="539CD906"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right w:val="single" w:sz="8" w:space="0" w:color="auto"/>
            </w:tcBorders>
            <w:shd w:val="clear" w:color="auto" w:fill="D9D9D9" w:themeFill="background1" w:themeFillShade="D9"/>
            <w:noWrap/>
            <w:hideMark/>
          </w:tcPr>
          <w:p w14:paraId="00A9D0E9" w14:textId="433E97F1"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4,489.72</w:t>
            </w:r>
          </w:p>
        </w:tc>
      </w:tr>
      <w:tr w:rsidR="00B16709" w:rsidRPr="00B16709" w14:paraId="30CE37AC" w14:textId="77777777" w:rsidTr="00007A43">
        <w:trPr>
          <w:trHeight w:val="300"/>
        </w:trPr>
        <w:tc>
          <w:tcPr>
            <w:tcW w:w="4410" w:type="dxa"/>
            <w:tcBorders>
              <w:top w:val="nil"/>
              <w:left w:val="nil"/>
              <w:bottom w:val="nil"/>
              <w:right w:val="nil"/>
            </w:tcBorders>
            <w:shd w:val="clear" w:color="auto" w:fill="auto"/>
            <w:vAlign w:val="center"/>
            <w:hideMark/>
          </w:tcPr>
          <w:p w14:paraId="1F2C5EA8" w14:textId="77777777" w:rsidR="00B16709" w:rsidRPr="00007A43" w:rsidRDefault="00B16709" w:rsidP="00B16709">
            <w:pPr>
              <w:rPr>
                <w:rFonts w:asciiTheme="minorHAnsi" w:hAnsiTheme="minorHAnsi" w:cstheme="minorHAnsi"/>
                <w:color w:val="000000"/>
                <w:sz w:val="22"/>
                <w:szCs w:val="22"/>
              </w:rPr>
            </w:pPr>
            <w:r w:rsidRPr="00007A43">
              <w:rPr>
                <w:rFonts w:asciiTheme="minorHAnsi" w:hAnsiTheme="minorHAnsi" w:cstheme="minorHAnsi"/>
                <w:color w:val="000000"/>
                <w:sz w:val="22"/>
                <w:szCs w:val="22"/>
              </w:rPr>
              <w:t>Economically disadvantaged 10</w:t>
            </w:r>
          </w:p>
        </w:tc>
        <w:tc>
          <w:tcPr>
            <w:tcW w:w="1584" w:type="dxa"/>
            <w:tcBorders>
              <w:top w:val="nil"/>
              <w:left w:val="single" w:sz="8" w:space="0" w:color="auto"/>
              <w:bottom w:val="single" w:sz="8" w:space="0" w:color="auto"/>
            </w:tcBorders>
            <w:shd w:val="clear" w:color="auto" w:fill="auto"/>
            <w:noWrap/>
            <w:hideMark/>
          </w:tcPr>
          <w:p w14:paraId="043806B3" w14:textId="5357CD72"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62.30</w:t>
            </w:r>
          </w:p>
        </w:tc>
        <w:tc>
          <w:tcPr>
            <w:tcW w:w="1584" w:type="dxa"/>
            <w:tcBorders>
              <w:top w:val="nil"/>
              <w:bottom w:val="single" w:sz="8" w:space="0" w:color="auto"/>
            </w:tcBorders>
            <w:shd w:val="clear" w:color="auto" w:fill="auto"/>
            <w:noWrap/>
            <w:hideMark/>
          </w:tcPr>
          <w:p w14:paraId="7465AA92" w14:textId="6A716089"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295.19</w:t>
            </w:r>
          </w:p>
        </w:tc>
        <w:tc>
          <w:tcPr>
            <w:tcW w:w="1584" w:type="dxa"/>
            <w:tcBorders>
              <w:top w:val="nil"/>
              <w:bottom w:val="single" w:sz="8" w:space="0" w:color="auto"/>
            </w:tcBorders>
            <w:shd w:val="clear" w:color="auto" w:fill="auto"/>
            <w:noWrap/>
            <w:hideMark/>
          </w:tcPr>
          <w:p w14:paraId="7B4DABAB" w14:textId="1A91449C"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2,881.62</w:t>
            </w:r>
          </w:p>
        </w:tc>
        <w:tc>
          <w:tcPr>
            <w:tcW w:w="1584" w:type="dxa"/>
            <w:tcBorders>
              <w:top w:val="nil"/>
              <w:bottom w:val="single" w:sz="8" w:space="0" w:color="auto"/>
            </w:tcBorders>
            <w:shd w:val="clear" w:color="auto" w:fill="auto"/>
            <w:noWrap/>
            <w:hideMark/>
          </w:tcPr>
          <w:p w14:paraId="6DBFB4AE" w14:textId="5201CA2B"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bottom w:val="single" w:sz="8" w:space="0" w:color="auto"/>
            </w:tcBorders>
            <w:shd w:val="clear" w:color="auto" w:fill="auto"/>
            <w:noWrap/>
            <w:hideMark/>
          </w:tcPr>
          <w:p w14:paraId="6E837743" w14:textId="29B5C7FD"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139.80</w:t>
            </w:r>
          </w:p>
        </w:tc>
        <w:tc>
          <w:tcPr>
            <w:tcW w:w="1584" w:type="dxa"/>
            <w:tcBorders>
              <w:top w:val="nil"/>
              <w:bottom w:val="single" w:sz="8" w:space="0" w:color="auto"/>
            </w:tcBorders>
            <w:shd w:val="clear" w:color="auto" w:fill="auto"/>
            <w:noWrap/>
            <w:hideMark/>
          </w:tcPr>
          <w:p w14:paraId="44832F83" w14:textId="3DC5EBC2"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21.43</w:t>
            </w:r>
          </w:p>
        </w:tc>
        <w:tc>
          <w:tcPr>
            <w:tcW w:w="1584" w:type="dxa"/>
            <w:tcBorders>
              <w:top w:val="nil"/>
              <w:bottom w:val="single" w:sz="8" w:space="0" w:color="auto"/>
            </w:tcBorders>
            <w:shd w:val="clear" w:color="auto" w:fill="auto"/>
            <w:noWrap/>
            <w:hideMark/>
          </w:tcPr>
          <w:p w14:paraId="77C29D43" w14:textId="6CF249D1"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116.69</w:t>
            </w:r>
          </w:p>
        </w:tc>
        <w:tc>
          <w:tcPr>
            <w:tcW w:w="1584" w:type="dxa"/>
            <w:tcBorders>
              <w:top w:val="nil"/>
              <w:bottom w:val="single" w:sz="8" w:space="0" w:color="auto"/>
            </w:tcBorders>
            <w:shd w:val="clear" w:color="auto" w:fill="auto"/>
            <w:noWrap/>
            <w:hideMark/>
          </w:tcPr>
          <w:p w14:paraId="00180A08" w14:textId="2606B6B0"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606.33</w:t>
            </w:r>
          </w:p>
        </w:tc>
        <w:tc>
          <w:tcPr>
            <w:tcW w:w="1584" w:type="dxa"/>
            <w:tcBorders>
              <w:top w:val="nil"/>
              <w:bottom w:val="single" w:sz="8" w:space="0" w:color="auto"/>
            </w:tcBorders>
            <w:shd w:val="clear" w:color="auto" w:fill="auto"/>
            <w:noWrap/>
            <w:hideMark/>
          </w:tcPr>
          <w:p w14:paraId="35457D98" w14:textId="6A9B36CE"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bottom w:val="single" w:sz="8" w:space="0" w:color="auto"/>
            </w:tcBorders>
            <w:shd w:val="clear" w:color="auto" w:fill="auto"/>
            <w:noWrap/>
            <w:hideMark/>
          </w:tcPr>
          <w:p w14:paraId="45EFFBE6" w14:textId="5F9277DE"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466.13</w:t>
            </w:r>
          </w:p>
        </w:tc>
        <w:tc>
          <w:tcPr>
            <w:tcW w:w="1584" w:type="dxa"/>
            <w:tcBorders>
              <w:top w:val="nil"/>
              <w:bottom w:val="single" w:sz="8" w:space="0" w:color="auto"/>
            </w:tcBorders>
            <w:shd w:val="clear" w:color="auto" w:fill="auto"/>
            <w:noWrap/>
            <w:hideMark/>
          </w:tcPr>
          <w:p w14:paraId="229F7934" w14:textId="110D633B"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0.00</w:t>
            </w:r>
          </w:p>
        </w:tc>
        <w:tc>
          <w:tcPr>
            <w:tcW w:w="1584" w:type="dxa"/>
            <w:tcBorders>
              <w:top w:val="nil"/>
              <w:bottom w:val="single" w:sz="8" w:space="0" w:color="auto"/>
              <w:right w:val="single" w:sz="8" w:space="0" w:color="auto"/>
            </w:tcBorders>
            <w:shd w:val="clear" w:color="auto" w:fill="D9D9D9" w:themeFill="background1" w:themeFillShade="D9"/>
            <w:noWrap/>
            <w:hideMark/>
          </w:tcPr>
          <w:p w14:paraId="5AF980C7" w14:textId="49A49145" w:rsidR="00B16709" w:rsidRPr="00007A43" w:rsidRDefault="00B16709" w:rsidP="00B16709">
            <w:pPr>
              <w:jc w:val="right"/>
              <w:rPr>
                <w:rFonts w:asciiTheme="minorHAnsi" w:hAnsiTheme="minorHAnsi" w:cstheme="minorHAnsi"/>
                <w:color w:val="000000"/>
                <w:sz w:val="22"/>
                <w:szCs w:val="22"/>
              </w:rPr>
            </w:pPr>
            <w:r w:rsidRPr="00007A43">
              <w:rPr>
                <w:rFonts w:asciiTheme="minorHAnsi" w:hAnsiTheme="minorHAnsi" w:cstheme="minorHAnsi"/>
                <w:sz w:val="22"/>
                <w:szCs w:val="22"/>
              </w:rPr>
              <w:t>4,589.49</w:t>
            </w:r>
          </w:p>
        </w:tc>
      </w:tr>
    </w:tbl>
    <w:p w14:paraId="5C4E97E4" w14:textId="77777777" w:rsidR="00462C30" w:rsidRPr="00462C30" w:rsidRDefault="00462C30" w:rsidP="00462C30"/>
    <w:p w14:paraId="6F4F1B1C" w14:textId="74E3BD9C" w:rsidR="00656EA4" w:rsidRDefault="00656EA4"/>
    <w:sectPr w:rsidR="00656EA4" w:rsidSect="00676F8F">
      <w:footerReference w:type="default" r:id="rId24"/>
      <w:pgSz w:w="24480" w:h="15840" w:orient="landscape" w:code="3"/>
      <w:pgMar w:top="1440" w:right="1440" w:bottom="1440" w:left="44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0748B" w14:textId="77777777" w:rsidR="004E53E6" w:rsidRDefault="004E53E6" w:rsidP="00FD2C86">
      <w:r>
        <w:separator/>
      </w:r>
    </w:p>
  </w:endnote>
  <w:endnote w:type="continuationSeparator" w:id="0">
    <w:p w14:paraId="7A0189B8" w14:textId="77777777" w:rsidR="004E53E6" w:rsidRDefault="004E53E6"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289565"/>
      <w:docPartObj>
        <w:docPartGallery w:val="Page Numbers (Bottom of Page)"/>
        <w:docPartUnique/>
      </w:docPartObj>
    </w:sdtPr>
    <w:sdtEndPr>
      <w:rPr>
        <w:noProof/>
      </w:rPr>
    </w:sdtEndPr>
    <w:sdtContent>
      <w:p w14:paraId="45DE36C6" w14:textId="659176DA" w:rsidR="00E1509F" w:rsidRDefault="00E1509F">
        <w:pPr>
          <w:pStyle w:val="Footer"/>
          <w:jc w:val="right"/>
        </w:pPr>
        <w:r>
          <w:fldChar w:fldCharType="begin"/>
        </w:r>
        <w:r>
          <w:instrText xml:space="preserve"> PAGE   \* MERGEFORMAT </w:instrText>
        </w:r>
        <w:r>
          <w:fldChar w:fldCharType="separate"/>
        </w:r>
        <w:r w:rsidR="00FD7600">
          <w:rPr>
            <w:noProof/>
          </w:rPr>
          <w:t>15</w:t>
        </w:r>
        <w:r>
          <w:rPr>
            <w:noProof/>
          </w:rPr>
          <w:fldChar w:fldCharType="end"/>
        </w:r>
      </w:p>
    </w:sdtContent>
  </w:sdt>
  <w:p w14:paraId="17B8B1A6" w14:textId="77777777" w:rsidR="00E1509F" w:rsidRDefault="00E15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016102"/>
      <w:docPartObj>
        <w:docPartGallery w:val="Page Numbers (Bottom of Page)"/>
        <w:docPartUnique/>
      </w:docPartObj>
    </w:sdtPr>
    <w:sdtEndPr>
      <w:rPr>
        <w:noProof/>
      </w:rPr>
    </w:sdtEndPr>
    <w:sdtContent>
      <w:p w14:paraId="749BD5A6" w14:textId="4EC8FFAA" w:rsidR="00E1509F" w:rsidRDefault="00E1509F">
        <w:pPr>
          <w:pStyle w:val="Footer"/>
          <w:jc w:val="right"/>
        </w:pPr>
        <w:r>
          <w:fldChar w:fldCharType="begin"/>
        </w:r>
        <w:r>
          <w:instrText xml:space="preserve"> PAGE   \* MERGEFORMAT </w:instrText>
        </w:r>
        <w:r>
          <w:fldChar w:fldCharType="separate"/>
        </w:r>
        <w:r w:rsidR="00FD7600">
          <w:rPr>
            <w:noProof/>
          </w:rPr>
          <w:t>16</w:t>
        </w:r>
        <w:r>
          <w:rPr>
            <w:noProof/>
          </w:rPr>
          <w:fldChar w:fldCharType="end"/>
        </w:r>
      </w:p>
    </w:sdtContent>
  </w:sdt>
  <w:p w14:paraId="236D8292" w14:textId="7112ADA0" w:rsidR="00E1509F" w:rsidRDefault="00E1509F"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AA430" w14:textId="77777777" w:rsidR="004E53E6" w:rsidRDefault="004E53E6" w:rsidP="00FD2C86">
      <w:r>
        <w:separator/>
      </w:r>
    </w:p>
  </w:footnote>
  <w:footnote w:type="continuationSeparator" w:id="0">
    <w:p w14:paraId="58CEE289" w14:textId="77777777" w:rsidR="004E53E6" w:rsidRDefault="004E53E6" w:rsidP="00FD2C86">
      <w:r>
        <w:continuationSeparator/>
      </w:r>
    </w:p>
  </w:footnote>
  <w:footnote w:id="1">
    <w:p w14:paraId="48ED9F76" w14:textId="056D00F3" w:rsidR="00E1509F" w:rsidRPr="00257C71" w:rsidRDefault="00E1509F" w:rsidP="00305D19">
      <w:pPr>
        <w:pStyle w:val="FootnoteText"/>
        <w:tabs>
          <w:tab w:val="left" w:pos="180"/>
        </w:tabs>
        <w:ind w:left="180" w:hanging="180"/>
        <w:rPr>
          <w:i/>
        </w:rPr>
      </w:pPr>
      <w:r>
        <w:rPr>
          <w:rStyle w:val="FootnoteReference"/>
        </w:rPr>
        <w:footnoteRef/>
      </w:r>
      <w:r>
        <w:t xml:space="preserve"> </w:t>
      </w:r>
      <w:r>
        <w:tab/>
      </w:r>
      <w:r>
        <w:rPr>
          <w:i/>
        </w:rPr>
        <w:t xml:space="preserve">Every Child a Winner, </w:t>
      </w:r>
      <w:r w:rsidRPr="00257C71">
        <w:t>Mass</w:t>
      </w:r>
      <w:r>
        <w:t>achusetts Business Alliance for Education (MBAE), 1991.</w:t>
      </w:r>
      <w:r>
        <w:rPr>
          <w:i/>
        </w:rPr>
        <w:t xml:space="preserve"> </w:t>
      </w:r>
      <w:hyperlink r:id="rId1" w:history="1">
        <w:r w:rsidRPr="00801B87">
          <w:rPr>
            <w:rStyle w:val="Hyperlink"/>
          </w:rPr>
          <w:t>http://www.mbae.org/every-child-a-winner/</w:t>
        </w:r>
      </w:hyperlink>
      <w:r>
        <w:t xml:space="preserve"> </w:t>
      </w:r>
    </w:p>
  </w:footnote>
  <w:footnote w:id="2">
    <w:p w14:paraId="5F0B5DC3" w14:textId="115142EE" w:rsidR="00E1509F" w:rsidRDefault="00E1509F" w:rsidP="00305D19">
      <w:pPr>
        <w:pStyle w:val="FootnoteText"/>
        <w:tabs>
          <w:tab w:val="left" w:pos="180"/>
        </w:tabs>
        <w:ind w:left="180" w:hanging="180"/>
      </w:pPr>
      <w:r>
        <w:rPr>
          <w:rStyle w:val="FootnoteReference"/>
        </w:rPr>
        <w:footnoteRef/>
      </w:r>
      <w:r>
        <w:t xml:space="preserve"> </w:t>
      </w:r>
      <w:r>
        <w:tab/>
        <w:t xml:space="preserve">The State Constitutional Mandate for Education: The McDuffy and Hancock Decisions </w:t>
      </w:r>
      <w:hyperlink r:id="rId2" w:history="1">
        <w:r w:rsidRPr="00801B87">
          <w:rPr>
            <w:rStyle w:val="Hyperlink"/>
          </w:rPr>
          <w:t>http://www.doe.mass.edu/lawsregs/litigation/mcduffy_hancock.html</w:t>
        </w:r>
      </w:hyperlink>
      <w:r>
        <w:t xml:space="preserve"> </w:t>
      </w:r>
    </w:p>
  </w:footnote>
  <w:footnote w:id="3">
    <w:p w14:paraId="5218F142" w14:textId="19E3B259" w:rsidR="00E1509F" w:rsidRDefault="00E1509F" w:rsidP="00305D19">
      <w:pPr>
        <w:pStyle w:val="FootnoteText"/>
        <w:tabs>
          <w:tab w:val="left" w:pos="180"/>
        </w:tabs>
        <w:ind w:left="180" w:hanging="180"/>
      </w:pPr>
      <w:r>
        <w:rPr>
          <w:rStyle w:val="FootnoteReference"/>
        </w:rPr>
        <w:footnoteRef/>
      </w:r>
      <w:r>
        <w:t xml:space="preserve"> </w:t>
      </w:r>
      <w:r>
        <w:tab/>
        <w:t xml:space="preserve">Building on 20 Years of Massachusetts Education Reform </w:t>
      </w:r>
      <w:hyperlink r:id="rId3" w:history="1">
        <w:r w:rsidRPr="00801B87">
          <w:rPr>
            <w:rStyle w:val="Hyperlink"/>
          </w:rPr>
          <w:t>http://www.doe.mass.edu/commissioner/BuildingOnReform.pdf</w:t>
        </w:r>
      </w:hyperlink>
      <w:r>
        <w:t xml:space="preserve"> </w:t>
      </w:r>
    </w:p>
  </w:footnote>
  <w:footnote w:id="4">
    <w:p w14:paraId="58923E74" w14:textId="77777777" w:rsidR="00E1509F" w:rsidRDefault="00E1509F" w:rsidP="00604BAD">
      <w:pPr>
        <w:pStyle w:val="FootnoteText"/>
        <w:tabs>
          <w:tab w:val="left" w:pos="180"/>
        </w:tabs>
        <w:ind w:left="180" w:hanging="180"/>
      </w:pPr>
      <w:r>
        <w:rPr>
          <w:rStyle w:val="FootnoteReference"/>
        </w:rPr>
        <w:footnoteRef/>
      </w:r>
      <w:r>
        <w:t xml:space="preserve"> </w:t>
      </w:r>
      <w:r>
        <w:tab/>
        <w:t>For foundation enrollment, resident students also include Horace Mann charter students, and foreign exchange students (who do not pay tuition).</w:t>
      </w:r>
    </w:p>
  </w:footnote>
  <w:footnote w:id="5">
    <w:p w14:paraId="01919F02" w14:textId="48288655" w:rsidR="00E1509F" w:rsidRDefault="00E1509F" w:rsidP="00305D19">
      <w:pPr>
        <w:pStyle w:val="FootnoteText"/>
        <w:tabs>
          <w:tab w:val="left" w:pos="180"/>
        </w:tabs>
        <w:ind w:left="180" w:hanging="180"/>
      </w:pPr>
      <w:r>
        <w:rPr>
          <w:rStyle w:val="FootnoteReference"/>
        </w:rPr>
        <w:footnoteRef/>
      </w:r>
      <w:r>
        <w:t xml:space="preserve"> </w:t>
      </w:r>
      <w:r>
        <w:tab/>
        <w:t>Special education pupils in life-skills and similar programs beyond the 9–12 curriculum are listed as being in grade 13 and counted as high school students.</w:t>
      </w:r>
    </w:p>
  </w:footnote>
  <w:footnote w:id="6">
    <w:p w14:paraId="00ECAFAF" w14:textId="77777777" w:rsidR="00E1509F" w:rsidRDefault="00E1509F" w:rsidP="00F2781A">
      <w:pPr>
        <w:pStyle w:val="FootnoteText"/>
        <w:tabs>
          <w:tab w:val="left" w:pos="180"/>
        </w:tabs>
        <w:ind w:left="180" w:hanging="180"/>
      </w:pPr>
      <w:r>
        <w:rPr>
          <w:rStyle w:val="FootnoteReference"/>
        </w:rPr>
        <w:footnoteRef/>
      </w:r>
      <w:r>
        <w:t xml:space="preserve"> </w:t>
      </w:r>
      <w:r>
        <w:tab/>
        <w:t>If a town is a member of a regional vocational district, its resident pupils at that district are not counted in local district enrollment. The vocational district reports those pupils and Chapter 70 aid goes directly to the vocational district. Post-graduate and post-secondary pupils in programs run by vocational districts may be counted if they pay less than the state-approved tuition rate.</w:t>
      </w:r>
    </w:p>
  </w:footnote>
  <w:footnote w:id="7">
    <w:p w14:paraId="7A48B667" w14:textId="77777777" w:rsidR="00E1509F" w:rsidRPr="004E0CE9" w:rsidRDefault="00E1509F" w:rsidP="004C4643">
      <w:pPr>
        <w:tabs>
          <w:tab w:val="left" w:pos="180"/>
        </w:tabs>
        <w:autoSpaceDE w:val="0"/>
        <w:autoSpaceDN w:val="0"/>
        <w:adjustRightInd w:val="0"/>
        <w:ind w:left="180" w:hanging="180"/>
        <w:rPr>
          <w:rFonts w:asciiTheme="minorHAnsi" w:hAnsiTheme="minorHAnsi" w:cstheme="minorHAnsi"/>
          <w:sz w:val="20"/>
          <w:szCs w:val="20"/>
        </w:rPr>
      </w:pPr>
      <w:r>
        <w:rPr>
          <w:rStyle w:val="FootnoteReference"/>
        </w:rPr>
        <w:footnoteRef/>
      </w:r>
      <w:r>
        <w:t xml:space="preserve"> </w:t>
      </w:r>
      <w:r>
        <w:tab/>
      </w:r>
      <w:r w:rsidRPr="004E0CE9">
        <w:rPr>
          <w:rFonts w:asciiTheme="minorHAnsi" w:hAnsiTheme="minorHAnsi" w:cstheme="minorHAnsi"/>
          <w:sz w:val="20"/>
          <w:szCs w:val="20"/>
        </w:rPr>
        <w:t>Verstegen, D. A. (2014) “Policy Brief: How Do States Pay for Schools? An Update of a 50-State Survey of Finance Policies and Programs.</w:t>
      </w:r>
      <w:r>
        <w:rPr>
          <w:rFonts w:asciiTheme="minorHAnsi" w:hAnsiTheme="minorHAnsi" w:cstheme="minorHAnsi"/>
          <w:sz w:val="20"/>
          <w:szCs w:val="20"/>
        </w:rPr>
        <w:t>”</w:t>
      </w:r>
      <w:r w:rsidRPr="004E0CE9">
        <w:rPr>
          <w:rFonts w:asciiTheme="minorHAnsi" w:hAnsiTheme="minorHAnsi" w:cstheme="minorHAnsi"/>
          <w:sz w:val="20"/>
          <w:szCs w:val="20"/>
        </w:rPr>
        <w:t xml:space="preserve"> Association for Education Finance and Policy Annual Conference. Retrieved 6/8/2016, from </w:t>
      </w:r>
      <w:hyperlink r:id="rId4" w:history="1">
        <w:r w:rsidRPr="000B79AF">
          <w:rPr>
            <w:rStyle w:val="Hyperlink"/>
            <w:rFonts w:asciiTheme="minorHAnsi" w:hAnsiTheme="minorHAnsi" w:cstheme="minorHAnsi"/>
            <w:sz w:val="20"/>
            <w:szCs w:val="20"/>
          </w:rPr>
          <w:t>https://schoolfinancesdav.files.wordpress.com/2014/04/aefp-50-stateaidsystems.pdf</w:t>
        </w:r>
      </w:hyperlink>
      <w:r>
        <w:rPr>
          <w:rFonts w:asciiTheme="minorHAnsi" w:hAnsiTheme="minorHAnsi" w:cstheme="minorHAnsi"/>
          <w:sz w:val="20"/>
          <w:szCs w:val="20"/>
        </w:rPr>
        <w:t xml:space="preserve">. </w:t>
      </w:r>
      <w:r w:rsidRPr="004E0CE9">
        <w:rPr>
          <w:rFonts w:asciiTheme="minorHAnsi" w:hAnsiTheme="minorHAnsi" w:cstheme="minorHAnsi"/>
          <w:sz w:val="20"/>
          <w:szCs w:val="20"/>
        </w:rPr>
        <w:t>As of 2014, eight other states used a census-based approach similar to Massachusetts</w:t>
      </w:r>
      <w:r>
        <w:rPr>
          <w:rFonts w:asciiTheme="minorHAnsi" w:hAnsiTheme="minorHAnsi" w:cstheme="minorHAnsi"/>
          <w:sz w:val="20"/>
          <w:szCs w:val="20"/>
        </w:rPr>
        <w:t xml:space="preserve">. </w:t>
      </w:r>
    </w:p>
  </w:footnote>
  <w:footnote w:id="8">
    <w:p w14:paraId="11026D9D" w14:textId="526E18C1" w:rsidR="00E1509F" w:rsidRDefault="00E1509F" w:rsidP="00061975">
      <w:pPr>
        <w:pStyle w:val="FootnoteText"/>
        <w:tabs>
          <w:tab w:val="left" w:pos="180"/>
        </w:tabs>
        <w:ind w:left="180" w:hanging="180"/>
      </w:pPr>
      <w:r>
        <w:rPr>
          <w:rStyle w:val="FootnoteReference"/>
        </w:rPr>
        <w:footnoteRef/>
      </w:r>
      <w:r>
        <w:t xml:space="preserve"> </w:t>
      </w:r>
      <w:r>
        <w:tab/>
        <w:t xml:space="preserve">Line 26, </w:t>
      </w:r>
      <w:r w:rsidRPr="00275A52">
        <w:t>Table 1.1.9. Implicit Price Deflators for Gross Domestic Product</w:t>
      </w:r>
      <w:r>
        <w:t xml:space="preserve">, Bureau of Economic Analysis: </w:t>
      </w:r>
      <w:hyperlink r:id="rId5" w:history="1">
        <w:r w:rsidRPr="000F7A4C">
          <w:rPr>
            <w:rStyle w:val="Hyperlink"/>
          </w:rPr>
          <w:t>https://apps.bea.gov/iTable/iTable.cfm?reqid=19&amp;step=3&amp;isuri=1&amp;1921=survey&amp;1903=13</w:t>
        </w:r>
      </w:hyperlink>
      <w:r>
        <w:t xml:space="preserve"> </w:t>
      </w:r>
    </w:p>
    <w:p w14:paraId="4B8DD96E" w14:textId="64B8891D" w:rsidR="00E1509F" w:rsidRDefault="00E1509F" w:rsidP="00727324">
      <w:pPr>
        <w:pStyle w:val="FootnoteText"/>
        <w:tabs>
          <w:tab w:val="left" w:pos="180"/>
        </w:tabs>
        <w:ind w:left="180" w:hanging="180"/>
      </w:pPr>
      <w:r>
        <w:tab/>
        <w:t>Chapter 70 relies on the December 2018 data release.</w:t>
      </w:r>
    </w:p>
  </w:footnote>
  <w:footnote w:id="9">
    <w:p w14:paraId="2533D4F0" w14:textId="77777777" w:rsidR="00E1509F" w:rsidRDefault="00E1509F" w:rsidP="008A4024">
      <w:pPr>
        <w:pStyle w:val="FootnoteText"/>
        <w:rPr>
          <w:rFonts w:cs="Arial"/>
        </w:rPr>
      </w:pPr>
      <w:r>
        <w:rPr>
          <w:rStyle w:val="FootnoteReference"/>
        </w:rPr>
        <w:footnoteRef/>
      </w:r>
      <w:r>
        <w:t xml:space="preserve"> </w:t>
      </w:r>
      <w:r>
        <w:rPr>
          <w:rFonts w:cs="Arial"/>
        </w:rPr>
        <w:t>The wage factor is not applied to instructional equipment, employee benefits, or special education tuition.</w:t>
      </w:r>
    </w:p>
    <w:p w14:paraId="507CB7CE" w14:textId="77777777" w:rsidR="00E1509F" w:rsidRDefault="00E1509F" w:rsidP="008A4024">
      <w:pPr>
        <w:pStyle w:val="FootnoteText"/>
        <w:rPr>
          <w:rFonts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BC6CFE"/>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4E101B"/>
    <w:multiLevelType w:val="hybridMultilevel"/>
    <w:tmpl w:val="0A26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6CBA"/>
    <w:multiLevelType w:val="multilevel"/>
    <w:tmpl w:val="75C22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968A8"/>
    <w:multiLevelType w:val="multilevel"/>
    <w:tmpl w:val="7DF22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A379B"/>
    <w:multiLevelType w:val="multilevel"/>
    <w:tmpl w:val="1B722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D240D"/>
    <w:multiLevelType w:val="hybridMultilevel"/>
    <w:tmpl w:val="7480A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0C2B"/>
    <w:multiLevelType w:val="hybridMultilevel"/>
    <w:tmpl w:val="E22C3B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B5E30"/>
    <w:multiLevelType w:val="hybridMultilevel"/>
    <w:tmpl w:val="61C6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E1AAF"/>
    <w:multiLevelType w:val="hybridMultilevel"/>
    <w:tmpl w:val="B3E6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103C1"/>
    <w:multiLevelType w:val="hybridMultilevel"/>
    <w:tmpl w:val="44F0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2029B"/>
    <w:multiLevelType w:val="hybridMultilevel"/>
    <w:tmpl w:val="540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56F50"/>
    <w:multiLevelType w:val="hybridMultilevel"/>
    <w:tmpl w:val="50D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97D80"/>
    <w:multiLevelType w:val="hybridMultilevel"/>
    <w:tmpl w:val="C692530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342524DC"/>
    <w:multiLevelType w:val="hybridMultilevel"/>
    <w:tmpl w:val="7464A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D6473FF"/>
    <w:multiLevelType w:val="hybridMultilevel"/>
    <w:tmpl w:val="B8F4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A2B9D"/>
    <w:multiLevelType w:val="hybridMultilevel"/>
    <w:tmpl w:val="AE5CA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4B90"/>
    <w:multiLevelType w:val="multilevel"/>
    <w:tmpl w:val="24DC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9"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1D7716"/>
    <w:multiLevelType w:val="multilevel"/>
    <w:tmpl w:val="8E34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811889"/>
    <w:multiLevelType w:val="hybridMultilevel"/>
    <w:tmpl w:val="2772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593955"/>
    <w:multiLevelType w:val="hybridMultilevel"/>
    <w:tmpl w:val="4F12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D2CED"/>
    <w:multiLevelType w:val="hybridMultilevel"/>
    <w:tmpl w:val="6A081094"/>
    <w:lvl w:ilvl="0" w:tplc="7B749B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323E6B"/>
    <w:multiLevelType w:val="hybridMultilevel"/>
    <w:tmpl w:val="BB36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F74F0F"/>
    <w:multiLevelType w:val="hybridMultilevel"/>
    <w:tmpl w:val="8424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04822"/>
    <w:multiLevelType w:val="hybridMultilevel"/>
    <w:tmpl w:val="0C90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E700063"/>
    <w:multiLevelType w:val="hybridMultilevel"/>
    <w:tmpl w:val="F92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19"/>
  </w:num>
  <w:num w:numId="4">
    <w:abstractNumId w:val="18"/>
  </w:num>
  <w:num w:numId="5">
    <w:abstractNumId w:val="14"/>
  </w:num>
  <w:num w:numId="6">
    <w:abstractNumId w:val="24"/>
  </w:num>
  <w:num w:numId="7">
    <w:abstractNumId w:val="20"/>
  </w:num>
  <w:num w:numId="8">
    <w:abstractNumId w:val="4"/>
  </w:num>
  <w:num w:numId="9">
    <w:abstractNumId w:val="2"/>
  </w:num>
  <w:num w:numId="10">
    <w:abstractNumId w:val="17"/>
  </w:num>
  <w:num w:numId="11">
    <w:abstractNumId w:val="22"/>
  </w:num>
  <w:num w:numId="12">
    <w:abstractNumId w:val="7"/>
  </w:num>
  <w:num w:numId="13">
    <w:abstractNumId w:val="9"/>
  </w:num>
  <w:num w:numId="14">
    <w:abstractNumId w:val="23"/>
  </w:num>
  <w:num w:numId="15">
    <w:abstractNumId w:val="12"/>
  </w:num>
  <w:num w:numId="16">
    <w:abstractNumId w:val="26"/>
  </w:num>
  <w:num w:numId="17">
    <w:abstractNumId w:val="8"/>
  </w:num>
  <w:num w:numId="18">
    <w:abstractNumId w:val="29"/>
  </w:num>
  <w:num w:numId="19">
    <w:abstractNumId w:val="10"/>
  </w:num>
  <w:num w:numId="20">
    <w:abstractNumId w:val="27"/>
  </w:num>
  <w:num w:numId="21">
    <w:abstractNumId w:val="1"/>
  </w:num>
  <w:num w:numId="22">
    <w:abstractNumId w:val="25"/>
  </w:num>
  <w:num w:numId="23">
    <w:abstractNumId w:val="5"/>
  </w:num>
  <w:num w:numId="24">
    <w:abstractNumId w:val="6"/>
  </w:num>
  <w:num w:numId="25">
    <w:abstractNumId w:val="11"/>
  </w:num>
  <w:num w:numId="26">
    <w:abstractNumId w:val="13"/>
  </w:num>
  <w:num w:numId="27">
    <w:abstractNumId w:val="21"/>
  </w:num>
  <w:num w:numId="28">
    <w:abstractNumId w:val="15"/>
  </w:num>
  <w:num w:numId="29">
    <w:abstractNumId w:val="3"/>
  </w:num>
  <w:num w:numId="3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C9"/>
    <w:rsid w:val="00001A7A"/>
    <w:rsid w:val="00007A43"/>
    <w:rsid w:val="0002676A"/>
    <w:rsid w:val="00032AF6"/>
    <w:rsid w:val="00043376"/>
    <w:rsid w:val="000506EE"/>
    <w:rsid w:val="00052753"/>
    <w:rsid w:val="00053A97"/>
    <w:rsid w:val="00061975"/>
    <w:rsid w:val="00063C17"/>
    <w:rsid w:val="00064ECC"/>
    <w:rsid w:val="000711BA"/>
    <w:rsid w:val="00081938"/>
    <w:rsid w:val="00081A52"/>
    <w:rsid w:val="00082F04"/>
    <w:rsid w:val="00092A27"/>
    <w:rsid w:val="000A7B23"/>
    <w:rsid w:val="000B05F7"/>
    <w:rsid w:val="000B4C97"/>
    <w:rsid w:val="000B7C03"/>
    <w:rsid w:val="000C3B85"/>
    <w:rsid w:val="000C5AF1"/>
    <w:rsid w:val="000D09FC"/>
    <w:rsid w:val="000D0E81"/>
    <w:rsid w:val="000D1FA5"/>
    <w:rsid w:val="000D7476"/>
    <w:rsid w:val="000F7A4C"/>
    <w:rsid w:val="001042A5"/>
    <w:rsid w:val="00126151"/>
    <w:rsid w:val="00132D59"/>
    <w:rsid w:val="00147F76"/>
    <w:rsid w:val="00152CC8"/>
    <w:rsid w:val="0016382B"/>
    <w:rsid w:val="00164B32"/>
    <w:rsid w:val="0017022D"/>
    <w:rsid w:val="0017472A"/>
    <w:rsid w:val="001764CA"/>
    <w:rsid w:val="00180CD3"/>
    <w:rsid w:val="00186BFF"/>
    <w:rsid w:val="00196A72"/>
    <w:rsid w:val="00197B91"/>
    <w:rsid w:val="001A028D"/>
    <w:rsid w:val="001B0849"/>
    <w:rsid w:val="001B08DE"/>
    <w:rsid w:val="001B25AC"/>
    <w:rsid w:val="001C1CF3"/>
    <w:rsid w:val="001C226C"/>
    <w:rsid w:val="001D4049"/>
    <w:rsid w:val="001F35ED"/>
    <w:rsid w:val="001F45CC"/>
    <w:rsid w:val="001F7755"/>
    <w:rsid w:val="002034A0"/>
    <w:rsid w:val="0020780F"/>
    <w:rsid w:val="0021574D"/>
    <w:rsid w:val="00217FC2"/>
    <w:rsid w:val="0022788F"/>
    <w:rsid w:val="00231A44"/>
    <w:rsid w:val="0024688E"/>
    <w:rsid w:val="00251AD3"/>
    <w:rsid w:val="00257E02"/>
    <w:rsid w:val="00262FB3"/>
    <w:rsid w:val="00274356"/>
    <w:rsid w:val="00275397"/>
    <w:rsid w:val="00280779"/>
    <w:rsid w:val="00282DA8"/>
    <w:rsid w:val="002853D5"/>
    <w:rsid w:val="002A601A"/>
    <w:rsid w:val="002B51B3"/>
    <w:rsid w:val="002C120B"/>
    <w:rsid w:val="00301951"/>
    <w:rsid w:val="00305D19"/>
    <w:rsid w:val="00317A64"/>
    <w:rsid w:val="003219C9"/>
    <w:rsid w:val="00322780"/>
    <w:rsid w:val="003244A6"/>
    <w:rsid w:val="00326C4D"/>
    <w:rsid w:val="0033067B"/>
    <w:rsid w:val="00345DE2"/>
    <w:rsid w:val="00347DC9"/>
    <w:rsid w:val="003500F9"/>
    <w:rsid w:val="00356A8C"/>
    <w:rsid w:val="00362692"/>
    <w:rsid w:val="00362F8F"/>
    <w:rsid w:val="00387850"/>
    <w:rsid w:val="0039163D"/>
    <w:rsid w:val="003935B7"/>
    <w:rsid w:val="00394F07"/>
    <w:rsid w:val="003A05E0"/>
    <w:rsid w:val="003B5F6D"/>
    <w:rsid w:val="003C3C3C"/>
    <w:rsid w:val="003D2308"/>
    <w:rsid w:val="003D3913"/>
    <w:rsid w:val="003E4B00"/>
    <w:rsid w:val="003F0FDF"/>
    <w:rsid w:val="003F3636"/>
    <w:rsid w:val="0042380A"/>
    <w:rsid w:val="00426F50"/>
    <w:rsid w:val="00436A56"/>
    <w:rsid w:val="00440BAB"/>
    <w:rsid w:val="00455033"/>
    <w:rsid w:val="004625C3"/>
    <w:rsid w:val="00462C30"/>
    <w:rsid w:val="00464491"/>
    <w:rsid w:val="00464DC2"/>
    <w:rsid w:val="00484A33"/>
    <w:rsid w:val="00494D0C"/>
    <w:rsid w:val="00496319"/>
    <w:rsid w:val="004A5FDD"/>
    <w:rsid w:val="004B0905"/>
    <w:rsid w:val="004B0BE8"/>
    <w:rsid w:val="004B4C90"/>
    <w:rsid w:val="004C0F90"/>
    <w:rsid w:val="004C2808"/>
    <w:rsid w:val="004C4643"/>
    <w:rsid w:val="004C65D6"/>
    <w:rsid w:val="004D0748"/>
    <w:rsid w:val="004D45D4"/>
    <w:rsid w:val="004E0CA6"/>
    <w:rsid w:val="004E0CE9"/>
    <w:rsid w:val="004E53E6"/>
    <w:rsid w:val="004F1C4B"/>
    <w:rsid w:val="004F792C"/>
    <w:rsid w:val="0050405A"/>
    <w:rsid w:val="00504EE4"/>
    <w:rsid w:val="005062A0"/>
    <w:rsid w:val="00514191"/>
    <w:rsid w:val="00514F19"/>
    <w:rsid w:val="005152E7"/>
    <w:rsid w:val="00523914"/>
    <w:rsid w:val="00537450"/>
    <w:rsid w:val="005737D4"/>
    <w:rsid w:val="00574B63"/>
    <w:rsid w:val="00576CDF"/>
    <w:rsid w:val="005965AC"/>
    <w:rsid w:val="00597D70"/>
    <w:rsid w:val="005A1B5E"/>
    <w:rsid w:val="005A367D"/>
    <w:rsid w:val="005B1DEE"/>
    <w:rsid w:val="005C4255"/>
    <w:rsid w:val="005D0AE6"/>
    <w:rsid w:val="005D3539"/>
    <w:rsid w:val="005E3408"/>
    <w:rsid w:val="005F037D"/>
    <w:rsid w:val="005F152D"/>
    <w:rsid w:val="005F1897"/>
    <w:rsid w:val="00604BAD"/>
    <w:rsid w:val="00626D2F"/>
    <w:rsid w:val="00627470"/>
    <w:rsid w:val="006352CF"/>
    <w:rsid w:val="006429A3"/>
    <w:rsid w:val="00656EA4"/>
    <w:rsid w:val="0067284C"/>
    <w:rsid w:val="00675B1B"/>
    <w:rsid w:val="00676F8F"/>
    <w:rsid w:val="0069558B"/>
    <w:rsid w:val="006A219E"/>
    <w:rsid w:val="006A276E"/>
    <w:rsid w:val="006B1764"/>
    <w:rsid w:val="006C5ACA"/>
    <w:rsid w:val="006C6F88"/>
    <w:rsid w:val="006D1B5E"/>
    <w:rsid w:val="006E091E"/>
    <w:rsid w:val="006F0B59"/>
    <w:rsid w:val="006F29C9"/>
    <w:rsid w:val="006F3987"/>
    <w:rsid w:val="006F4CF2"/>
    <w:rsid w:val="006F4DBC"/>
    <w:rsid w:val="00706286"/>
    <w:rsid w:val="0072099D"/>
    <w:rsid w:val="00727324"/>
    <w:rsid w:val="00731A10"/>
    <w:rsid w:val="00737740"/>
    <w:rsid w:val="00740C0D"/>
    <w:rsid w:val="007419BF"/>
    <w:rsid w:val="00742DFF"/>
    <w:rsid w:val="00755977"/>
    <w:rsid w:val="00755A17"/>
    <w:rsid w:val="00756852"/>
    <w:rsid w:val="00765318"/>
    <w:rsid w:val="0077336E"/>
    <w:rsid w:val="007771D5"/>
    <w:rsid w:val="00784633"/>
    <w:rsid w:val="007860D8"/>
    <w:rsid w:val="007A3269"/>
    <w:rsid w:val="007A60A4"/>
    <w:rsid w:val="007E31B2"/>
    <w:rsid w:val="007E3252"/>
    <w:rsid w:val="007F2B4F"/>
    <w:rsid w:val="007F52B9"/>
    <w:rsid w:val="00804EB4"/>
    <w:rsid w:val="008150EF"/>
    <w:rsid w:val="008153A5"/>
    <w:rsid w:val="00820F49"/>
    <w:rsid w:val="00832115"/>
    <w:rsid w:val="008439C1"/>
    <w:rsid w:val="008450F5"/>
    <w:rsid w:val="008579F0"/>
    <w:rsid w:val="00871349"/>
    <w:rsid w:val="008734A6"/>
    <w:rsid w:val="00881DFE"/>
    <w:rsid w:val="0088258A"/>
    <w:rsid w:val="008A4024"/>
    <w:rsid w:val="008B0145"/>
    <w:rsid w:val="008C0296"/>
    <w:rsid w:val="008C4189"/>
    <w:rsid w:val="008C575C"/>
    <w:rsid w:val="008E5C09"/>
    <w:rsid w:val="008F2A4F"/>
    <w:rsid w:val="00901891"/>
    <w:rsid w:val="00907BC7"/>
    <w:rsid w:val="00911F80"/>
    <w:rsid w:val="009164FB"/>
    <w:rsid w:val="00917329"/>
    <w:rsid w:val="00926BE0"/>
    <w:rsid w:val="009279FC"/>
    <w:rsid w:val="00945AC5"/>
    <w:rsid w:val="00946FB9"/>
    <w:rsid w:val="00964B6E"/>
    <w:rsid w:val="00975E43"/>
    <w:rsid w:val="00976882"/>
    <w:rsid w:val="00984735"/>
    <w:rsid w:val="009A01C4"/>
    <w:rsid w:val="009A3016"/>
    <w:rsid w:val="009A3130"/>
    <w:rsid w:val="009B0085"/>
    <w:rsid w:val="009C1E9A"/>
    <w:rsid w:val="009C4322"/>
    <w:rsid w:val="009C550C"/>
    <w:rsid w:val="009D4EEC"/>
    <w:rsid w:val="009D5F80"/>
    <w:rsid w:val="009D7BA2"/>
    <w:rsid w:val="009E45FA"/>
    <w:rsid w:val="009E4639"/>
    <w:rsid w:val="009F05C1"/>
    <w:rsid w:val="00A05B06"/>
    <w:rsid w:val="00A0626B"/>
    <w:rsid w:val="00A11174"/>
    <w:rsid w:val="00A22067"/>
    <w:rsid w:val="00A24AA4"/>
    <w:rsid w:val="00A24F40"/>
    <w:rsid w:val="00A321B4"/>
    <w:rsid w:val="00A33571"/>
    <w:rsid w:val="00A359B6"/>
    <w:rsid w:val="00A4576F"/>
    <w:rsid w:val="00A50CB2"/>
    <w:rsid w:val="00A5157F"/>
    <w:rsid w:val="00A52164"/>
    <w:rsid w:val="00A57ACE"/>
    <w:rsid w:val="00A67F53"/>
    <w:rsid w:val="00A7109D"/>
    <w:rsid w:val="00A711E3"/>
    <w:rsid w:val="00A73051"/>
    <w:rsid w:val="00A80BB3"/>
    <w:rsid w:val="00A87749"/>
    <w:rsid w:val="00AA2AF8"/>
    <w:rsid w:val="00AB774F"/>
    <w:rsid w:val="00AC0AE1"/>
    <w:rsid w:val="00AD0A1F"/>
    <w:rsid w:val="00AD0DAA"/>
    <w:rsid w:val="00AD298F"/>
    <w:rsid w:val="00AD46B3"/>
    <w:rsid w:val="00AD72FC"/>
    <w:rsid w:val="00AD7E81"/>
    <w:rsid w:val="00AE0E5A"/>
    <w:rsid w:val="00AE53BE"/>
    <w:rsid w:val="00AF5DD5"/>
    <w:rsid w:val="00B129CE"/>
    <w:rsid w:val="00B16709"/>
    <w:rsid w:val="00B316B3"/>
    <w:rsid w:val="00B42CA2"/>
    <w:rsid w:val="00B53CD0"/>
    <w:rsid w:val="00B53F5F"/>
    <w:rsid w:val="00B54A87"/>
    <w:rsid w:val="00B57C23"/>
    <w:rsid w:val="00B601E6"/>
    <w:rsid w:val="00B616AF"/>
    <w:rsid w:val="00B61B41"/>
    <w:rsid w:val="00B839D7"/>
    <w:rsid w:val="00B8771E"/>
    <w:rsid w:val="00B87F39"/>
    <w:rsid w:val="00B9061D"/>
    <w:rsid w:val="00BA1D2B"/>
    <w:rsid w:val="00BB62CC"/>
    <w:rsid w:val="00BC227D"/>
    <w:rsid w:val="00BD2811"/>
    <w:rsid w:val="00BE39EF"/>
    <w:rsid w:val="00BF3479"/>
    <w:rsid w:val="00C052D1"/>
    <w:rsid w:val="00C118B2"/>
    <w:rsid w:val="00C33629"/>
    <w:rsid w:val="00C44DF4"/>
    <w:rsid w:val="00C4729E"/>
    <w:rsid w:val="00C52463"/>
    <w:rsid w:val="00C5344B"/>
    <w:rsid w:val="00C62736"/>
    <w:rsid w:val="00C66ABF"/>
    <w:rsid w:val="00C8249A"/>
    <w:rsid w:val="00C84F07"/>
    <w:rsid w:val="00C95063"/>
    <w:rsid w:val="00CA5DCF"/>
    <w:rsid w:val="00CA5F8E"/>
    <w:rsid w:val="00CC0B00"/>
    <w:rsid w:val="00CC22F1"/>
    <w:rsid w:val="00CC6A09"/>
    <w:rsid w:val="00CD5FFA"/>
    <w:rsid w:val="00CE1085"/>
    <w:rsid w:val="00CE5C67"/>
    <w:rsid w:val="00CF2241"/>
    <w:rsid w:val="00CF445E"/>
    <w:rsid w:val="00CF6B07"/>
    <w:rsid w:val="00D063FC"/>
    <w:rsid w:val="00D13106"/>
    <w:rsid w:val="00D1708E"/>
    <w:rsid w:val="00D1796B"/>
    <w:rsid w:val="00D32D28"/>
    <w:rsid w:val="00D351CC"/>
    <w:rsid w:val="00D40A4A"/>
    <w:rsid w:val="00D4127E"/>
    <w:rsid w:val="00D521C4"/>
    <w:rsid w:val="00D53B5E"/>
    <w:rsid w:val="00D55981"/>
    <w:rsid w:val="00D645D7"/>
    <w:rsid w:val="00D64E1B"/>
    <w:rsid w:val="00D674EF"/>
    <w:rsid w:val="00D72BD5"/>
    <w:rsid w:val="00D7681B"/>
    <w:rsid w:val="00D82E4B"/>
    <w:rsid w:val="00D91043"/>
    <w:rsid w:val="00DB456E"/>
    <w:rsid w:val="00DD2FF8"/>
    <w:rsid w:val="00DD4A21"/>
    <w:rsid w:val="00DE0201"/>
    <w:rsid w:val="00DE441D"/>
    <w:rsid w:val="00E04B8E"/>
    <w:rsid w:val="00E1509F"/>
    <w:rsid w:val="00E1560E"/>
    <w:rsid w:val="00E15F46"/>
    <w:rsid w:val="00E25B58"/>
    <w:rsid w:val="00E34296"/>
    <w:rsid w:val="00E4163F"/>
    <w:rsid w:val="00E47662"/>
    <w:rsid w:val="00E72A54"/>
    <w:rsid w:val="00E83408"/>
    <w:rsid w:val="00E84FC5"/>
    <w:rsid w:val="00E92D20"/>
    <w:rsid w:val="00EA2FF1"/>
    <w:rsid w:val="00EA7187"/>
    <w:rsid w:val="00EB1F6F"/>
    <w:rsid w:val="00EB465C"/>
    <w:rsid w:val="00EB7F04"/>
    <w:rsid w:val="00EC2EED"/>
    <w:rsid w:val="00ED5593"/>
    <w:rsid w:val="00EE0F06"/>
    <w:rsid w:val="00EE41C1"/>
    <w:rsid w:val="00EF595A"/>
    <w:rsid w:val="00F13965"/>
    <w:rsid w:val="00F22ADF"/>
    <w:rsid w:val="00F2781A"/>
    <w:rsid w:val="00F35C70"/>
    <w:rsid w:val="00F36062"/>
    <w:rsid w:val="00F44256"/>
    <w:rsid w:val="00F44C7B"/>
    <w:rsid w:val="00F456CE"/>
    <w:rsid w:val="00F47C49"/>
    <w:rsid w:val="00F527C8"/>
    <w:rsid w:val="00F66EB7"/>
    <w:rsid w:val="00F67C9B"/>
    <w:rsid w:val="00F73429"/>
    <w:rsid w:val="00F7387F"/>
    <w:rsid w:val="00F9139A"/>
    <w:rsid w:val="00F95DCA"/>
    <w:rsid w:val="00FA0CDD"/>
    <w:rsid w:val="00FA585D"/>
    <w:rsid w:val="00FA66EB"/>
    <w:rsid w:val="00FB56BA"/>
    <w:rsid w:val="00FC5E22"/>
    <w:rsid w:val="00FC69AA"/>
    <w:rsid w:val="00FD2C86"/>
    <w:rsid w:val="00FD36EC"/>
    <w:rsid w:val="00FD69E2"/>
    <w:rsid w:val="00FD72F8"/>
    <w:rsid w:val="00FD7600"/>
    <w:rsid w:val="00FD7E81"/>
    <w:rsid w:val="00FE5B9D"/>
    <w:rsid w:val="00FF0AED"/>
    <w:rsid w:val="00FF0B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E911A15"/>
  <w15:docId w15:val="{8AAED224-84F4-4C19-BBC6-3148C522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63F"/>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196A72"/>
    <w:pPr>
      <w:tabs>
        <w:tab w:val="right" w:leader="dot" w:pos="9350"/>
      </w:tabs>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FootnoteText">
    <w:name w:val="footnote text"/>
    <w:basedOn w:val="Normal"/>
    <w:link w:val="FootnoteTextChar"/>
    <w:semiHidden/>
    <w:rsid w:val="008A4024"/>
    <w:rPr>
      <w:rFonts w:asciiTheme="minorHAnsi" w:hAnsiTheme="minorHAnsi"/>
      <w:sz w:val="20"/>
      <w:szCs w:val="20"/>
    </w:rPr>
  </w:style>
  <w:style w:type="character" w:customStyle="1" w:styleId="FootnoteTextChar">
    <w:name w:val="Footnote Text Char"/>
    <w:basedOn w:val="DefaultParagraphFont"/>
    <w:link w:val="FootnoteText"/>
    <w:semiHidden/>
    <w:rsid w:val="008A4024"/>
    <w:rPr>
      <w:rFonts w:asciiTheme="minorHAnsi" w:hAnsiTheme="minorHAnsi"/>
    </w:rPr>
  </w:style>
  <w:style w:type="character" w:styleId="FootnoteReference">
    <w:name w:val="footnote reference"/>
    <w:basedOn w:val="DefaultParagraphFont"/>
    <w:semiHidden/>
    <w:rsid w:val="008A4024"/>
    <w:rPr>
      <w:vertAlign w:val="superscript"/>
    </w:rPr>
  </w:style>
  <w:style w:type="table" w:customStyle="1" w:styleId="LightShading1">
    <w:name w:val="Light Shading1"/>
    <w:aliases w:val="Melissa"/>
    <w:basedOn w:val="TableNormal"/>
    <w:uiPriority w:val="60"/>
    <w:rsid w:val="008A402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paragraph" w:styleId="ListBullet">
    <w:name w:val="List Bullet"/>
    <w:basedOn w:val="Normal"/>
    <w:rsid w:val="008A4024"/>
    <w:pPr>
      <w:numPr>
        <w:numId w:val="14"/>
      </w:numPr>
      <w:contextualSpacing/>
    </w:pPr>
    <w:rPr>
      <w:rFonts w:asciiTheme="minorHAnsi" w:hAnsiTheme="minorHAnsi"/>
      <w:sz w:val="20"/>
      <w:szCs w:val="20"/>
    </w:rPr>
  </w:style>
  <w:style w:type="character" w:styleId="FollowedHyperlink">
    <w:name w:val="FollowedHyperlink"/>
    <w:basedOn w:val="DefaultParagraphFont"/>
    <w:uiPriority w:val="99"/>
    <w:semiHidden/>
    <w:unhideWhenUsed/>
    <w:rsid w:val="00FC69AA"/>
    <w:rPr>
      <w:color w:val="800080"/>
      <w:u w:val="single"/>
    </w:rPr>
  </w:style>
  <w:style w:type="paragraph" w:customStyle="1" w:styleId="msonormal0">
    <w:name w:val="msonormal"/>
    <w:basedOn w:val="Normal"/>
    <w:rsid w:val="00FC69AA"/>
    <w:pPr>
      <w:spacing w:before="100" w:beforeAutospacing="1" w:after="100" w:afterAutospacing="1"/>
    </w:pPr>
  </w:style>
  <w:style w:type="paragraph" w:customStyle="1" w:styleId="xl65">
    <w:name w:val="xl65"/>
    <w:basedOn w:val="Normal"/>
    <w:rsid w:val="00FC69AA"/>
    <w:pPr>
      <w:spacing w:before="100" w:beforeAutospacing="1" w:after="100" w:afterAutospacing="1"/>
    </w:pPr>
    <w:rPr>
      <w:rFonts w:ascii="Calibri" w:hAnsi="Calibri" w:cs="Calibri"/>
    </w:rPr>
  </w:style>
  <w:style w:type="paragraph" w:customStyle="1" w:styleId="xl66">
    <w:name w:val="xl66"/>
    <w:basedOn w:val="Normal"/>
    <w:rsid w:val="00FC69AA"/>
    <w:pPr>
      <w:spacing w:before="100" w:beforeAutospacing="1" w:after="100" w:afterAutospacing="1"/>
      <w:jc w:val="center"/>
    </w:pPr>
    <w:rPr>
      <w:rFonts w:ascii="Calibri" w:hAnsi="Calibri" w:cs="Calibri"/>
      <w:b/>
      <w:bCs/>
    </w:rPr>
  </w:style>
  <w:style w:type="paragraph" w:customStyle="1" w:styleId="xl67">
    <w:name w:val="xl67"/>
    <w:basedOn w:val="Normal"/>
    <w:rsid w:val="00FC69AA"/>
    <w:pPr>
      <w:spacing w:before="100" w:beforeAutospacing="1" w:after="100" w:afterAutospacing="1"/>
      <w:jc w:val="center"/>
    </w:pPr>
    <w:rPr>
      <w:rFonts w:ascii="Calibri" w:hAnsi="Calibri" w:cs="Calibri"/>
      <w:b/>
      <w:bCs/>
      <w:i/>
      <w:iCs/>
    </w:rPr>
  </w:style>
  <w:style w:type="paragraph" w:customStyle="1" w:styleId="xl68">
    <w:name w:val="xl68"/>
    <w:basedOn w:val="Normal"/>
    <w:rsid w:val="00FC69AA"/>
    <w:pPr>
      <w:spacing w:before="100" w:beforeAutospacing="1" w:after="100" w:afterAutospacing="1"/>
      <w:jc w:val="center"/>
    </w:pPr>
    <w:rPr>
      <w:rFonts w:ascii="Calibri" w:hAnsi="Calibri" w:cs="Calibri"/>
      <w:b/>
      <w:bCs/>
      <w:i/>
      <w:iCs/>
    </w:rPr>
  </w:style>
  <w:style w:type="paragraph" w:customStyle="1" w:styleId="xl69">
    <w:name w:val="xl69"/>
    <w:basedOn w:val="Normal"/>
    <w:rsid w:val="00FC69AA"/>
    <w:pPr>
      <w:spacing w:before="100" w:beforeAutospacing="1" w:after="100" w:afterAutospacing="1"/>
      <w:jc w:val="center"/>
    </w:pPr>
    <w:rPr>
      <w:rFonts w:ascii="Calibri" w:hAnsi="Calibri" w:cs="Calibri"/>
      <w:b/>
      <w:bCs/>
    </w:rPr>
  </w:style>
  <w:style w:type="paragraph" w:customStyle="1" w:styleId="xl70">
    <w:name w:val="xl70"/>
    <w:basedOn w:val="Normal"/>
    <w:rsid w:val="00FC69AA"/>
    <w:pPr>
      <w:spacing w:before="100" w:beforeAutospacing="1" w:after="100" w:afterAutospacing="1"/>
      <w:textAlignment w:val="center"/>
    </w:pPr>
    <w:rPr>
      <w:rFonts w:ascii="Calibri" w:hAnsi="Calibri" w:cs="Calibri"/>
      <w:b/>
      <w:bCs/>
    </w:rPr>
  </w:style>
  <w:style w:type="paragraph" w:customStyle="1" w:styleId="xl71">
    <w:name w:val="xl71"/>
    <w:basedOn w:val="Normal"/>
    <w:rsid w:val="00FC69AA"/>
    <w:pPr>
      <w:spacing w:before="100" w:beforeAutospacing="1" w:after="100" w:afterAutospacing="1"/>
      <w:jc w:val="center"/>
      <w:textAlignment w:val="center"/>
    </w:pPr>
    <w:rPr>
      <w:rFonts w:ascii="Calibri" w:hAnsi="Calibri" w:cs="Calibri"/>
      <w:b/>
      <w:bCs/>
    </w:rPr>
  </w:style>
  <w:style w:type="paragraph" w:customStyle="1" w:styleId="xl72">
    <w:name w:val="xl72"/>
    <w:basedOn w:val="Normal"/>
    <w:rsid w:val="00FC69AA"/>
    <w:pPr>
      <w:spacing w:before="100" w:beforeAutospacing="1" w:after="100" w:afterAutospacing="1"/>
      <w:jc w:val="center"/>
      <w:textAlignment w:val="center"/>
    </w:pPr>
    <w:rPr>
      <w:rFonts w:ascii="Calibri" w:hAnsi="Calibri" w:cs="Calibri"/>
      <w:b/>
      <w:bCs/>
    </w:rPr>
  </w:style>
  <w:style w:type="paragraph" w:customStyle="1" w:styleId="xl73">
    <w:name w:val="xl73"/>
    <w:basedOn w:val="Normal"/>
    <w:rsid w:val="00FC69AA"/>
    <w:pPr>
      <w:spacing w:before="100" w:beforeAutospacing="1" w:after="100" w:afterAutospacing="1"/>
      <w:textAlignment w:val="center"/>
    </w:pPr>
    <w:rPr>
      <w:rFonts w:ascii="Calibri" w:hAnsi="Calibri" w:cs="Calibri"/>
    </w:rPr>
  </w:style>
  <w:style w:type="paragraph" w:customStyle="1" w:styleId="xl74">
    <w:name w:val="xl74"/>
    <w:basedOn w:val="Normal"/>
    <w:rsid w:val="00FC69AA"/>
    <w:pPr>
      <w:spacing w:before="100" w:beforeAutospacing="1" w:after="100" w:afterAutospacing="1"/>
    </w:pPr>
    <w:rPr>
      <w:rFonts w:ascii="Calibri" w:hAnsi="Calibri" w:cs="Calibri"/>
    </w:rPr>
  </w:style>
  <w:style w:type="paragraph" w:customStyle="1" w:styleId="xl75">
    <w:name w:val="xl75"/>
    <w:basedOn w:val="Normal"/>
    <w:rsid w:val="00FC69AA"/>
    <w:pPr>
      <w:spacing w:before="100" w:beforeAutospacing="1" w:after="100" w:afterAutospacing="1"/>
    </w:pPr>
    <w:rPr>
      <w:rFonts w:ascii="Calibri" w:hAnsi="Calibri" w:cs="Calibri"/>
    </w:rPr>
  </w:style>
  <w:style w:type="paragraph" w:customStyle="1" w:styleId="xl76">
    <w:name w:val="xl76"/>
    <w:basedOn w:val="Normal"/>
    <w:rsid w:val="00FC69AA"/>
    <w:pPr>
      <w:spacing w:before="100" w:beforeAutospacing="1" w:after="100" w:afterAutospacing="1"/>
    </w:pPr>
    <w:rPr>
      <w:rFonts w:ascii="Calibri" w:hAnsi="Calibri" w:cs="Calibri"/>
    </w:rPr>
  </w:style>
  <w:style w:type="paragraph" w:customStyle="1" w:styleId="xl77">
    <w:name w:val="xl77"/>
    <w:basedOn w:val="Normal"/>
    <w:rsid w:val="00FC69AA"/>
    <w:pPr>
      <w:spacing w:before="100" w:beforeAutospacing="1" w:after="100" w:afterAutospacing="1"/>
    </w:pPr>
    <w:rPr>
      <w:rFonts w:ascii="Calibri" w:hAnsi="Calibri" w:cs="Calibri"/>
      <w:b/>
      <w:bCs/>
    </w:rPr>
  </w:style>
  <w:style w:type="paragraph" w:customStyle="1" w:styleId="xl78">
    <w:name w:val="xl78"/>
    <w:basedOn w:val="Normal"/>
    <w:rsid w:val="00FC69AA"/>
    <w:pPr>
      <w:spacing w:before="100" w:beforeAutospacing="1" w:after="100" w:afterAutospacing="1"/>
    </w:pPr>
    <w:rPr>
      <w:rFonts w:ascii="Calibri" w:hAnsi="Calibri" w:cs="Calibri"/>
      <w:b/>
      <w:bCs/>
    </w:rPr>
  </w:style>
  <w:style w:type="paragraph" w:customStyle="1" w:styleId="xl79">
    <w:name w:val="xl79"/>
    <w:basedOn w:val="Normal"/>
    <w:rsid w:val="00FC69AA"/>
    <w:pPr>
      <w:spacing w:before="100" w:beforeAutospacing="1" w:after="100" w:afterAutospacing="1"/>
    </w:pPr>
    <w:rPr>
      <w:rFonts w:ascii="Calibri" w:hAnsi="Calibri" w:cs="Calibri"/>
      <w:b/>
      <w:bCs/>
    </w:rPr>
  </w:style>
  <w:style w:type="paragraph" w:customStyle="1" w:styleId="xl80">
    <w:name w:val="xl80"/>
    <w:basedOn w:val="Normal"/>
    <w:rsid w:val="00FC69AA"/>
    <w:pPr>
      <w:spacing w:before="100" w:beforeAutospacing="1" w:after="100" w:afterAutospacing="1"/>
    </w:pPr>
    <w:rPr>
      <w:rFonts w:ascii="Calibri" w:hAnsi="Calibri" w:cs="Calibri"/>
      <w:b/>
      <w:bCs/>
    </w:rPr>
  </w:style>
  <w:style w:type="paragraph" w:customStyle="1" w:styleId="xl81">
    <w:name w:val="xl81"/>
    <w:basedOn w:val="Normal"/>
    <w:rsid w:val="00FC69AA"/>
    <w:pPr>
      <w:spacing w:before="100" w:beforeAutospacing="1" w:after="100" w:afterAutospacing="1"/>
    </w:pPr>
    <w:rPr>
      <w:rFonts w:ascii="Calibri" w:hAnsi="Calibri" w:cs="Calibri"/>
      <w:b/>
      <w:bCs/>
    </w:rPr>
  </w:style>
  <w:style w:type="paragraph" w:customStyle="1" w:styleId="xl82">
    <w:name w:val="xl82"/>
    <w:basedOn w:val="Normal"/>
    <w:rsid w:val="00FC69AA"/>
    <w:pPr>
      <w:spacing w:before="100" w:beforeAutospacing="1" w:after="100" w:afterAutospacing="1"/>
    </w:pPr>
    <w:rPr>
      <w:rFonts w:ascii="Calibri" w:hAnsi="Calibri" w:cs="Calibri"/>
    </w:rPr>
  </w:style>
  <w:style w:type="paragraph" w:customStyle="1" w:styleId="xl83">
    <w:name w:val="xl83"/>
    <w:basedOn w:val="Normal"/>
    <w:rsid w:val="00FC69AA"/>
    <w:pPr>
      <w:spacing w:before="100" w:beforeAutospacing="1" w:after="100" w:afterAutospacing="1"/>
      <w:jc w:val="center"/>
    </w:pPr>
    <w:rPr>
      <w:rFonts w:ascii="Calibri" w:hAnsi="Calibri" w:cs="Calibri"/>
      <w:b/>
      <w:bCs/>
    </w:rPr>
  </w:style>
  <w:style w:type="character" w:styleId="CommentReference">
    <w:name w:val="annotation reference"/>
    <w:basedOn w:val="DefaultParagraphFont"/>
    <w:uiPriority w:val="99"/>
    <w:semiHidden/>
    <w:unhideWhenUsed/>
    <w:rsid w:val="009A01C4"/>
    <w:rPr>
      <w:sz w:val="16"/>
      <w:szCs w:val="16"/>
    </w:rPr>
  </w:style>
  <w:style w:type="paragraph" w:styleId="CommentText">
    <w:name w:val="annotation text"/>
    <w:basedOn w:val="Normal"/>
    <w:link w:val="CommentTextChar"/>
    <w:uiPriority w:val="99"/>
    <w:semiHidden/>
    <w:unhideWhenUsed/>
    <w:rsid w:val="009A01C4"/>
    <w:rPr>
      <w:sz w:val="20"/>
      <w:szCs w:val="20"/>
    </w:rPr>
  </w:style>
  <w:style w:type="character" w:customStyle="1" w:styleId="CommentTextChar">
    <w:name w:val="Comment Text Char"/>
    <w:basedOn w:val="DefaultParagraphFont"/>
    <w:link w:val="CommentText"/>
    <w:uiPriority w:val="99"/>
    <w:semiHidden/>
    <w:rsid w:val="009A01C4"/>
  </w:style>
  <w:style w:type="paragraph" w:styleId="CommentSubject">
    <w:name w:val="annotation subject"/>
    <w:basedOn w:val="CommentText"/>
    <w:next w:val="CommentText"/>
    <w:link w:val="CommentSubjectChar"/>
    <w:semiHidden/>
    <w:unhideWhenUsed/>
    <w:rsid w:val="009A01C4"/>
    <w:rPr>
      <w:b/>
      <w:bCs/>
    </w:rPr>
  </w:style>
  <w:style w:type="character" w:customStyle="1" w:styleId="CommentSubjectChar">
    <w:name w:val="Comment Subject Char"/>
    <w:basedOn w:val="CommentTextChar"/>
    <w:link w:val="CommentSubject"/>
    <w:semiHidden/>
    <w:rsid w:val="009A01C4"/>
    <w:rPr>
      <w:b/>
      <w:bCs/>
    </w:rPr>
  </w:style>
  <w:style w:type="paragraph" w:styleId="ListParagraph">
    <w:name w:val="List Paragraph"/>
    <w:basedOn w:val="Normal"/>
    <w:uiPriority w:val="34"/>
    <w:qFormat/>
    <w:rsid w:val="004C0F90"/>
    <w:pPr>
      <w:ind w:left="720"/>
      <w:contextualSpacing/>
    </w:pPr>
  </w:style>
  <w:style w:type="paragraph" w:styleId="Revision">
    <w:name w:val="Revision"/>
    <w:hidden/>
    <w:uiPriority w:val="99"/>
    <w:semiHidden/>
    <w:rsid w:val="00BD2811"/>
    <w:rPr>
      <w:sz w:val="24"/>
      <w:szCs w:val="24"/>
    </w:rPr>
  </w:style>
  <w:style w:type="table" w:styleId="GridTable2">
    <w:name w:val="Grid Table 2"/>
    <w:basedOn w:val="TableNormal"/>
    <w:uiPriority w:val="47"/>
    <w:rsid w:val="005E340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qFormat/>
    <w:rsid w:val="00032AF6"/>
    <w:rPr>
      <w:b/>
      <w:bCs/>
    </w:rPr>
  </w:style>
  <w:style w:type="paragraph" w:styleId="Subtitle">
    <w:name w:val="Subtitle"/>
    <w:basedOn w:val="Normal"/>
    <w:next w:val="Normal"/>
    <w:link w:val="SubtitleChar"/>
    <w:qFormat/>
    <w:rsid w:val="003E4B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4B00"/>
    <w:rPr>
      <w:rFonts w:asciiTheme="minorHAnsi" w:eastAsiaTheme="minorEastAsia" w:hAnsiTheme="minorHAnsi" w:cstheme="minorBidi"/>
      <w:color w:val="5A5A5A" w:themeColor="text1" w:themeTint="A5"/>
      <w:spacing w:val="15"/>
      <w:sz w:val="22"/>
      <w:szCs w:val="22"/>
    </w:rPr>
  </w:style>
  <w:style w:type="table" w:styleId="GridTable1Light">
    <w:name w:val="Grid Table 1 Light"/>
    <w:basedOn w:val="TableNormal"/>
    <w:uiPriority w:val="46"/>
    <w:rsid w:val="00305D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33629"/>
    <w:pPr>
      <w:spacing w:before="100" w:beforeAutospacing="1" w:after="100" w:afterAutospacing="1"/>
    </w:pPr>
  </w:style>
  <w:style w:type="character" w:customStyle="1" w:styleId="Heading3Char">
    <w:name w:val="Heading 3 Char"/>
    <w:basedOn w:val="DefaultParagraphFont"/>
    <w:link w:val="Heading3"/>
    <w:rsid w:val="004C4643"/>
    <w:rPr>
      <w:rFonts w:ascii="Arial" w:hAnsi="Arial"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00037760">
      <w:bodyDiv w:val="1"/>
      <w:marLeft w:val="0"/>
      <w:marRight w:val="0"/>
      <w:marTop w:val="0"/>
      <w:marBottom w:val="0"/>
      <w:divBdr>
        <w:top w:val="none" w:sz="0" w:space="0" w:color="auto"/>
        <w:left w:val="none" w:sz="0" w:space="0" w:color="auto"/>
        <w:bottom w:val="none" w:sz="0" w:space="0" w:color="auto"/>
        <w:right w:val="none" w:sz="0" w:space="0" w:color="auto"/>
      </w:divBdr>
    </w:div>
    <w:div w:id="383717474">
      <w:bodyDiv w:val="1"/>
      <w:marLeft w:val="0"/>
      <w:marRight w:val="0"/>
      <w:marTop w:val="0"/>
      <w:marBottom w:val="0"/>
      <w:divBdr>
        <w:top w:val="none" w:sz="0" w:space="0" w:color="auto"/>
        <w:left w:val="none" w:sz="0" w:space="0" w:color="auto"/>
        <w:bottom w:val="none" w:sz="0" w:space="0" w:color="auto"/>
        <w:right w:val="none" w:sz="0" w:space="0" w:color="auto"/>
      </w:divBdr>
    </w:div>
    <w:div w:id="756751643">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6287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07/relationships/diagramDrawing" Target="diagrams/drawing1.xml"/><Relationship Id="rId10" Type="http://schemas.openxmlformats.org/officeDocument/2006/relationships/footnotes" Target="foot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commissioner/BuildingOnReform.pdf" TargetMode="External"/><Relationship Id="rId2" Type="http://schemas.openxmlformats.org/officeDocument/2006/relationships/hyperlink" Target="http://www.doe.mass.edu/lawsregs/litigation/mcduffy_hancock.html" TargetMode="External"/><Relationship Id="rId1" Type="http://schemas.openxmlformats.org/officeDocument/2006/relationships/hyperlink" Target="http://www.mbae.org/every-child-a-winner/" TargetMode="External"/><Relationship Id="rId5" Type="http://schemas.openxmlformats.org/officeDocument/2006/relationships/hyperlink" Target="https://apps.bea.gov/iTable/iTable.cfm?reqid=19&amp;step=3&amp;isuri=1&amp;1921=survey&amp;1903=13" TargetMode="External"/><Relationship Id="rId4" Type="http://schemas.openxmlformats.org/officeDocument/2006/relationships/hyperlink" Target="https://schoolfinancesdav.files.wordpress.com/2014/04/aefp-50-stateaidsystems.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ESE-FPS-MAL-001.doe.mass.edu\SHARED\FINANCE\SCHFIN\FY20data\c70fy20\found20.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Figure</a:t>
            </a:r>
            <a:r>
              <a:rPr lang="en-US" baseline="0">
                <a:solidFill>
                  <a:sysClr val="windowText" lastClr="000000"/>
                </a:solidFill>
              </a:rPr>
              <a:t> 1: Foundation budget per pupil by economically disadvantaged decile</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bg1">
                  <a:lumMod val="65000"/>
                </a:schemeClr>
              </a:solidFill>
              <a:ln>
                <a:noFill/>
              </a:ln>
              <a:effectLst/>
            </c:spPr>
            <c:extLst>
              <c:ext xmlns:c16="http://schemas.microsoft.com/office/drawing/2014/chart" uri="{C3380CC4-5D6E-409C-BE32-E72D297353CC}">
                <c16:uniqueId val="{00000001-0EC8-4445-A907-397A626C05D7}"/>
              </c:ext>
            </c:extLst>
          </c:dPt>
          <c:dLbls>
            <c:numFmt formatCode="&quot;$&quot;#,##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Word]WhitePaperPivot'!$G$4:$G$14</c:f>
              <c:strCache>
                <c:ptCount val="11"/>
                <c:pt idx="0">
                  <c:v>State average</c:v>
                </c:pt>
                <c:pt idx="1">
                  <c:v>10 (&gt;= 51%)</c:v>
                </c:pt>
                <c:pt idx="2">
                  <c:v>9 (&lt;= 50%)</c:v>
                </c:pt>
                <c:pt idx="3">
                  <c:v>8 (&lt;= 43%)</c:v>
                </c:pt>
                <c:pt idx="4">
                  <c:v>7 (&lt;= 35%)</c:v>
                </c:pt>
                <c:pt idx="5">
                  <c:v>6 (&lt;= 31%)</c:v>
                </c:pt>
                <c:pt idx="6">
                  <c:v>5 (&lt;= 27%)</c:v>
                </c:pt>
                <c:pt idx="7">
                  <c:v>4 (&lt;= 22%)</c:v>
                </c:pt>
                <c:pt idx="8">
                  <c:v>3 (&lt;= 18%)</c:v>
                </c:pt>
                <c:pt idx="9">
                  <c:v>2 (&lt;= 12%)</c:v>
                </c:pt>
                <c:pt idx="10">
                  <c:v>1 (&lt;= 9% EcoDis)</c:v>
                </c:pt>
              </c:strCache>
            </c:strRef>
          </c:cat>
          <c:val>
            <c:numRef>
              <c:f>'[Chart in Microsoft Word]WhitePaperPivot'!$H$4:$H$14</c:f>
              <c:numCache>
                <c:formatCode>#,##0</c:formatCode>
                <c:ptCount val="11"/>
                <c:pt idx="0">
                  <c:v>12088.170704218383</c:v>
                </c:pt>
                <c:pt idx="1">
                  <c:v>13598.033803747168</c:v>
                </c:pt>
                <c:pt idx="2">
                  <c:v>12347.615108226648</c:v>
                </c:pt>
                <c:pt idx="3">
                  <c:v>12156.938040970817</c:v>
                </c:pt>
                <c:pt idx="4">
                  <c:v>11865.975027223867</c:v>
                </c:pt>
                <c:pt idx="5">
                  <c:v>11418.515031730863</c:v>
                </c:pt>
                <c:pt idx="6">
                  <c:v>10914.97955544829</c:v>
                </c:pt>
                <c:pt idx="7">
                  <c:v>10691.985444112959</c:v>
                </c:pt>
                <c:pt idx="8">
                  <c:v>10613.234087564328</c:v>
                </c:pt>
                <c:pt idx="9">
                  <c:v>10646.312059986922</c:v>
                </c:pt>
                <c:pt idx="10">
                  <c:v>10493.484469259009</c:v>
                </c:pt>
              </c:numCache>
            </c:numRef>
          </c:val>
          <c:extLst>
            <c:ext xmlns:c16="http://schemas.microsoft.com/office/drawing/2014/chart" uri="{C3380CC4-5D6E-409C-BE32-E72D297353CC}">
              <c16:uniqueId val="{00000002-0EC8-4445-A907-397A626C05D7}"/>
            </c:ext>
          </c:extLst>
        </c:ser>
        <c:dLbls>
          <c:showLegendKey val="0"/>
          <c:showVal val="0"/>
          <c:showCatName val="0"/>
          <c:showSerName val="0"/>
          <c:showPercent val="0"/>
          <c:showBubbleSize val="0"/>
        </c:dLbls>
        <c:gapWidth val="100"/>
        <c:axId val="698697375"/>
        <c:axId val="698705695"/>
      </c:barChart>
      <c:catAx>
        <c:axId val="69869737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Deciles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98705695"/>
        <c:crosses val="autoZero"/>
        <c:auto val="1"/>
        <c:lblAlgn val="ctr"/>
        <c:lblOffset val="100"/>
        <c:noMultiLvlLbl val="0"/>
      </c:catAx>
      <c:valAx>
        <c:axId val="698705695"/>
        <c:scaling>
          <c:orientation val="minMax"/>
          <c:max val="15000"/>
        </c:scaling>
        <c:delete val="0"/>
        <c:axPos val="b"/>
        <c:numFmt formatCode="&quot;$&quot;#,##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98697375"/>
        <c:crosses val="autoZero"/>
        <c:crossBetween val="between"/>
        <c:majorUnit val="5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2:</a:t>
            </a:r>
            <a:r>
              <a:rPr lang="en-US" baseline="0"/>
              <a:t> FY20 foundation budget categories </a:t>
            </a:r>
            <a:br>
              <a:rPr lang="en-US" baseline="0"/>
            </a:br>
            <a:r>
              <a:rPr lang="en-US" baseline="0"/>
              <a:t>as a percent of total statewide foundation</a:t>
            </a:r>
            <a:endParaRPr lang="en-US"/>
          </a:p>
        </c:rich>
      </c:tx>
      <c:overlay val="0"/>
    </c:title>
    <c:autoTitleDeleted val="0"/>
    <c:plotArea>
      <c:layout/>
      <c:barChart>
        <c:barDir val="bar"/>
        <c:grouping val="clustered"/>
        <c:varyColors val="0"/>
        <c:ser>
          <c:idx val="0"/>
          <c:order val="0"/>
          <c:spPr>
            <a:solidFill>
              <a:schemeClr val="bg1">
                <a:lumMod val="65000"/>
              </a:schemeClr>
            </a:solidFill>
            <a:ln>
              <a:noFill/>
            </a:ln>
          </c:spPr>
          <c:invertIfNegative val="0"/>
          <c:dPt>
            <c:idx val="0"/>
            <c:invertIfNegative val="0"/>
            <c:bubble3D val="0"/>
            <c:spPr>
              <a:solidFill>
                <a:schemeClr val="accent1">
                  <a:lumMod val="40000"/>
                  <a:lumOff val="60000"/>
                </a:schemeClr>
              </a:solidFill>
              <a:ln>
                <a:noFill/>
              </a:ln>
            </c:spPr>
            <c:extLst>
              <c:ext xmlns:c16="http://schemas.microsoft.com/office/drawing/2014/chart" uri="{C3380CC4-5D6E-409C-BE32-E72D297353CC}">
                <c16:uniqueId val="{00000001-7189-4C28-92F7-BC9BE682343E}"/>
              </c:ext>
            </c:extLst>
          </c:dPt>
          <c:dPt>
            <c:idx val="3"/>
            <c:invertIfNegative val="0"/>
            <c:bubble3D val="0"/>
            <c:spPr>
              <a:solidFill>
                <a:schemeClr val="accent1">
                  <a:lumMod val="40000"/>
                  <a:lumOff val="60000"/>
                </a:schemeClr>
              </a:solidFill>
              <a:ln>
                <a:noFill/>
              </a:ln>
            </c:spPr>
            <c:extLst>
              <c:ext xmlns:c16="http://schemas.microsoft.com/office/drawing/2014/chart" uri="{C3380CC4-5D6E-409C-BE32-E72D297353CC}">
                <c16:uniqueId val="{00000003-7189-4C28-92F7-BC9BE682343E}"/>
              </c:ext>
            </c:extLst>
          </c:dPt>
          <c:dPt>
            <c:idx val="4"/>
            <c:invertIfNegative val="0"/>
            <c:bubble3D val="0"/>
            <c:spPr>
              <a:solidFill>
                <a:schemeClr val="accent1">
                  <a:lumMod val="40000"/>
                  <a:lumOff val="60000"/>
                </a:schemeClr>
              </a:solidFill>
              <a:ln>
                <a:noFill/>
              </a:ln>
            </c:spPr>
            <c:extLst>
              <c:ext xmlns:c16="http://schemas.microsoft.com/office/drawing/2014/chart" uri="{C3380CC4-5D6E-409C-BE32-E72D297353CC}">
                <c16:uniqueId val="{00000005-7189-4C28-92F7-BC9BE682343E}"/>
              </c:ext>
            </c:extLst>
          </c:dPt>
          <c:dPt>
            <c:idx val="5"/>
            <c:invertIfNegative val="0"/>
            <c:bubble3D val="0"/>
            <c:spPr>
              <a:solidFill>
                <a:schemeClr val="accent1">
                  <a:lumMod val="40000"/>
                  <a:lumOff val="60000"/>
                </a:schemeClr>
              </a:solidFill>
              <a:ln>
                <a:noFill/>
              </a:ln>
            </c:spPr>
            <c:extLst>
              <c:ext xmlns:c16="http://schemas.microsoft.com/office/drawing/2014/chart" uri="{C3380CC4-5D6E-409C-BE32-E72D297353CC}">
                <c16:uniqueId val="{00000007-7189-4C28-92F7-BC9BE682343E}"/>
              </c:ext>
            </c:extLst>
          </c:dPt>
          <c:dPt>
            <c:idx val="7"/>
            <c:invertIfNegative val="0"/>
            <c:bubble3D val="0"/>
            <c:spPr>
              <a:solidFill>
                <a:schemeClr val="bg1">
                  <a:lumMod val="75000"/>
                </a:schemeClr>
              </a:solidFill>
              <a:ln>
                <a:noFill/>
              </a:ln>
            </c:spPr>
            <c:extLst>
              <c:ext xmlns:c16="http://schemas.microsoft.com/office/drawing/2014/chart" uri="{C3380CC4-5D6E-409C-BE32-E72D297353CC}">
                <c16:uniqueId val="{00000009-7189-4C28-92F7-BC9BE682343E}"/>
              </c:ext>
            </c:extLst>
          </c:dPt>
          <c:dPt>
            <c:idx val="8"/>
            <c:invertIfNegative val="0"/>
            <c:bubble3D val="0"/>
            <c:spPr>
              <a:solidFill>
                <a:schemeClr val="accent1">
                  <a:lumMod val="40000"/>
                  <a:lumOff val="60000"/>
                </a:schemeClr>
              </a:solidFill>
              <a:ln>
                <a:noFill/>
              </a:ln>
            </c:spPr>
            <c:extLst>
              <c:ext xmlns:c16="http://schemas.microsoft.com/office/drawing/2014/chart" uri="{C3380CC4-5D6E-409C-BE32-E72D297353CC}">
                <c16:uniqueId val="{0000000B-7189-4C28-92F7-BC9BE682343E}"/>
              </c:ext>
            </c:extLst>
          </c:dPt>
          <c:dPt>
            <c:idx val="10"/>
            <c:invertIfNegative val="0"/>
            <c:bubble3D val="0"/>
            <c:spPr>
              <a:solidFill>
                <a:schemeClr val="accent1">
                  <a:lumMod val="40000"/>
                  <a:lumOff val="60000"/>
                </a:schemeClr>
              </a:solidFill>
              <a:ln>
                <a:noFill/>
              </a:ln>
            </c:spPr>
            <c:extLst>
              <c:ext xmlns:c16="http://schemas.microsoft.com/office/drawing/2014/chart" uri="{C3380CC4-5D6E-409C-BE32-E72D297353CC}">
                <c16:uniqueId val="{0000000D-7189-4C28-92F7-BC9BE682343E}"/>
              </c:ext>
            </c:extLst>
          </c:dPt>
          <c:dLbls>
            <c:numFmt formatCode="0%" sourceLinked="0"/>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foundbyfunc!$B$4:$B$14</c:f>
              <c:strCache>
                <c:ptCount val="11"/>
                <c:pt idx="0">
                  <c:v>Classroom &amp; Specialist Teachers</c:v>
                </c:pt>
                <c:pt idx="1">
                  <c:v>Employee Benefits &amp; Fixed Charges</c:v>
                </c:pt>
                <c:pt idx="2">
                  <c:v>Operations &amp; Maintenance</c:v>
                </c:pt>
                <c:pt idx="3">
                  <c:v>Other Teaching Services</c:v>
                </c:pt>
                <c:pt idx="4">
                  <c:v>Instructional Leadership</c:v>
                </c:pt>
                <c:pt idx="5">
                  <c:v>Instructional Materials, Equipment &amp; Technology</c:v>
                </c:pt>
                <c:pt idx="6">
                  <c:v>Administration</c:v>
                </c:pt>
                <c:pt idx="7">
                  <c:v>Pupil Services</c:v>
                </c:pt>
                <c:pt idx="8">
                  <c:v>Guidance &amp; Psychological Services</c:v>
                </c:pt>
                <c:pt idx="9">
                  <c:v>Special Education Tuition</c:v>
                </c:pt>
                <c:pt idx="10">
                  <c:v>Professional Development</c:v>
                </c:pt>
              </c:strCache>
            </c:strRef>
          </c:cat>
          <c:val>
            <c:numRef>
              <c:f>foundbyfunc!$D$4:$D$14</c:f>
              <c:numCache>
                <c:formatCode>0%</c:formatCode>
                <c:ptCount val="11"/>
                <c:pt idx="0">
                  <c:v>0.42939489490197646</c:v>
                </c:pt>
                <c:pt idx="1">
                  <c:v>0.11269579886835585</c:v>
                </c:pt>
                <c:pt idx="2">
                  <c:v>9.4806383018295109E-2</c:v>
                </c:pt>
                <c:pt idx="3">
                  <c:v>8.503337087129971E-2</c:v>
                </c:pt>
                <c:pt idx="4">
                  <c:v>6.9979656722751693E-2</c:v>
                </c:pt>
                <c:pt idx="5">
                  <c:v>5.1546560545900247E-2</c:v>
                </c:pt>
                <c:pt idx="6">
                  <c:v>4.6682792689425837E-2</c:v>
                </c:pt>
                <c:pt idx="7">
                  <c:v>4.1969772821527487E-2</c:v>
                </c:pt>
                <c:pt idx="8">
                  <c:v>2.9806902049402048E-2</c:v>
                </c:pt>
                <c:pt idx="9">
                  <c:v>2.0527722475760578E-2</c:v>
                </c:pt>
                <c:pt idx="10">
                  <c:v>1.7556145035304997E-2</c:v>
                </c:pt>
              </c:numCache>
            </c:numRef>
          </c:val>
          <c:extLst>
            <c:ext xmlns:c16="http://schemas.microsoft.com/office/drawing/2014/chart" uri="{C3380CC4-5D6E-409C-BE32-E72D297353CC}">
              <c16:uniqueId val="{0000000E-7189-4C28-92F7-BC9BE682343E}"/>
            </c:ext>
          </c:extLst>
        </c:ser>
        <c:dLbls>
          <c:showLegendKey val="0"/>
          <c:showVal val="0"/>
          <c:showCatName val="0"/>
          <c:showSerName val="0"/>
          <c:showPercent val="0"/>
          <c:showBubbleSize val="0"/>
        </c:dLbls>
        <c:gapWidth val="48"/>
        <c:axId val="151480960"/>
        <c:axId val="151486848"/>
      </c:barChart>
      <c:catAx>
        <c:axId val="151480960"/>
        <c:scaling>
          <c:orientation val="maxMin"/>
        </c:scaling>
        <c:delete val="0"/>
        <c:axPos val="l"/>
        <c:numFmt formatCode="General" sourceLinked="1"/>
        <c:majorTickMark val="out"/>
        <c:minorTickMark val="none"/>
        <c:tickLblPos val="nextTo"/>
        <c:txPr>
          <a:bodyPr rot="0" vert="horz"/>
          <a:lstStyle/>
          <a:p>
            <a:pPr>
              <a:defRPr sz="900" b="0" i="0" u="none" strike="noStrike" baseline="0">
                <a:solidFill>
                  <a:srgbClr val="000000"/>
                </a:solidFill>
                <a:latin typeface="Calibri"/>
                <a:ea typeface="Calibri"/>
                <a:cs typeface="Calibri"/>
              </a:defRPr>
            </a:pPr>
            <a:endParaRPr lang="en-US"/>
          </a:p>
        </c:txPr>
        <c:crossAx val="151486848"/>
        <c:crosses val="autoZero"/>
        <c:auto val="1"/>
        <c:lblAlgn val="ctr"/>
        <c:lblOffset val="100"/>
        <c:noMultiLvlLbl val="0"/>
      </c:catAx>
      <c:valAx>
        <c:axId val="151486848"/>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en-US"/>
                  <a:t>Percent of Statewide Foundation Budget</a:t>
                </a:r>
              </a:p>
            </c:rich>
          </c:tx>
          <c:overlay val="0"/>
        </c:title>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1480960"/>
        <c:crosses val="max"/>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B86772-5334-43A2-A942-9F65F719E013}"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8DDC492E-AB58-4DBF-86F4-FFEA0D2EED7B}">
      <dgm:prSet phldrT="[Text]"/>
      <dgm:spPr/>
      <dgm:t>
        <a:bodyPr/>
        <a:lstStyle/>
        <a:p>
          <a:r>
            <a:rPr lang="en-US"/>
            <a:t>prelim contribution</a:t>
          </a:r>
        </a:p>
      </dgm:t>
    </dgm:pt>
    <dgm:pt modelId="{ED86C326-C41A-4F93-86FE-51564C3EEBA6}" type="parTrans" cxnId="{82397427-11FE-4FAF-BC4B-92D1038F29D0}">
      <dgm:prSet/>
      <dgm:spPr/>
      <dgm:t>
        <a:bodyPr/>
        <a:lstStyle/>
        <a:p>
          <a:endParaRPr lang="en-US"/>
        </a:p>
      </dgm:t>
    </dgm:pt>
    <dgm:pt modelId="{DEA3A0AE-D785-42FE-A1C2-91034BEAD1F5}" type="sibTrans" cxnId="{82397427-11FE-4FAF-BC4B-92D1038F29D0}">
      <dgm:prSet/>
      <dgm:spPr/>
      <dgm:t>
        <a:bodyPr/>
        <a:lstStyle/>
        <a:p>
          <a:endParaRPr lang="en-US"/>
        </a:p>
      </dgm:t>
    </dgm:pt>
    <dgm:pt modelId="{C43C7EFB-6CAB-4FA3-A875-7B969F7CDB72}">
      <dgm:prSet phldrT="[Text]"/>
      <dgm:spPr/>
      <dgm:t>
        <a:bodyPr/>
        <a:lstStyle/>
        <a:p>
          <a:r>
            <a:rPr lang="en-US"/>
            <a:t>If above target:</a:t>
          </a:r>
        </a:p>
      </dgm:t>
    </dgm:pt>
    <dgm:pt modelId="{FA090660-D9F4-4513-99D9-364E203605D7}" type="parTrans" cxnId="{A23A5DEA-3647-44E9-9554-EFF267111A94}">
      <dgm:prSet/>
      <dgm:spPr/>
      <dgm:t>
        <a:bodyPr/>
        <a:lstStyle/>
        <a:p>
          <a:endParaRPr lang="en-US"/>
        </a:p>
      </dgm:t>
    </dgm:pt>
    <dgm:pt modelId="{303930CC-1A36-47E8-AB3E-A483392816F0}" type="sibTrans" cxnId="{A23A5DEA-3647-44E9-9554-EFF267111A94}">
      <dgm:prSet/>
      <dgm:spPr/>
      <dgm:t>
        <a:bodyPr/>
        <a:lstStyle/>
        <a:p>
          <a:endParaRPr lang="en-US"/>
        </a:p>
      </dgm:t>
    </dgm:pt>
    <dgm:pt modelId="{C7FEA100-5A9F-4B16-A7BF-017E34944787}">
      <dgm:prSet phldrT="[Text]"/>
      <dgm:spPr/>
      <dgm:t>
        <a:bodyPr/>
        <a:lstStyle/>
        <a:p>
          <a:r>
            <a:rPr lang="en-US"/>
            <a:t>If below target:</a:t>
          </a:r>
        </a:p>
      </dgm:t>
    </dgm:pt>
    <dgm:pt modelId="{6173DE7A-7B22-4EA7-91A2-015E92B4E400}" type="parTrans" cxnId="{48FEBC03-2F72-4956-AEEE-40F35FF32BEA}">
      <dgm:prSet/>
      <dgm:spPr/>
      <dgm:t>
        <a:bodyPr/>
        <a:lstStyle/>
        <a:p>
          <a:endParaRPr lang="en-US"/>
        </a:p>
      </dgm:t>
    </dgm:pt>
    <dgm:pt modelId="{CDE17C8F-55DA-4EEE-B5E7-4DA400703573}" type="sibTrans" cxnId="{48FEBC03-2F72-4956-AEEE-40F35FF32BEA}">
      <dgm:prSet/>
      <dgm:spPr/>
      <dgm:t>
        <a:bodyPr/>
        <a:lstStyle/>
        <a:p>
          <a:endParaRPr lang="en-US"/>
        </a:p>
      </dgm:t>
    </dgm:pt>
    <dgm:pt modelId="{FB022DAE-4522-4F26-9D22-5DF39B51D410}">
      <dgm:prSet/>
      <dgm:spPr/>
      <dgm:t>
        <a:bodyPr/>
        <a:lstStyle/>
        <a:p>
          <a:r>
            <a:rPr lang="en-US"/>
            <a:t>If &gt; 7.5% below</a:t>
          </a:r>
        </a:p>
      </dgm:t>
    </dgm:pt>
    <dgm:pt modelId="{D5811F06-5CE1-4146-A8C6-1CF107AAD893}" type="parTrans" cxnId="{34FCAD54-1998-4BFC-9282-84558E18C9B0}">
      <dgm:prSet/>
      <dgm:spPr/>
      <dgm:t>
        <a:bodyPr/>
        <a:lstStyle/>
        <a:p>
          <a:endParaRPr lang="en-US"/>
        </a:p>
      </dgm:t>
    </dgm:pt>
    <dgm:pt modelId="{2DA5254D-7DE8-4616-9C5D-0144CB8BFF8E}" type="sibTrans" cxnId="{34FCAD54-1998-4BFC-9282-84558E18C9B0}">
      <dgm:prSet/>
      <dgm:spPr/>
      <dgm:t>
        <a:bodyPr/>
        <a:lstStyle/>
        <a:p>
          <a:endParaRPr lang="en-US"/>
        </a:p>
      </dgm:t>
    </dgm:pt>
    <dgm:pt modelId="{7E1A19C6-8BAA-4306-894F-826EA3769E15}">
      <dgm:prSet/>
      <dgm:spPr/>
      <dgm:t>
        <a:bodyPr/>
        <a:lstStyle/>
        <a:p>
          <a:r>
            <a:rPr lang="en-US"/>
            <a:t>requirement reduced to target</a:t>
          </a:r>
        </a:p>
      </dgm:t>
    </dgm:pt>
    <dgm:pt modelId="{AE466D7B-72D4-4834-AF61-F94846D2D24E}" type="parTrans" cxnId="{2AF38B91-B77D-47A9-82B0-F1D6092CE67B}">
      <dgm:prSet/>
      <dgm:spPr/>
      <dgm:t>
        <a:bodyPr/>
        <a:lstStyle/>
        <a:p>
          <a:endParaRPr lang="en-US"/>
        </a:p>
      </dgm:t>
    </dgm:pt>
    <dgm:pt modelId="{012A6F94-B415-4742-A1DC-AF99174983C4}" type="sibTrans" cxnId="{2AF38B91-B77D-47A9-82B0-F1D6092CE67B}">
      <dgm:prSet/>
      <dgm:spPr/>
      <dgm:t>
        <a:bodyPr/>
        <a:lstStyle/>
        <a:p>
          <a:endParaRPr lang="en-US"/>
        </a:p>
      </dgm:t>
    </dgm:pt>
    <dgm:pt modelId="{9BCE389F-8E29-4FD0-BF64-D3A36B56E803}">
      <dgm:prSet/>
      <dgm:spPr/>
      <dgm:t>
        <a:bodyPr/>
        <a:lstStyle/>
        <a:p>
          <a:r>
            <a:rPr lang="en-US"/>
            <a:t>add 2% increment to prelim</a:t>
          </a:r>
        </a:p>
      </dgm:t>
    </dgm:pt>
    <dgm:pt modelId="{96AB8EA5-1C21-41A6-BEE4-2D9856AB578B}" type="parTrans" cxnId="{907A27E8-A484-4E3A-948D-7939A0CFD2C9}">
      <dgm:prSet/>
      <dgm:spPr/>
      <dgm:t>
        <a:bodyPr/>
        <a:lstStyle/>
        <a:p>
          <a:endParaRPr lang="en-US"/>
        </a:p>
      </dgm:t>
    </dgm:pt>
    <dgm:pt modelId="{871CBCD7-8138-4EA0-9C59-6F1E51A88597}" type="sibTrans" cxnId="{907A27E8-A484-4E3A-948D-7939A0CFD2C9}">
      <dgm:prSet/>
      <dgm:spPr/>
      <dgm:t>
        <a:bodyPr/>
        <a:lstStyle/>
        <a:p>
          <a:endParaRPr lang="en-US"/>
        </a:p>
      </dgm:t>
    </dgm:pt>
    <dgm:pt modelId="{480E0FE4-86E9-4E85-B1B3-4F73E2CD16EA}">
      <dgm:prSet/>
      <dgm:spPr/>
      <dgm:t>
        <a:bodyPr/>
        <a:lstStyle/>
        <a:p>
          <a:r>
            <a:rPr lang="en-US"/>
            <a:t>If &lt;2.5% below</a:t>
          </a:r>
        </a:p>
      </dgm:t>
    </dgm:pt>
    <dgm:pt modelId="{0C87EC92-478A-4683-94DA-93FD38E6C502}" type="parTrans" cxnId="{34ECD323-AF31-4208-B961-39311D4F3E93}">
      <dgm:prSet/>
      <dgm:spPr/>
      <dgm:t>
        <a:bodyPr/>
        <a:lstStyle/>
        <a:p>
          <a:endParaRPr lang="en-US"/>
        </a:p>
      </dgm:t>
    </dgm:pt>
    <dgm:pt modelId="{906DFD56-97B9-4740-912F-6C2A2F04EEFC}" type="sibTrans" cxnId="{34ECD323-AF31-4208-B961-39311D4F3E93}">
      <dgm:prSet/>
      <dgm:spPr/>
      <dgm:t>
        <a:bodyPr/>
        <a:lstStyle/>
        <a:p>
          <a:endParaRPr lang="en-US"/>
        </a:p>
      </dgm:t>
    </dgm:pt>
    <dgm:pt modelId="{8DD05431-077C-46B9-9448-34EE1F16A87F}">
      <dgm:prSet/>
      <dgm:spPr/>
      <dgm:t>
        <a:bodyPr/>
        <a:lstStyle/>
        <a:p>
          <a:r>
            <a:rPr lang="en-US"/>
            <a:t>requirement set at prelim</a:t>
          </a:r>
          <a:br>
            <a:rPr lang="en-US"/>
          </a:br>
          <a:r>
            <a:rPr lang="en-US"/>
            <a:t>(no increment)</a:t>
          </a:r>
        </a:p>
      </dgm:t>
    </dgm:pt>
    <dgm:pt modelId="{706870D4-47EE-41AF-9BA8-69953AAEBD1F}" type="parTrans" cxnId="{80F1F067-1F51-4DE2-A5D8-23240CA2B363}">
      <dgm:prSet/>
      <dgm:spPr/>
      <dgm:t>
        <a:bodyPr/>
        <a:lstStyle/>
        <a:p>
          <a:endParaRPr lang="en-US"/>
        </a:p>
      </dgm:t>
    </dgm:pt>
    <dgm:pt modelId="{8FE0C462-E383-411E-9929-EE7DBA17478D}" type="sibTrans" cxnId="{80F1F067-1F51-4DE2-A5D8-23240CA2B363}">
      <dgm:prSet/>
      <dgm:spPr/>
      <dgm:t>
        <a:bodyPr/>
        <a:lstStyle/>
        <a:p>
          <a:endParaRPr lang="en-US"/>
        </a:p>
      </dgm:t>
    </dgm:pt>
    <dgm:pt modelId="{10848ADB-D4FD-4416-A49B-A34359ADDDE2}">
      <dgm:prSet/>
      <dgm:spPr/>
      <dgm:t>
        <a:bodyPr/>
        <a:lstStyle/>
        <a:p>
          <a:r>
            <a:rPr lang="en-US"/>
            <a:t>If &gt;2.5% and &lt; 7.5% below</a:t>
          </a:r>
        </a:p>
      </dgm:t>
    </dgm:pt>
    <dgm:pt modelId="{DE0F9604-A768-49AC-B562-7307FBE31B4C}" type="parTrans" cxnId="{406AAC1A-9831-4A43-AD34-060E22F27692}">
      <dgm:prSet/>
      <dgm:spPr/>
      <dgm:t>
        <a:bodyPr/>
        <a:lstStyle/>
        <a:p>
          <a:endParaRPr lang="en-US"/>
        </a:p>
      </dgm:t>
    </dgm:pt>
    <dgm:pt modelId="{A4C19859-004B-48FE-AFA5-70049BA7655C}" type="sibTrans" cxnId="{406AAC1A-9831-4A43-AD34-060E22F27692}">
      <dgm:prSet/>
      <dgm:spPr/>
      <dgm:t>
        <a:bodyPr/>
        <a:lstStyle/>
        <a:p>
          <a:endParaRPr lang="en-US"/>
        </a:p>
      </dgm:t>
    </dgm:pt>
    <dgm:pt modelId="{F38B652E-1A56-4162-A443-B125F066A481}">
      <dgm:prSet/>
      <dgm:spPr/>
      <dgm:t>
        <a:bodyPr/>
        <a:lstStyle/>
        <a:p>
          <a:r>
            <a:rPr lang="en-US"/>
            <a:t>add 1% increment to prelim</a:t>
          </a:r>
        </a:p>
      </dgm:t>
    </dgm:pt>
    <dgm:pt modelId="{FF1EE786-3918-48C9-9C38-16BCF0B304E2}" type="parTrans" cxnId="{D8C5FEB9-F856-497A-BA12-84C2ECDF935F}">
      <dgm:prSet/>
      <dgm:spPr/>
      <dgm:t>
        <a:bodyPr/>
        <a:lstStyle/>
        <a:p>
          <a:endParaRPr lang="en-US"/>
        </a:p>
      </dgm:t>
    </dgm:pt>
    <dgm:pt modelId="{A71C42D4-72EA-4423-AD73-9CDF7DD095C8}" type="sibTrans" cxnId="{D8C5FEB9-F856-497A-BA12-84C2ECDF935F}">
      <dgm:prSet/>
      <dgm:spPr/>
      <dgm:t>
        <a:bodyPr/>
        <a:lstStyle/>
        <a:p>
          <a:endParaRPr lang="en-US"/>
        </a:p>
      </dgm:t>
    </dgm:pt>
    <dgm:pt modelId="{FF22D3AD-2664-4566-9076-226E8F81E2A5}" type="pres">
      <dgm:prSet presAssocID="{C3B86772-5334-43A2-A942-9F65F719E013}" presName="diagram" presStyleCnt="0">
        <dgm:presLayoutVars>
          <dgm:chPref val="1"/>
          <dgm:dir/>
          <dgm:animOne val="branch"/>
          <dgm:animLvl val="lvl"/>
          <dgm:resizeHandles val="exact"/>
        </dgm:presLayoutVars>
      </dgm:prSet>
      <dgm:spPr/>
    </dgm:pt>
    <dgm:pt modelId="{36459E85-DA56-486E-9781-ADFE8654F48D}" type="pres">
      <dgm:prSet presAssocID="{8DDC492E-AB58-4DBF-86F4-FFEA0D2EED7B}" presName="root1" presStyleCnt="0"/>
      <dgm:spPr/>
    </dgm:pt>
    <dgm:pt modelId="{113E6E74-96F2-4945-8062-23ACDF0D32E1}" type="pres">
      <dgm:prSet presAssocID="{8DDC492E-AB58-4DBF-86F4-FFEA0D2EED7B}" presName="LevelOneTextNode" presStyleLbl="node0" presStyleIdx="0" presStyleCnt="1">
        <dgm:presLayoutVars>
          <dgm:chPref val="3"/>
        </dgm:presLayoutVars>
      </dgm:prSet>
      <dgm:spPr/>
    </dgm:pt>
    <dgm:pt modelId="{42103B15-4D1C-4BB5-837A-37A1B6CDFD7C}" type="pres">
      <dgm:prSet presAssocID="{8DDC492E-AB58-4DBF-86F4-FFEA0D2EED7B}" presName="level2hierChild" presStyleCnt="0"/>
      <dgm:spPr/>
    </dgm:pt>
    <dgm:pt modelId="{28D179CB-B0B5-4784-8A27-CB429F116AEE}" type="pres">
      <dgm:prSet presAssocID="{FA090660-D9F4-4513-99D9-364E203605D7}" presName="conn2-1" presStyleLbl="parChTrans1D2" presStyleIdx="0" presStyleCnt="2"/>
      <dgm:spPr/>
    </dgm:pt>
    <dgm:pt modelId="{0B37580F-200D-4431-A9D4-24CC73879AEC}" type="pres">
      <dgm:prSet presAssocID="{FA090660-D9F4-4513-99D9-364E203605D7}" presName="connTx" presStyleLbl="parChTrans1D2" presStyleIdx="0" presStyleCnt="2"/>
      <dgm:spPr/>
    </dgm:pt>
    <dgm:pt modelId="{87097064-969C-4EF0-B6AA-BA7DF8A6CE1F}" type="pres">
      <dgm:prSet presAssocID="{C43C7EFB-6CAB-4FA3-A875-7B969F7CDB72}" presName="root2" presStyleCnt="0"/>
      <dgm:spPr/>
    </dgm:pt>
    <dgm:pt modelId="{98A75BD5-745F-4817-809F-776A71C896AA}" type="pres">
      <dgm:prSet presAssocID="{C43C7EFB-6CAB-4FA3-A875-7B969F7CDB72}" presName="LevelTwoTextNode" presStyleLbl="node2" presStyleIdx="0" presStyleCnt="2">
        <dgm:presLayoutVars>
          <dgm:chPref val="3"/>
        </dgm:presLayoutVars>
      </dgm:prSet>
      <dgm:spPr/>
    </dgm:pt>
    <dgm:pt modelId="{E006B935-A33D-4616-99FE-BD991158E42E}" type="pres">
      <dgm:prSet presAssocID="{C43C7EFB-6CAB-4FA3-A875-7B969F7CDB72}" presName="level3hierChild" presStyleCnt="0"/>
      <dgm:spPr/>
    </dgm:pt>
    <dgm:pt modelId="{B2AE793D-4FDC-4970-A4DB-3BAB0B0C384C}" type="pres">
      <dgm:prSet presAssocID="{AE466D7B-72D4-4834-AF61-F94846D2D24E}" presName="conn2-1" presStyleLbl="parChTrans1D3" presStyleIdx="0" presStyleCnt="4"/>
      <dgm:spPr/>
    </dgm:pt>
    <dgm:pt modelId="{632CC3CC-4AC4-4354-B839-528D1C308517}" type="pres">
      <dgm:prSet presAssocID="{AE466D7B-72D4-4834-AF61-F94846D2D24E}" presName="connTx" presStyleLbl="parChTrans1D3" presStyleIdx="0" presStyleCnt="4"/>
      <dgm:spPr/>
    </dgm:pt>
    <dgm:pt modelId="{1D188154-B540-40BD-B837-88FE08084DDE}" type="pres">
      <dgm:prSet presAssocID="{7E1A19C6-8BAA-4306-894F-826EA3769E15}" presName="root2" presStyleCnt="0"/>
      <dgm:spPr/>
    </dgm:pt>
    <dgm:pt modelId="{49E58209-CBF7-40CA-A4A4-0573A30AA7D2}" type="pres">
      <dgm:prSet presAssocID="{7E1A19C6-8BAA-4306-894F-826EA3769E15}" presName="LevelTwoTextNode" presStyleLbl="node3" presStyleIdx="0" presStyleCnt="4" custScaleX="169334">
        <dgm:presLayoutVars>
          <dgm:chPref val="3"/>
        </dgm:presLayoutVars>
      </dgm:prSet>
      <dgm:spPr/>
    </dgm:pt>
    <dgm:pt modelId="{9221077B-7B2A-4387-A1D8-580CFC596936}" type="pres">
      <dgm:prSet presAssocID="{7E1A19C6-8BAA-4306-894F-826EA3769E15}" presName="level3hierChild" presStyleCnt="0"/>
      <dgm:spPr/>
    </dgm:pt>
    <dgm:pt modelId="{6C4A98BB-1C8A-4C80-8296-6816B1034C1F}" type="pres">
      <dgm:prSet presAssocID="{6173DE7A-7B22-4EA7-91A2-015E92B4E400}" presName="conn2-1" presStyleLbl="parChTrans1D2" presStyleIdx="1" presStyleCnt="2"/>
      <dgm:spPr/>
    </dgm:pt>
    <dgm:pt modelId="{D66E0108-B00B-43A6-9353-1DD35DD3E8AF}" type="pres">
      <dgm:prSet presAssocID="{6173DE7A-7B22-4EA7-91A2-015E92B4E400}" presName="connTx" presStyleLbl="parChTrans1D2" presStyleIdx="1" presStyleCnt="2"/>
      <dgm:spPr/>
    </dgm:pt>
    <dgm:pt modelId="{5EDD1481-E2B6-4BBC-9BD0-467AEFA79F9F}" type="pres">
      <dgm:prSet presAssocID="{C7FEA100-5A9F-4B16-A7BF-017E34944787}" presName="root2" presStyleCnt="0"/>
      <dgm:spPr/>
    </dgm:pt>
    <dgm:pt modelId="{692BBB9D-3569-4370-9FEF-44902FBD2A26}" type="pres">
      <dgm:prSet presAssocID="{C7FEA100-5A9F-4B16-A7BF-017E34944787}" presName="LevelTwoTextNode" presStyleLbl="node2" presStyleIdx="1" presStyleCnt="2">
        <dgm:presLayoutVars>
          <dgm:chPref val="3"/>
        </dgm:presLayoutVars>
      </dgm:prSet>
      <dgm:spPr/>
    </dgm:pt>
    <dgm:pt modelId="{3B49AC5A-89EF-4981-A4C0-91878F80CD72}" type="pres">
      <dgm:prSet presAssocID="{C7FEA100-5A9F-4B16-A7BF-017E34944787}" presName="level3hierChild" presStyleCnt="0"/>
      <dgm:spPr/>
    </dgm:pt>
    <dgm:pt modelId="{0A2D3E95-187E-46B9-8979-5AC6D37F1781}" type="pres">
      <dgm:prSet presAssocID="{D5811F06-5CE1-4146-A8C6-1CF107AAD893}" presName="conn2-1" presStyleLbl="parChTrans1D3" presStyleIdx="1" presStyleCnt="4"/>
      <dgm:spPr/>
    </dgm:pt>
    <dgm:pt modelId="{8B9D711D-E2C0-4ACD-8B55-66D462343BFD}" type="pres">
      <dgm:prSet presAssocID="{D5811F06-5CE1-4146-A8C6-1CF107AAD893}" presName="connTx" presStyleLbl="parChTrans1D3" presStyleIdx="1" presStyleCnt="4"/>
      <dgm:spPr/>
    </dgm:pt>
    <dgm:pt modelId="{F5397D25-9811-47A9-81E4-25805D0518D8}" type="pres">
      <dgm:prSet presAssocID="{FB022DAE-4522-4F26-9D22-5DF39B51D410}" presName="root2" presStyleCnt="0"/>
      <dgm:spPr/>
    </dgm:pt>
    <dgm:pt modelId="{7B165929-F70D-457D-B292-198E7A274DBD}" type="pres">
      <dgm:prSet presAssocID="{FB022DAE-4522-4F26-9D22-5DF39B51D410}" presName="LevelTwoTextNode" presStyleLbl="node3" presStyleIdx="1" presStyleCnt="4" custScaleX="169334" custLinFactY="100000" custLinFactNeighborX="-1" custLinFactNeighborY="130109">
        <dgm:presLayoutVars>
          <dgm:chPref val="3"/>
        </dgm:presLayoutVars>
      </dgm:prSet>
      <dgm:spPr/>
    </dgm:pt>
    <dgm:pt modelId="{640652EE-CB88-49EC-9CF9-6BC6A898F629}" type="pres">
      <dgm:prSet presAssocID="{FB022DAE-4522-4F26-9D22-5DF39B51D410}" presName="level3hierChild" presStyleCnt="0"/>
      <dgm:spPr/>
    </dgm:pt>
    <dgm:pt modelId="{92134F84-1FDF-40FC-9ACB-E79F5C027803}" type="pres">
      <dgm:prSet presAssocID="{96AB8EA5-1C21-41A6-BEE4-2D9856AB578B}" presName="conn2-1" presStyleLbl="parChTrans1D4" presStyleIdx="0" presStyleCnt="3"/>
      <dgm:spPr/>
    </dgm:pt>
    <dgm:pt modelId="{39379D2E-5D7E-40B2-84D4-AA1349E95E0C}" type="pres">
      <dgm:prSet presAssocID="{96AB8EA5-1C21-41A6-BEE4-2D9856AB578B}" presName="connTx" presStyleLbl="parChTrans1D4" presStyleIdx="0" presStyleCnt="3"/>
      <dgm:spPr/>
    </dgm:pt>
    <dgm:pt modelId="{B18BF0A4-84CB-4432-8967-7B6E342782D9}" type="pres">
      <dgm:prSet presAssocID="{9BCE389F-8E29-4FD0-BF64-D3A36B56E803}" presName="root2" presStyleCnt="0"/>
      <dgm:spPr/>
    </dgm:pt>
    <dgm:pt modelId="{67D354E1-0204-4F10-BBA4-ADAB88C357B1}" type="pres">
      <dgm:prSet presAssocID="{9BCE389F-8E29-4FD0-BF64-D3A36B56E803}" presName="LevelTwoTextNode" presStyleLbl="node4" presStyleIdx="0" presStyleCnt="3" custScaleX="152188" custScaleY="56885" custLinFactY="100000" custLinFactNeighborX="-1204" custLinFactNeighborY="130108">
        <dgm:presLayoutVars>
          <dgm:chPref val="3"/>
        </dgm:presLayoutVars>
      </dgm:prSet>
      <dgm:spPr/>
    </dgm:pt>
    <dgm:pt modelId="{3F415127-A0D7-40CB-BDD5-C0F95231F320}" type="pres">
      <dgm:prSet presAssocID="{9BCE389F-8E29-4FD0-BF64-D3A36B56E803}" presName="level3hierChild" presStyleCnt="0"/>
      <dgm:spPr/>
    </dgm:pt>
    <dgm:pt modelId="{520E4E40-64F1-4504-B4F3-75571771CE9E}" type="pres">
      <dgm:prSet presAssocID="{DE0F9604-A768-49AC-B562-7307FBE31B4C}" presName="conn2-1" presStyleLbl="parChTrans1D3" presStyleIdx="2" presStyleCnt="4"/>
      <dgm:spPr/>
    </dgm:pt>
    <dgm:pt modelId="{974FA852-6728-4F43-89B3-10EF7728497E}" type="pres">
      <dgm:prSet presAssocID="{DE0F9604-A768-49AC-B562-7307FBE31B4C}" presName="connTx" presStyleLbl="parChTrans1D3" presStyleIdx="2" presStyleCnt="4"/>
      <dgm:spPr/>
    </dgm:pt>
    <dgm:pt modelId="{94AACE1C-41CA-493E-8D10-01DE55089F11}" type="pres">
      <dgm:prSet presAssocID="{10848ADB-D4FD-4416-A49B-A34359ADDDE2}" presName="root2" presStyleCnt="0"/>
      <dgm:spPr/>
    </dgm:pt>
    <dgm:pt modelId="{B40A090E-B91B-493F-B6AF-899F0A1CF2AC}" type="pres">
      <dgm:prSet presAssocID="{10848ADB-D4FD-4416-A49B-A34359ADDDE2}" presName="LevelTwoTextNode" presStyleLbl="node3" presStyleIdx="2" presStyleCnt="4" custScaleX="169334">
        <dgm:presLayoutVars>
          <dgm:chPref val="3"/>
        </dgm:presLayoutVars>
      </dgm:prSet>
      <dgm:spPr/>
    </dgm:pt>
    <dgm:pt modelId="{0FC87295-7BE4-4E05-A712-E3D65781A761}" type="pres">
      <dgm:prSet presAssocID="{10848ADB-D4FD-4416-A49B-A34359ADDDE2}" presName="level3hierChild" presStyleCnt="0"/>
      <dgm:spPr/>
    </dgm:pt>
    <dgm:pt modelId="{40FBC2E3-009E-4B20-8CD6-273C748E4965}" type="pres">
      <dgm:prSet presAssocID="{FF1EE786-3918-48C9-9C38-16BCF0B304E2}" presName="conn2-1" presStyleLbl="parChTrans1D4" presStyleIdx="1" presStyleCnt="3"/>
      <dgm:spPr/>
    </dgm:pt>
    <dgm:pt modelId="{7C97D073-2AC5-4571-9372-8D19BCB8EF79}" type="pres">
      <dgm:prSet presAssocID="{FF1EE786-3918-48C9-9C38-16BCF0B304E2}" presName="connTx" presStyleLbl="parChTrans1D4" presStyleIdx="1" presStyleCnt="3"/>
      <dgm:spPr/>
    </dgm:pt>
    <dgm:pt modelId="{F997F772-E664-4CEF-967F-0E717BDCF6FB}" type="pres">
      <dgm:prSet presAssocID="{F38B652E-1A56-4162-A443-B125F066A481}" presName="root2" presStyleCnt="0"/>
      <dgm:spPr/>
    </dgm:pt>
    <dgm:pt modelId="{E0A3E5F6-ACD6-4CCF-9299-9B0E974E7B7A}" type="pres">
      <dgm:prSet presAssocID="{F38B652E-1A56-4162-A443-B125F066A481}" presName="LevelTwoTextNode" presStyleLbl="node4" presStyleIdx="1" presStyleCnt="3" custScaleX="152188" custScaleY="56014">
        <dgm:presLayoutVars>
          <dgm:chPref val="3"/>
        </dgm:presLayoutVars>
      </dgm:prSet>
      <dgm:spPr/>
    </dgm:pt>
    <dgm:pt modelId="{945969F5-FDBF-4903-A26F-CEFE5B9DB516}" type="pres">
      <dgm:prSet presAssocID="{F38B652E-1A56-4162-A443-B125F066A481}" presName="level3hierChild" presStyleCnt="0"/>
      <dgm:spPr/>
    </dgm:pt>
    <dgm:pt modelId="{82D57F34-7F4F-44EB-A9F4-BBC9C437D239}" type="pres">
      <dgm:prSet presAssocID="{0C87EC92-478A-4683-94DA-93FD38E6C502}" presName="conn2-1" presStyleLbl="parChTrans1D3" presStyleIdx="3" presStyleCnt="4"/>
      <dgm:spPr/>
    </dgm:pt>
    <dgm:pt modelId="{1977FD79-34B6-4410-86FB-D768E9528C1E}" type="pres">
      <dgm:prSet presAssocID="{0C87EC92-478A-4683-94DA-93FD38E6C502}" presName="connTx" presStyleLbl="parChTrans1D3" presStyleIdx="3" presStyleCnt="4"/>
      <dgm:spPr/>
    </dgm:pt>
    <dgm:pt modelId="{10362679-D65E-408C-964D-82AEC8E784EB}" type="pres">
      <dgm:prSet presAssocID="{480E0FE4-86E9-4E85-B1B3-4F73E2CD16EA}" presName="root2" presStyleCnt="0"/>
      <dgm:spPr/>
    </dgm:pt>
    <dgm:pt modelId="{29B5AD5D-4DB2-447D-A08B-8447C9874443}" type="pres">
      <dgm:prSet presAssocID="{480E0FE4-86E9-4E85-B1B3-4F73E2CD16EA}" presName="LevelTwoTextNode" presStyleLbl="node3" presStyleIdx="3" presStyleCnt="4" custScaleX="169334" custLinFactY="-100000" custLinFactNeighborX="1202" custLinFactNeighborY="-123752">
        <dgm:presLayoutVars>
          <dgm:chPref val="3"/>
        </dgm:presLayoutVars>
      </dgm:prSet>
      <dgm:spPr/>
    </dgm:pt>
    <dgm:pt modelId="{07F781FA-A2BF-4498-A9AF-CBB60249523E}" type="pres">
      <dgm:prSet presAssocID="{480E0FE4-86E9-4E85-B1B3-4F73E2CD16EA}" presName="level3hierChild" presStyleCnt="0"/>
      <dgm:spPr/>
    </dgm:pt>
    <dgm:pt modelId="{9C2B33C5-2647-4EE1-B483-ED9C989DEA89}" type="pres">
      <dgm:prSet presAssocID="{706870D4-47EE-41AF-9BA8-69953AAEBD1F}" presName="conn2-1" presStyleLbl="parChTrans1D4" presStyleIdx="2" presStyleCnt="3"/>
      <dgm:spPr/>
    </dgm:pt>
    <dgm:pt modelId="{5C79DE3F-C973-4BB8-8F87-9E7DAE705ACD}" type="pres">
      <dgm:prSet presAssocID="{706870D4-47EE-41AF-9BA8-69953AAEBD1F}" presName="connTx" presStyleLbl="parChTrans1D4" presStyleIdx="2" presStyleCnt="3"/>
      <dgm:spPr/>
    </dgm:pt>
    <dgm:pt modelId="{DA369E57-133C-41DD-B137-4CC79CC3A403}" type="pres">
      <dgm:prSet presAssocID="{8DD05431-077C-46B9-9448-34EE1F16A87F}" presName="root2" presStyleCnt="0"/>
      <dgm:spPr/>
    </dgm:pt>
    <dgm:pt modelId="{46D8C089-688C-4A3D-B2AC-A5402E765319}" type="pres">
      <dgm:prSet presAssocID="{8DD05431-077C-46B9-9448-34EE1F16A87F}" presName="LevelTwoTextNode" presStyleLbl="node4" presStyleIdx="2" presStyleCnt="3" custScaleX="152188" custLinFactY="-100000" custLinFactNeighborY="-123752">
        <dgm:presLayoutVars>
          <dgm:chPref val="3"/>
        </dgm:presLayoutVars>
      </dgm:prSet>
      <dgm:spPr/>
    </dgm:pt>
    <dgm:pt modelId="{4B984F4B-DA0A-4C48-BD61-D5C86A31C3CB}" type="pres">
      <dgm:prSet presAssocID="{8DD05431-077C-46B9-9448-34EE1F16A87F}" presName="level3hierChild" presStyleCnt="0"/>
      <dgm:spPr/>
    </dgm:pt>
  </dgm:ptLst>
  <dgm:cxnLst>
    <dgm:cxn modelId="{3E286302-3620-4D78-A70D-82CB5AD6FC53}" type="presOf" srcId="{C3B86772-5334-43A2-A942-9F65F719E013}" destId="{FF22D3AD-2664-4566-9076-226E8F81E2A5}" srcOrd="0" destOrd="0" presId="urn:microsoft.com/office/officeart/2005/8/layout/hierarchy2"/>
    <dgm:cxn modelId="{F76EA402-B0E8-4FAD-A348-FB751A3DCFDD}" type="presOf" srcId="{9BCE389F-8E29-4FD0-BF64-D3A36B56E803}" destId="{67D354E1-0204-4F10-BBA4-ADAB88C357B1}" srcOrd="0" destOrd="0" presId="urn:microsoft.com/office/officeart/2005/8/layout/hierarchy2"/>
    <dgm:cxn modelId="{48FEBC03-2F72-4956-AEEE-40F35FF32BEA}" srcId="{8DDC492E-AB58-4DBF-86F4-FFEA0D2EED7B}" destId="{C7FEA100-5A9F-4B16-A7BF-017E34944787}" srcOrd="1" destOrd="0" parTransId="{6173DE7A-7B22-4EA7-91A2-015E92B4E400}" sibTransId="{CDE17C8F-55DA-4EEE-B5E7-4DA400703573}"/>
    <dgm:cxn modelId="{6EA66812-1A07-45B4-9D7B-AB8038039E34}" type="presOf" srcId="{C7FEA100-5A9F-4B16-A7BF-017E34944787}" destId="{692BBB9D-3569-4370-9FEF-44902FBD2A26}" srcOrd="0" destOrd="0" presId="urn:microsoft.com/office/officeart/2005/8/layout/hierarchy2"/>
    <dgm:cxn modelId="{6B808313-7BA7-4549-97E6-FEB9512637F1}" type="presOf" srcId="{96AB8EA5-1C21-41A6-BEE4-2D9856AB578B}" destId="{92134F84-1FDF-40FC-9ACB-E79F5C027803}" srcOrd="0" destOrd="0" presId="urn:microsoft.com/office/officeart/2005/8/layout/hierarchy2"/>
    <dgm:cxn modelId="{1CABC917-E27C-40B2-9E0E-871AD0766288}" type="presOf" srcId="{C43C7EFB-6CAB-4FA3-A875-7B969F7CDB72}" destId="{98A75BD5-745F-4817-809F-776A71C896AA}" srcOrd="0" destOrd="0" presId="urn:microsoft.com/office/officeart/2005/8/layout/hierarchy2"/>
    <dgm:cxn modelId="{406AAC1A-9831-4A43-AD34-060E22F27692}" srcId="{C7FEA100-5A9F-4B16-A7BF-017E34944787}" destId="{10848ADB-D4FD-4416-A49B-A34359ADDDE2}" srcOrd="1" destOrd="0" parTransId="{DE0F9604-A768-49AC-B562-7307FBE31B4C}" sibTransId="{A4C19859-004B-48FE-AFA5-70049BA7655C}"/>
    <dgm:cxn modelId="{D0F4F120-4600-40A0-B294-66D6E6F0E598}" type="presOf" srcId="{7E1A19C6-8BAA-4306-894F-826EA3769E15}" destId="{49E58209-CBF7-40CA-A4A4-0573A30AA7D2}" srcOrd="0" destOrd="0" presId="urn:microsoft.com/office/officeart/2005/8/layout/hierarchy2"/>
    <dgm:cxn modelId="{C0BE3821-7967-44AC-BE2E-BCE1962F9BB3}" type="presOf" srcId="{0C87EC92-478A-4683-94DA-93FD38E6C502}" destId="{1977FD79-34B6-4410-86FB-D768E9528C1E}" srcOrd="1" destOrd="0" presId="urn:microsoft.com/office/officeart/2005/8/layout/hierarchy2"/>
    <dgm:cxn modelId="{34ECD323-AF31-4208-B961-39311D4F3E93}" srcId="{C7FEA100-5A9F-4B16-A7BF-017E34944787}" destId="{480E0FE4-86E9-4E85-B1B3-4F73E2CD16EA}" srcOrd="2" destOrd="0" parTransId="{0C87EC92-478A-4683-94DA-93FD38E6C502}" sibTransId="{906DFD56-97B9-4740-912F-6C2A2F04EEFC}"/>
    <dgm:cxn modelId="{82397427-11FE-4FAF-BC4B-92D1038F29D0}" srcId="{C3B86772-5334-43A2-A942-9F65F719E013}" destId="{8DDC492E-AB58-4DBF-86F4-FFEA0D2EED7B}" srcOrd="0" destOrd="0" parTransId="{ED86C326-C41A-4F93-86FE-51564C3EEBA6}" sibTransId="{DEA3A0AE-D785-42FE-A1C2-91034BEAD1F5}"/>
    <dgm:cxn modelId="{A81D9029-7743-4FBE-AC82-53060DEB3F7E}" type="presOf" srcId="{F38B652E-1A56-4162-A443-B125F066A481}" destId="{E0A3E5F6-ACD6-4CCF-9299-9B0E974E7B7A}" srcOrd="0" destOrd="0" presId="urn:microsoft.com/office/officeart/2005/8/layout/hierarchy2"/>
    <dgm:cxn modelId="{E9914F32-CD61-47AE-8B34-C80D71874A48}" type="presOf" srcId="{FF1EE786-3918-48C9-9C38-16BCF0B304E2}" destId="{7C97D073-2AC5-4571-9372-8D19BCB8EF79}" srcOrd="1" destOrd="0" presId="urn:microsoft.com/office/officeart/2005/8/layout/hierarchy2"/>
    <dgm:cxn modelId="{42FCFE34-A4F4-45AF-8355-EF1A9E08FC62}" type="presOf" srcId="{6173DE7A-7B22-4EA7-91A2-015E92B4E400}" destId="{6C4A98BB-1C8A-4C80-8296-6816B1034C1F}" srcOrd="0" destOrd="0" presId="urn:microsoft.com/office/officeart/2005/8/layout/hierarchy2"/>
    <dgm:cxn modelId="{329EA940-A309-4D6C-A923-693AA24EA0B2}" type="presOf" srcId="{10848ADB-D4FD-4416-A49B-A34359ADDDE2}" destId="{B40A090E-B91B-493F-B6AF-899F0A1CF2AC}" srcOrd="0" destOrd="0" presId="urn:microsoft.com/office/officeart/2005/8/layout/hierarchy2"/>
    <dgm:cxn modelId="{CB249B63-D028-426E-8D66-8AA36AB311D1}" type="presOf" srcId="{8DD05431-077C-46B9-9448-34EE1F16A87F}" destId="{46D8C089-688C-4A3D-B2AC-A5402E765319}" srcOrd="0" destOrd="0" presId="urn:microsoft.com/office/officeart/2005/8/layout/hierarchy2"/>
    <dgm:cxn modelId="{85795B66-6C82-40E8-B517-4C7FB4DD7D03}" type="presOf" srcId="{FB022DAE-4522-4F26-9D22-5DF39B51D410}" destId="{7B165929-F70D-457D-B292-198E7A274DBD}" srcOrd="0" destOrd="0" presId="urn:microsoft.com/office/officeart/2005/8/layout/hierarchy2"/>
    <dgm:cxn modelId="{80F1F067-1F51-4DE2-A5D8-23240CA2B363}" srcId="{480E0FE4-86E9-4E85-B1B3-4F73E2CD16EA}" destId="{8DD05431-077C-46B9-9448-34EE1F16A87F}" srcOrd="0" destOrd="0" parTransId="{706870D4-47EE-41AF-9BA8-69953AAEBD1F}" sibTransId="{8FE0C462-E383-411E-9929-EE7DBA17478D}"/>
    <dgm:cxn modelId="{AB35C84E-3191-4CF9-9FD7-FCFFC0A9792B}" type="presOf" srcId="{AE466D7B-72D4-4834-AF61-F94846D2D24E}" destId="{B2AE793D-4FDC-4970-A4DB-3BAB0B0C384C}" srcOrd="0" destOrd="0" presId="urn:microsoft.com/office/officeart/2005/8/layout/hierarchy2"/>
    <dgm:cxn modelId="{A9F7526F-2E2D-4A69-8642-8524FEE47C7B}" type="presOf" srcId="{FA090660-D9F4-4513-99D9-364E203605D7}" destId="{0B37580F-200D-4431-A9D4-24CC73879AEC}" srcOrd="1" destOrd="0" presId="urn:microsoft.com/office/officeart/2005/8/layout/hierarchy2"/>
    <dgm:cxn modelId="{3A9AE26F-9F73-4C9F-92B8-42F875D79327}" type="presOf" srcId="{DE0F9604-A768-49AC-B562-7307FBE31B4C}" destId="{974FA852-6728-4F43-89B3-10EF7728497E}" srcOrd="1" destOrd="0" presId="urn:microsoft.com/office/officeart/2005/8/layout/hierarchy2"/>
    <dgm:cxn modelId="{34FCAD54-1998-4BFC-9282-84558E18C9B0}" srcId="{C7FEA100-5A9F-4B16-A7BF-017E34944787}" destId="{FB022DAE-4522-4F26-9D22-5DF39B51D410}" srcOrd="0" destOrd="0" parTransId="{D5811F06-5CE1-4146-A8C6-1CF107AAD893}" sibTransId="{2DA5254D-7DE8-4616-9C5D-0144CB8BFF8E}"/>
    <dgm:cxn modelId="{39D27F87-43A3-4CB8-800B-17841116122A}" type="presOf" srcId="{0C87EC92-478A-4683-94DA-93FD38E6C502}" destId="{82D57F34-7F4F-44EB-A9F4-BBC9C437D239}" srcOrd="0" destOrd="0" presId="urn:microsoft.com/office/officeart/2005/8/layout/hierarchy2"/>
    <dgm:cxn modelId="{2AF38B91-B77D-47A9-82B0-F1D6092CE67B}" srcId="{C43C7EFB-6CAB-4FA3-A875-7B969F7CDB72}" destId="{7E1A19C6-8BAA-4306-894F-826EA3769E15}" srcOrd="0" destOrd="0" parTransId="{AE466D7B-72D4-4834-AF61-F94846D2D24E}" sibTransId="{012A6F94-B415-4742-A1DC-AF99174983C4}"/>
    <dgm:cxn modelId="{3E39C092-7B38-4F40-A041-95B4ADA5FB09}" type="presOf" srcId="{6173DE7A-7B22-4EA7-91A2-015E92B4E400}" destId="{D66E0108-B00B-43A6-9353-1DD35DD3E8AF}" srcOrd="1" destOrd="0" presId="urn:microsoft.com/office/officeart/2005/8/layout/hierarchy2"/>
    <dgm:cxn modelId="{810F1E94-FB69-471C-AF61-598204728B5E}" type="presOf" srcId="{D5811F06-5CE1-4146-A8C6-1CF107AAD893}" destId="{0A2D3E95-187E-46B9-8979-5AC6D37F1781}" srcOrd="0" destOrd="0" presId="urn:microsoft.com/office/officeart/2005/8/layout/hierarchy2"/>
    <dgm:cxn modelId="{96E22894-6C26-4EC0-9200-81B85949739C}" type="presOf" srcId="{D5811F06-5CE1-4146-A8C6-1CF107AAD893}" destId="{8B9D711D-E2C0-4ACD-8B55-66D462343BFD}" srcOrd="1" destOrd="0" presId="urn:microsoft.com/office/officeart/2005/8/layout/hierarchy2"/>
    <dgm:cxn modelId="{EA73849B-523F-4AA1-8B12-41D2DA7A4347}" type="presOf" srcId="{AE466D7B-72D4-4834-AF61-F94846D2D24E}" destId="{632CC3CC-4AC4-4354-B839-528D1C308517}" srcOrd="1" destOrd="0" presId="urn:microsoft.com/office/officeart/2005/8/layout/hierarchy2"/>
    <dgm:cxn modelId="{1017B19F-4BFA-4FD4-99FF-DA5F477A122A}" type="presOf" srcId="{480E0FE4-86E9-4E85-B1B3-4F73E2CD16EA}" destId="{29B5AD5D-4DB2-447D-A08B-8447C9874443}" srcOrd="0" destOrd="0" presId="urn:microsoft.com/office/officeart/2005/8/layout/hierarchy2"/>
    <dgm:cxn modelId="{066CCC9F-5237-498E-940D-6C44EFD5F96C}" type="presOf" srcId="{8DDC492E-AB58-4DBF-86F4-FFEA0D2EED7B}" destId="{113E6E74-96F2-4945-8062-23ACDF0D32E1}" srcOrd="0" destOrd="0" presId="urn:microsoft.com/office/officeart/2005/8/layout/hierarchy2"/>
    <dgm:cxn modelId="{F30345A8-E693-4DA3-BB7B-06E935F6348D}" type="presOf" srcId="{FF1EE786-3918-48C9-9C38-16BCF0B304E2}" destId="{40FBC2E3-009E-4B20-8CD6-273C748E4965}" srcOrd="0" destOrd="0" presId="urn:microsoft.com/office/officeart/2005/8/layout/hierarchy2"/>
    <dgm:cxn modelId="{D8C5FEB9-F856-497A-BA12-84C2ECDF935F}" srcId="{10848ADB-D4FD-4416-A49B-A34359ADDDE2}" destId="{F38B652E-1A56-4162-A443-B125F066A481}" srcOrd="0" destOrd="0" parTransId="{FF1EE786-3918-48C9-9C38-16BCF0B304E2}" sibTransId="{A71C42D4-72EA-4423-AD73-9CDF7DD095C8}"/>
    <dgm:cxn modelId="{E74626C1-9CC3-4E9A-99C5-F2D647E2538B}" type="presOf" srcId="{96AB8EA5-1C21-41A6-BEE4-2D9856AB578B}" destId="{39379D2E-5D7E-40B2-84D4-AA1349E95E0C}" srcOrd="1" destOrd="0" presId="urn:microsoft.com/office/officeart/2005/8/layout/hierarchy2"/>
    <dgm:cxn modelId="{B6F3A8CD-76A8-4B8D-B9BC-34ABEE4E0F12}" type="presOf" srcId="{706870D4-47EE-41AF-9BA8-69953AAEBD1F}" destId="{5C79DE3F-C973-4BB8-8F87-9E7DAE705ACD}" srcOrd="1" destOrd="0" presId="urn:microsoft.com/office/officeart/2005/8/layout/hierarchy2"/>
    <dgm:cxn modelId="{8EBDF8E1-74C0-460D-9863-5C9304B41A92}" type="presOf" srcId="{706870D4-47EE-41AF-9BA8-69953AAEBD1F}" destId="{9C2B33C5-2647-4EE1-B483-ED9C989DEA89}" srcOrd="0" destOrd="0" presId="urn:microsoft.com/office/officeart/2005/8/layout/hierarchy2"/>
    <dgm:cxn modelId="{9EF4FFE3-B07C-4380-A99C-3332742A2CB0}" type="presOf" srcId="{DE0F9604-A768-49AC-B562-7307FBE31B4C}" destId="{520E4E40-64F1-4504-B4F3-75571771CE9E}" srcOrd="0" destOrd="0" presId="urn:microsoft.com/office/officeart/2005/8/layout/hierarchy2"/>
    <dgm:cxn modelId="{907A27E8-A484-4E3A-948D-7939A0CFD2C9}" srcId="{FB022DAE-4522-4F26-9D22-5DF39B51D410}" destId="{9BCE389F-8E29-4FD0-BF64-D3A36B56E803}" srcOrd="0" destOrd="0" parTransId="{96AB8EA5-1C21-41A6-BEE4-2D9856AB578B}" sibTransId="{871CBCD7-8138-4EA0-9C59-6F1E51A88597}"/>
    <dgm:cxn modelId="{A23A5DEA-3647-44E9-9554-EFF267111A94}" srcId="{8DDC492E-AB58-4DBF-86F4-FFEA0D2EED7B}" destId="{C43C7EFB-6CAB-4FA3-A875-7B969F7CDB72}" srcOrd="0" destOrd="0" parTransId="{FA090660-D9F4-4513-99D9-364E203605D7}" sibTransId="{303930CC-1A36-47E8-AB3E-A483392816F0}"/>
    <dgm:cxn modelId="{A0E93DFA-2215-4808-A25D-512699274889}" type="presOf" srcId="{FA090660-D9F4-4513-99D9-364E203605D7}" destId="{28D179CB-B0B5-4784-8A27-CB429F116AEE}" srcOrd="0" destOrd="0" presId="urn:microsoft.com/office/officeart/2005/8/layout/hierarchy2"/>
    <dgm:cxn modelId="{BF5346B7-4E28-43D7-8C78-A0FDBB83F6AA}" type="presParOf" srcId="{FF22D3AD-2664-4566-9076-226E8F81E2A5}" destId="{36459E85-DA56-486E-9781-ADFE8654F48D}" srcOrd="0" destOrd="0" presId="urn:microsoft.com/office/officeart/2005/8/layout/hierarchy2"/>
    <dgm:cxn modelId="{67F211BC-DA07-4379-B8EE-689A6EC24E22}" type="presParOf" srcId="{36459E85-DA56-486E-9781-ADFE8654F48D}" destId="{113E6E74-96F2-4945-8062-23ACDF0D32E1}" srcOrd="0" destOrd="0" presId="urn:microsoft.com/office/officeart/2005/8/layout/hierarchy2"/>
    <dgm:cxn modelId="{28F41CDD-2A06-4143-BC10-D5265BCC75A2}" type="presParOf" srcId="{36459E85-DA56-486E-9781-ADFE8654F48D}" destId="{42103B15-4D1C-4BB5-837A-37A1B6CDFD7C}" srcOrd="1" destOrd="0" presId="urn:microsoft.com/office/officeart/2005/8/layout/hierarchy2"/>
    <dgm:cxn modelId="{B8993978-D60E-46FE-A5B6-D79EBDCFA9C5}" type="presParOf" srcId="{42103B15-4D1C-4BB5-837A-37A1B6CDFD7C}" destId="{28D179CB-B0B5-4784-8A27-CB429F116AEE}" srcOrd="0" destOrd="0" presId="urn:microsoft.com/office/officeart/2005/8/layout/hierarchy2"/>
    <dgm:cxn modelId="{29C3D005-BF4B-4B6E-887D-D73C3008E468}" type="presParOf" srcId="{28D179CB-B0B5-4784-8A27-CB429F116AEE}" destId="{0B37580F-200D-4431-A9D4-24CC73879AEC}" srcOrd="0" destOrd="0" presId="urn:microsoft.com/office/officeart/2005/8/layout/hierarchy2"/>
    <dgm:cxn modelId="{D62EE222-4CF0-46B7-BFF2-7DEFEF761935}" type="presParOf" srcId="{42103B15-4D1C-4BB5-837A-37A1B6CDFD7C}" destId="{87097064-969C-4EF0-B6AA-BA7DF8A6CE1F}" srcOrd="1" destOrd="0" presId="urn:microsoft.com/office/officeart/2005/8/layout/hierarchy2"/>
    <dgm:cxn modelId="{6F559123-44EC-434A-B090-50C5D086C1B2}" type="presParOf" srcId="{87097064-969C-4EF0-B6AA-BA7DF8A6CE1F}" destId="{98A75BD5-745F-4817-809F-776A71C896AA}" srcOrd="0" destOrd="0" presId="urn:microsoft.com/office/officeart/2005/8/layout/hierarchy2"/>
    <dgm:cxn modelId="{9DDE3851-A339-464B-BFE4-1EEE7C76C83B}" type="presParOf" srcId="{87097064-969C-4EF0-B6AA-BA7DF8A6CE1F}" destId="{E006B935-A33D-4616-99FE-BD991158E42E}" srcOrd="1" destOrd="0" presId="urn:microsoft.com/office/officeart/2005/8/layout/hierarchy2"/>
    <dgm:cxn modelId="{C1A25232-983A-4316-8A59-153F842F9FE6}" type="presParOf" srcId="{E006B935-A33D-4616-99FE-BD991158E42E}" destId="{B2AE793D-4FDC-4970-A4DB-3BAB0B0C384C}" srcOrd="0" destOrd="0" presId="urn:microsoft.com/office/officeart/2005/8/layout/hierarchy2"/>
    <dgm:cxn modelId="{85B5AAC3-9224-46D3-80BC-14976960BF59}" type="presParOf" srcId="{B2AE793D-4FDC-4970-A4DB-3BAB0B0C384C}" destId="{632CC3CC-4AC4-4354-B839-528D1C308517}" srcOrd="0" destOrd="0" presId="urn:microsoft.com/office/officeart/2005/8/layout/hierarchy2"/>
    <dgm:cxn modelId="{72281A82-D27C-4B0A-A503-6BC6A8D69463}" type="presParOf" srcId="{E006B935-A33D-4616-99FE-BD991158E42E}" destId="{1D188154-B540-40BD-B837-88FE08084DDE}" srcOrd="1" destOrd="0" presId="urn:microsoft.com/office/officeart/2005/8/layout/hierarchy2"/>
    <dgm:cxn modelId="{7F84BD81-E199-4E43-8F53-05C011FE71EC}" type="presParOf" srcId="{1D188154-B540-40BD-B837-88FE08084DDE}" destId="{49E58209-CBF7-40CA-A4A4-0573A30AA7D2}" srcOrd="0" destOrd="0" presId="urn:microsoft.com/office/officeart/2005/8/layout/hierarchy2"/>
    <dgm:cxn modelId="{90E7C043-4F0F-42AD-B45B-AAE944DB6530}" type="presParOf" srcId="{1D188154-B540-40BD-B837-88FE08084DDE}" destId="{9221077B-7B2A-4387-A1D8-580CFC596936}" srcOrd="1" destOrd="0" presId="urn:microsoft.com/office/officeart/2005/8/layout/hierarchy2"/>
    <dgm:cxn modelId="{B7D5C728-6F00-4B1B-9820-BE8B7517A801}" type="presParOf" srcId="{42103B15-4D1C-4BB5-837A-37A1B6CDFD7C}" destId="{6C4A98BB-1C8A-4C80-8296-6816B1034C1F}" srcOrd="2" destOrd="0" presId="urn:microsoft.com/office/officeart/2005/8/layout/hierarchy2"/>
    <dgm:cxn modelId="{017A9EBE-C50D-494E-BFB9-549EB2FE6C7C}" type="presParOf" srcId="{6C4A98BB-1C8A-4C80-8296-6816B1034C1F}" destId="{D66E0108-B00B-43A6-9353-1DD35DD3E8AF}" srcOrd="0" destOrd="0" presId="urn:microsoft.com/office/officeart/2005/8/layout/hierarchy2"/>
    <dgm:cxn modelId="{8B0A2515-3417-4D37-BD63-94BAD2695DDD}" type="presParOf" srcId="{42103B15-4D1C-4BB5-837A-37A1B6CDFD7C}" destId="{5EDD1481-E2B6-4BBC-9BD0-467AEFA79F9F}" srcOrd="3" destOrd="0" presId="urn:microsoft.com/office/officeart/2005/8/layout/hierarchy2"/>
    <dgm:cxn modelId="{6A1269D4-57F7-4817-92FE-05B0D2B69645}" type="presParOf" srcId="{5EDD1481-E2B6-4BBC-9BD0-467AEFA79F9F}" destId="{692BBB9D-3569-4370-9FEF-44902FBD2A26}" srcOrd="0" destOrd="0" presId="urn:microsoft.com/office/officeart/2005/8/layout/hierarchy2"/>
    <dgm:cxn modelId="{C7425EA6-3D64-4AD7-B891-9D2F83BC624C}" type="presParOf" srcId="{5EDD1481-E2B6-4BBC-9BD0-467AEFA79F9F}" destId="{3B49AC5A-89EF-4981-A4C0-91878F80CD72}" srcOrd="1" destOrd="0" presId="urn:microsoft.com/office/officeart/2005/8/layout/hierarchy2"/>
    <dgm:cxn modelId="{CA1E7F35-D890-4F4B-AACE-A5D39120DCE7}" type="presParOf" srcId="{3B49AC5A-89EF-4981-A4C0-91878F80CD72}" destId="{0A2D3E95-187E-46B9-8979-5AC6D37F1781}" srcOrd="0" destOrd="0" presId="urn:microsoft.com/office/officeart/2005/8/layout/hierarchy2"/>
    <dgm:cxn modelId="{39DAC4DC-FE68-4BFA-93DE-6262312C585B}" type="presParOf" srcId="{0A2D3E95-187E-46B9-8979-5AC6D37F1781}" destId="{8B9D711D-E2C0-4ACD-8B55-66D462343BFD}" srcOrd="0" destOrd="0" presId="urn:microsoft.com/office/officeart/2005/8/layout/hierarchy2"/>
    <dgm:cxn modelId="{91ACB6EA-101E-48A7-8094-BF1B7ED7FFA8}" type="presParOf" srcId="{3B49AC5A-89EF-4981-A4C0-91878F80CD72}" destId="{F5397D25-9811-47A9-81E4-25805D0518D8}" srcOrd="1" destOrd="0" presId="urn:microsoft.com/office/officeart/2005/8/layout/hierarchy2"/>
    <dgm:cxn modelId="{6997C7B1-24D0-4500-B6D1-FC4F88180AD9}" type="presParOf" srcId="{F5397D25-9811-47A9-81E4-25805D0518D8}" destId="{7B165929-F70D-457D-B292-198E7A274DBD}" srcOrd="0" destOrd="0" presId="urn:microsoft.com/office/officeart/2005/8/layout/hierarchy2"/>
    <dgm:cxn modelId="{740D907A-8275-4F9F-ABBA-D59865EDA180}" type="presParOf" srcId="{F5397D25-9811-47A9-81E4-25805D0518D8}" destId="{640652EE-CB88-49EC-9CF9-6BC6A898F629}" srcOrd="1" destOrd="0" presId="urn:microsoft.com/office/officeart/2005/8/layout/hierarchy2"/>
    <dgm:cxn modelId="{046573F6-AEA5-4084-8530-43D243852F76}" type="presParOf" srcId="{640652EE-CB88-49EC-9CF9-6BC6A898F629}" destId="{92134F84-1FDF-40FC-9ACB-E79F5C027803}" srcOrd="0" destOrd="0" presId="urn:microsoft.com/office/officeart/2005/8/layout/hierarchy2"/>
    <dgm:cxn modelId="{85827155-65FB-4E8E-807C-C8FEBC091FA2}" type="presParOf" srcId="{92134F84-1FDF-40FC-9ACB-E79F5C027803}" destId="{39379D2E-5D7E-40B2-84D4-AA1349E95E0C}" srcOrd="0" destOrd="0" presId="urn:microsoft.com/office/officeart/2005/8/layout/hierarchy2"/>
    <dgm:cxn modelId="{2C108F90-3920-41EB-8911-55FFE0F2C037}" type="presParOf" srcId="{640652EE-CB88-49EC-9CF9-6BC6A898F629}" destId="{B18BF0A4-84CB-4432-8967-7B6E342782D9}" srcOrd="1" destOrd="0" presId="urn:microsoft.com/office/officeart/2005/8/layout/hierarchy2"/>
    <dgm:cxn modelId="{6A76DA5D-DF13-4A48-B7E2-6B746C7B20F9}" type="presParOf" srcId="{B18BF0A4-84CB-4432-8967-7B6E342782D9}" destId="{67D354E1-0204-4F10-BBA4-ADAB88C357B1}" srcOrd="0" destOrd="0" presId="urn:microsoft.com/office/officeart/2005/8/layout/hierarchy2"/>
    <dgm:cxn modelId="{A19B958B-A05B-4E1B-A805-9B66E70C69FE}" type="presParOf" srcId="{B18BF0A4-84CB-4432-8967-7B6E342782D9}" destId="{3F415127-A0D7-40CB-BDD5-C0F95231F320}" srcOrd="1" destOrd="0" presId="urn:microsoft.com/office/officeart/2005/8/layout/hierarchy2"/>
    <dgm:cxn modelId="{E60D4464-5227-4A67-9E62-3D18510A2DD5}" type="presParOf" srcId="{3B49AC5A-89EF-4981-A4C0-91878F80CD72}" destId="{520E4E40-64F1-4504-B4F3-75571771CE9E}" srcOrd="2" destOrd="0" presId="urn:microsoft.com/office/officeart/2005/8/layout/hierarchy2"/>
    <dgm:cxn modelId="{DB9171F2-0587-444B-9B9C-387CE7E41EC0}" type="presParOf" srcId="{520E4E40-64F1-4504-B4F3-75571771CE9E}" destId="{974FA852-6728-4F43-89B3-10EF7728497E}" srcOrd="0" destOrd="0" presId="urn:microsoft.com/office/officeart/2005/8/layout/hierarchy2"/>
    <dgm:cxn modelId="{FF58A19C-1656-4175-AB56-580BC745054E}" type="presParOf" srcId="{3B49AC5A-89EF-4981-A4C0-91878F80CD72}" destId="{94AACE1C-41CA-493E-8D10-01DE55089F11}" srcOrd="3" destOrd="0" presId="urn:microsoft.com/office/officeart/2005/8/layout/hierarchy2"/>
    <dgm:cxn modelId="{DB13135C-184F-4D94-B3B8-C789E15B24FE}" type="presParOf" srcId="{94AACE1C-41CA-493E-8D10-01DE55089F11}" destId="{B40A090E-B91B-493F-B6AF-899F0A1CF2AC}" srcOrd="0" destOrd="0" presId="urn:microsoft.com/office/officeart/2005/8/layout/hierarchy2"/>
    <dgm:cxn modelId="{7152689F-6359-4787-8284-833314C781F7}" type="presParOf" srcId="{94AACE1C-41CA-493E-8D10-01DE55089F11}" destId="{0FC87295-7BE4-4E05-A712-E3D65781A761}" srcOrd="1" destOrd="0" presId="urn:microsoft.com/office/officeart/2005/8/layout/hierarchy2"/>
    <dgm:cxn modelId="{C86F58BA-756F-4065-B5B5-9C4281DCC5AD}" type="presParOf" srcId="{0FC87295-7BE4-4E05-A712-E3D65781A761}" destId="{40FBC2E3-009E-4B20-8CD6-273C748E4965}" srcOrd="0" destOrd="0" presId="urn:microsoft.com/office/officeart/2005/8/layout/hierarchy2"/>
    <dgm:cxn modelId="{7549BE9F-0956-49DF-A612-49DFA3DA0DF9}" type="presParOf" srcId="{40FBC2E3-009E-4B20-8CD6-273C748E4965}" destId="{7C97D073-2AC5-4571-9372-8D19BCB8EF79}" srcOrd="0" destOrd="0" presId="urn:microsoft.com/office/officeart/2005/8/layout/hierarchy2"/>
    <dgm:cxn modelId="{5ECC17AC-5574-42DD-8A82-6A0ADD4171AA}" type="presParOf" srcId="{0FC87295-7BE4-4E05-A712-E3D65781A761}" destId="{F997F772-E664-4CEF-967F-0E717BDCF6FB}" srcOrd="1" destOrd="0" presId="urn:microsoft.com/office/officeart/2005/8/layout/hierarchy2"/>
    <dgm:cxn modelId="{FB8C72A3-30E7-4725-8277-178E17D905F3}" type="presParOf" srcId="{F997F772-E664-4CEF-967F-0E717BDCF6FB}" destId="{E0A3E5F6-ACD6-4CCF-9299-9B0E974E7B7A}" srcOrd="0" destOrd="0" presId="urn:microsoft.com/office/officeart/2005/8/layout/hierarchy2"/>
    <dgm:cxn modelId="{C8FC76AC-E6D1-4B5B-9589-8AD03E0D86A9}" type="presParOf" srcId="{F997F772-E664-4CEF-967F-0E717BDCF6FB}" destId="{945969F5-FDBF-4903-A26F-CEFE5B9DB516}" srcOrd="1" destOrd="0" presId="urn:microsoft.com/office/officeart/2005/8/layout/hierarchy2"/>
    <dgm:cxn modelId="{FEA122B5-B46A-4F85-A08E-B00EC7418FEA}" type="presParOf" srcId="{3B49AC5A-89EF-4981-A4C0-91878F80CD72}" destId="{82D57F34-7F4F-44EB-A9F4-BBC9C437D239}" srcOrd="4" destOrd="0" presId="urn:microsoft.com/office/officeart/2005/8/layout/hierarchy2"/>
    <dgm:cxn modelId="{2534BA9E-C43B-4A7F-A1F7-84F5C076ADDE}" type="presParOf" srcId="{82D57F34-7F4F-44EB-A9F4-BBC9C437D239}" destId="{1977FD79-34B6-4410-86FB-D768E9528C1E}" srcOrd="0" destOrd="0" presId="urn:microsoft.com/office/officeart/2005/8/layout/hierarchy2"/>
    <dgm:cxn modelId="{55801AEE-1B39-48F5-AF30-B34FF0314C62}" type="presParOf" srcId="{3B49AC5A-89EF-4981-A4C0-91878F80CD72}" destId="{10362679-D65E-408C-964D-82AEC8E784EB}" srcOrd="5" destOrd="0" presId="urn:microsoft.com/office/officeart/2005/8/layout/hierarchy2"/>
    <dgm:cxn modelId="{5999484C-08CA-4A7B-8250-97E66E2D5707}" type="presParOf" srcId="{10362679-D65E-408C-964D-82AEC8E784EB}" destId="{29B5AD5D-4DB2-447D-A08B-8447C9874443}" srcOrd="0" destOrd="0" presId="urn:microsoft.com/office/officeart/2005/8/layout/hierarchy2"/>
    <dgm:cxn modelId="{8F0B4C2E-F074-4577-AE2B-436EADB02A3C}" type="presParOf" srcId="{10362679-D65E-408C-964D-82AEC8E784EB}" destId="{07F781FA-A2BF-4498-A9AF-CBB60249523E}" srcOrd="1" destOrd="0" presId="urn:microsoft.com/office/officeart/2005/8/layout/hierarchy2"/>
    <dgm:cxn modelId="{D70CA215-403B-47FB-A6FB-5BEADE059C54}" type="presParOf" srcId="{07F781FA-A2BF-4498-A9AF-CBB60249523E}" destId="{9C2B33C5-2647-4EE1-B483-ED9C989DEA89}" srcOrd="0" destOrd="0" presId="urn:microsoft.com/office/officeart/2005/8/layout/hierarchy2"/>
    <dgm:cxn modelId="{4B963B61-EE59-44F2-BC3C-40C36377B6F0}" type="presParOf" srcId="{9C2B33C5-2647-4EE1-B483-ED9C989DEA89}" destId="{5C79DE3F-C973-4BB8-8F87-9E7DAE705ACD}" srcOrd="0" destOrd="0" presId="urn:microsoft.com/office/officeart/2005/8/layout/hierarchy2"/>
    <dgm:cxn modelId="{071BC6C8-0923-4109-92F4-5DEC3C2BB985}" type="presParOf" srcId="{07F781FA-A2BF-4498-A9AF-CBB60249523E}" destId="{DA369E57-133C-41DD-B137-4CC79CC3A403}" srcOrd="1" destOrd="0" presId="urn:microsoft.com/office/officeart/2005/8/layout/hierarchy2"/>
    <dgm:cxn modelId="{66DDD506-652D-464F-846F-3CCBBDD8C0A1}" type="presParOf" srcId="{DA369E57-133C-41DD-B137-4CC79CC3A403}" destId="{46D8C089-688C-4A3D-B2AC-A5402E765319}" srcOrd="0" destOrd="0" presId="urn:microsoft.com/office/officeart/2005/8/layout/hierarchy2"/>
    <dgm:cxn modelId="{17181D6A-3986-4D6B-A87B-B1D0E9A4D1FF}" type="presParOf" srcId="{DA369E57-133C-41DD-B137-4CC79CC3A403}" destId="{4B984F4B-DA0A-4C48-BD61-D5C86A31C3CB}"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3E6E74-96F2-4945-8062-23ACDF0D32E1}">
      <dsp:nvSpPr>
        <dsp:cNvPr id="0" name=""/>
        <dsp:cNvSpPr/>
      </dsp:nvSpPr>
      <dsp:spPr>
        <a:xfrm>
          <a:off x="370695" y="466717"/>
          <a:ext cx="810916"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prelim contribution</a:t>
          </a:r>
        </a:p>
      </dsp:txBody>
      <dsp:txXfrm>
        <a:off x="382570" y="478592"/>
        <a:ext cx="787166" cy="381708"/>
      </dsp:txXfrm>
    </dsp:sp>
    <dsp:sp modelId="{28D179CB-B0B5-4784-8A27-CB429F116AEE}">
      <dsp:nvSpPr>
        <dsp:cNvPr id="0" name=""/>
        <dsp:cNvSpPr/>
      </dsp:nvSpPr>
      <dsp:spPr>
        <a:xfrm rot="18289469">
          <a:off x="1059793" y="416093"/>
          <a:ext cx="568003" cy="40429"/>
        </a:xfrm>
        <a:custGeom>
          <a:avLst/>
          <a:gdLst/>
          <a:ahLst/>
          <a:cxnLst/>
          <a:rect l="0" t="0" r="0" b="0"/>
          <a:pathLst>
            <a:path>
              <a:moveTo>
                <a:pt x="0" y="20214"/>
              </a:moveTo>
              <a:lnTo>
                <a:pt x="568003"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29595" y="422108"/>
        <a:ext cx="28400" cy="28400"/>
      </dsp:txXfrm>
    </dsp:sp>
    <dsp:sp modelId="{98A75BD5-745F-4817-809F-776A71C896AA}">
      <dsp:nvSpPr>
        <dsp:cNvPr id="0" name=""/>
        <dsp:cNvSpPr/>
      </dsp:nvSpPr>
      <dsp:spPr>
        <a:xfrm>
          <a:off x="1505978" y="440"/>
          <a:ext cx="810916"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above target:</a:t>
          </a:r>
        </a:p>
      </dsp:txBody>
      <dsp:txXfrm>
        <a:off x="1517853" y="12315"/>
        <a:ext cx="787166" cy="381708"/>
      </dsp:txXfrm>
    </dsp:sp>
    <dsp:sp modelId="{B2AE793D-4FDC-4970-A4DB-3BAB0B0C384C}">
      <dsp:nvSpPr>
        <dsp:cNvPr id="0" name=""/>
        <dsp:cNvSpPr/>
      </dsp:nvSpPr>
      <dsp:spPr>
        <a:xfrm>
          <a:off x="2316895" y="182955"/>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969" y="195060"/>
        <a:ext cx="16218" cy="16218"/>
      </dsp:txXfrm>
    </dsp:sp>
    <dsp:sp modelId="{49E58209-CBF7-40CA-A4A4-0573A30AA7D2}">
      <dsp:nvSpPr>
        <dsp:cNvPr id="0" name=""/>
        <dsp:cNvSpPr/>
      </dsp:nvSpPr>
      <dsp:spPr>
        <a:xfrm>
          <a:off x="2641262" y="440"/>
          <a:ext cx="1373157"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requirement reduced to target</a:t>
          </a:r>
        </a:p>
      </dsp:txBody>
      <dsp:txXfrm>
        <a:off x="2653137" y="12315"/>
        <a:ext cx="1349407" cy="381708"/>
      </dsp:txXfrm>
    </dsp:sp>
    <dsp:sp modelId="{6C4A98BB-1C8A-4C80-8296-6816B1034C1F}">
      <dsp:nvSpPr>
        <dsp:cNvPr id="0" name=""/>
        <dsp:cNvSpPr/>
      </dsp:nvSpPr>
      <dsp:spPr>
        <a:xfrm rot="3310531">
          <a:off x="1059793" y="882370"/>
          <a:ext cx="568003" cy="40429"/>
        </a:xfrm>
        <a:custGeom>
          <a:avLst/>
          <a:gdLst/>
          <a:ahLst/>
          <a:cxnLst/>
          <a:rect l="0" t="0" r="0" b="0"/>
          <a:pathLst>
            <a:path>
              <a:moveTo>
                <a:pt x="0" y="20214"/>
              </a:moveTo>
              <a:lnTo>
                <a:pt x="568003"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29595" y="888385"/>
        <a:ext cx="28400" cy="28400"/>
      </dsp:txXfrm>
    </dsp:sp>
    <dsp:sp modelId="{692BBB9D-3569-4370-9FEF-44902FBD2A26}">
      <dsp:nvSpPr>
        <dsp:cNvPr id="0" name=""/>
        <dsp:cNvSpPr/>
      </dsp:nvSpPr>
      <dsp:spPr>
        <a:xfrm>
          <a:off x="1505978" y="932994"/>
          <a:ext cx="810916"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below target:</a:t>
          </a:r>
        </a:p>
      </dsp:txBody>
      <dsp:txXfrm>
        <a:off x="1517853" y="944869"/>
        <a:ext cx="787166" cy="381708"/>
      </dsp:txXfrm>
    </dsp:sp>
    <dsp:sp modelId="{0A2D3E95-187E-46B9-8979-5AC6D37F1781}">
      <dsp:nvSpPr>
        <dsp:cNvPr id="0" name=""/>
        <dsp:cNvSpPr/>
      </dsp:nvSpPr>
      <dsp:spPr>
        <a:xfrm rot="3312093">
          <a:off x="2194894" y="1348868"/>
          <a:ext cx="568360" cy="40429"/>
        </a:xfrm>
        <a:custGeom>
          <a:avLst/>
          <a:gdLst/>
          <a:ahLst/>
          <a:cxnLst/>
          <a:rect l="0" t="0" r="0" b="0"/>
          <a:pathLst>
            <a:path>
              <a:moveTo>
                <a:pt x="0" y="20214"/>
              </a:moveTo>
              <a:lnTo>
                <a:pt x="568360"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64865" y="1354873"/>
        <a:ext cx="28418" cy="28418"/>
      </dsp:txXfrm>
    </dsp:sp>
    <dsp:sp modelId="{7B165929-F70D-457D-B292-198E7A274DBD}">
      <dsp:nvSpPr>
        <dsp:cNvPr id="0" name=""/>
        <dsp:cNvSpPr/>
      </dsp:nvSpPr>
      <dsp:spPr>
        <a:xfrm>
          <a:off x="2641254" y="1399712"/>
          <a:ext cx="1373157"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&gt; 7.5% below</a:t>
          </a:r>
        </a:p>
      </dsp:txBody>
      <dsp:txXfrm>
        <a:off x="2653129" y="1411587"/>
        <a:ext cx="1349407" cy="381708"/>
      </dsp:txXfrm>
    </dsp:sp>
    <dsp:sp modelId="{92134F84-1FDF-40FC-9ACB-E79F5C027803}">
      <dsp:nvSpPr>
        <dsp:cNvPr id="0" name=""/>
        <dsp:cNvSpPr/>
      </dsp:nvSpPr>
      <dsp:spPr>
        <a:xfrm rot="21599969">
          <a:off x="4014411" y="1582225"/>
          <a:ext cx="314611" cy="40429"/>
        </a:xfrm>
        <a:custGeom>
          <a:avLst/>
          <a:gdLst/>
          <a:ahLst/>
          <a:cxnLst/>
          <a:rect l="0" t="0" r="0" b="0"/>
          <a:pathLst>
            <a:path>
              <a:moveTo>
                <a:pt x="0" y="20214"/>
              </a:moveTo>
              <a:lnTo>
                <a:pt x="314611"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3852" y="1594575"/>
        <a:ext cx="15730" cy="15730"/>
      </dsp:txXfrm>
    </dsp:sp>
    <dsp:sp modelId="{67D354E1-0204-4F10-BBA4-ADAB88C357B1}">
      <dsp:nvSpPr>
        <dsp:cNvPr id="0" name=""/>
        <dsp:cNvSpPr/>
      </dsp:nvSpPr>
      <dsp:spPr>
        <a:xfrm>
          <a:off x="4329023" y="1487116"/>
          <a:ext cx="1234117" cy="2306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add 2% increment to prelim</a:t>
          </a:r>
        </a:p>
      </dsp:txBody>
      <dsp:txXfrm>
        <a:off x="4335778" y="1493871"/>
        <a:ext cx="1220607" cy="217134"/>
      </dsp:txXfrm>
    </dsp:sp>
    <dsp:sp modelId="{520E4E40-64F1-4504-B4F3-75571771CE9E}">
      <dsp:nvSpPr>
        <dsp:cNvPr id="0" name=""/>
        <dsp:cNvSpPr/>
      </dsp:nvSpPr>
      <dsp:spPr>
        <a:xfrm>
          <a:off x="2316895" y="1115509"/>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969" y="1127614"/>
        <a:ext cx="16218" cy="16218"/>
      </dsp:txXfrm>
    </dsp:sp>
    <dsp:sp modelId="{B40A090E-B91B-493F-B6AF-899F0A1CF2AC}">
      <dsp:nvSpPr>
        <dsp:cNvPr id="0" name=""/>
        <dsp:cNvSpPr/>
      </dsp:nvSpPr>
      <dsp:spPr>
        <a:xfrm>
          <a:off x="2641262" y="932994"/>
          <a:ext cx="1373157"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&gt;2.5% and &lt; 7.5% below</a:t>
          </a:r>
        </a:p>
      </dsp:txBody>
      <dsp:txXfrm>
        <a:off x="2653137" y="944869"/>
        <a:ext cx="1349407" cy="381708"/>
      </dsp:txXfrm>
    </dsp:sp>
    <dsp:sp modelId="{40FBC2E3-009E-4B20-8CD6-273C748E4965}">
      <dsp:nvSpPr>
        <dsp:cNvPr id="0" name=""/>
        <dsp:cNvSpPr/>
      </dsp:nvSpPr>
      <dsp:spPr>
        <a:xfrm>
          <a:off x="4014419" y="1115509"/>
          <a:ext cx="324366" cy="40429"/>
        </a:xfrm>
        <a:custGeom>
          <a:avLst/>
          <a:gdLst/>
          <a:ahLst/>
          <a:cxnLst/>
          <a:rect l="0" t="0" r="0" b="0"/>
          <a:pathLst>
            <a:path>
              <a:moveTo>
                <a:pt x="0" y="20214"/>
              </a:moveTo>
              <a:lnTo>
                <a:pt x="324366"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8494" y="1127614"/>
        <a:ext cx="16218" cy="16218"/>
      </dsp:txXfrm>
    </dsp:sp>
    <dsp:sp modelId="{E0A3E5F6-ACD6-4CCF-9299-9B0E974E7B7A}">
      <dsp:nvSpPr>
        <dsp:cNvPr id="0" name=""/>
        <dsp:cNvSpPr/>
      </dsp:nvSpPr>
      <dsp:spPr>
        <a:xfrm>
          <a:off x="4338786" y="1022167"/>
          <a:ext cx="1234117" cy="2271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add 1% increment to prelim</a:t>
          </a:r>
        </a:p>
      </dsp:txBody>
      <dsp:txXfrm>
        <a:off x="4345438" y="1028819"/>
        <a:ext cx="1220813" cy="213809"/>
      </dsp:txXfrm>
    </dsp:sp>
    <dsp:sp modelId="{82D57F34-7F4F-44EB-A9F4-BBC9C437D239}">
      <dsp:nvSpPr>
        <dsp:cNvPr id="0" name=""/>
        <dsp:cNvSpPr/>
      </dsp:nvSpPr>
      <dsp:spPr>
        <a:xfrm rot="18429125">
          <a:off x="2207337" y="895037"/>
          <a:ext cx="553230" cy="40429"/>
        </a:xfrm>
        <a:custGeom>
          <a:avLst/>
          <a:gdLst/>
          <a:ahLst/>
          <a:cxnLst/>
          <a:rect l="0" t="0" r="0" b="0"/>
          <a:pathLst>
            <a:path>
              <a:moveTo>
                <a:pt x="0" y="20214"/>
              </a:moveTo>
              <a:lnTo>
                <a:pt x="553230"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121" y="901421"/>
        <a:ext cx="27661" cy="27661"/>
      </dsp:txXfrm>
    </dsp:sp>
    <dsp:sp modelId="{29B5AD5D-4DB2-447D-A08B-8447C9874443}">
      <dsp:nvSpPr>
        <dsp:cNvPr id="0" name=""/>
        <dsp:cNvSpPr/>
      </dsp:nvSpPr>
      <dsp:spPr>
        <a:xfrm>
          <a:off x="2651009" y="492050"/>
          <a:ext cx="1373157"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If &lt;2.5% below</a:t>
          </a:r>
        </a:p>
      </dsp:txBody>
      <dsp:txXfrm>
        <a:off x="2662884" y="503925"/>
        <a:ext cx="1349407" cy="381708"/>
      </dsp:txXfrm>
    </dsp:sp>
    <dsp:sp modelId="{9C2B33C5-2647-4EE1-B483-ED9C989DEA89}">
      <dsp:nvSpPr>
        <dsp:cNvPr id="0" name=""/>
        <dsp:cNvSpPr/>
      </dsp:nvSpPr>
      <dsp:spPr>
        <a:xfrm>
          <a:off x="4024167" y="674565"/>
          <a:ext cx="314619" cy="40429"/>
        </a:xfrm>
        <a:custGeom>
          <a:avLst/>
          <a:gdLst/>
          <a:ahLst/>
          <a:cxnLst/>
          <a:rect l="0" t="0" r="0" b="0"/>
          <a:pathLst>
            <a:path>
              <a:moveTo>
                <a:pt x="0" y="20214"/>
              </a:moveTo>
              <a:lnTo>
                <a:pt x="314619"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3611" y="686914"/>
        <a:ext cx="15730" cy="15730"/>
      </dsp:txXfrm>
    </dsp:sp>
    <dsp:sp modelId="{46D8C089-688C-4A3D-B2AC-A5402E765319}">
      <dsp:nvSpPr>
        <dsp:cNvPr id="0" name=""/>
        <dsp:cNvSpPr/>
      </dsp:nvSpPr>
      <dsp:spPr>
        <a:xfrm>
          <a:off x="4338786" y="492050"/>
          <a:ext cx="1234117" cy="405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requirement set at prelim</a:t>
          </a:r>
          <a:br>
            <a:rPr lang="en-US" sz="800" kern="1200"/>
          </a:br>
          <a:r>
            <a:rPr lang="en-US" sz="800" kern="1200"/>
            <a:t>(no increment)</a:t>
          </a:r>
        </a:p>
      </dsp:txBody>
      <dsp:txXfrm>
        <a:off x="4350661" y="503925"/>
        <a:ext cx="1210367" cy="3817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DESE-231-53287</_dlc_DocId>
    <_dlc_DocIdUrl xmlns="733efe1c-5bbe-4968-87dc-d400e65c879f">
      <Url>https://sharepoint.doemass.org/ese/webteam/cps/_layouts/DocIdRedir.aspx?ID=DESE-231-53287</Url>
      <Description>DESE-231-53287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2179B-42EA-498B-9BBB-9AB751191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232CC-79BC-45AF-A538-B8237AB56E5F}">
  <ds:schemaRefs>
    <ds:schemaRef ds:uri="http://schemas.microsoft.com/sharepoint/events"/>
  </ds:schemaRefs>
</ds:datastoreItem>
</file>

<file path=customXml/itemProps3.xml><?xml version="1.0" encoding="utf-8"?>
<ds:datastoreItem xmlns:ds="http://schemas.openxmlformats.org/officeDocument/2006/customXml" ds:itemID="{5FBB325D-88C4-44A2-9CBB-500A9E2E6076}">
  <ds:schemaRefs>
    <ds:schemaRef ds:uri="http://schemas.microsoft.com/sharepoint/v3/contenttype/forms"/>
  </ds:schemaRefs>
</ds:datastoreItem>
</file>

<file path=customXml/itemProps4.xml><?xml version="1.0" encoding="utf-8"?>
<ds:datastoreItem xmlns:ds="http://schemas.openxmlformats.org/officeDocument/2006/customXml" ds:itemID="{8D59A074-12ED-4257-96E2-E2942A9CC07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5B8C539-1144-4364-B195-D3FD6EEC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4795</Words>
  <Characters>27334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Chapter 70 Aid and Required Contribution Calculations</dc:title>
  <dc:creator>DESE</dc:creator>
  <cp:lastModifiedBy>Zou, Dong (EOE)</cp:lastModifiedBy>
  <cp:revision>4</cp:revision>
  <cp:lastPrinted>2008-03-05T20:00:00Z</cp:lastPrinted>
  <dcterms:created xsi:type="dcterms:W3CDTF">2019-07-31T15:50:00Z</dcterms:created>
  <dcterms:modified xsi:type="dcterms:W3CDTF">2019-07-31T16:48:00Z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31 2019</vt:lpwstr>
  </property>
</Properties>
</file>