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12ED" w14:textId="2EB3D0FD" w:rsidR="00A5712A" w:rsidRPr="0065771A" w:rsidRDefault="00017557" w:rsidP="005F4953">
      <w:pPr>
        <w:jc w:val="center"/>
        <w:rPr>
          <w:rFonts w:ascii="Georgia" w:hAnsi="Georgia"/>
          <w:b/>
          <w:color w:val="E17800"/>
          <w:sz w:val="36"/>
          <w:szCs w:val="36"/>
        </w:rPr>
      </w:pPr>
      <w:bookmarkStart w:id="0" w:name="_Hlk535422035"/>
      <w:r w:rsidRPr="0065771A">
        <w:rPr>
          <w:rFonts w:ascii="Georgia" w:hAnsi="Georgia"/>
          <w:b/>
          <w:color w:val="E17800"/>
          <w:sz w:val="36"/>
          <w:szCs w:val="36"/>
        </w:rPr>
        <w:t>Curricular Materials at a Glance:</w:t>
      </w:r>
    </w:p>
    <w:p w14:paraId="16C8D55B" w14:textId="1542BF5D" w:rsidR="00521D4F" w:rsidRPr="00521D4F" w:rsidRDefault="009B5E15" w:rsidP="009F0DD9">
      <w:pPr>
        <w:pStyle w:val="Heading2"/>
      </w:pPr>
      <w:r>
        <w:t xml:space="preserve">K-12 </w:t>
      </w:r>
      <w:r w:rsidRPr="009F0DD9">
        <w:t>Personal</w:t>
      </w:r>
      <w:r>
        <w:t xml:space="preserve"> Financial Literacy</w:t>
      </w:r>
    </w:p>
    <w:bookmarkEnd w:id="0"/>
    <w:p w14:paraId="30E30CE4" w14:textId="77777777" w:rsidR="00DB0AFC" w:rsidRDefault="00DB0AFC" w:rsidP="00DB0AFC">
      <w:pPr>
        <w:rPr>
          <w:rFonts w:asciiTheme="minorHAnsi" w:hAnsiTheme="minorHAnsi" w:cstheme="minorHAnsi"/>
          <w:sz w:val="20"/>
          <w:szCs w:val="20"/>
        </w:rPr>
      </w:pPr>
    </w:p>
    <w:p w14:paraId="41E46C72" w14:textId="06CCFCC3" w:rsidR="003E50EE" w:rsidRPr="003E50EE" w:rsidRDefault="003E50EE" w:rsidP="003E50EE">
      <w:pPr>
        <w:rPr>
          <w:rFonts w:asciiTheme="minorHAnsi" w:hAnsiTheme="minorHAnsi" w:cstheme="minorHAnsi"/>
        </w:rPr>
      </w:pPr>
      <w:r w:rsidRPr="003E50EE">
        <w:rPr>
          <w:rFonts w:asciiTheme="minorHAnsi" w:hAnsiTheme="minorHAnsi" w:cstheme="minorHAnsi"/>
        </w:rPr>
        <w:t xml:space="preserve">Signed into law by Governor Baker on January 20, 2019, Chapter 438 of the Acts of 2018, </w:t>
      </w:r>
      <w:hyperlink r:id="rId11" w:history="1">
        <w:r w:rsidRPr="003E50EE">
          <w:rPr>
            <w:rStyle w:val="Hyperlink"/>
            <w:rFonts w:asciiTheme="minorHAnsi" w:hAnsiTheme="minorHAnsi" w:cstheme="minorHAnsi"/>
            <w:i/>
          </w:rPr>
          <w:t>An Act Relative to Financial Literacy in Schools</w:t>
        </w:r>
      </w:hyperlink>
      <w:r w:rsidRPr="003E50EE">
        <w:rPr>
          <w:rFonts w:asciiTheme="minorHAnsi" w:hAnsiTheme="minorHAnsi" w:cstheme="minorHAnsi"/>
        </w:rPr>
        <w:t xml:space="preserve">, requires the Department to assist schools in the selection of materials and curriculum on personal financial literacy, and resources for professional development activities. </w:t>
      </w:r>
    </w:p>
    <w:p w14:paraId="732129C0" w14:textId="77777777" w:rsidR="003E50EE" w:rsidRPr="003E50EE" w:rsidRDefault="003E50EE" w:rsidP="003E50EE">
      <w:pPr>
        <w:rPr>
          <w:rFonts w:asciiTheme="minorHAnsi" w:hAnsiTheme="minorHAnsi" w:cstheme="minorHAnsi"/>
        </w:rPr>
      </w:pPr>
    </w:p>
    <w:p w14:paraId="21355855" w14:textId="1BC2458A" w:rsidR="0032505D" w:rsidRPr="003E50EE" w:rsidRDefault="003E50EE" w:rsidP="003E50EE">
      <w:pPr>
        <w:rPr>
          <w:rFonts w:asciiTheme="minorHAnsi" w:hAnsiTheme="minorHAnsi" w:cstheme="minorHAnsi"/>
        </w:rPr>
      </w:pPr>
      <w:r w:rsidRPr="003E50EE">
        <w:rPr>
          <w:rFonts w:asciiTheme="minorHAnsi" w:hAnsiTheme="minorHAnsi" w:cstheme="minorHAnsi"/>
        </w:rPr>
        <w:t>Th</w:t>
      </w:r>
      <w:r w:rsidR="002D6FE5">
        <w:rPr>
          <w:rFonts w:asciiTheme="minorHAnsi" w:hAnsiTheme="minorHAnsi" w:cstheme="minorHAnsi"/>
        </w:rPr>
        <w:t xml:space="preserve">e </w:t>
      </w:r>
      <w:r w:rsidR="00482611">
        <w:rPr>
          <w:rFonts w:asciiTheme="minorHAnsi" w:hAnsiTheme="minorHAnsi" w:cstheme="minorHAnsi"/>
        </w:rPr>
        <w:t xml:space="preserve">overview </w:t>
      </w:r>
      <w:r w:rsidR="002D6FE5">
        <w:rPr>
          <w:rFonts w:asciiTheme="minorHAnsi" w:hAnsiTheme="minorHAnsi" w:cstheme="minorHAnsi"/>
        </w:rPr>
        <w:t xml:space="preserve">chart below </w:t>
      </w:r>
      <w:r w:rsidRPr="003E50EE">
        <w:rPr>
          <w:rFonts w:asciiTheme="minorHAnsi" w:hAnsiTheme="minorHAnsi" w:cstheme="minorHAnsi"/>
        </w:rPr>
        <w:t>lists</w:t>
      </w:r>
      <w:r w:rsidR="0032505D">
        <w:rPr>
          <w:rFonts w:asciiTheme="minorHAnsi" w:hAnsiTheme="minorHAnsi" w:cstheme="minorHAnsi"/>
        </w:rPr>
        <w:t xml:space="preserve"> </w:t>
      </w:r>
      <w:r w:rsidR="005B0562">
        <w:rPr>
          <w:rFonts w:asciiTheme="minorHAnsi" w:hAnsiTheme="minorHAnsi" w:cstheme="minorHAnsi"/>
        </w:rPr>
        <w:t xml:space="preserve">of </w:t>
      </w:r>
      <w:r w:rsidR="0032505D">
        <w:rPr>
          <w:rFonts w:asciiTheme="minorHAnsi" w:hAnsiTheme="minorHAnsi" w:cstheme="minorHAnsi"/>
        </w:rPr>
        <w:t>free curricular</w:t>
      </w:r>
      <w:r w:rsidRPr="003E50EE">
        <w:rPr>
          <w:rFonts w:asciiTheme="minorHAnsi" w:hAnsiTheme="minorHAnsi" w:cstheme="minorHAnsi"/>
        </w:rPr>
        <w:t xml:space="preserve"> resources associated with the following topics addressed in the law: (1) loans; (2) interest and interest accrual; (3) credit card debt; (4) online commerce; (5) rights and responsibilities of renting or buying a home; (6) saving, investing and planning for retirement; (7) the role of banking and financial services; (8) balancing a checkbook; (9) state and federal taxes; (10) charitable giving; (11) evaluating media content, including online content, that relates to personal finance matters; and (12) saving, investing and planning for higher education or professional training.</w:t>
      </w:r>
    </w:p>
    <w:p w14:paraId="120072AF" w14:textId="58F737A1" w:rsidR="00BC1864" w:rsidRDefault="00BC1864" w:rsidP="00DB0AFC">
      <w:pPr>
        <w:rPr>
          <w:rFonts w:asciiTheme="minorHAnsi" w:hAnsiTheme="minorHAnsi" w:cstheme="minorHAnsi"/>
          <w:sz w:val="24"/>
          <w:szCs w:val="24"/>
        </w:rPr>
      </w:pPr>
    </w:p>
    <w:p w14:paraId="1F1E134D" w14:textId="2CB1F063" w:rsidR="005B0562" w:rsidRDefault="005B0562" w:rsidP="00DB0AFC">
      <w:pPr>
        <w:rPr>
          <w:rFonts w:asciiTheme="minorHAnsi" w:hAnsiTheme="minorHAnsi" w:cstheme="minorHAnsi"/>
        </w:rPr>
      </w:pPr>
      <w:r>
        <w:rPr>
          <w:rFonts w:asciiTheme="minorHAnsi" w:hAnsiTheme="minorHAnsi" w:cstheme="minorHAnsi"/>
        </w:rPr>
        <w:t xml:space="preserve">Each curricular resource is described in more detail </w:t>
      </w:r>
      <w:hyperlink w:anchor="DetailedInfo" w:history="1">
        <w:r w:rsidRPr="009F0DD9">
          <w:rPr>
            <w:rStyle w:val="Hyperlink"/>
            <w:rFonts w:asciiTheme="minorHAnsi" w:hAnsiTheme="minorHAnsi" w:cstheme="minorHAnsi"/>
          </w:rPr>
          <w:t>below the overview chart</w:t>
        </w:r>
      </w:hyperlink>
      <w:r>
        <w:rPr>
          <w:rFonts w:asciiTheme="minorHAnsi" w:hAnsiTheme="minorHAnsi" w:cstheme="minorHAnsi"/>
        </w:rPr>
        <w:t>.</w:t>
      </w:r>
    </w:p>
    <w:p w14:paraId="1E10BD37" w14:textId="77777777" w:rsidR="005B0562" w:rsidRPr="00563ED7" w:rsidRDefault="005B0562" w:rsidP="00DB0AFC">
      <w:pPr>
        <w:rPr>
          <w:rFonts w:asciiTheme="minorHAnsi" w:hAnsiTheme="minorHAnsi" w:cstheme="minorHAnsi"/>
          <w:sz w:val="24"/>
          <w:szCs w:val="24"/>
        </w:rPr>
      </w:pPr>
    </w:p>
    <w:tbl>
      <w:tblPr>
        <w:tblStyle w:val="PlainTable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1035"/>
        <w:gridCol w:w="705"/>
        <w:gridCol w:w="840"/>
        <w:gridCol w:w="840"/>
        <w:gridCol w:w="1170"/>
      </w:tblGrid>
      <w:tr w:rsidR="003E50EE" w:rsidRPr="0071704D" w14:paraId="5F76F683" w14:textId="7BFA75D2" w:rsidTr="7313B441">
        <w:trPr>
          <w:gridAfter w:val="1"/>
          <w:cnfStyle w:val="100000000000" w:firstRow="1" w:lastRow="0" w:firstColumn="0" w:lastColumn="0" w:oddVBand="0" w:evenVBand="0" w:oddHBand="0" w:evenHBand="0" w:firstRowFirstColumn="0" w:firstRowLastColumn="0" w:lastRowFirstColumn="0" w:lastRowLastColumn="0"/>
          <w:wAfter w:w="1170" w:type="dxa"/>
          <w:tblHeader/>
        </w:trPr>
        <w:tc>
          <w:tcPr>
            <w:cnfStyle w:val="001000000100" w:firstRow="0" w:lastRow="0" w:firstColumn="1" w:lastColumn="0" w:oddVBand="0" w:evenVBand="0" w:oddHBand="0" w:evenHBand="0" w:firstRowFirstColumn="1" w:firstRowLastColumn="0" w:lastRowFirstColumn="0" w:lastRowLastColumn="0"/>
            <w:tcW w:w="4950" w:type="dxa"/>
            <w:tcBorders>
              <w:top w:val="nil"/>
              <w:left w:val="nil"/>
              <w:bottom w:val="single" w:sz="4" w:space="0" w:color="auto"/>
            </w:tcBorders>
          </w:tcPr>
          <w:p w14:paraId="70A3384D" w14:textId="77777777" w:rsidR="003E50EE" w:rsidRPr="00BC1864" w:rsidRDefault="003E50EE" w:rsidP="004D2F8D">
            <w:pPr>
              <w:spacing w:before="60"/>
              <w:rPr>
                <w:rFonts w:asciiTheme="minorHAnsi" w:hAnsiTheme="minorHAnsi" w:cstheme="minorHAnsi"/>
                <w:b/>
                <w:sz w:val="22"/>
              </w:rPr>
            </w:pPr>
          </w:p>
        </w:tc>
        <w:tc>
          <w:tcPr>
            <w:tcW w:w="1035" w:type="dxa"/>
            <w:tcBorders>
              <w:top w:val="nil"/>
              <w:left w:val="nil"/>
              <w:bottom w:val="single" w:sz="4" w:space="0" w:color="auto"/>
              <w:right w:val="single" w:sz="4" w:space="0" w:color="auto"/>
            </w:tcBorders>
          </w:tcPr>
          <w:p w14:paraId="40B3D9C9" w14:textId="77777777" w:rsidR="003E50EE" w:rsidRPr="00BC1864" w:rsidRDefault="003E50EE" w:rsidP="004D2F8D">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2"/>
              </w:rPr>
            </w:pPr>
          </w:p>
        </w:tc>
        <w:tc>
          <w:tcPr>
            <w:tcW w:w="2385" w:type="dxa"/>
            <w:gridSpan w:val="3"/>
            <w:tcBorders>
              <w:left w:val="single" w:sz="4" w:space="0" w:color="auto"/>
            </w:tcBorders>
            <w:shd w:val="clear" w:color="auto" w:fill="C5E0B3" w:themeFill="accent6" w:themeFillTint="66"/>
          </w:tcPr>
          <w:p w14:paraId="043E2751" w14:textId="5333C51E" w:rsidR="003E50EE" w:rsidRPr="00BC1864" w:rsidRDefault="003E50EE" w:rsidP="004D2F8D">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2"/>
              </w:rPr>
            </w:pPr>
            <w:r>
              <w:rPr>
                <w:rFonts w:asciiTheme="minorHAnsi" w:hAnsiTheme="minorHAnsi" w:cstheme="minorHAnsi"/>
                <w:b/>
                <w:i w:val="0"/>
                <w:sz w:val="22"/>
              </w:rPr>
              <w:t>Grades</w:t>
            </w:r>
          </w:p>
        </w:tc>
      </w:tr>
      <w:tr w:rsidR="003E50EE" w:rsidRPr="0071704D" w14:paraId="1ADBF546" w14:textId="60469D6E" w:rsidTr="7313B4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50" w:type="dxa"/>
            <w:tcBorders>
              <w:top w:val="single" w:sz="4" w:space="0" w:color="auto"/>
              <w:bottom w:val="single" w:sz="4" w:space="0" w:color="auto"/>
            </w:tcBorders>
          </w:tcPr>
          <w:p w14:paraId="20C82406" w14:textId="77777777" w:rsidR="003E50EE" w:rsidRDefault="003E50EE" w:rsidP="004D2F8D">
            <w:pPr>
              <w:spacing w:before="60"/>
              <w:jc w:val="left"/>
              <w:rPr>
                <w:rFonts w:asciiTheme="minorHAnsi" w:hAnsiTheme="minorHAnsi" w:cstheme="minorHAnsi"/>
                <w:b/>
                <w:iCs w:val="0"/>
              </w:rPr>
            </w:pPr>
            <w:r>
              <w:rPr>
                <w:rFonts w:asciiTheme="minorHAnsi" w:hAnsiTheme="minorHAnsi" w:cstheme="minorHAnsi"/>
                <w:b/>
                <w:i w:val="0"/>
                <w:sz w:val="22"/>
              </w:rPr>
              <w:t>Name</w:t>
            </w:r>
          </w:p>
          <w:p w14:paraId="311783CE" w14:textId="322E06F3" w:rsidR="005B0562" w:rsidRPr="005B0562" w:rsidRDefault="005B0562" w:rsidP="005B0562">
            <w:pPr>
              <w:widowControl/>
              <w:autoSpaceDE/>
              <w:autoSpaceDN/>
              <w:spacing w:after="160" w:line="259" w:lineRule="auto"/>
              <w:jc w:val="left"/>
              <w:rPr>
                <w:rFonts w:asciiTheme="minorHAnsi" w:hAnsiTheme="minorHAnsi" w:cstheme="minorHAnsi"/>
                <w:sz w:val="16"/>
                <w:szCs w:val="16"/>
              </w:rPr>
            </w:pPr>
            <w:r w:rsidRPr="005B0562">
              <w:rPr>
                <w:rFonts w:asciiTheme="minorHAnsi" w:hAnsiTheme="minorHAnsi" w:cstheme="minorHAnsi"/>
                <w:b/>
                <w:bCs/>
                <w:sz w:val="16"/>
                <w:szCs w:val="16"/>
              </w:rPr>
              <w:t xml:space="preserve">* </w:t>
            </w:r>
            <w:r w:rsidRPr="005B0562">
              <w:rPr>
                <w:rFonts w:asciiTheme="minorHAnsi" w:hAnsiTheme="minorHAnsi" w:cstheme="minorHAnsi"/>
                <w:sz w:val="16"/>
                <w:szCs w:val="16"/>
              </w:rPr>
              <w:t>denotes materials that require free registration to access</w:t>
            </w:r>
          </w:p>
        </w:tc>
        <w:tc>
          <w:tcPr>
            <w:tcW w:w="1035" w:type="dxa"/>
            <w:tcBorders>
              <w:top w:val="single" w:sz="4" w:space="0" w:color="auto"/>
              <w:bottom w:val="single" w:sz="4" w:space="0" w:color="auto"/>
            </w:tcBorders>
            <w:shd w:val="clear" w:color="auto" w:fill="FFE599" w:themeFill="accent4" w:themeFillTint="66"/>
          </w:tcPr>
          <w:p w14:paraId="6E28361F" w14:textId="0075D39B" w:rsidR="003E50EE" w:rsidRPr="003E50EE" w:rsidRDefault="003E50EE" w:rsidP="003E50EE">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Cs w:val="0"/>
              </w:rPr>
            </w:pPr>
            <w:r w:rsidRPr="00BC1864">
              <w:rPr>
                <w:rFonts w:asciiTheme="minorHAnsi" w:hAnsiTheme="minorHAnsi" w:cstheme="minorHAnsi"/>
                <w:b/>
                <w:i w:val="0"/>
                <w:sz w:val="22"/>
              </w:rPr>
              <w:t>Topics Covered</w:t>
            </w:r>
          </w:p>
        </w:tc>
        <w:tc>
          <w:tcPr>
            <w:tcW w:w="705" w:type="dxa"/>
            <w:tcBorders>
              <w:bottom w:val="single" w:sz="4" w:space="0" w:color="auto"/>
            </w:tcBorders>
            <w:shd w:val="clear" w:color="auto" w:fill="C5E0B3" w:themeFill="accent6" w:themeFillTint="66"/>
          </w:tcPr>
          <w:p w14:paraId="17B13D9F" w14:textId="4AB9CBD0" w:rsidR="003E50EE" w:rsidRPr="00BC1864" w:rsidRDefault="003E50EE" w:rsidP="004D2F8D">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2"/>
              </w:rPr>
            </w:pPr>
            <w:r>
              <w:rPr>
                <w:rFonts w:asciiTheme="minorHAnsi" w:hAnsiTheme="minorHAnsi" w:cstheme="minorHAnsi"/>
                <w:b/>
                <w:i w:val="0"/>
                <w:sz w:val="22"/>
              </w:rPr>
              <w:t>K-5</w:t>
            </w:r>
          </w:p>
        </w:tc>
        <w:tc>
          <w:tcPr>
            <w:tcW w:w="840" w:type="dxa"/>
            <w:tcBorders>
              <w:bottom w:val="single" w:sz="4" w:space="0" w:color="auto"/>
            </w:tcBorders>
            <w:shd w:val="clear" w:color="auto" w:fill="C5E0B3" w:themeFill="accent6" w:themeFillTint="66"/>
          </w:tcPr>
          <w:p w14:paraId="0595C812" w14:textId="1842E539" w:rsidR="003E50EE" w:rsidRPr="00BC1864" w:rsidRDefault="003E50EE" w:rsidP="004D2F8D">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2"/>
              </w:rPr>
            </w:pPr>
            <w:r>
              <w:rPr>
                <w:rFonts w:asciiTheme="minorHAnsi" w:hAnsiTheme="minorHAnsi" w:cstheme="minorHAnsi"/>
                <w:b/>
                <w:i w:val="0"/>
                <w:sz w:val="22"/>
              </w:rPr>
              <w:t>6-8</w:t>
            </w:r>
          </w:p>
        </w:tc>
        <w:tc>
          <w:tcPr>
            <w:tcW w:w="840" w:type="dxa"/>
            <w:tcBorders>
              <w:bottom w:val="single" w:sz="4" w:space="0" w:color="auto"/>
            </w:tcBorders>
            <w:shd w:val="clear" w:color="auto" w:fill="C5E0B3" w:themeFill="accent6" w:themeFillTint="66"/>
          </w:tcPr>
          <w:p w14:paraId="65737EFF" w14:textId="72A104AF" w:rsidR="003E50EE" w:rsidRPr="003E50EE" w:rsidRDefault="003E50EE" w:rsidP="003E50EE">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Cs w:val="0"/>
              </w:rPr>
            </w:pPr>
            <w:r>
              <w:rPr>
                <w:rFonts w:asciiTheme="minorHAnsi" w:hAnsiTheme="minorHAnsi" w:cstheme="minorHAnsi"/>
                <w:b/>
                <w:i w:val="0"/>
                <w:sz w:val="22"/>
              </w:rPr>
              <w:t>9-12</w:t>
            </w:r>
          </w:p>
        </w:tc>
        <w:tc>
          <w:tcPr>
            <w:tcW w:w="1170" w:type="dxa"/>
            <w:tcBorders>
              <w:bottom w:val="single" w:sz="4" w:space="0" w:color="auto"/>
            </w:tcBorders>
            <w:shd w:val="clear" w:color="auto" w:fill="9CC2E5" w:themeFill="accent5" w:themeFillTint="99"/>
          </w:tcPr>
          <w:p w14:paraId="10126A0B" w14:textId="26F9C454" w:rsidR="003E50EE" w:rsidRDefault="003E50EE" w:rsidP="004D2F8D">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rPr>
            </w:pPr>
            <w:r>
              <w:rPr>
                <w:rFonts w:asciiTheme="minorHAnsi" w:hAnsiTheme="minorHAnsi" w:cstheme="minorHAnsi"/>
                <w:b/>
                <w:i w:val="0"/>
                <w:sz w:val="22"/>
              </w:rPr>
              <w:t>PD Available?</w:t>
            </w:r>
          </w:p>
        </w:tc>
      </w:tr>
      <w:tr w:rsidR="00490D7E" w14:paraId="42D2860F" w14:textId="2E473C05"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521B42DD" w14:textId="41F6A237" w:rsidR="00490D7E" w:rsidRPr="009E7DEB" w:rsidRDefault="00490D7E" w:rsidP="00490D7E">
            <w:pPr>
              <w:pStyle w:val="CurricTitle"/>
              <w:jc w:val="left"/>
              <w:rPr>
                <w:i w:val="0"/>
                <w:iCs w:val="0"/>
              </w:rPr>
            </w:pPr>
            <w:hyperlink r:id="rId12" w:history="1">
              <w:r w:rsidRPr="00356362">
                <w:rPr>
                  <w:rStyle w:val="Hyperlink"/>
                  <w:i w:val="0"/>
                  <w:iCs w:val="0"/>
                  <w:sz w:val="22"/>
                </w:rPr>
                <w:t>Banzai</w:t>
              </w:r>
            </w:hyperlink>
            <w:r>
              <w:rPr>
                <w:i w:val="0"/>
                <w:iCs w:val="0"/>
                <w:sz w:val="20"/>
                <w:szCs w:val="20"/>
              </w:rPr>
              <w:t>*</w:t>
            </w:r>
          </w:p>
          <w:p w14:paraId="2BDA05BA" w14:textId="401491C7" w:rsidR="00490D7E" w:rsidRPr="00356362" w:rsidRDefault="00490D7E" w:rsidP="00490D7E">
            <w:pPr>
              <w:jc w:val="left"/>
              <w:rPr>
                <w:rFonts w:asciiTheme="minorHAnsi" w:hAnsiTheme="minorHAnsi" w:cstheme="minorHAnsi"/>
                <w:b/>
                <w:bCs/>
                <w:i w:val="0"/>
                <w:iCs w:val="0"/>
                <w:sz w:val="20"/>
                <w:szCs w:val="20"/>
              </w:rPr>
            </w:pPr>
            <w:r w:rsidRPr="00356362">
              <w:rPr>
                <w:i w:val="0"/>
                <w:iCs w:val="0"/>
                <w:sz w:val="20"/>
                <w:szCs w:val="20"/>
              </w:rPr>
              <w:t>Online, simulation-based courses for ages 8 and up as well as a library of individual resources on key topics</w:t>
            </w:r>
          </w:p>
        </w:tc>
        <w:tc>
          <w:tcPr>
            <w:tcW w:w="1035" w:type="dxa"/>
            <w:tcBorders>
              <w:top w:val="single" w:sz="4" w:space="0" w:color="auto"/>
              <w:bottom w:val="single" w:sz="4" w:space="0" w:color="auto"/>
            </w:tcBorders>
            <w:shd w:val="clear" w:color="auto" w:fill="FFF2CC" w:themeFill="accent4" w:themeFillTint="33"/>
          </w:tcPr>
          <w:p w14:paraId="661A7F51" w14:textId="5EC9D68B" w:rsidR="00490D7E" w:rsidRPr="00F15F12"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219342F5" w14:textId="195B2754" w:rsidR="00490D7E" w:rsidRPr="00BC1864"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297C8680" w14:textId="0124EAFE" w:rsidR="00490D7E" w:rsidRPr="00BC1864"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2E530ACF" w14:textId="434FBCA8" w:rsidR="00490D7E" w:rsidRPr="00BC1864"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7DD66068" w14:textId="77777777"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r>
      <w:tr w:rsidR="00490D7E" w14:paraId="1CF06101" w14:textId="77777777" w:rsidTr="7313B441">
        <w:trPr>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4E2D3762" w14:textId="12C98656" w:rsidR="00490D7E" w:rsidRPr="001961A8" w:rsidRDefault="001961A8" w:rsidP="00490D7E">
            <w:pPr>
              <w:jc w:val="left"/>
              <w:rPr>
                <w:rFonts w:asciiTheme="minorHAnsi" w:hAnsiTheme="minorHAnsi" w:cstheme="minorHAnsi"/>
                <w:b/>
                <w:bCs/>
                <w:iCs w:val="0"/>
                <w:sz w:val="22"/>
              </w:rPr>
            </w:pPr>
            <w:hyperlink r:id="rId13" w:history="1">
              <w:r w:rsidRPr="001961A8">
                <w:rPr>
                  <w:rStyle w:val="Hyperlink"/>
                  <w:b/>
                  <w:bCs/>
                  <w:i w:val="0"/>
                  <w:iCs w:val="0"/>
                  <w:sz w:val="22"/>
                </w:rPr>
                <w:t>Council for Economic Education</w:t>
              </w:r>
            </w:hyperlink>
            <w:r w:rsidR="00490D7E" w:rsidRPr="001961A8">
              <w:rPr>
                <w:i w:val="0"/>
                <w:iCs w:val="0"/>
                <w:sz w:val="22"/>
              </w:rPr>
              <w:t>*</w:t>
            </w:r>
          </w:p>
          <w:p w14:paraId="391D992C" w14:textId="3CBCA799" w:rsidR="00490D7E" w:rsidRPr="00132325" w:rsidRDefault="001961A8" w:rsidP="00490D7E">
            <w:pPr>
              <w:widowControl/>
              <w:autoSpaceDE/>
              <w:autoSpaceDN/>
              <w:spacing w:line="259" w:lineRule="auto"/>
              <w:jc w:val="left"/>
              <w:rPr>
                <w:b/>
                <w:bCs/>
                <w:i w:val="0"/>
                <w:iCs w:val="0"/>
              </w:rPr>
            </w:pPr>
            <w:r>
              <w:rPr>
                <w:rFonts w:asciiTheme="minorHAnsi" w:hAnsiTheme="minorHAnsi" w:cstheme="minorHAnsi"/>
                <w:i w:val="0"/>
                <w:sz w:val="20"/>
                <w:szCs w:val="20"/>
              </w:rPr>
              <w:t>Resources include classroom-tested, Internet-based lesson materials and assessment tools.</w:t>
            </w:r>
          </w:p>
        </w:tc>
        <w:tc>
          <w:tcPr>
            <w:tcW w:w="1035" w:type="dxa"/>
            <w:tcBorders>
              <w:top w:val="single" w:sz="4" w:space="0" w:color="auto"/>
              <w:bottom w:val="single" w:sz="4" w:space="0" w:color="auto"/>
            </w:tcBorders>
            <w:shd w:val="clear" w:color="auto" w:fill="FFF2CC" w:themeFill="accent4" w:themeFillTint="33"/>
          </w:tcPr>
          <w:p w14:paraId="3F89EF12" w14:textId="00387003" w:rsidR="00490D7E" w:rsidRPr="00F15F12"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29A56752" w14:textId="6505402C"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49799034" w14:textId="157BC2D6"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579DE571" w14:textId="47EE3FF8"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5F7815FC" w14:textId="52EB4AC5" w:rsidR="00490D7E" w:rsidRDefault="001961A8"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Free</w:t>
            </w:r>
          </w:p>
        </w:tc>
      </w:tr>
      <w:tr w:rsidR="00490D7E" w14:paraId="2F99573A" w14:textId="77777777"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58D17ABA" w14:textId="77777777" w:rsidR="00490D7E" w:rsidRPr="00646DAA" w:rsidRDefault="00490D7E" w:rsidP="00490D7E">
            <w:pPr>
              <w:jc w:val="left"/>
              <w:rPr>
                <w:rFonts w:asciiTheme="minorHAnsi" w:hAnsiTheme="minorHAnsi" w:cstheme="minorHAnsi"/>
                <w:b/>
                <w:bCs/>
                <w:iCs w:val="0"/>
                <w:sz w:val="22"/>
              </w:rPr>
            </w:pPr>
            <w:hyperlink r:id="rId14" w:history="1">
              <w:r w:rsidRPr="00646DAA">
                <w:rPr>
                  <w:rStyle w:val="Hyperlink"/>
                  <w:rFonts w:asciiTheme="minorHAnsi" w:hAnsiTheme="minorHAnsi" w:cstheme="minorHAnsi"/>
                  <w:b/>
                  <w:bCs/>
                  <w:i w:val="0"/>
                  <w:iCs w:val="0"/>
                  <w:sz w:val="22"/>
                </w:rPr>
                <w:t>Crash Course</w:t>
              </w:r>
            </w:hyperlink>
          </w:p>
          <w:p w14:paraId="438E5061" w14:textId="775E1A9E" w:rsidR="00490D7E" w:rsidRPr="00132325" w:rsidRDefault="00490D7E" w:rsidP="00490D7E">
            <w:pPr>
              <w:widowControl/>
              <w:autoSpaceDE/>
              <w:autoSpaceDN/>
              <w:spacing w:line="259" w:lineRule="auto"/>
              <w:jc w:val="left"/>
              <w:rPr>
                <w:b/>
                <w:bCs/>
                <w:i w:val="0"/>
                <w:iCs w:val="0"/>
              </w:rPr>
            </w:pPr>
            <w:r>
              <w:rPr>
                <w:i w:val="0"/>
                <w:sz w:val="20"/>
                <w:szCs w:val="20"/>
              </w:rPr>
              <w:t>Short videos on entrepreneurship, economics, and media literacy</w:t>
            </w:r>
          </w:p>
        </w:tc>
        <w:tc>
          <w:tcPr>
            <w:tcW w:w="1035" w:type="dxa"/>
            <w:tcBorders>
              <w:top w:val="single" w:sz="4" w:space="0" w:color="auto"/>
              <w:bottom w:val="single" w:sz="4" w:space="0" w:color="auto"/>
            </w:tcBorders>
            <w:shd w:val="clear" w:color="auto" w:fill="FFF2CC" w:themeFill="accent4" w:themeFillTint="33"/>
          </w:tcPr>
          <w:p w14:paraId="45AE7001" w14:textId="102DCA95" w:rsidR="00490D7E" w:rsidRPr="00F15F12"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1, 7, 9, 11</w:t>
            </w:r>
          </w:p>
        </w:tc>
        <w:tc>
          <w:tcPr>
            <w:tcW w:w="705" w:type="dxa"/>
            <w:tcBorders>
              <w:top w:val="single" w:sz="4" w:space="0" w:color="auto"/>
              <w:bottom w:val="single" w:sz="4" w:space="0" w:color="auto"/>
            </w:tcBorders>
            <w:shd w:val="clear" w:color="auto" w:fill="E2EFD9" w:themeFill="accent6" w:themeFillTint="33"/>
          </w:tcPr>
          <w:p w14:paraId="500BBD3D" w14:textId="77777777"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c>
          <w:tcPr>
            <w:tcW w:w="840" w:type="dxa"/>
            <w:tcBorders>
              <w:top w:val="single" w:sz="4" w:space="0" w:color="auto"/>
              <w:bottom w:val="single" w:sz="4" w:space="0" w:color="auto"/>
            </w:tcBorders>
            <w:shd w:val="clear" w:color="auto" w:fill="E2EFD9" w:themeFill="accent6" w:themeFillTint="33"/>
          </w:tcPr>
          <w:p w14:paraId="6D67B60F" w14:textId="77777777"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c>
          <w:tcPr>
            <w:tcW w:w="840" w:type="dxa"/>
            <w:tcBorders>
              <w:top w:val="single" w:sz="4" w:space="0" w:color="auto"/>
              <w:bottom w:val="single" w:sz="4" w:space="0" w:color="auto"/>
            </w:tcBorders>
            <w:shd w:val="clear" w:color="auto" w:fill="E2EFD9" w:themeFill="accent6" w:themeFillTint="33"/>
          </w:tcPr>
          <w:p w14:paraId="3EC042AE" w14:textId="1A18D7BA"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70CACFF8" w14:textId="77777777"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r>
      <w:tr w:rsidR="00490D7E" w14:paraId="2B08DAA3" w14:textId="77777777" w:rsidTr="7313B441">
        <w:trPr>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14FEF5C3" w14:textId="77777777" w:rsidR="00490D7E" w:rsidRPr="00646DAA" w:rsidRDefault="00490D7E" w:rsidP="00490D7E">
            <w:pPr>
              <w:jc w:val="left"/>
              <w:rPr>
                <w:rFonts w:asciiTheme="minorHAnsi" w:hAnsiTheme="minorHAnsi" w:cstheme="minorHAnsi"/>
                <w:b/>
                <w:bCs/>
                <w:i w:val="0"/>
                <w:sz w:val="22"/>
              </w:rPr>
            </w:pPr>
            <w:hyperlink r:id="rId15" w:history="1">
              <w:r w:rsidRPr="00646DAA">
                <w:rPr>
                  <w:rStyle w:val="Hyperlink"/>
                  <w:rFonts w:asciiTheme="minorHAnsi" w:hAnsiTheme="minorHAnsi" w:cstheme="minorHAnsi"/>
                  <w:b/>
                  <w:bCs/>
                  <w:i w:val="0"/>
                  <w:sz w:val="22"/>
                </w:rPr>
                <w:t>EVERFI: Financial Literacy</w:t>
              </w:r>
            </w:hyperlink>
          </w:p>
          <w:p w14:paraId="57B300D1" w14:textId="1426F02A" w:rsidR="00490D7E" w:rsidRPr="00132325" w:rsidRDefault="00490D7E" w:rsidP="00490D7E">
            <w:pPr>
              <w:widowControl/>
              <w:autoSpaceDE/>
              <w:autoSpaceDN/>
              <w:spacing w:line="259" w:lineRule="auto"/>
              <w:jc w:val="left"/>
              <w:rPr>
                <w:b/>
                <w:bCs/>
                <w:i w:val="0"/>
                <w:iCs w:val="0"/>
              </w:rPr>
            </w:pPr>
            <w:r>
              <w:rPr>
                <w:rFonts w:asciiTheme="minorHAnsi" w:hAnsiTheme="minorHAnsi" w:cstheme="minorHAnsi"/>
                <w:i w:val="0"/>
                <w:sz w:val="20"/>
                <w:szCs w:val="20"/>
              </w:rPr>
              <w:t xml:space="preserve">Digital, gamified </w:t>
            </w:r>
            <w:r w:rsidRPr="0094160A">
              <w:rPr>
                <w:rFonts w:asciiTheme="minorHAnsi" w:hAnsiTheme="minorHAnsi" w:cstheme="minorHAnsi"/>
                <w:i w:val="0"/>
                <w:sz w:val="20"/>
                <w:szCs w:val="20"/>
              </w:rPr>
              <w:t xml:space="preserve">program that teaches students how to make wise decisions </w:t>
            </w:r>
            <w:r>
              <w:rPr>
                <w:rFonts w:asciiTheme="minorHAnsi" w:hAnsiTheme="minorHAnsi" w:cstheme="minorHAnsi"/>
                <w:i w:val="0"/>
                <w:sz w:val="20"/>
                <w:szCs w:val="20"/>
              </w:rPr>
              <w:t xml:space="preserve">and develop actionable strategies </w:t>
            </w:r>
            <w:r w:rsidRPr="0094160A">
              <w:rPr>
                <w:rFonts w:asciiTheme="minorHAnsi" w:hAnsiTheme="minorHAnsi" w:cstheme="minorHAnsi"/>
                <w:i w:val="0"/>
                <w:sz w:val="20"/>
                <w:szCs w:val="20"/>
              </w:rPr>
              <w:t>to promote financial well-being over their lifetime</w:t>
            </w:r>
          </w:p>
        </w:tc>
        <w:tc>
          <w:tcPr>
            <w:tcW w:w="1035" w:type="dxa"/>
            <w:tcBorders>
              <w:top w:val="single" w:sz="4" w:space="0" w:color="auto"/>
              <w:bottom w:val="single" w:sz="4" w:space="0" w:color="auto"/>
            </w:tcBorders>
            <w:shd w:val="clear" w:color="auto" w:fill="FFF2CC" w:themeFill="accent4" w:themeFillTint="33"/>
          </w:tcPr>
          <w:p w14:paraId="093333A3" w14:textId="6067F195" w:rsidR="00490D7E" w:rsidRPr="00F15F12"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0C50A24D" w14:textId="6F6838E9"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8F7E38">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0C6F0C4A" w14:textId="0C5C3643"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8F7E38">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1B371BB9" w14:textId="489A664E"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2C2F3B76" w14:textId="33326E88"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Free</w:t>
            </w:r>
          </w:p>
        </w:tc>
      </w:tr>
      <w:tr w:rsidR="00490D7E" w14:paraId="09152CFC" w14:textId="77777777"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34D8492F" w14:textId="2B4D1C29" w:rsidR="00490D7E" w:rsidRPr="00646DAA" w:rsidRDefault="00490D7E" w:rsidP="00490D7E">
            <w:pPr>
              <w:jc w:val="left"/>
              <w:rPr>
                <w:rStyle w:val="Hyperlink"/>
                <w:rFonts w:asciiTheme="minorHAnsi" w:hAnsiTheme="minorHAnsi" w:cstheme="minorHAnsi"/>
                <w:b/>
                <w:bCs/>
                <w:i w:val="0"/>
                <w:sz w:val="22"/>
              </w:rPr>
            </w:pPr>
            <w:hyperlink r:id="rId16" w:history="1">
              <w:r w:rsidRPr="00646DAA">
                <w:rPr>
                  <w:rStyle w:val="Hyperlink"/>
                  <w:rFonts w:asciiTheme="minorHAnsi" w:hAnsiTheme="minorHAnsi" w:cstheme="minorHAnsi"/>
                  <w:b/>
                  <w:bCs/>
                  <w:i w:val="0"/>
                  <w:sz w:val="22"/>
                </w:rPr>
                <w:t>FDIC</w:t>
              </w:r>
              <w:r w:rsidR="00CD76D5">
                <w:rPr>
                  <w:rStyle w:val="Hyperlink"/>
                  <w:rFonts w:asciiTheme="minorHAnsi" w:hAnsiTheme="minorHAnsi" w:cstheme="minorHAnsi"/>
                  <w:b/>
                  <w:bCs/>
                  <w:i w:val="0"/>
                  <w:sz w:val="22"/>
                </w:rPr>
                <w:t xml:space="preserve"> Money Smart</w:t>
              </w:r>
            </w:hyperlink>
          </w:p>
          <w:p w14:paraId="39DB4417" w14:textId="687C6651" w:rsidR="00490D7E" w:rsidRPr="00132325" w:rsidRDefault="00490D7E" w:rsidP="00490D7E">
            <w:pPr>
              <w:widowControl/>
              <w:autoSpaceDE/>
              <w:autoSpaceDN/>
              <w:spacing w:line="259" w:lineRule="auto"/>
              <w:jc w:val="left"/>
              <w:rPr>
                <w:b/>
                <w:bCs/>
                <w:i w:val="0"/>
                <w:iCs w:val="0"/>
              </w:rPr>
            </w:pPr>
            <w:r w:rsidRPr="00597AB2">
              <w:rPr>
                <w:rFonts w:asciiTheme="minorHAnsi" w:hAnsiTheme="minorHAnsi" w:cstheme="minorHAnsi"/>
                <w:i w:val="0"/>
                <w:sz w:val="20"/>
                <w:szCs w:val="20"/>
              </w:rPr>
              <w:t xml:space="preserve">Four free individual grade-level curricula designed for grades </w:t>
            </w:r>
            <w:r>
              <w:rPr>
                <w:rFonts w:asciiTheme="minorHAnsi" w:hAnsiTheme="minorHAnsi" w:cstheme="minorHAnsi"/>
                <w:i w:val="0"/>
                <w:sz w:val="20"/>
                <w:szCs w:val="20"/>
              </w:rPr>
              <w:t>Pre-</w:t>
            </w:r>
            <w:r w:rsidRPr="00597AB2">
              <w:rPr>
                <w:rFonts w:asciiTheme="minorHAnsi" w:hAnsiTheme="minorHAnsi" w:cstheme="minorHAnsi"/>
                <w:i w:val="0"/>
                <w:sz w:val="20"/>
                <w:szCs w:val="20"/>
              </w:rPr>
              <w:t>K</w:t>
            </w:r>
            <w:r>
              <w:rPr>
                <w:rFonts w:asciiTheme="minorHAnsi" w:hAnsiTheme="minorHAnsi" w:cstheme="minorHAnsi"/>
                <w:i w:val="0"/>
                <w:sz w:val="20"/>
                <w:szCs w:val="20"/>
              </w:rPr>
              <w:t>–</w:t>
            </w:r>
            <w:r w:rsidRPr="00597AB2">
              <w:rPr>
                <w:rFonts w:asciiTheme="minorHAnsi" w:hAnsiTheme="minorHAnsi" w:cstheme="minorHAnsi"/>
                <w:i w:val="0"/>
                <w:sz w:val="20"/>
                <w:szCs w:val="20"/>
              </w:rPr>
              <w:t>2, 3</w:t>
            </w:r>
            <w:r>
              <w:rPr>
                <w:rFonts w:asciiTheme="minorHAnsi" w:hAnsiTheme="minorHAnsi" w:cstheme="minorHAnsi"/>
                <w:i w:val="0"/>
                <w:sz w:val="20"/>
                <w:szCs w:val="20"/>
              </w:rPr>
              <w:t>–</w:t>
            </w:r>
            <w:r w:rsidRPr="00597AB2">
              <w:rPr>
                <w:rFonts w:asciiTheme="minorHAnsi" w:hAnsiTheme="minorHAnsi" w:cstheme="minorHAnsi"/>
                <w:i w:val="0"/>
                <w:sz w:val="20"/>
                <w:szCs w:val="20"/>
              </w:rPr>
              <w:t>5, 6</w:t>
            </w:r>
            <w:r>
              <w:rPr>
                <w:rFonts w:asciiTheme="minorHAnsi" w:hAnsiTheme="minorHAnsi" w:cstheme="minorHAnsi"/>
                <w:i w:val="0"/>
                <w:sz w:val="20"/>
                <w:szCs w:val="20"/>
              </w:rPr>
              <w:t>–</w:t>
            </w:r>
            <w:r w:rsidRPr="00597AB2">
              <w:rPr>
                <w:rFonts w:asciiTheme="minorHAnsi" w:hAnsiTheme="minorHAnsi" w:cstheme="minorHAnsi"/>
                <w:i w:val="0"/>
                <w:sz w:val="20"/>
                <w:szCs w:val="20"/>
              </w:rPr>
              <w:t>8, and 9</w:t>
            </w:r>
            <w:r>
              <w:rPr>
                <w:rFonts w:asciiTheme="minorHAnsi" w:hAnsiTheme="minorHAnsi" w:cstheme="minorHAnsi"/>
                <w:i w:val="0"/>
                <w:sz w:val="20"/>
                <w:szCs w:val="20"/>
              </w:rPr>
              <w:t>–</w:t>
            </w:r>
            <w:r w:rsidRPr="00597AB2">
              <w:rPr>
                <w:rFonts w:asciiTheme="minorHAnsi" w:hAnsiTheme="minorHAnsi" w:cstheme="minorHAnsi"/>
                <w:i w:val="0"/>
                <w:sz w:val="20"/>
                <w:szCs w:val="20"/>
              </w:rPr>
              <w:t>12</w:t>
            </w:r>
          </w:p>
        </w:tc>
        <w:tc>
          <w:tcPr>
            <w:tcW w:w="1035" w:type="dxa"/>
            <w:tcBorders>
              <w:top w:val="single" w:sz="4" w:space="0" w:color="auto"/>
              <w:bottom w:val="single" w:sz="4" w:space="0" w:color="auto"/>
            </w:tcBorders>
            <w:shd w:val="clear" w:color="auto" w:fill="FFF2CC" w:themeFill="accent4" w:themeFillTint="33"/>
          </w:tcPr>
          <w:p w14:paraId="2BCFFBB3" w14:textId="0EABC337" w:rsidR="00490D7E" w:rsidRPr="00F15F12"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64F7D798" w14:textId="6653A07D"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1316CCB2" w14:textId="3140D9AA"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6CB78069" w14:textId="1FEB2B12"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56C61B61" w14:textId="77777777" w:rsidR="00490D7E" w:rsidRDefault="00490D7E" w:rsidP="00490D7E">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r>
      <w:tr w:rsidR="00490D7E" w14:paraId="539CA6C6" w14:textId="77777777" w:rsidTr="7313B441">
        <w:trPr>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076E0DE4" w14:textId="77777777" w:rsidR="00490D7E" w:rsidRPr="00646DAA" w:rsidRDefault="00490D7E" w:rsidP="00490D7E">
            <w:pPr>
              <w:jc w:val="left"/>
              <w:rPr>
                <w:rFonts w:asciiTheme="minorHAnsi" w:hAnsiTheme="minorHAnsi" w:cstheme="minorHAnsi"/>
                <w:b/>
                <w:bCs/>
                <w:i w:val="0"/>
                <w:sz w:val="22"/>
              </w:rPr>
            </w:pPr>
            <w:hyperlink r:id="rId17" w:history="1">
              <w:r w:rsidRPr="00646DAA">
                <w:rPr>
                  <w:rStyle w:val="Hyperlink"/>
                  <w:rFonts w:asciiTheme="minorHAnsi" w:hAnsiTheme="minorHAnsi" w:cstheme="minorHAnsi"/>
                  <w:b/>
                  <w:bCs/>
                  <w:i w:val="0"/>
                  <w:sz w:val="22"/>
                </w:rPr>
                <w:t>Federal Reserve Bank of St. Louis Econ Ed</w:t>
              </w:r>
            </w:hyperlink>
          </w:p>
          <w:p w14:paraId="70FD4604" w14:textId="24179CDA" w:rsidR="00490D7E" w:rsidRPr="00132325" w:rsidRDefault="00490D7E" w:rsidP="00490D7E">
            <w:pPr>
              <w:widowControl/>
              <w:autoSpaceDE/>
              <w:autoSpaceDN/>
              <w:spacing w:line="259" w:lineRule="auto"/>
              <w:jc w:val="left"/>
              <w:rPr>
                <w:b/>
                <w:bCs/>
                <w:i w:val="0"/>
                <w:iCs w:val="0"/>
              </w:rPr>
            </w:pPr>
            <w:r>
              <w:rPr>
                <w:rFonts w:asciiTheme="minorHAnsi" w:hAnsiTheme="minorHAnsi" w:cstheme="minorHAnsi"/>
                <w:i w:val="0"/>
                <w:sz w:val="20"/>
                <w:szCs w:val="20"/>
              </w:rPr>
              <w:t>E</w:t>
            </w:r>
            <w:r w:rsidRPr="00205B96">
              <w:rPr>
                <w:rFonts w:asciiTheme="minorHAnsi" w:hAnsiTheme="minorHAnsi" w:cstheme="minorHAnsi"/>
                <w:i w:val="0"/>
                <w:sz w:val="20"/>
                <w:szCs w:val="20"/>
              </w:rPr>
              <w:t xml:space="preserve">conomics </w:t>
            </w:r>
            <w:r>
              <w:rPr>
                <w:rFonts w:asciiTheme="minorHAnsi" w:hAnsiTheme="minorHAnsi" w:cstheme="minorHAnsi"/>
                <w:i w:val="0"/>
                <w:sz w:val="20"/>
                <w:szCs w:val="20"/>
              </w:rPr>
              <w:t>l</w:t>
            </w:r>
            <w:r w:rsidRPr="00205B96">
              <w:rPr>
                <w:rFonts w:asciiTheme="minorHAnsi" w:hAnsiTheme="minorHAnsi" w:cstheme="minorHAnsi"/>
                <w:i w:val="0"/>
                <w:sz w:val="20"/>
                <w:szCs w:val="20"/>
              </w:rPr>
              <w:t>esson plans, activities, and readings that offer real-world connections to prepare students for college and careers</w:t>
            </w:r>
          </w:p>
        </w:tc>
        <w:tc>
          <w:tcPr>
            <w:tcW w:w="1035" w:type="dxa"/>
            <w:tcBorders>
              <w:top w:val="single" w:sz="4" w:space="0" w:color="auto"/>
              <w:bottom w:val="single" w:sz="4" w:space="0" w:color="auto"/>
            </w:tcBorders>
            <w:shd w:val="clear" w:color="auto" w:fill="FFF2CC" w:themeFill="accent4" w:themeFillTint="33"/>
          </w:tcPr>
          <w:p w14:paraId="3F73EC88" w14:textId="6E6CBF8A" w:rsidR="00490D7E" w:rsidRPr="00F15F12"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5D45F898" w14:textId="1BE022FD"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605EBB3B" w14:textId="00AB0866"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2D41A25F" w14:textId="3C6DE548"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49FEEB7B" w14:textId="220802DE" w:rsidR="00490D7E" w:rsidRDefault="00490D7E" w:rsidP="00490D7E">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For-Cost</w:t>
            </w:r>
          </w:p>
        </w:tc>
      </w:tr>
      <w:tr w:rsidR="009F0DD9" w14:paraId="4335C4A5" w14:textId="77777777"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63DDBCC2" w14:textId="4AA45F38" w:rsidR="009F0DD9" w:rsidRDefault="009F0DD9" w:rsidP="009F0DD9">
            <w:pPr>
              <w:widowControl/>
              <w:autoSpaceDE/>
              <w:autoSpaceDN/>
              <w:spacing w:line="259" w:lineRule="auto"/>
              <w:jc w:val="left"/>
            </w:pPr>
            <w:hyperlink r:id="rId18" w:history="1">
              <w:r w:rsidRPr="00646DAA">
                <w:rPr>
                  <w:rStyle w:val="Hyperlink"/>
                  <w:rFonts w:asciiTheme="minorHAnsi" w:hAnsiTheme="minorHAnsi" w:cstheme="minorHAnsi"/>
                  <w:b/>
                  <w:bCs/>
                  <w:i w:val="0"/>
                  <w:sz w:val="22"/>
                </w:rPr>
                <w:t>Federal Reserve Educatio</w:t>
              </w:r>
              <w:r w:rsidR="009F64D9">
                <w:rPr>
                  <w:rStyle w:val="Hyperlink"/>
                  <w:rFonts w:asciiTheme="minorHAnsi" w:hAnsiTheme="minorHAnsi" w:cstheme="minorHAnsi"/>
                  <w:b/>
                  <w:bCs/>
                  <w:i w:val="0"/>
                  <w:sz w:val="22"/>
                </w:rPr>
                <w:t>n</w:t>
              </w:r>
            </w:hyperlink>
            <w:r>
              <w:rPr>
                <w:rFonts w:asciiTheme="minorHAnsi" w:hAnsiTheme="minorHAnsi" w:cstheme="minorHAnsi"/>
                <w:i w:val="0"/>
                <w:sz w:val="20"/>
                <w:szCs w:val="20"/>
              </w:rPr>
              <w:br/>
              <w:t>Economics c</w:t>
            </w:r>
            <w:r w:rsidRPr="00205B96">
              <w:rPr>
                <w:rFonts w:asciiTheme="minorHAnsi" w:hAnsiTheme="minorHAnsi" w:cstheme="minorHAnsi"/>
                <w:i w:val="0"/>
                <w:sz w:val="20"/>
                <w:szCs w:val="20"/>
              </w:rPr>
              <w:t>urriculum materials by grade and topic</w:t>
            </w:r>
          </w:p>
        </w:tc>
        <w:tc>
          <w:tcPr>
            <w:tcW w:w="1035" w:type="dxa"/>
            <w:tcBorders>
              <w:top w:val="single" w:sz="4" w:space="0" w:color="auto"/>
              <w:bottom w:val="single" w:sz="4" w:space="0" w:color="auto"/>
            </w:tcBorders>
            <w:shd w:val="clear" w:color="auto" w:fill="FFF2CC" w:themeFill="accent4" w:themeFillTint="33"/>
          </w:tcPr>
          <w:p w14:paraId="4C9F4F05" w14:textId="5D938776" w:rsidR="009F0DD9" w:rsidRPr="00F15F12"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16A745EA" w14:textId="7FC0B3B2" w:rsidR="009F0DD9" w:rsidRPr="00205B96"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2A31E658" w14:textId="1EBAC135" w:rsidR="009F0DD9" w:rsidRPr="00205B96"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575E8A9F" w14:textId="7D92C65F" w:rsidR="009F0DD9" w:rsidRPr="00205B96"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60F8C8A1" w14:textId="77777777"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r>
      <w:tr w:rsidR="009F0DD9" w14:paraId="48A0DC05" w14:textId="77777777" w:rsidTr="7313B441">
        <w:trPr>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5E7DE450" w14:textId="38E91370" w:rsidR="009F0DD9" w:rsidRPr="00132325" w:rsidRDefault="009F0DD9" w:rsidP="009F0DD9">
            <w:pPr>
              <w:widowControl/>
              <w:autoSpaceDE/>
              <w:autoSpaceDN/>
              <w:spacing w:line="259" w:lineRule="auto"/>
              <w:jc w:val="left"/>
              <w:rPr>
                <w:b/>
                <w:bCs/>
                <w:i w:val="0"/>
                <w:iCs w:val="0"/>
              </w:rPr>
            </w:pPr>
            <w:hyperlink r:id="rId19" w:history="1">
              <w:r w:rsidRPr="00646DAA">
                <w:rPr>
                  <w:rStyle w:val="Hyperlink"/>
                  <w:rFonts w:asciiTheme="minorHAnsi" w:hAnsiTheme="minorHAnsi" w:cstheme="minorHAnsi"/>
                  <w:b/>
                  <w:bCs/>
                  <w:i w:val="0"/>
                  <w:iCs w:val="0"/>
                  <w:sz w:val="22"/>
                </w:rPr>
                <w:t>FitMoney</w:t>
              </w:r>
            </w:hyperlink>
            <w:r>
              <w:rPr>
                <w:i w:val="0"/>
              </w:rPr>
              <w:br/>
            </w:r>
            <w:r>
              <w:rPr>
                <w:rFonts w:asciiTheme="minorHAnsi" w:hAnsiTheme="minorHAnsi" w:cstheme="minorHAnsi"/>
                <w:i w:val="0"/>
                <w:sz w:val="20"/>
                <w:szCs w:val="20"/>
              </w:rPr>
              <w:t>Free, classroom-ready K-12 curriculum and free in-person and virtual training to teachers</w:t>
            </w:r>
          </w:p>
        </w:tc>
        <w:tc>
          <w:tcPr>
            <w:tcW w:w="1035" w:type="dxa"/>
            <w:tcBorders>
              <w:top w:val="single" w:sz="4" w:space="0" w:color="auto"/>
              <w:bottom w:val="single" w:sz="4" w:space="0" w:color="auto"/>
            </w:tcBorders>
            <w:shd w:val="clear" w:color="auto" w:fill="FFF2CC" w:themeFill="accent4" w:themeFillTint="33"/>
          </w:tcPr>
          <w:p w14:paraId="1EACB864" w14:textId="5CFCF190" w:rsidR="009F0DD9" w:rsidRPr="00F15F12"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632A9A4F" w14:textId="5F01C5C9"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746EBB90" w14:textId="620D9206"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571E6E9C" w14:textId="3DA7E07F"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458634B5" w14:textId="235A1FA1"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Free</w:t>
            </w:r>
          </w:p>
        </w:tc>
      </w:tr>
      <w:tr w:rsidR="009F0DD9" w14:paraId="660909B2" w14:textId="77777777"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60493473" w14:textId="1AB77ECB" w:rsidR="009F0DD9" w:rsidRPr="00132325" w:rsidRDefault="009F0DD9" w:rsidP="009F0DD9">
            <w:pPr>
              <w:widowControl/>
              <w:autoSpaceDE/>
              <w:autoSpaceDN/>
              <w:spacing w:line="259" w:lineRule="auto"/>
              <w:jc w:val="left"/>
              <w:rPr>
                <w:b/>
                <w:bCs/>
                <w:i w:val="0"/>
                <w:iCs w:val="0"/>
              </w:rPr>
            </w:pPr>
            <w:hyperlink r:id="rId20" w:history="1">
              <w:r w:rsidRPr="00646DAA">
                <w:rPr>
                  <w:rStyle w:val="Hyperlink"/>
                  <w:rFonts w:asciiTheme="minorHAnsi" w:hAnsiTheme="minorHAnsi" w:cstheme="minorHAnsi"/>
                  <w:b/>
                  <w:bCs/>
                  <w:i w:val="0"/>
                  <w:sz w:val="22"/>
                </w:rPr>
                <w:t>FoolProofMe</w:t>
              </w:r>
            </w:hyperlink>
            <w:r>
              <w:rPr>
                <w:i w:val="0"/>
                <w:iCs w:val="0"/>
                <w:sz w:val="20"/>
                <w:szCs w:val="20"/>
              </w:rPr>
              <w:t>*</w:t>
            </w:r>
            <w:r>
              <w:rPr>
                <w:rFonts w:asciiTheme="minorHAnsi" w:hAnsiTheme="minorHAnsi" w:cstheme="minorHAnsi"/>
                <w:i w:val="0"/>
                <w:sz w:val="20"/>
                <w:szCs w:val="20"/>
              </w:rPr>
              <w:br/>
              <w:t>Curriculum focused on developing healthy skepticism, trustworthiness, and personal responsibility in financial matters</w:t>
            </w:r>
          </w:p>
        </w:tc>
        <w:tc>
          <w:tcPr>
            <w:tcW w:w="1035" w:type="dxa"/>
            <w:tcBorders>
              <w:top w:val="single" w:sz="4" w:space="0" w:color="auto"/>
              <w:bottom w:val="single" w:sz="4" w:space="0" w:color="auto"/>
            </w:tcBorders>
            <w:shd w:val="clear" w:color="auto" w:fill="FFF2CC" w:themeFill="accent4" w:themeFillTint="33"/>
          </w:tcPr>
          <w:p w14:paraId="736E0CB8" w14:textId="26E125A1" w:rsidR="009F0DD9" w:rsidRPr="00F15F12"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5FEAF317" w14:textId="77777777"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c>
          <w:tcPr>
            <w:tcW w:w="840" w:type="dxa"/>
            <w:tcBorders>
              <w:top w:val="single" w:sz="4" w:space="0" w:color="auto"/>
              <w:bottom w:val="single" w:sz="4" w:space="0" w:color="auto"/>
            </w:tcBorders>
            <w:shd w:val="clear" w:color="auto" w:fill="E2EFD9" w:themeFill="accent6" w:themeFillTint="33"/>
          </w:tcPr>
          <w:p w14:paraId="537CAA1F" w14:textId="78378259"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70974F42" w14:textId="04907976"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77C89BAC" w14:textId="77777777"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r>
      <w:tr w:rsidR="00064E3B" w14:paraId="21686212" w14:textId="77777777" w:rsidTr="7313B441">
        <w:trPr>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393F980E" w14:textId="2A7D6E4B" w:rsidR="00064E3B" w:rsidRPr="00064E3B" w:rsidRDefault="00064E3B" w:rsidP="00064E3B">
            <w:pPr>
              <w:widowControl/>
              <w:autoSpaceDE/>
              <w:autoSpaceDN/>
              <w:spacing w:line="259" w:lineRule="auto"/>
              <w:ind w:right="520"/>
              <w:jc w:val="left"/>
              <w:rPr>
                <w:b/>
                <w:bCs/>
                <w:i w:val="0"/>
                <w:iCs w:val="0"/>
                <w:sz w:val="22"/>
              </w:rPr>
            </w:pPr>
            <w:hyperlink r:id="rId21" w:history="1">
              <w:r w:rsidRPr="00064E3B">
                <w:rPr>
                  <w:rStyle w:val="Hyperlink"/>
                  <w:b/>
                  <w:bCs/>
                  <w:i w:val="0"/>
                  <w:iCs w:val="0"/>
                  <w:sz w:val="22"/>
                </w:rPr>
                <w:t>Intuit for Education</w:t>
              </w:r>
            </w:hyperlink>
            <w:r w:rsidR="005A1218">
              <w:rPr>
                <w:i w:val="0"/>
                <w:iCs w:val="0"/>
                <w:sz w:val="20"/>
                <w:szCs w:val="20"/>
              </w:rPr>
              <w:t>*</w:t>
            </w:r>
          </w:p>
          <w:p w14:paraId="6F23E90D" w14:textId="43DA7328" w:rsidR="00064E3B" w:rsidRPr="00064E3B" w:rsidRDefault="00064E3B" w:rsidP="00064E3B">
            <w:pPr>
              <w:widowControl/>
              <w:autoSpaceDE/>
              <w:autoSpaceDN/>
              <w:spacing w:line="259" w:lineRule="auto"/>
              <w:ind w:right="520"/>
              <w:jc w:val="left"/>
              <w:rPr>
                <w:i w:val="0"/>
                <w:iCs w:val="0"/>
                <w:sz w:val="20"/>
                <w:szCs w:val="20"/>
              </w:rPr>
            </w:pPr>
            <w:r w:rsidRPr="00064E3B">
              <w:rPr>
                <w:i w:val="0"/>
                <w:iCs w:val="0"/>
                <w:sz w:val="20"/>
                <w:szCs w:val="20"/>
              </w:rPr>
              <w:t>Financial literacy platform featuring personal and entrepreneurial finance curriculum for high school students</w:t>
            </w:r>
          </w:p>
        </w:tc>
        <w:tc>
          <w:tcPr>
            <w:tcW w:w="1035" w:type="dxa"/>
            <w:tcBorders>
              <w:top w:val="single" w:sz="4" w:space="0" w:color="auto"/>
              <w:bottom w:val="single" w:sz="4" w:space="0" w:color="auto"/>
            </w:tcBorders>
            <w:shd w:val="clear" w:color="auto" w:fill="FFF2CC" w:themeFill="accent4" w:themeFillTint="33"/>
          </w:tcPr>
          <w:p w14:paraId="1E2C51BD" w14:textId="064F7393" w:rsidR="005A1218" w:rsidRPr="00F15F12" w:rsidRDefault="4288746C" w:rsidP="7313B441">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313B441">
              <w:rPr>
                <w:rFonts w:asciiTheme="minorHAnsi" w:hAnsiTheme="minorHAnsi" w:cstheme="minorBidi"/>
              </w:rPr>
              <w:t xml:space="preserve">1 – 9, </w:t>
            </w:r>
          </w:p>
          <w:p w14:paraId="4FB08D49" w14:textId="517FC3CC" w:rsidR="005A1218" w:rsidRPr="00F15F12" w:rsidRDefault="00872B19" w:rsidP="7313B441">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313B441">
              <w:rPr>
                <w:rFonts w:asciiTheme="minorHAnsi" w:hAnsiTheme="minorHAnsi" w:cstheme="minorBidi"/>
              </w:rPr>
              <w:t>11 -</w:t>
            </w:r>
            <w:r w:rsidR="4288746C" w:rsidRPr="7313B441">
              <w:rPr>
                <w:rFonts w:asciiTheme="minorHAnsi" w:hAnsiTheme="minorHAnsi" w:cstheme="minorBidi"/>
              </w:rPr>
              <w:t>12</w:t>
            </w:r>
          </w:p>
        </w:tc>
        <w:tc>
          <w:tcPr>
            <w:tcW w:w="705" w:type="dxa"/>
            <w:tcBorders>
              <w:top w:val="single" w:sz="4" w:space="0" w:color="auto"/>
              <w:bottom w:val="single" w:sz="4" w:space="0" w:color="auto"/>
            </w:tcBorders>
            <w:shd w:val="clear" w:color="auto" w:fill="E2EFD9" w:themeFill="accent6" w:themeFillTint="33"/>
          </w:tcPr>
          <w:p w14:paraId="43290335" w14:textId="77777777" w:rsidR="00064E3B" w:rsidRDefault="00064E3B"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p>
        </w:tc>
        <w:tc>
          <w:tcPr>
            <w:tcW w:w="840" w:type="dxa"/>
            <w:tcBorders>
              <w:top w:val="single" w:sz="4" w:space="0" w:color="auto"/>
              <w:bottom w:val="single" w:sz="4" w:space="0" w:color="auto"/>
            </w:tcBorders>
            <w:shd w:val="clear" w:color="auto" w:fill="E2EFD9" w:themeFill="accent6" w:themeFillTint="33"/>
          </w:tcPr>
          <w:p w14:paraId="176CF25B" w14:textId="77777777" w:rsidR="00064E3B" w:rsidRPr="00205B96" w:rsidRDefault="00064E3B"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40" w:type="dxa"/>
            <w:tcBorders>
              <w:top w:val="single" w:sz="4" w:space="0" w:color="auto"/>
              <w:bottom w:val="single" w:sz="4" w:space="0" w:color="auto"/>
            </w:tcBorders>
            <w:shd w:val="clear" w:color="auto" w:fill="E2EFD9" w:themeFill="accent6" w:themeFillTint="33"/>
          </w:tcPr>
          <w:p w14:paraId="499A4854" w14:textId="059E3188" w:rsidR="00064E3B" w:rsidRPr="00205B96" w:rsidRDefault="00064E3B"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3ED58BFE" w14:textId="5C355982" w:rsidR="00064E3B" w:rsidRDefault="005A1218"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Free</w:t>
            </w:r>
          </w:p>
        </w:tc>
      </w:tr>
      <w:tr w:rsidR="009F0DD9" w14:paraId="6E195C55" w14:textId="77777777"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554CBBFA" w14:textId="47CC8C8A" w:rsidR="009F0DD9" w:rsidRPr="00646DAA" w:rsidRDefault="009F0DD9" w:rsidP="009F0DD9">
            <w:pPr>
              <w:widowControl/>
              <w:autoSpaceDE/>
              <w:autoSpaceDN/>
              <w:spacing w:line="259" w:lineRule="auto"/>
              <w:jc w:val="left"/>
              <w:rPr>
                <w:b/>
                <w:bCs/>
                <w:sz w:val="28"/>
                <w:szCs w:val="24"/>
              </w:rPr>
            </w:pPr>
            <w:hyperlink r:id="rId22" w:history="1">
              <w:r w:rsidRPr="00BD3FC9">
                <w:rPr>
                  <w:rStyle w:val="Hyperlink"/>
                  <w:b/>
                  <w:bCs/>
                  <w:i w:val="0"/>
                  <w:iCs w:val="0"/>
                  <w:sz w:val="22"/>
                  <w:szCs w:val="20"/>
                </w:rPr>
                <w:t>Junior Achievement</w:t>
              </w:r>
            </w:hyperlink>
            <w:r>
              <w:rPr>
                <w:i w:val="0"/>
              </w:rPr>
              <w:br/>
            </w:r>
            <w:r>
              <w:rPr>
                <w:rFonts w:asciiTheme="minorHAnsi" w:hAnsiTheme="minorHAnsi" w:cstheme="minorHAnsi"/>
                <w:i w:val="0"/>
                <w:sz w:val="20"/>
                <w:szCs w:val="20"/>
              </w:rPr>
              <w:t>Interactive financial literacy offerings for grades K-12 focused on financial literacy, entrepreneurship, and work readiness</w:t>
            </w:r>
          </w:p>
        </w:tc>
        <w:tc>
          <w:tcPr>
            <w:tcW w:w="1035" w:type="dxa"/>
            <w:tcBorders>
              <w:top w:val="single" w:sz="4" w:space="0" w:color="auto"/>
              <w:bottom w:val="single" w:sz="4" w:space="0" w:color="auto"/>
            </w:tcBorders>
            <w:shd w:val="clear" w:color="auto" w:fill="FFF2CC" w:themeFill="accent4" w:themeFillTint="33"/>
          </w:tcPr>
          <w:p w14:paraId="7BD45AC8" w14:textId="0EEC72F1" w:rsidR="009F0DD9" w:rsidRPr="00F15F12"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1-4, </w:t>
            </w:r>
            <w:r>
              <w:rPr>
                <w:rFonts w:asciiTheme="minorHAnsi" w:hAnsiTheme="minorHAnsi" w:cstheme="minorHAnsi"/>
              </w:rPr>
              <w:br/>
              <w:t>6-12</w:t>
            </w:r>
          </w:p>
        </w:tc>
        <w:tc>
          <w:tcPr>
            <w:tcW w:w="705" w:type="dxa"/>
            <w:tcBorders>
              <w:top w:val="single" w:sz="4" w:space="0" w:color="auto"/>
              <w:bottom w:val="single" w:sz="4" w:space="0" w:color="auto"/>
            </w:tcBorders>
            <w:shd w:val="clear" w:color="auto" w:fill="E2EFD9" w:themeFill="accent6" w:themeFillTint="33"/>
          </w:tcPr>
          <w:p w14:paraId="1CAB9941" w14:textId="31CA9BD4"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7E2309FB" w14:textId="44C8E46A"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2142EB4E" w14:textId="69EF8C86" w:rsidR="009F0DD9" w:rsidRPr="00205B96"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1F49D266" w14:textId="77777777"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r>
      <w:tr w:rsidR="009F0DD9" w14:paraId="1CA34E7D" w14:textId="77777777" w:rsidTr="7313B441">
        <w:trPr>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31BB542F" w14:textId="3495BA4B" w:rsidR="009F0DD9" w:rsidRPr="00132325" w:rsidRDefault="009F0DD9" w:rsidP="009F0DD9">
            <w:pPr>
              <w:widowControl/>
              <w:autoSpaceDE/>
              <w:autoSpaceDN/>
              <w:spacing w:line="259" w:lineRule="auto"/>
              <w:jc w:val="left"/>
              <w:rPr>
                <w:b/>
                <w:bCs/>
                <w:i w:val="0"/>
                <w:iCs w:val="0"/>
              </w:rPr>
            </w:pPr>
            <w:hyperlink r:id="rId23" w:history="1">
              <w:r w:rsidRPr="00646DAA">
                <w:rPr>
                  <w:rStyle w:val="Hyperlink"/>
                  <w:rFonts w:asciiTheme="minorHAnsi" w:hAnsiTheme="minorHAnsi" w:cstheme="minorHAnsi"/>
                  <w:b/>
                  <w:bCs/>
                  <w:i w:val="0"/>
                  <w:sz w:val="22"/>
                </w:rPr>
                <w:t>National Jump$tart Coalition Clearinghouse</w:t>
              </w:r>
            </w:hyperlink>
            <w:r>
              <w:rPr>
                <w:rFonts w:asciiTheme="minorHAnsi" w:hAnsiTheme="minorHAnsi" w:cstheme="minorHAnsi"/>
                <w:i w:val="0"/>
                <w:sz w:val="20"/>
                <w:szCs w:val="20"/>
              </w:rPr>
              <w:br/>
              <w:t xml:space="preserve">Database of </w:t>
            </w:r>
            <w:r w:rsidRPr="00205B96">
              <w:rPr>
                <w:rFonts w:asciiTheme="minorHAnsi" w:hAnsiTheme="minorHAnsi" w:cstheme="minorHAnsi"/>
                <w:i w:val="0"/>
                <w:sz w:val="20"/>
                <w:szCs w:val="20"/>
              </w:rPr>
              <w:t>effective, financial education resources from various sources</w:t>
            </w:r>
            <w:r>
              <w:rPr>
                <w:rFonts w:asciiTheme="minorHAnsi" w:hAnsiTheme="minorHAnsi" w:cstheme="minorHAnsi"/>
                <w:i w:val="0"/>
                <w:sz w:val="20"/>
                <w:szCs w:val="20"/>
              </w:rPr>
              <w:t xml:space="preserve"> (both open source and for-cost)</w:t>
            </w:r>
          </w:p>
        </w:tc>
        <w:tc>
          <w:tcPr>
            <w:tcW w:w="1035" w:type="dxa"/>
            <w:tcBorders>
              <w:top w:val="single" w:sz="4" w:space="0" w:color="auto"/>
              <w:bottom w:val="single" w:sz="4" w:space="0" w:color="auto"/>
            </w:tcBorders>
            <w:shd w:val="clear" w:color="auto" w:fill="FFF2CC" w:themeFill="accent4" w:themeFillTint="33"/>
          </w:tcPr>
          <w:p w14:paraId="7A995521" w14:textId="64A30470" w:rsidR="009F0DD9" w:rsidRPr="00F15F12"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6763CCD2" w14:textId="3BEAA02C"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7AB57B9D" w14:textId="330F97E5"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1F542262" w14:textId="7842F2D8"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79B7D640" w14:textId="4940B9C9"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For-Cost</w:t>
            </w:r>
          </w:p>
        </w:tc>
      </w:tr>
      <w:tr w:rsidR="009F0DD9" w14:paraId="258D74A0" w14:textId="77777777"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6F18A51D" w14:textId="166DE719" w:rsidR="009F0DD9" w:rsidRPr="00205B96" w:rsidRDefault="009F0DD9" w:rsidP="009F0DD9">
            <w:pPr>
              <w:jc w:val="left"/>
              <w:rPr>
                <w:rFonts w:asciiTheme="minorHAnsi" w:hAnsiTheme="minorHAnsi" w:cstheme="minorHAnsi"/>
                <w:i w:val="0"/>
                <w:sz w:val="20"/>
                <w:szCs w:val="20"/>
              </w:rPr>
            </w:pPr>
            <w:hyperlink r:id="rId24" w:history="1">
              <w:r w:rsidRPr="00646DAA">
                <w:rPr>
                  <w:rStyle w:val="Hyperlink"/>
                  <w:rFonts w:asciiTheme="minorHAnsi" w:hAnsiTheme="minorHAnsi" w:cstheme="minorHAnsi"/>
                  <w:b/>
                  <w:bCs/>
                  <w:i w:val="0"/>
                  <w:sz w:val="22"/>
                </w:rPr>
                <w:t>NextGen Personal Finance</w:t>
              </w:r>
            </w:hyperlink>
            <w:r>
              <w:rPr>
                <w:i w:val="0"/>
                <w:iCs w:val="0"/>
                <w:sz w:val="20"/>
                <w:szCs w:val="20"/>
              </w:rPr>
              <w:t>*</w:t>
            </w:r>
          </w:p>
          <w:p w14:paraId="1A2CAA62" w14:textId="76A60AB1" w:rsidR="009F0DD9" w:rsidRPr="00132325" w:rsidRDefault="009F0DD9" w:rsidP="009F0DD9">
            <w:pPr>
              <w:widowControl/>
              <w:autoSpaceDE/>
              <w:autoSpaceDN/>
              <w:spacing w:line="259" w:lineRule="auto"/>
              <w:jc w:val="left"/>
              <w:rPr>
                <w:b/>
                <w:bCs/>
                <w:i w:val="0"/>
                <w:iCs w:val="0"/>
              </w:rPr>
            </w:pPr>
            <w:r>
              <w:rPr>
                <w:rFonts w:asciiTheme="minorHAnsi" w:hAnsiTheme="minorHAnsi" w:cstheme="minorHAnsi"/>
                <w:i w:val="0"/>
                <w:sz w:val="20"/>
                <w:szCs w:val="20"/>
              </w:rPr>
              <w:t>P</w:t>
            </w:r>
            <w:r w:rsidRPr="00B601B7">
              <w:rPr>
                <w:rFonts w:asciiTheme="minorHAnsi" w:hAnsiTheme="minorHAnsi" w:cstheme="minorHAnsi"/>
                <w:i w:val="0"/>
                <w:sz w:val="20"/>
                <w:szCs w:val="20"/>
              </w:rPr>
              <w:t>ersonal finance curricul</w:t>
            </w:r>
            <w:r>
              <w:rPr>
                <w:rFonts w:asciiTheme="minorHAnsi" w:hAnsiTheme="minorHAnsi" w:cstheme="minorHAnsi"/>
                <w:i w:val="0"/>
                <w:sz w:val="20"/>
                <w:szCs w:val="20"/>
              </w:rPr>
              <w:t>um and professional development</w:t>
            </w:r>
          </w:p>
        </w:tc>
        <w:tc>
          <w:tcPr>
            <w:tcW w:w="1035" w:type="dxa"/>
            <w:tcBorders>
              <w:top w:val="single" w:sz="4" w:space="0" w:color="auto"/>
              <w:bottom w:val="single" w:sz="4" w:space="0" w:color="auto"/>
            </w:tcBorders>
            <w:shd w:val="clear" w:color="auto" w:fill="FFF2CC" w:themeFill="accent4" w:themeFillTint="33"/>
          </w:tcPr>
          <w:p w14:paraId="3E914107" w14:textId="5CEE3B77" w:rsidR="009F0DD9" w:rsidRPr="00F15F12"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657871B2" w14:textId="77777777"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c>
          <w:tcPr>
            <w:tcW w:w="840" w:type="dxa"/>
            <w:tcBorders>
              <w:top w:val="single" w:sz="4" w:space="0" w:color="auto"/>
              <w:bottom w:val="single" w:sz="4" w:space="0" w:color="auto"/>
            </w:tcBorders>
            <w:shd w:val="clear" w:color="auto" w:fill="E2EFD9" w:themeFill="accent6" w:themeFillTint="33"/>
          </w:tcPr>
          <w:p w14:paraId="58AEB6CB" w14:textId="6D1A64D4" w:rsidR="009F0DD9" w:rsidRDefault="009B5348"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41A7709F" w14:textId="3B6B53B0"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4F986CA9" w14:textId="6D95318F"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Free</w:t>
            </w:r>
          </w:p>
        </w:tc>
      </w:tr>
      <w:tr w:rsidR="009F0DD9" w14:paraId="16415A74" w14:textId="77777777" w:rsidTr="7313B441">
        <w:trPr>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5D5216A4" w14:textId="05DCA105" w:rsidR="009F0DD9" w:rsidRPr="00132325" w:rsidRDefault="009F0DD9" w:rsidP="009F0DD9">
            <w:pPr>
              <w:widowControl/>
              <w:autoSpaceDE/>
              <w:autoSpaceDN/>
              <w:spacing w:line="259" w:lineRule="auto"/>
              <w:jc w:val="left"/>
              <w:rPr>
                <w:b/>
                <w:bCs/>
                <w:i w:val="0"/>
                <w:iCs w:val="0"/>
              </w:rPr>
            </w:pPr>
            <w:hyperlink r:id="rId25" w:history="1">
              <w:r w:rsidRPr="00646DAA">
                <w:rPr>
                  <w:rStyle w:val="Hyperlink"/>
                  <w:rFonts w:asciiTheme="minorHAnsi" w:hAnsiTheme="minorHAnsi" w:cstheme="minorHAnsi"/>
                  <w:b/>
                  <w:bCs/>
                  <w:i w:val="0"/>
                  <w:iCs w:val="0"/>
                  <w:sz w:val="22"/>
                </w:rPr>
                <w:t>PwC Access Your Potential</w:t>
              </w:r>
            </w:hyperlink>
            <w:r>
              <w:rPr>
                <w:i w:val="0"/>
              </w:rPr>
              <w:br/>
            </w:r>
            <w:r>
              <w:rPr>
                <w:rFonts w:asciiTheme="minorHAnsi" w:hAnsiTheme="minorHAnsi" w:cstheme="minorHAnsi"/>
                <w:i w:val="0"/>
                <w:sz w:val="20"/>
                <w:szCs w:val="20"/>
              </w:rPr>
              <w:t>Lessons for K–12 students (in both English and Spanish) around financial literacy topics</w:t>
            </w:r>
          </w:p>
        </w:tc>
        <w:tc>
          <w:tcPr>
            <w:tcW w:w="1035" w:type="dxa"/>
            <w:tcBorders>
              <w:top w:val="single" w:sz="4" w:space="0" w:color="auto"/>
              <w:bottom w:val="single" w:sz="4" w:space="0" w:color="auto"/>
            </w:tcBorders>
            <w:shd w:val="clear" w:color="auto" w:fill="FFF2CC" w:themeFill="accent4" w:themeFillTint="33"/>
          </w:tcPr>
          <w:p w14:paraId="313B7CBA" w14:textId="6A8FBC74" w:rsidR="009F0DD9" w:rsidRPr="00F15F12" w:rsidRDefault="009F0DD9" w:rsidP="7313B441">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313B441">
              <w:rPr>
                <w:rFonts w:asciiTheme="minorHAnsi" w:hAnsiTheme="minorHAnsi" w:cstheme="minorBidi"/>
              </w:rPr>
              <w:t>1-3, 5-7,</w:t>
            </w:r>
            <w:r>
              <w:br/>
            </w:r>
            <w:r w:rsidRPr="7313B441">
              <w:rPr>
                <w:rFonts w:asciiTheme="minorHAnsi" w:hAnsiTheme="minorHAnsi" w:cstheme="minorBidi"/>
              </w:rPr>
              <w:t>9-12</w:t>
            </w:r>
          </w:p>
        </w:tc>
        <w:tc>
          <w:tcPr>
            <w:tcW w:w="705" w:type="dxa"/>
            <w:tcBorders>
              <w:top w:val="single" w:sz="4" w:space="0" w:color="auto"/>
              <w:bottom w:val="single" w:sz="4" w:space="0" w:color="auto"/>
            </w:tcBorders>
            <w:shd w:val="clear" w:color="auto" w:fill="E2EFD9" w:themeFill="accent6" w:themeFillTint="33"/>
          </w:tcPr>
          <w:p w14:paraId="522CBBAB" w14:textId="1F764D4C"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19286FA2" w14:textId="18802598"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3F4F4B88" w14:textId="072EE88D"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6011644A" w14:textId="77777777"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p>
        </w:tc>
      </w:tr>
      <w:tr w:rsidR="00994D98" w14:paraId="3CC5B956" w14:textId="77777777"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15FF8D4A" w14:textId="196764A3" w:rsidR="00994D98" w:rsidRPr="00994D98" w:rsidRDefault="00994D98" w:rsidP="00994D98">
            <w:pPr>
              <w:widowControl/>
              <w:autoSpaceDE/>
              <w:autoSpaceDN/>
              <w:spacing w:line="259" w:lineRule="auto"/>
              <w:ind w:right="520"/>
              <w:jc w:val="left"/>
              <w:rPr>
                <w:b/>
                <w:bCs/>
                <w:i w:val="0"/>
                <w:iCs w:val="0"/>
                <w:sz w:val="22"/>
              </w:rPr>
            </w:pPr>
            <w:hyperlink r:id="rId26" w:history="1">
              <w:r w:rsidRPr="00994D98">
                <w:rPr>
                  <w:rStyle w:val="Hyperlink"/>
                  <w:b/>
                  <w:bCs/>
                  <w:i w:val="0"/>
                  <w:iCs w:val="0"/>
                  <w:sz w:val="22"/>
                </w:rPr>
                <w:t>SIFMA Foundation’s The Stock Market Game</w:t>
              </w:r>
            </w:hyperlink>
            <w:r w:rsidRPr="00994D98">
              <w:rPr>
                <w:b/>
                <w:bCs/>
                <w:i w:val="0"/>
                <w:iCs w:val="0"/>
                <w:sz w:val="22"/>
              </w:rPr>
              <w:t>*</w:t>
            </w:r>
          </w:p>
          <w:p w14:paraId="409A519B" w14:textId="70AEE142" w:rsidR="00994D98" w:rsidRPr="00994D98" w:rsidRDefault="00994D98" w:rsidP="00994D98">
            <w:pPr>
              <w:widowControl/>
              <w:autoSpaceDE/>
              <w:autoSpaceDN/>
              <w:spacing w:line="259" w:lineRule="auto"/>
              <w:ind w:right="520"/>
              <w:jc w:val="left"/>
              <w:rPr>
                <w:i w:val="0"/>
                <w:iCs w:val="0"/>
                <w:sz w:val="20"/>
                <w:szCs w:val="20"/>
              </w:rPr>
            </w:pPr>
            <w:r w:rsidRPr="00994D98">
              <w:rPr>
                <w:i w:val="0"/>
                <w:iCs w:val="0"/>
                <w:sz w:val="20"/>
                <w:szCs w:val="20"/>
              </w:rPr>
              <w:t>Online simulation of the global capital markets for grades 4-12</w:t>
            </w:r>
          </w:p>
        </w:tc>
        <w:tc>
          <w:tcPr>
            <w:tcW w:w="1035" w:type="dxa"/>
            <w:tcBorders>
              <w:top w:val="single" w:sz="4" w:space="0" w:color="auto"/>
              <w:bottom w:val="single" w:sz="4" w:space="0" w:color="auto"/>
            </w:tcBorders>
            <w:shd w:val="clear" w:color="auto" w:fill="FFF2CC" w:themeFill="accent4" w:themeFillTint="33"/>
          </w:tcPr>
          <w:p w14:paraId="7B39729C" w14:textId="30419BB8" w:rsidR="00994D98" w:rsidRPr="00F15F12" w:rsidRDefault="00994D98"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6</w:t>
            </w:r>
          </w:p>
        </w:tc>
        <w:tc>
          <w:tcPr>
            <w:tcW w:w="705" w:type="dxa"/>
            <w:tcBorders>
              <w:top w:val="single" w:sz="4" w:space="0" w:color="auto"/>
              <w:bottom w:val="single" w:sz="4" w:space="0" w:color="auto"/>
            </w:tcBorders>
            <w:shd w:val="clear" w:color="auto" w:fill="E2EFD9" w:themeFill="accent6" w:themeFillTint="33"/>
          </w:tcPr>
          <w:p w14:paraId="65EEB990" w14:textId="00D01700" w:rsidR="00994D98" w:rsidRPr="00205B96" w:rsidRDefault="00994D98"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1251C2ED" w14:textId="4A0F16DF" w:rsidR="00994D98" w:rsidRPr="00205B96" w:rsidRDefault="00994D98"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65AFAA01" w14:textId="3FED3881" w:rsidR="00994D98" w:rsidRDefault="00994D98"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1F19D323" w14:textId="0AD5343C" w:rsidR="00994D98" w:rsidRDefault="00994D98"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Free</w:t>
            </w:r>
          </w:p>
        </w:tc>
      </w:tr>
      <w:tr w:rsidR="009F0DD9" w14:paraId="5B705EF6" w14:textId="77777777" w:rsidTr="7313B441">
        <w:trPr>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56C1CB48" w14:textId="28C8FA72" w:rsidR="009F0DD9" w:rsidRPr="00132325" w:rsidRDefault="009F0DD9" w:rsidP="009F0DD9">
            <w:pPr>
              <w:widowControl/>
              <w:autoSpaceDE/>
              <w:autoSpaceDN/>
              <w:spacing w:line="259" w:lineRule="auto"/>
              <w:jc w:val="left"/>
              <w:rPr>
                <w:b/>
                <w:bCs/>
                <w:i w:val="0"/>
                <w:iCs w:val="0"/>
              </w:rPr>
            </w:pPr>
            <w:hyperlink r:id="rId27" w:history="1">
              <w:r w:rsidRPr="00646DAA">
                <w:rPr>
                  <w:rStyle w:val="Hyperlink"/>
                  <w:rFonts w:asciiTheme="minorHAnsi" w:hAnsiTheme="minorHAnsi" w:cstheme="minorHAnsi"/>
                  <w:b/>
                  <w:bCs/>
                  <w:i w:val="0"/>
                  <w:iCs w:val="0"/>
                  <w:sz w:val="22"/>
                </w:rPr>
                <w:t>$martPath</w:t>
              </w:r>
            </w:hyperlink>
            <w:r>
              <w:rPr>
                <w:i w:val="0"/>
                <w:iCs w:val="0"/>
                <w:sz w:val="20"/>
                <w:szCs w:val="20"/>
              </w:rPr>
              <w:t>*</w:t>
            </w:r>
            <w:r>
              <w:rPr>
                <w:rFonts w:asciiTheme="minorHAnsi" w:hAnsiTheme="minorHAnsi" w:cstheme="minorHAnsi"/>
                <w:i w:val="0"/>
                <w:iCs w:val="0"/>
                <w:sz w:val="20"/>
                <w:szCs w:val="20"/>
              </w:rPr>
              <w:br/>
              <w:t>Story-based, interactive units about financial literacy topics for grades 1–8</w:t>
            </w:r>
          </w:p>
        </w:tc>
        <w:tc>
          <w:tcPr>
            <w:tcW w:w="1035" w:type="dxa"/>
            <w:tcBorders>
              <w:top w:val="single" w:sz="4" w:space="0" w:color="auto"/>
              <w:bottom w:val="single" w:sz="4" w:space="0" w:color="auto"/>
            </w:tcBorders>
            <w:shd w:val="clear" w:color="auto" w:fill="FFF2CC" w:themeFill="accent4" w:themeFillTint="33"/>
          </w:tcPr>
          <w:p w14:paraId="63A0664A" w14:textId="62B8D3F7" w:rsidR="009F0DD9" w:rsidRPr="00F15F12"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3, 7, 12</w:t>
            </w:r>
          </w:p>
        </w:tc>
        <w:tc>
          <w:tcPr>
            <w:tcW w:w="705" w:type="dxa"/>
            <w:tcBorders>
              <w:top w:val="single" w:sz="4" w:space="0" w:color="auto"/>
              <w:bottom w:val="single" w:sz="4" w:space="0" w:color="auto"/>
            </w:tcBorders>
            <w:shd w:val="clear" w:color="auto" w:fill="E2EFD9" w:themeFill="accent6" w:themeFillTint="33"/>
          </w:tcPr>
          <w:p w14:paraId="1B811C9F" w14:textId="2D9C22C5"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4333BD47" w14:textId="59EEA639"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32F12B81" w14:textId="77777777"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p>
        </w:tc>
        <w:tc>
          <w:tcPr>
            <w:tcW w:w="1170" w:type="dxa"/>
            <w:tcBorders>
              <w:top w:val="single" w:sz="4" w:space="0" w:color="auto"/>
              <w:bottom w:val="single" w:sz="4" w:space="0" w:color="auto"/>
            </w:tcBorders>
            <w:shd w:val="clear" w:color="auto" w:fill="D9E2F3" w:themeFill="accent1" w:themeFillTint="33"/>
          </w:tcPr>
          <w:p w14:paraId="691EBE1D" w14:textId="77777777" w:rsidR="009F0DD9" w:rsidRDefault="009F0DD9" w:rsidP="009F0DD9">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rPr>
            </w:pPr>
          </w:p>
        </w:tc>
      </w:tr>
      <w:tr w:rsidR="009F0DD9" w14:paraId="42C50356" w14:textId="77777777" w:rsidTr="7313B4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bottom w:val="single" w:sz="4" w:space="0" w:color="auto"/>
            </w:tcBorders>
            <w:tcMar>
              <w:top w:w="58" w:type="dxa"/>
              <w:left w:w="115" w:type="dxa"/>
              <w:bottom w:w="58" w:type="dxa"/>
              <w:right w:w="115" w:type="dxa"/>
            </w:tcMar>
          </w:tcPr>
          <w:p w14:paraId="0C3806FF" w14:textId="413CAFA5" w:rsidR="009F0DD9" w:rsidRPr="00205B96" w:rsidRDefault="009F0DD9" w:rsidP="009F0DD9">
            <w:pPr>
              <w:jc w:val="left"/>
              <w:rPr>
                <w:rFonts w:asciiTheme="minorHAnsi" w:hAnsiTheme="minorHAnsi" w:cstheme="minorHAnsi"/>
                <w:i w:val="0"/>
                <w:color w:val="5B666F"/>
                <w:sz w:val="20"/>
                <w:szCs w:val="20"/>
              </w:rPr>
            </w:pPr>
            <w:hyperlink r:id="rId28" w:history="1">
              <w:r w:rsidRPr="00646DAA">
                <w:rPr>
                  <w:rStyle w:val="Hyperlink"/>
                  <w:rFonts w:asciiTheme="minorHAnsi" w:hAnsiTheme="minorHAnsi" w:cstheme="minorHAnsi"/>
                  <w:b/>
                  <w:bCs/>
                  <w:i w:val="0"/>
                  <w:sz w:val="22"/>
                </w:rPr>
                <w:t>Take Charge Today</w:t>
              </w:r>
            </w:hyperlink>
            <w:r>
              <w:rPr>
                <w:i w:val="0"/>
                <w:iCs w:val="0"/>
                <w:sz w:val="20"/>
                <w:szCs w:val="20"/>
              </w:rPr>
              <w:t>*</w:t>
            </w:r>
          </w:p>
          <w:p w14:paraId="04B4FB73" w14:textId="502B2AAD" w:rsidR="009F0DD9" w:rsidRPr="00132325" w:rsidRDefault="009F0DD9" w:rsidP="009F0DD9">
            <w:pPr>
              <w:widowControl/>
              <w:autoSpaceDE/>
              <w:autoSpaceDN/>
              <w:spacing w:line="259" w:lineRule="auto"/>
              <w:jc w:val="left"/>
              <w:rPr>
                <w:b/>
                <w:bCs/>
                <w:i w:val="0"/>
                <w:iCs w:val="0"/>
              </w:rPr>
            </w:pPr>
            <w:r w:rsidRPr="00205B96">
              <w:rPr>
                <w:rFonts w:asciiTheme="minorHAnsi" w:hAnsiTheme="minorHAnsi" w:cstheme="minorHAnsi"/>
                <w:i w:val="0"/>
                <w:color w:val="333333"/>
                <w:sz w:val="20"/>
                <w:szCs w:val="20"/>
              </w:rPr>
              <w:t>75 introductory (</w:t>
            </w:r>
            <w:r w:rsidRPr="00597AB2">
              <w:rPr>
                <w:rFonts w:asciiTheme="minorHAnsi" w:hAnsiTheme="minorHAnsi" w:cstheme="minorHAnsi"/>
                <w:i w:val="0"/>
                <w:sz w:val="20"/>
                <w:szCs w:val="20"/>
              </w:rPr>
              <w:t>grades</w:t>
            </w:r>
            <w:r w:rsidRPr="00205B96">
              <w:rPr>
                <w:rFonts w:asciiTheme="minorHAnsi" w:hAnsiTheme="minorHAnsi" w:cstheme="minorHAnsi"/>
                <w:i w:val="0"/>
                <w:color w:val="333333"/>
                <w:sz w:val="20"/>
                <w:szCs w:val="20"/>
              </w:rPr>
              <w:t xml:space="preserve"> 7-9) and advanced (grades 10-12) </w:t>
            </w:r>
            <w:r>
              <w:rPr>
                <w:rFonts w:asciiTheme="minorHAnsi" w:hAnsiTheme="minorHAnsi" w:cstheme="minorHAnsi"/>
                <w:i w:val="0"/>
                <w:color w:val="333333"/>
                <w:sz w:val="20"/>
                <w:szCs w:val="20"/>
              </w:rPr>
              <w:t>lessons</w:t>
            </w:r>
            <w:r w:rsidRPr="00205B96">
              <w:rPr>
                <w:rFonts w:asciiTheme="minorHAnsi" w:hAnsiTheme="minorHAnsi" w:cstheme="minorHAnsi"/>
                <w:i w:val="0"/>
                <w:color w:val="333333"/>
                <w:sz w:val="20"/>
                <w:szCs w:val="20"/>
              </w:rPr>
              <w:t xml:space="preserve"> based on </w:t>
            </w:r>
            <w:r>
              <w:rPr>
                <w:rFonts w:asciiTheme="minorHAnsi" w:hAnsiTheme="minorHAnsi" w:cstheme="minorHAnsi"/>
                <w:i w:val="0"/>
                <w:color w:val="333333"/>
                <w:sz w:val="20"/>
                <w:szCs w:val="20"/>
              </w:rPr>
              <w:t>teacher</w:t>
            </w:r>
            <w:r w:rsidRPr="00205B96">
              <w:rPr>
                <w:rFonts w:asciiTheme="minorHAnsi" w:hAnsiTheme="minorHAnsi" w:cstheme="minorHAnsi"/>
                <w:i w:val="0"/>
                <w:color w:val="333333"/>
                <w:sz w:val="20"/>
                <w:szCs w:val="20"/>
              </w:rPr>
              <w:t xml:space="preserve"> feedback and research</w:t>
            </w:r>
          </w:p>
        </w:tc>
        <w:tc>
          <w:tcPr>
            <w:tcW w:w="1035" w:type="dxa"/>
            <w:tcBorders>
              <w:top w:val="single" w:sz="4" w:space="0" w:color="auto"/>
              <w:bottom w:val="single" w:sz="4" w:space="0" w:color="auto"/>
            </w:tcBorders>
            <w:shd w:val="clear" w:color="auto" w:fill="FFF2CC" w:themeFill="accent4" w:themeFillTint="33"/>
          </w:tcPr>
          <w:p w14:paraId="2E1F0DEC" w14:textId="67A89833" w:rsidR="009F0DD9" w:rsidRPr="00F15F12"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15F12">
              <w:rPr>
                <w:rFonts w:asciiTheme="minorHAnsi" w:hAnsiTheme="minorHAnsi" w:cstheme="minorHAnsi"/>
              </w:rPr>
              <w:t>1-12</w:t>
            </w:r>
          </w:p>
        </w:tc>
        <w:tc>
          <w:tcPr>
            <w:tcW w:w="705" w:type="dxa"/>
            <w:tcBorders>
              <w:top w:val="single" w:sz="4" w:space="0" w:color="auto"/>
              <w:bottom w:val="single" w:sz="4" w:space="0" w:color="auto"/>
            </w:tcBorders>
            <w:shd w:val="clear" w:color="auto" w:fill="E2EFD9" w:themeFill="accent6" w:themeFillTint="33"/>
          </w:tcPr>
          <w:p w14:paraId="7865D17A" w14:textId="77777777"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p>
        </w:tc>
        <w:tc>
          <w:tcPr>
            <w:tcW w:w="840" w:type="dxa"/>
            <w:tcBorders>
              <w:top w:val="single" w:sz="4" w:space="0" w:color="auto"/>
              <w:bottom w:val="single" w:sz="4" w:space="0" w:color="auto"/>
            </w:tcBorders>
            <w:shd w:val="clear" w:color="auto" w:fill="E2EFD9" w:themeFill="accent6" w:themeFillTint="33"/>
          </w:tcPr>
          <w:p w14:paraId="75221EBE" w14:textId="336BBD90"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840" w:type="dxa"/>
            <w:tcBorders>
              <w:top w:val="single" w:sz="4" w:space="0" w:color="auto"/>
              <w:bottom w:val="single" w:sz="4" w:space="0" w:color="auto"/>
            </w:tcBorders>
            <w:shd w:val="clear" w:color="auto" w:fill="E2EFD9" w:themeFill="accent6" w:themeFillTint="33"/>
          </w:tcPr>
          <w:p w14:paraId="39024EBE" w14:textId="47540385"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sidRPr="00205B96">
              <w:rPr>
                <w:rFonts w:asciiTheme="minorHAnsi" w:eastAsia="Wingdings" w:hAnsiTheme="minorHAnsi" w:cstheme="minorHAnsi"/>
                <w:sz w:val="20"/>
                <w:szCs w:val="20"/>
              </w:rPr>
              <w:t>ü</w:t>
            </w:r>
          </w:p>
        </w:tc>
        <w:tc>
          <w:tcPr>
            <w:tcW w:w="1170" w:type="dxa"/>
            <w:tcBorders>
              <w:top w:val="single" w:sz="4" w:space="0" w:color="auto"/>
              <w:bottom w:val="single" w:sz="4" w:space="0" w:color="auto"/>
            </w:tcBorders>
            <w:shd w:val="clear" w:color="auto" w:fill="D9E2F3" w:themeFill="accent1" w:themeFillTint="33"/>
          </w:tcPr>
          <w:p w14:paraId="2893A245" w14:textId="4027E291" w:rsidR="009F0DD9" w:rsidRDefault="009F0DD9" w:rsidP="009F0DD9">
            <w:pPr>
              <w:spacing w:before="6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HAnsi"/>
              </w:rPr>
            </w:pPr>
            <w:r>
              <w:rPr>
                <w:rFonts w:asciiTheme="minorHAnsi" w:eastAsia="Wingdings" w:hAnsiTheme="minorHAnsi" w:cstheme="minorHAnsi"/>
              </w:rPr>
              <w:t>Free</w:t>
            </w:r>
          </w:p>
        </w:tc>
      </w:tr>
    </w:tbl>
    <w:p w14:paraId="4DF645D3" w14:textId="2ACD6215" w:rsidR="00852193" w:rsidRDefault="00852193">
      <w:pPr>
        <w:widowControl/>
        <w:autoSpaceDE/>
        <w:autoSpaceDN/>
        <w:spacing w:after="160" w:line="259" w:lineRule="auto"/>
        <w:rPr>
          <w:rFonts w:asciiTheme="minorHAnsi" w:hAnsiTheme="minorHAnsi" w:cstheme="minorHAnsi"/>
          <w:b/>
          <w:bCs/>
          <w:sz w:val="20"/>
          <w:szCs w:val="20"/>
        </w:rPr>
      </w:pPr>
    </w:p>
    <w:p w14:paraId="17D18806" w14:textId="1B6B346E" w:rsidR="00852193" w:rsidRPr="00852193" w:rsidRDefault="005B0562">
      <w:pPr>
        <w:widowControl/>
        <w:autoSpaceDE/>
        <w:autoSpaceDN/>
        <w:spacing w:after="160" w:line="259" w:lineRule="auto"/>
        <w:rPr>
          <w:rFonts w:asciiTheme="minorHAnsi" w:hAnsiTheme="minorHAnsi" w:cstheme="minorHAnsi"/>
          <w:b/>
          <w:bCs/>
          <w:sz w:val="28"/>
          <w:szCs w:val="28"/>
        </w:rPr>
      </w:pPr>
      <w:r>
        <w:rPr>
          <w:rFonts w:asciiTheme="minorHAnsi" w:hAnsiTheme="minorHAnsi" w:cstheme="minorHAnsi"/>
          <w:b/>
          <w:bCs/>
          <w:sz w:val="28"/>
          <w:szCs w:val="28"/>
        </w:rPr>
        <w:t xml:space="preserve">ADDITIONAL </w:t>
      </w:r>
      <w:r w:rsidR="00852193" w:rsidRPr="00852193">
        <w:rPr>
          <w:rFonts w:asciiTheme="minorHAnsi" w:hAnsiTheme="minorHAnsi" w:cstheme="minorHAnsi"/>
          <w:b/>
          <w:bCs/>
          <w:sz w:val="28"/>
          <w:szCs w:val="28"/>
        </w:rPr>
        <w:t>ORGANIZATIONS AND WEBSITES SUPPORTING K-12 PERSONAL FINANCIAL LITERACY</w:t>
      </w:r>
    </w:p>
    <w:p w14:paraId="3FD9DEE2" w14:textId="3F9CD250" w:rsidR="0067254D" w:rsidRPr="0067254D" w:rsidRDefault="0067254D" w:rsidP="0067254D">
      <w:pPr>
        <w:widowControl/>
        <w:autoSpaceDE/>
        <w:autoSpaceDN/>
        <w:spacing w:after="160" w:line="259" w:lineRule="auto"/>
        <w:rPr>
          <w:rFonts w:asciiTheme="minorHAnsi" w:hAnsiTheme="minorHAnsi" w:cstheme="minorHAnsi"/>
          <w:i/>
        </w:rPr>
      </w:pPr>
      <w:hyperlink r:id="rId29">
        <w:r w:rsidRPr="7313B441">
          <w:rPr>
            <w:rStyle w:val="Hyperlink"/>
            <w:rFonts w:asciiTheme="minorHAnsi" w:hAnsiTheme="minorHAnsi" w:cstheme="minorBidi"/>
            <w:b/>
            <w:bCs/>
          </w:rPr>
          <w:t>Council for Economic Education</w:t>
        </w:r>
        <w:r>
          <w:br/>
        </w:r>
      </w:hyperlink>
      <w:r w:rsidRPr="7313B441">
        <w:rPr>
          <w:rFonts w:asciiTheme="minorHAnsi" w:hAnsiTheme="minorHAnsi" w:cstheme="minorBidi"/>
        </w:rPr>
        <w:t>Economics and personal finance curriculum resources, including Voluntary National Standards on Economics and National Standards for Financial Literacy</w:t>
      </w:r>
    </w:p>
    <w:p w14:paraId="24485E3E" w14:textId="6EF27EE6" w:rsidR="0067254D" w:rsidRPr="0067254D" w:rsidRDefault="6DDCACAC" w:rsidP="7313B441">
      <w:pPr>
        <w:widowControl/>
        <w:spacing w:after="160" w:line="259" w:lineRule="auto"/>
        <w:rPr>
          <w:rFonts w:asciiTheme="minorHAnsi" w:hAnsiTheme="minorHAnsi" w:cstheme="minorBidi"/>
        </w:rPr>
      </w:pPr>
      <w:hyperlink r:id="rId30">
        <w:r w:rsidRPr="7313B441">
          <w:rPr>
            <w:rStyle w:val="Hyperlink"/>
            <w:rFonts w:asciiTheme="minorHAnsi" w:hAnsiTheme="minorHAnsi" w:cstheme="minorBidi"/>
            <w:b/>
            <w:bCs/>
          </w:rPr>
          <w:t>Financial Empowerment Network</w:t>
        </w:r>
        <w:r w:rsidR="0067254D">
          <w:br/>
        </w:r>
      </w:hyperlink>
      <w:r w:rsidR="0067254D" w:rsidRPr="7313B441">
        <w:rPr>
          <w:rFonts w:asciiTheme="minorHAnsi" w:hAnsiTheme="minorHAnsi" w:cstheme="minorBidi"/>
        </w:rPr>
        <w:t>Network of public and private stakeholders including financial educators, providers, community organizations, and advocates</w:t>
      </w:r>
      <w:r w:rsidR="0067254D">
        <w:tab/>
      </w:r>
    </w:p>
    <w:p w14:paraId="075437B6" w14:textId="77777777" w:rsidR="0067254D" w:rsidRPr="0067254D" w:rsidRDefault="0067254D" w:rsidP="0067254D">
      <w:pPr>
        <w:widowControl/>
        <w:autoSpaceDE/>
        <w:autoSpaceDN/>
        <w:spacing w:after="160" w:line="259" w:lineRule="auto"/>
        <w:rPr>
          <w:rFonts w:asciiTheme="minorHAnsi" w:hAnsiTheme="minorHAnsi" w:cstheme="minorHAnsi"/>
        </w:rPr>
      </w:pPr>
      <w:hyperlink r:id="rId31" w:history="1">
        <w:r w:rsidRPr="0067254D">
          <w:rPr>
            <w:rStyle w:val="Hyperlink"/>
            <w:rFonts w:asciiTheme="minorHAnsi" w:hAnsiTheme="minorHAnsi" w:cstheme="minorHAnsi"/>
            <w:b/>
            <w:bCs/>
          </w:rPr>
          <w:t>My Financial Life MA: Resources for Educators</w:t>
        </w:r>
        <w:r w:rsidRPr="0067254D">
          <w:rPr>
            <w:rStyle w:val="Hyperlink"/>
            <w:rFonts w:asciiTheme="minorHAnsi" w:hAnsiTheme="minorHAnsi" w:cstheme="minorHAnsi"/>
          </w:rPr>
          <w:br/>
        </w:r>
      </w:hyperlink>
      <w:r w:rsidRPr="0067254D">
        <w:rPr>
          <w:rFonts w:asciiTheme="minorHAnsi" w:hAnsiTheme="minorHAnsi" w:cstheme="minorHAnsi"/>
        </w:rPr>
        <w:t>Video playlists and individual learning modules to build educators’ knowledge of financial literacy topics</w:t>
      </w:r>
    </w:p>
    <w:p w14:paraId="44E9E3A9" w14:textId="3D374B4D" w:rsidR="005B0562" w:rsidRDefault="0067254D" w:rsidP="005B0562">
      <w:pPr>
        <w:widowControl/>
        <w:autoSpaceDE/>
        <w:autoSpaceDN/>
        <w:spacing w:after="160" w:line="259" w:lineRule="auto"/>
        <w:rPr>
          <w:rFonts w:asciiTheme="minorHAnsi" w:hAnsiTheme="minorHAnsi" w:cstheme="minorHAnsi"/>
          <w:i/>
          <w:iCs/>
        </w:rPr>
      </w:pPr>
      <w:r w:rsidRPr="0067254D">
        <w:rPr>
          <w:rFonts w:asciiTheme="minorHAnsi" w:hAnsiTheme="minorHAnsi" w:cstheme="minorHAnsi"/>
          <w:i/>
          <w:iCs/>
        </w:rPr>
        <w:t xml:space="preserve">Please also see the </w:t>
      </w:r>
      <w:hyperlink r:id="rId32" w:history="1">
        <w:r w:rsidRPr="0067254D">
          <w:rPr>
            <w:rStyle w:val="Hyperlink"/>
            <w:rFonts w:asciiTheme="minorHAnsi" w:hAnsiTheme="minorHAnsi" w:cstheme="minorHAnsi"/>
          </w:rPr>
          <w:t>Supplement to the 2018 Massachusetts Curriculum Framework</w:t>
        </w:r>
      </w:hyperlink>
      <w:r w:rsidRPr="0067254D">
        <w:rPr>
          <w:rFonts w:asciiTheme="minorHAnsi" w:hAnsiTheme="minorHAnsi" w:cstheme="minorHAnsi"/>
          <w:i/>
          <w:iCs/>
        </w:rPr>
        <w:t>, which includes additional resources to support the teaching of Economics and Personal Financial Literacy.</w:t>
      </w:r>
    </w:p>
    <w:p w14:paraId="70397B74" w14:textId="6DC61DEE" w:rsidR="009625F7" w:rsidRDefault="005B0562">
      <w:pPr>
        <w:widowControl/>
        <w:autoSpaceDE/>
        <w:autoSpaceDN/>
        <w:spacing w:after="160" w:line="259" w:lineRule="auto"/>
        <w:rPr>
          <w:rFonts w:asciiTheme="minorHAnsi" w:hAnsiTheme="minorHAnsi" w:cstheme="minorHAnsi"/>
          <w:b/>
          <w:bCs/>
          <w:sz w:val="28"/>
          <w:szCs w:val="28"/>
        </w:rPr>
      </w:pPr>
      <w:r>
        <w:rPr>
          <w:rFonts w:asciiTheme="minorHAnsi" w:hAnsiTheme="minorHAnsi" w:cstheme="minorHAnsi"/>
          <w:i/>
          <w:iCs/>
        </w:rPr>
        <w:br w:type="column"/>
      </w:r>
      <w:bookmarkStart w:id="1" w:name="DetailedInfo"/>
      <w:bookmarkEnd w:id="1"/>
      <w:r>
        <w:rPr>
          <w:rFonts w:asciiTheme="minorHAnsi" w:hAnsiTheme="minorHAnsi" w:cstheme="minorHAnsi"/>
          <w:b/>
          <w:bCs/>
          <w:sz w:val="28"/>
          <w:szCs w:val="28"/>
        </w:rPr>
        <w:lastRenderedPageBreak/>
        <w:t xml:space="preserve">DETAILED INFORMATION ON </w:t>
      </w:r>
      <w:r w:rsidR="00AA6045">
        <w:rPr>
          <w:rFonts w:asciiTheme="minorHAnsi" w:hAnsiTheme="minorHAnsi" w:cstheme="minorHAnsi"/>
          <w:b/>
          <w:bCs/>
          <w:sz w:val="28"/>
          <w:szCs w:val="28"/>
        </w:rPr>
        <w:t>FINANCIAL LITERACY RESOURCES</w:t>
      </w:r>
      <w:r>
        <w:rPr>
          <w:rStyle w:val="FootnoteReference"/>
          <w:rFonts w:asciiTheme="minorHAnsi" w:hAnsiTheme="minorHAnsi" w:cstheme="minorHAnsi"/>
          <w:b/>
          <w:bCs/>
          <w:sz w:val="28"/>
          <w:szCs w:val="28"/>
        </w:rPr>
        <w:footnoteReference w:id="1"/>
      </w:r>
    </w:p>
    <w:p w14:paraId="18817397" w14:textId="2F70499E" w:rsidR="009F0DD9" w:rsidRPr="009F0DD9" w:rsidRDefault="009F0DD9" w:rsidP="009F0DD9">
      <w:pPr>
        <w:pStyle w:val="Heading2"/>
        <w:jc w:val="left"/>
        <w:rPr>
          <w:i/>
          <w:iCs/>
          <w:sz w:val="24"/>
          <w:szCs w:val="24"/>
        </w:rPr>
      </w:pPr>
      <w:hyperlink r:id="rId33" w:history="1">
        <w:r w:rsidRPr="009F0DD9">
          <w:rPr>
            <w:rStyle w:val="Hyperlink"/>
            <w:sz w:val="24"/>
            <w:szCs w:val="24"/>
          </w:rPr>
          <w:t>Banzai</w:t>
        </w:r>
      </w:hyperlink>
    </w:p>
    <w:p w14:paraId="6FA79A58" w14:textId="76B72B80" w:rsidR="009F0DD9" w:rsidRPr="009F0DD9" w:rsidRDefault="009F0DD9" w:rsidP="009E0EF0">
      <w:pPr>
        <w:widowControl/>
        <w:autoSpaceDE/>
        <w:autoSpaceDN/>
        <w:spacing w:after="120" w:line="259" w:lineRule="auto"/>
        <w:rPr>
          <w:b/>
          <w:bCs/>
          <w:i/>
          <w:iCs/>
          <w:sz w:val="20"/>
          <w:szCs w:val="20"/>
        </w:rPr>
      </w:pPr>
      <w:r w:rsidRPr="009F0DD9">
        <w:rPr>
          <w:i/>
          <w:iCs/>
          <w:sz w:val="20"/>
          <w:szCs w:val="20"/>
        </w:rPr>
        <w:t>Banzai is an award-winning, interactive content platform that teaches real-world finance through interactive courses, printed workbooks, and a digital library with extra financial literacy resources</w:t>
      </w:r>
      <w:r>
        <w:rPr>
          <w:i/>
          <w:iCs/>
          <w:sz w:val="20"/>
          <w:szCs w:val="20"/>
        </w:rPr>
        <w:t xml:space="preserve"> as well as a coaching center focused on common questions.</w:t>
      </w:r>
    </w:p>
    <w:p w14:paraId="360C3288" w14:textId="77777777" w:rsidR="00032932" w:rsidRDefault="00AA6045" w:rsidP="009E0EF0">
      <w:pPr>
        <w:pStyle w:val="ListParagraph"/>
        <w:widowControl/>
        <w:numPr>
          <w:ilvl w:val="0"/>
          <w:numId w:val="5"/>
        </w:numPr>
        <w:autoSpaceDE/>
        <w:autoSpaceDN/>
        <w:spacing w:after="160" w:line="259" w:lineRule="auto"/>
        <w:rPr>
          <w:sz w:val="20"/>
          <w:szCs w:val="20"/>
        </w:rPr>
      </w:pPr>
      <w:r>
        <w:rPr>
          <w:sz w:val="20"/>
          <w:szCs w:val="20"/>
          <w:u w:val="single"/>
        </w:rPr>
        <w:t>Curricular Materials</w:t>
      </w:r>
      <w:r w:rsidR="009F0DD9" w:rsidRPr="009F0DD9">
        <w:rPr>
          <w:sz w:val="20"/>
          <w:szCs w:val="20"/>
          <w:u w:val="single"/>
        </w:rPr>
        <w:t>:</w:t>
      </w:r>
      <w:r w:rsidR="009F0DD9" w:rsidRPr="009F0DD9">
        <w:rPr>
          <w:sz w:val="20"/>
          <w:szCs w:val="20"/>
        </w:rPr>
        <w:t xml:space="preserve"> </w:t>
      </w:r>
    </w:p>
    <w:p w14:paraId="48E3542C" w14:textId="54B911A9" w:rsidR="009F0DD9" w:rsidRDefault="00032932" w:rsidP="00032932">
      <w:pPr>
        <w:pStyle w:val="ListParagraph"/>
        <w:widowControl/>
        <w:numPr>
          <w:ilvl w:val="1"/>
          <w:numId w:val="5"/>
        </w:numPr>
        <w:autoSpaceDE/>
        <w:autoSpaceDN/>
        <w:spacing w:after="160" w:line="259" w:lineRule="auto"/>
        <w:rPr>
          <w:sz w:val="20"/>
          <w:szCs w:val="20"/>
        </w:rPr>
      </w:pPr>
      <w:r>
        <w:rPr>
          <w:sz w:val="20"/>
          <w:szCs w:val="20"/>
          <w:u w:val="single"/>
        </w:rPr>
        <w:t>Online Courses:</w:t>
      </w:r>
      <w:r>
        <w:rPr>
          <w:sz w:val="20"/>
          <w:szCs w:val="20"/>
        </w:rPr>
        <w:t xml:space="preserve"> Banzai’s courses are</w:t>
      </w:r>
      <w:r w:rsidR="009F0DD9" w:rsidRPr="009F0DD9">
        <w:rPr>
          <w:sz w:val="20"/>
          <w:szCs w:val="20"/>
        </w:rPr>
        <w:t xml:space="preserve"> split among three age groups: 8-12, 13-18, and 16+. The online interactive games cover basic personal finance topics</w:t>
      </w:r>
      <w:r>
        <w:rPr>
          <w:sz w:val="20"/>
          <w:szCs w:val="20"/>
        </w:rPr>
        <w:t xml:space="preserve"> </w:t>
      </w:r>
      <w:r w:rsidR="009F0DD9" w:rsidRPr="009F0DD9">
        <w:rPr>
          <w:sz w:val="20"/>
          <w:szCs w:val="20"/>
        </w:rPr>
        <w:t>including borrowing, budgeting, spending, and setting goals. </w:t>
      </w:r>
    </w:p>
    <w:p w14:paraId="5999DDB6" w14:textId="77777777" w:rsidR="009F0DD9" w:rsidRDefault="009F0DD9" w:rsidP="00AA6045">
      <w:pPr>
        <w:pStyle w:val="ListParagraph"/>
        <w:widowControl/>
        <w:numPr>
          <w:ilvl w:val="1"/>
          <w:numId w:val="5"/>
        </w:numPr>
        <w:autoSpaceDE/>
        <w:autoSpaceDN/>
        <w:spacing w:after="160" w:line="259" w:lineRule="auto"/>
        <w:rPr>
          <w:sz w:val="20"/>
          <w:szCs w:val="20"/>
        </w:rPr>
      </w:pPr>
      <w:r w:rsidRPr="009F0DD9">
        <w:rPr>
          <w:sz w:val="20"/>
          <w:szCs w:val="20"/>
          <w:u w:val="single"/>
        </w:rPr>
        <w:t>Printed Workbooks</w:t>
      </w:r>
      <w:r w:rsidRPr="009F0DD9">
        <w:rPr>
          <w:sz w:val="20"/>
          <w:szCs w:val="20"/>
        </w:rPr>
        <w:t>: Banzai offers printed workbooks that complement each financial literacy course and challenge students to use critical thinking, math, and vocabulary to work through real-life scenarios.</w:t>
      </w:r>
    </w:p>
    <w:p w14:paraId="182A1B59" w14:textId="3BA91A75" w:rsidR="009F0DD9" w:rsidRDefault="009F0DD9" w:rsidP="00AA6045">
      <w:pPr>
        <w:pStyle w:val="ListParagraph"/>
        <w:widowControl/>
        <w:numPr>
          <w:ilvl w:val="1"/>
          <w:numId w:val="5"/>
        </w:numPr>
        <w:autoSpaceDE/>
        <w:autoSpaceDN/>
        <w:spacing w:after="160" w:line="259" w:lineRule="auto"/>
        <w:rPr>
          <w:sz w:val="20"/>
          <w:szCs w:val="20"/>
        </w:rPr>
      </w:pPr>
      <w:r w:rsidRPr="009F0DD9">
        <w:rPr>
          <w:sz w:val="20"/>
          <w:szCs w:val="20"/>
          <w:u w:val="single"/>
        </w:rPr>
        <w:t>Digital Library:</w:t>
      </w:r>
      <w:r w:rsidRPr="009F0DD9">
        <w:rPr>
          <w:sz w:val="20"/>
          <w:szCs w:val="20"/>
        </w:rPr>
        <w:t xml:space="preserve"> </w:t>
      </w:r>
      <w:r w:rsidR="002B1818">
        <w:rPr>
          <w:sz w:val="20"/>
          <w:szCs w:val="20"/>
        </w:rPr>
        <w:t>In partnership</w:t>
      </w:r>
      <w:r w:rsidRPr="009F0DD9">
        <w:rPr>
          <w:sz w:val="20"/>
          <w:szCs w:val="20"/>
        </w:rPr>
        <w:t xml:space="preserve"> with </w:t>
      </w:r>
      <w:r>
        <w:rPr>
          <w:sz w:val="20"/>
          <w:szCs w:val="20"/>
        </w:rPr>
        <w:t>local savings institutions</w:t>
      </w:r>
      <w:r w:rsidRPr="009F0DD9">
        <w:rPr>
          <w:sz w:val="20"/>
          <w:szCs w:val="20"/>
        </w:rPr>
        <w:t>, Banzai offers extra online resources in its digital library. The collection delves deeper into specific components of personal finance topics.</w:t>
      </w:r>
    </w:p>
    <w:p w14:paraId="7BA576B1" w14:textId="4A03EF05" w:rsidR="009F0DD9" w:rsidRPr="009F0DD9" w:rsidRDefault="009F0DD9" w:rsidP="00AA6045">
      <w:pPr>
        <w:pStyle w:val="ListParagraph"/>
        <w:widowControl/>
        <w:numPr>
          <w:ilvl w:val="1"/>
          <w:numId w:val="5"/>
        </w:numPr>
        <w:autoSpaceDE/>
        <w:autoSpaceDN/>
        <w:spacing w:after="240" w:line="259" w:lineRule="auto"/>
        <w:rPr>
          <w:sz w:val="20"/>
          <w:szCs w:val="20"/>
        </w:rPr>
      </w:pPr>
      <w:r w:rsidRPr="009F0DD9">
        <w:rPr>
          <w:sz w:val="20"/>
          <w:szCs w:val="20"/>
          <w:u w:val="single"/>
        </w:rPr>
        <w:t>Coaching Center:</w:t>
      </w:r>
      <w:r w:rsidRPr="009F0DD9">
        <w:rPr>
          <w:sz w:val="20"/>
          <w:szCs w:val="20"/>
        </w:rPr>
        <w:t xml:space="preserve"> </w:t>
      </w:r>
      <w:r w:rsidR="002B1818">
        <w:rPr>
          <w:sz w:val="20"/>
          <w:szCs w:val="20"/>
        </w:rPr>
        <w:t>The Banzai Coaching Center provides</w:t>
      </w:r>
      <w:r w:rsidRPr="009F0DD9">
        <w:rPr>
          <w:sz w:val="20"/>
          <w:szCs w:val="20"/>
        </w:rPr>
        <w:t xml:space="preserve"> guidance to students and adults on how to budget, plan for retirement, and save. </w:t>
      </w:r>
      <w:r w:rsidR="002B1818">
        <w:rPr>
          <w:sz w:val="20"/>
          <w:szCs w:val="20"/>
        </w:rPr>
        <w:t>It t</w:t>
      </w:r>
      <w:r w:rsidRPr="009F0DD9">
        <w:rPr>
          <w:sz w:val="20"/>
          <w:szCs w:val="20"/>
        </w:rPr>
        <w:t xml:space="preserve">ackles common questions including ‘how to get out of debt’ and ‘the right time to retire’ in 3-7 minute </w:t>
      </w:r>
      <w:r w:rsidR="002B1818">
        <w:rPr>
          <w:sz w:val="20"/>
          <w:szCs w:val="20"/>
        </w:rPr>
        <w:t>clips</w:t>
      </w:r>
      <w:r w:rsidRPr="009F0DD9">
        <w:rPr>
          <w:sz w:val="20"/>
          <w:szCs w:val="20"/>
        </w:rPr>
        <w:t>.</w:t>
      </w:r>
    </w:p>
    <w:p w14:paraId="128CC7FA" w14:textId="7513BA24" w:rsidR="009F0DD9" w:rsidRPr="009F0DD9" w:rsidRDefault="009F0DD9" w:rsidP="009E0EF0">
      <w:pPr>
        <w:pStyle w:val="Heading2"/>
        <w:spacing w:line="259" w:lineRule="auto"/>
        <w:jc w:val="left"/>
        <w:rPr>
          <w:sz w:val="24"/>
          <w:szCs w:val="24"/>
        </w:rPr>
      </w:pPr>
      <w:hyperlink r:id="rId34" w:history="1">
        <w:r w:rsidRPr="001961A8">
          <w:rPr>
            <w:rStyle w:val="Hyperlink"/>
            <w:rFonts w:cstheme="minorHAnsi"/>
            <w:bCs/>
            <w:sz w:val="24"/>
            <w:szCs w:val="24"/>
          </w:rPr>
          <w:t>Council for Economic Education</w:t>
        </w:r>
      </w:hyperlink>
    </w:p>
    <w:p w14:paraId="65F21141" w14:textId="5814E74D" w:rsidR="009F0DD9" w:rsidRDefault="001961A8" w:rsidP="009E0EF0">
      <w:pPr>
        <w:widowControl/>
        <w:autoSpaceDE/>
        <w:autoSpaceDN/>
        <w:spacing w:after="160" w:line="259" w:lineRule="auto"/>
        <w:rPr>
          <w:rFonts w:asciiTheme="minorHAnsi" w:hAnsiTheme="minorHAnsi" w:cstheme="minorHAnsi"/>
          <w:i/>
          <w:iCs/>
          <w:sz w:val="20"/>
          <w:szCs w:val="20"/>
        </w:rPr>
      </w:pPr>
      <w:r>
        <w:rPr>
          <w:rFonts w:asciiTheme="minorHAnsi" w:hAnsiTheme="minorHAnsi" w:cstheme="minorHAnsi"/>
          <w:i/>
          <w:iCs/>
          <w:sz w:val="20"/>
          <w:szCs w:val="20"/>
        </w:rPr>
        <w:t>The Council for Economic Education has lesson materials, assessment tools, and professional development intended to equip K-12 students with tools and knowledge of personal finance.</w:t>
      </w:r>
    </w:p>
    <w:p w14:paraId="5BAD6EFF" w14:textId="77777777" w:rsidR="00AA6045" w:rsidRDefault="00AA6045" w:rsidP="001961A8">
      <w:pPr>
        <w:pStyle w:val="ListParagraph"/>
        <w:numPr>
          <w:ilvl w:val="0"/>
          <w:numId w:val="5"/>
        </w:numPr>
        <w:spacing w:after="160" w:line="259" w:lineRule="auto"/>
        <w:rPr>
          <w:rFonts w:asciiTheme="minorHAnsi" w:hAnsiTheme="minorHAnsi" w:cstheme="minorHAnsi"/>
          <w:sz w:val="20"/>
          <w:szCs w:val="20"/>
        </w:rPr>
      </w:pPr>
      <w:r>
        <w:rPr>
          <w:rFonts w:asciiTheme="minorHAnsi" w:hAnsiTheme="minorHAnsi" w:cstheme="minorHAnsi"/>
          <w:sz w:val="20"/>
          <w:szCs w:val="20"/>
          <w:u w:val="single"/>
        </w:rPr>
        <w:t>Curricular</w:t>
      </w:r>
      <w:r w:rsidR="001961A8">
        <w:rPr>
          <w:rFonts w:asciiTheme="minorHAnsi" w:hAnsiTheme="minorHAnsi" w:cstheme="minorHAnsi"/>
          <w:sz w:val="20"/>
          <w:szCs w:val="20"/>
          <w:u w:val="single"/>
        </w:rPr>
        <w:t xml:space="preserve"> Materials</w:t>
      </w:r>
      <w:r w:rsidR="001961A8" w:rsidRPr="001961A8">
        <w:rPr>
          <w:rFonts w:asciiTheme="minorHAnsi" w:hAnsiTheme="minorHAnsi" w:cstheme="minorHAnsi"/>
          <w:sz w:val="20"/>
          <w:szCs w:val="20"/>
        </w:rPr>
        <w:t xml:space="preserve">: </w:t>
      </w:r>
    </w:p>
    <w:p w14:paraId="6F6ABEAD" w14:textId="588724E5" w:rsidR="001961A8" w:rsidRPr="001961A8" w:rsidRDefault="00032932" w:rsidP="00AA6045">
      <w:pPr>
        <w:pStyle w:val="ListParagraph"/>
        <w:numPr>
          <w:ilvl w:val="1"/>
          <w:numId w:val="5"/>
        </w:numPr>
        <w:spacing w:after="160" w:line="259" w:lineRule="auto"/>
        <w:rPr>
          <w:rFonts w:asciiTheme="minorHAnsi" w:hAnsiTheme="minorHAnsi" w:cstheme="minorHAnsi"/>
          <w:sz w:val="20"/>
          <w:szCs w:val="20"/>
        </w:rPr>
      </w:pPr>
      <w:r w:rsidRPr="00032932">
        <w:rPr>
          <w:rFonts w:asciiTheme="minorHAnsi" w:hAnsiTheme="minorHAnsi" w:cstheme="minorHAnsi"/>
          <w:sz w:val="20"/>
          <w:szCs w:val="20"/>
          <w:u w:val="single"/>
        </w:rPr>
        <w:t>Instructional Resources</w:t>
      </w:r>
      <w:r>
        <w:rPr>
          <w:rFonts w:asciiTheme="minorHAnsi" w:hAnsiTheme="minorHAnsi" w:cstheme="minorHAnsi"/>
          <w:sz w:val="20"/>
          <w:szCs w:val="20"/>
        </w:rPr>
        <w:t>:</w:t>
      </w:r>
      <w:r w:rsidRPr="001961A8">
        <w:rPr>
          <w:rFonts w:asciiTheme="minorHAnsi" w:hAnsiTheme="minorHAnsi" w:cstheme="minorHAnsi"/>
          <w:sz w:val="20"/>
          <w:szCs w:val="20"/>
        </w:rPr>
        <w:t xml:space="preserve"> </w:t>
      </w:r>
      <w:hyperlink r:id="rId35" w:history="1">
        <w:r w:rsidR="001961A8" w:rsidRPr="001961A8">
          <w:rPr>
            <w:rStyle w:val="Hyperlink"/>
            <w:rFonts w:asciiTheme="minorHAnsi" w:hAnsiTheme="minorHAnsi" w:cstheme="minorHAnsi"/>
            <w:sz w:val="20"/>
            <w:szCs w:val="20"/>
          </w:rPr>
          <w:t>EconEdLink</w:t>
        </w:r>
      </w:hyperlink>
      <w:r w:rsidR="001961A8">
        <w:rPr>
          <w:rFonts w:asciiTheme="minorHAnsi" w:hAnsiTheme="minorHAnsi" w:cstheme="minorHAnsi"/>
          <w:sz w:val="20"/>
          <w:szCs w:val="20"/>
        </w:rPr>
        <w:t xml:space="preserve"> </w:t>
      </w:r>
      <w:r w:rsidR="001961A8" w:rsidRPr="001961A8">
        <w:rPr>
          <w:rFonts w:asciiTheme="minorHAnsi" w:hAnsiTheme="minorHAnsi" w:cstheme="minorHAnsi"/>
          <w:sz w:val="20"/>
          <w:szCs w:val="20"/>
        </w:rPr>
        <w:t xml:space="preserve">provides </w:t>
      </w:r>
      <w:r w:rsidR="001961A8">
        <w:rPr>
          <w:rFonts w:asciiTheme="minorHAnsi" w:hAnsiTheme="minorHAnsi" w:cstheme="minorHAnsi"/>
          <w:sz w:val="20"/>
          <w:szCs w:val="20"/>
        </w:rPr>
        <w:t xml:space="preserve">an easily searchable database of </w:t>
      </w:r>
      <w:r w:rsidR="001961A8" w:rsidRPr="001961A8">
        <w:rPr>
          <w:rFonts w:asciiTheme="minorHAnsi" w:hAnsiTheme="minorHAnsi" w:cstheme="minorHAnsi"/>
          <w:sz w:val="20"/>
          <w:szCs w:val="20"/>
        </w:rPr>
        <w:t xml:space="preserve">hundreds of online lessons and classroom interactives for K-12 teachers and their students. </w:t>
      </w:r>
    </w:p>
    <w:p w14:paraId="34FA6BF6" w14:textId="237A3AEA" w:rsidR="001961A8" w:rsidRPr="001961A8" w:rsidRDefault="001961A8" w:rsidP="00AA6045">
      <w:pPr>
        <w:pStyle w:val="ListParagraph"/>
        <w:widowControl/>
        <w:numPr>
          <w:ilvl w:val="1"/>
          <w:numId w:val="5"/>
        </w:numPr>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u w:val="single"/>
        </w:rPr>
        <w:t>Assessments:</w:t>
      </w:r>
      <w:r w:rsidRPr="001961A8">
        <w:rPr>
          <w:rFonts w:asciiTheme="minorHAnsi" w:hAnsiTheme="minorHAnsi" w:cstheme="minorHAnsi"/>
          <w:sz w:val="20"/>
          <w:szCs w:val="20"/>
        </w:rPr>
        <w:t xml:space="preserve"> </w:t>
      </w:r>
      <w:hyperlink r:id="rId36" w:history="1">
        <w:r w:rsidRPr="00AA6045">
          <w:rPr>
            <w:rStyle w:val="Hyperlink"/>
            <w:rFonts w:asciiTheme="minorHAnsi" w:hAnsiTheme="minorHAnsi" w:cstheme="minorHAnsi"/>
            <w:sz w:val="20"/>
            <w:szCs w:val="20"/>
          </w:rPr>
          <w:t>Ready Assessments</w:t>
        </w:r>
      </w:hyperlink>
      <w:r>
        <w:rPr>
          <w:rFonts w:asciiTheme="minorHAnsi" w:hAnsiTheme="minorHAnsi" w:cstheme="minorHAnsi"/>
          <w:sz w:val="20"/>
          <w:szCs w:val="20"/>
        </w:rPr>
        <w:t xml:space="preserve"> is an</w:t>
      </w:r>
      <w:r w:rsidRPr="001961A8">
        <w:rPr>
          <w:rFonts w:asciiTheme="minorHAnsi" w:hAnsiTheme="minorHAnsi" w:cstheme="minorHAnsi"/>
          <w:sz w:val="20"/>
          <w:szCs w:val="20"/>
        </w:rPr>
        <w:t xml:space="preserve"> online tool to measure students' financial literacy knowledge. Teachers can administer </w:t>
      </w:r>
      <w:r>
        <w:rPr>
          <w:rFonts w:asciiTheme="minorHAnsi" w:hAnsiTheme="minorHAnsi" w:cstheme="minorHAnsi"/>
          <w:sz w:val="20"/>
          <w:szCs w:val="20"/>
        </w:rPr>
        <w:t>ready-made tests and quizzes</w:t>
      </w:r>
      <w:r w:rsidRPr="001961A8">
        <w:rPr>
          <w:rFonts w:asciiTheme="minorHAnsi" w:hAnsiTheme="minorHAnsi" w:cstheme="minorHAnsi"/>
          <w:sz w:val="20"/>
          <w:szCs w:val="20"/>
        </w:rPr>
        <w:t xml:space="preserve"> </w:t>
      </w:r>
      <w:r w:rsidR="00AA6045">
        <w:rPr>
          <w:rFonts w:asciiTheme="minorHAnsi" w:hAnsiTheme="minorHAnsi" w:cstheme="minorHAnsi"/>
          <w:sz w:val="20"/>
          <w:szCs w:val="20"/>
        </w:rPr>
        <w:t>or draw on a library of 1,200+ standards-aligned questions.</w:t>
      </w:r>
    </w:p>
    <w:p w14:paraId="336FB7F7" w14:textId="6BD84378" w:rsidR="001961A8" w:rsidRPr="001961A8" w:rsidRDefault="001961A8" w:rsidP="00AA6045">
      <w:pPr>
        <w:pStyle w:val="ListParagraph"/>
        <w:widowControl/>
        <w:numPr>
          <w:ilvl w:val="0"/>
          <w:numId w:val="5"/>
        </w:numPr>
        <w:autoSpaceDE/>
        <w:autoSpaceDN/>
        <w:spacing w:after="240" w:line="259" w:lineRule="auto"/>
        <w:rPr>
          <w:rFonts w:asciiTheme="minorHAnsi" w:hAnsiTheme="minorHAnsi" w:cstheme="minorHAnsi"/>
          <w:sz w:val="20"/>
          <w:szCs w:val="20"/>
        </w:rPr>
      </w:pPr>
      <w:r>
        <w:rPr>
          <w:rFonts w:asciiTheme="minorHAnsi" w:hAnsiTheme="minorHAnsi" w:cstheme="minorHAnsi"/>
          <w:sz w:val="20"/>
          <w:szCs w:val="20"/>
          <w:u w:val="single"/>
        </w:rPr>
        <w:t>Professional Development:</w:t>
      </w:r>
      <w:r w:rsidR="00AA6045">
        <w:rPr>
          <w:rFonts w:asciiTheme="minorHAnsi" w:hAnsiTheme="minorHAnsi" w:cstheme="minorHAnsi"/>
          <w:sz w:val="20"/>
          <w:szCs w:val="20"/>
        </w:rPr>
        <w:t xml:space="preserve"> </w:t>
      </w:r>
      <w:r w:rsidR="00AA6045" w:rsidRPr="00AA6045">
        <w:rPr>
          <w:rFonts w:asciiTheme="minorHAnsi" w:hAnsiTheme="minorHAnsi" w:cstheme="minorHAnsi"/>
          <w:sz w:val="20"/>
          <w:szCs w:val="20"/>
        </w:rPr>
        <w:t xml:space="preserve">The CEE is an </w:t>
      </w:r>
      <w:hyperlink r:id="rId37" w:history="1">
        <w:r w:rsidR="00AA6045" w:rsidRPr="00AA6045">
          <w:rPr>
            <w:rStyle w:val="Hyperlink"/>
            <w:rFonts w:asciiTheme="minorHAnsi" w:hAnsiTheme="minorHAnsi" w:cstheme="minorHAnsi"/>
            <w:sz w:val="20"/>
            <w:szCs w:val="20"/>
          </w:rPr>
          <w:t>approved</w:t>
        </w:r>
      </w:hyperlink>
      <w:r w:rsidR="00032932">
        <w:rPr>
          <w:rFonts w:asciiTheme="minorHAnsi" w:hAnsiTheme="minorHAnsi" w:cstheme="minorHAnsi"/>
          <w:sz w:val="20"/>
          <w:szCs w:val="20"/>
        </w:rPr>
        <w:t xml:space="preserve"> p</w:t>
      </w:r>
      <w:r w:rsidR="00AA6045" w:rsidRPr="00AA6045">
        <w:rPr>
          <w:rFonts w:asciiTheme="minorHAnsi" w:hAnsiTheme="minorHAnsi" w:cstheme="minorHAnsi"/>
          <w:sz w:val="20"/>
          <w:szCs w:val="20"/>
        </w:rPr>
        <w:t xml:space="preserve">rofessional development provider for </w:t>
      </w:r>
      <w:r w:rsidR="00AA6045">
        <w:rPr>
          <w:rFonts w:asciiTheme="minorHAnsi" w:hAnsiTheme="minorHAnsi" w:cstheme="minorHAnsi"/>
          <w:sz w:val="20"/>
          <w:szCs w:val="20"/>
        </w:rPr>
        <w:t>Massachusetts educators</w:t>
      </w:r>
      <w:r w:rsidR="00AA6045" w:rsidRPr="00AA6045">
        <w:rPr>
          <w:rFonts w:asciiTheme="minorHAnsi" w:hAnsiTheme="minorHAnsi" w:cstheme="minorHAnsi"/>
          <w:sz w:val="20"/>
          <w:szCs w:val="20"/>
        </w:rPr>
        <w:t>. It offers both online and in-person professional development opportunities for educators throughout the country. The CEE also regularly offers professional development webinars for teachers</w:t>
      </w:r>
      <w:r w:rsidR="00AA6045">
        <w:rPr>
          <w:rFonts w:asciiTheme="minorHAnsi" w:hAnsiTheme="minorHAnsi" w:cstheme="minorHAnsi"/>
          <w:sz w:val="20"/>
          <w:szCs w:val="20"/>
        </w:rPr>
        <w:t>.</w:t>
      </w:r>
    </w:p>
    <w:p w14:paraId="1C0F7D8D" w14:textId="77777777" w:rsidR="0054089D" w:rsidRDefault="009F0DD9" w:rsidP="009E0EF0">
      <w:pPr>
        <w:spacing w:line="259" w:lineRule="auto"/>
        <w:rPr>
          <w:rFonts w:ascii="Georgia" w:hAnsi="Georgia" w:cstheme="minorHAnsi"/>
          <w:b/>
          <w:bCs/>
          <w:iCs/>
          <w:sz w:val="26"/>
          <w:szCs w:val="26"/>
        </w:rPr>
      </w:pPr>
      <w:hyperlink r:id="rId38" w:history="1">
        <w:r w:rsidRPr="009F0DD9">
          <w:rPr>
            <w:rStyle w:val="Hyperlink"/>
            <w:rFonts w:ascii="Georgia" w:hAnsi="Georgia" w:cstheme="minorHAnsi"/>
            <w:b/>
            <w:bCs/>
            <w:sz w:val="26"/>
            <w:szCs w:val="26"/>
          </w:rPr>
          <w:t>Crash Course</w:t>
        </w:r>
      </w:hyperlink>
    </w:p>
    <w:p w14:paraId="6D09AB10" w14:textId="77777777" w:rsidR="0054089D" w:rsidRDefault="0054089D" w:rsidP="009E0EF0">
      <w:pPr>
        <w:spacing w:after="120" w:line="259" w:lineRule="auto"/>
        <w:rPr>
          <w:rFonts w:ascii="Georgia" w:hAnsi="Georgia" w:cstheme="minorHAnsi"/>
          <w:b/>
          <w:bCs/>
          <w:i/>
          <w:iCs/>
          <w:sz w:val="26"/>
          <w:szCs w:val="26"/>
        </w:rPr>
      </w:pPr>
      <w:r>
        <w:rPr>
          <w:i/>
          <w:iCs/>
          <w:sz w:val="20"/>
          <w:szCs w:val="20"/>
        </w:rPr>
        <w:t>Crash Course s</w:t>
      </w:r>
      <w:r w:rsidRPr="005F116A">
        <w:rPr>
          <w:i/>
          <w:iCs/>
          <w:sz w:val="20"/>
          <w:szCs w:val="20"/>
        </w:rPr>
        <w:t>upplies educational videos on YouTube including concepts from economics, entrepreneurship, and business</w:t>
      </w:r>
      <w:r w:rsidRPr="0054089D">
        <w:rPr>
          <w:i/>
          <w:iCs/>
          <w:sz w:val="20"/>
          <w:szCs w:val="20"/>
        </w:rPr>
        <w:t xml:space="preserve"> through </w:t>
      </w:r>
      <w:r w:rsidRPr="005F116A">
        <w:rPr>
          <w:i/>
          <w:iCs/>
          <w:sz w:val="20"/>
          <w:szCs w:val="20"/>
        </w:rPr>
        <w:t>short</w:t>
      </w:r>
      <w:r w:rsidRPr="0054089D">
        <w:rPr>
          <w:i/>
          <w:iCs/>
          <w:sz w:val="20"/>
          <w:szCs w:val="20"/>
        </w:rPr>
        <w:t xml:space="preserve">, </w:t>
      </w:r>
      <w:r w:rsidRPr="005F116A">
        <w:rPr>
          <w:i/>
          <w:iCs/>
          <w:sz w:val="20"/>
          <w:szCs w:val="20"/>
        </w:rPr>
        <w:t>engaging videos. </w:t>
      </w:r>
    </w:p>
    <w:p w14:paraId="0A985B38" w14:textId="0B53FAEA" w:rsidR="0054089D" w:rsidRPr="0054089D" w:rsidRDefault="00AA6045" w:rsidP="009E0EF0">
      <w:pPr>
        <w:pStyle w:val="ListParagraph"/>
        <w:numPr>
          <w:ilvl w:val="0"/>
          <w:numId w:val="5"/>
        </w:numPr>
        <w:spacing w:after="240" w:line="259" w:lineRule="auto"/>
        <w:rPr>
          <w:rFonts w:ascii="Georgia" w:hAnsi="Georgia" w:cstheme="minorHAnsi"/>
          <w:b/>
          <w:bCs/>
          <w:iCs/>
          <w:sz w:val="26"/>
          <w:szCs w:val="26"/>
        </w:rPr>
      </w:pPr>
      <w:r>
        <w:rPr>
          <w:sz w:val="20"/>
          <w:szCs w:val="20"/>
          <w:u w:val="single"/>
        </w:rPr>
        <w:t>Curricular Materials</w:t>
      </w:r>
      <w:r w:rsidR="0054089D" w:rsidRPr="0054089D">
        <w:rPr>
          <w:sz w:val="20"/>
          <w:szCs w:val="20"/>
          <w:u w:val="single"/>
        </w:rPr>
        <w:t>:</w:t>
      </w:r>
      <w:r w:rsidR="0054089D" w:rsidRPr="0054089D">
        <w:rPr>
          <w:sz w:val="20"/>
          <w:szCs w:val="20"/>
        </w:rPr>
        <w:t xml:space="preserve"> Videos can act as supplements to traditional </w:t>
      </w:r>
      <w:r w:rsidR="003B20D6">
        <w:rPr>
          <w:sz w:val="20"/>
          <w:szCs w:val="20"/>
        </w:rPr>
        <w:t>textbook-</w:t>
      </w:r>
      <w:r w:rsidR="0054089D" w:rsidRPr="0054089D">
        <w:rPr>
          <w:sz w:val="20"/>
          <w:szCs w:val="20"/>
        </w:rPr>
        <w:t xml:space="preserve">style material or </w:t>
      </w:r>
      <w:r w:rsidR="003B20D6">
        <w:rPr>
          <w:sz w:val="20"/>
          <w:szCs w:val="20"/>
        </w:rPr>
        <w:t>curricular resources</w:t>
      </w:r>
      <w:r w:rsidR="0054089D" w:rsidRPr="0054089D">
        <w:rPr>
          <w:sz w:val="20"/>
          <w:szCs w:val="20"/>
        </w:rPr>
        <w:t>. The videos help summarize difficult topics using graphics and highlight the key takeaways. </w:t>
      </w:r>
    </w:p>
    <w:p w14:paraId="0F857B54" w14:textId="77777777" w:rsidR="009F0DD9" w:rsidRPr="009F0DD9" w:rsidRDefault="009F0DD9" w:rsidP="009E0EF0">
      <w:pPr>
        <w:spacing w:line="259" w:lineRule="auto"/>
        <w:rPr>
          <w:rFonts w:ascii="Georgia" w:hAnsi="Georgia" w:cstheme="minorHAnsi"/>
          <w:b/>
          <w:bCs/>
          <w:i/>
          <w:sz w:val="26"/>
          <w:szCs w:val="26"/>
        </w:rPr>
      </w:pPr>
      <w:hyperlink r:id="rId39" w:history="1">
        <w:r w:rsidRPr="009F0DD9">
          <w:rPr>
            <w:rStyle w:val="Hyperlink"/>
            <w:rFonts w:ascii="Georgia" w:hAnsi="Georgia" w:cstheme="minorHAnsi"/>
            <w:b/>
            <w:bCs/>
            <w:sz w:val="26"/>
            <w:szCs w:val="26"/>
          </w:rPr>
          <w:t>EVERFI: Financial Literacy</w:t>
        </w:r>
      </w:hyperlink>
    </w:p>
    <w:p w14:paraId="0E312C84" w14:textId="36EBE28F" w:rsidR="009F0DD9" w:rsidRDefault="009E0EF0" w:rsidP="009E0EF0">
      <w:pPr>
        <w:widowControl/>
        <w:autoSpaceDE/>
        <w:autoSpaceDN/>
        <w:spacing w:after="160" w:line="259" w:lineRule="auto"/>
        <w:rPr>
          <w:rFonts w:asciiTheme="minorHAnsi" w:hAnsiTheme="minorHAnsi" w:cstheme="minorHAnsi"/>
          <w:i/>
          <w:iCs/>
          <w:sz w:val="20"/>
          <w:szCs w:val="20"/>
        </w:rPr>
      </w:pPr>
      <w:r w:rsidRPr="009E0EF0">
        <w:rPr>
          <w:rFonts w:asciiTheme="minorHAnsi" w:hAnsiTheme="minorHAnsi" w:cstheme="minorHAnsi"/>
          <w:i/>
          <w:iCs/>
          <w:sz w:val="20"/>
          <w:szCs w:val="20"/>
        </w:rPr>
        <w:t xml:space="preserve">EVERFI </w:t>
      </w:r>
      <w:r w:rsidRPr="005F116A">
        <w:rPr>
          <w:rFonts w:asciiTheme="minorHAnsi" w:hAnsiTheme="minorHAnsi" w:cstheme="minorHAnsi"/>
          <w:i/>
          <w:iCs/>
          <w:sz w:val="20"/>
          <w:szCs w:val="20"/>
        </w:rPr>
        <w:t>guides teachers through financial education lessons plans for K-12 students using a combination of interactive games, simulations, data analyzation, and course outlines. It aims to bring real-world concepts to the classroom</w:t>
      </w:r>
      <w:r>
        <w:rPr>
          <w:rFonts w:asciiTheme="minorHAnsi" w:hAnsiTheme="minorHAnsi" w:cstheme="minorHAnsi"/>
          <w:i/>
          <w:iCs/>
          <w:sz w:val="20"/>
          <w:szCs w:val="20"/>
        </w:rPr>
        <w:t xml:space="preserve"> through immersive games.</w:t>
      </w:r>
    </w:p>
    <w:p w14:paraId="7A77F72E" w14:textId="734C7A44" w:rsidR="009E0EF0" w:rsidRPr="009E0EF0" w:rsidRDefault="00AA6045" w:rsidP="009E0EF0">
      <w:pPr>
        <w:pStyle w:val="ListParagraph"/>
        <w:numPr>
          <w:ilvl w:val="0"/>
          <w:numId w:val="5"/>
        </w:numPr>
        <w:spacing w:after="240" w:line="259" w:lineRule="auto"/>
        <w:rPr>
          <w:rFonts w:asciiTheme="minorHAnsi" w:hAnsiTheme="minorHAnsi" w:cstheme="minorHAnsi"/>
          <w:sz w:val="20"/>
          <w:szCs w:val="20"/>
        </w:rPr>
      </w:pPr>
      <w:r>
        <w:rPr>
          <w:rFonts w:asciiTheme="minorHAnsi" w:hAnsiTheme="minorHAnsi" w:cstheme="minorHAnsi"/>
          <w:sz w:val="20"/>
          <w:szCs w:val="20"/>
          <w:u w:val="single"/>
        </w:rPr>
        <w:lastRenderedPageBreak/>
        <w:t>Curricular Materials</w:t>
      </w:r>
      <w:r w:rsidR="009E0EF0" w:rsidRPr="009E0EF0">
        <w:rPr>
          <w:rFonts w:asciiTheme="minorHAnsi" w:hAnsiTheme="minorHAnsi" w:cstheme="minorHAnsi"/>
          <w:sz w:val="20"/>
          <w:szCs w:val="20"/>
          <w:u w:val="single"/>
        </w:rPr>
        <w:t>:</w:t>
      </w:r>
      <w:r w:rsidR="009E0EF0" w:rsidRPr="009E0EF0">
        <w:rPr>
          <w:rFonts w:asciiTheme="minorHAnsi" w:hAnsiTheme="minorHAnsi" w:cstheme="minorHAnsi"/>
          <w:sz w:val="20"/>
          <w:szCs w:val="20"/>
        </w:rPr>
        <w:t xml:space="preserve"> EVERFI provides a variety of </w:t>
      </w:r>
      <w:r>
        <w:rPr>
          <w:rFonts w:asciiTheme="minorHAnsi" w:hAnsiTheme="minorHAnsi" w:cstheme="minorHAnsi"/>
          <w:sz w:val="20"/>
          <w:szCs w:val="20"/>
        </w:rPr>
        <w:t>online courses</w:t>
      </w:r>
      <w:r w:rsidR="009E0EF0" w:rsidRPr="009E0EF0">
        <w:rPr>
          <w:rFonts w:asciiTheme="minorHAnsi" w:hAnsiTheme="minorHAnsi" w:cstheme="minorHAnsi"/>
          <w:sz w:val="20"/>
          <w:szCs w:val="20"/>
        </w:rPr>
        <w:t xml:space="preserve"> which include simulations and games that immerse students </w:t>
      </w:r>
      <w:r w:rsidR="00032932">
        <w:rPr>
          <w:rFonts w:asciiTheme="minorHAnsi" w:hAnsiTheme="minorHAnsi" w:cstheme="minorHAnsi"/>
          <w:sz w:val="20"/>
          <w:szCs w:val="20"/>
        </w:rPr>
        <w:t>in</w:t>
      </w:r>
      <w:r w:rsidR="009E0EF0" w:rsidRPr="009E0EF0">
        <w:rPr>
          <w:rFonts w:asciiTheme="minorHAnsi" w:hAnsiTheme="minorHAnsi" w:cstheme="minorHAnsi"/>
          <w:sz w:val="20"/>
          <w:szCs w:val="20"/>
        </w:rPr>
        <w:t xml:space="preserve"> real</w:t>
      </w:r>
      <w:r w:rsidR="009E0EF0">
        <w:rPr>
          <w:rFonts w:asciiTheme="minorHAnsi" w:hAnsiTheme="minorHAnsi" w:cstheme="minorHAnsi"/>
          <w:sz w:val="20"/>
          <w:szCs w:val="20"/>
        </w:rPr>
        <w:t>-</w:t>
      </w:r>
      <w:r w:rsidR="009E0EF0" w:rsidRPr="009E0EF0">
        <w:rPr>
          <w:rFonts w:asciiTheme="minorHAnsi" w:hAnsiTheme="minorHAnsi" w:cstheme="minorHAnsi"/>
          <w:sz w:val="20"/>
          <w:szCs w:val="20"/>
        </w:rPr>
        <w:t>world context while learning financial literacy topics. Its interactive courses provide a platform for students to see how their decisions impact the outcomes of the simulation. </w:t>
      </w:r>
    </w:p>
    <w:p w14:paraId="125F5820" w14:textId="1B8D0708" w:rsidR="009E0EF0" w:rsidRPr="009E0EF0" w:rsidRDefault="009E0EF0" w:rsidP="009E0EF0">
      <w:pPr>
        <w:pStyle w:val="ListParagraph"/>
        <w:numPr>
          <w:ilvl w:val="0"/>
          <w:numId w:val="5"/>
        </w:numPr>
        <w:spacing w:after="240" w:line="259" w:lineRule="auto"/>
        <w:rPr>
          <w:rFonts w:asciiTheme="minorHAnsi" w:hAnsiTheme="minorHAnsi" w:cstheme="minorHAnsi"/>
          <w:sz w:val="20"/>
          <w:szCs w:val="20"/>
        </w:rPr>
      </w:pPr>
      <w:r w:rsidRPr="009E0EF0">
        <w:rPr>
          <w:rFonts w:asciiTheme="minorHAnsi" w:hAnsiTheme="minorHAnsi" w:cstheme="minorHAnsi"/>
          <w:sz w:val="20"/>
          <w:szCs w:val="20"/>
          <w:u w:val="single"/>
        </w:rPr>
        <w:t>Professional Development:</w:t>
      </w:r>
      <w:r w:rsidRPr="009E0EF0">
        <w:rPr>
          <w:rFonts w:asciiTheme="minorHAnsi" w:hAnsiTheme="minorHAnsi" w:cstheme="minorHAnsi"/>
          <w:sz w:val="20"/>
          <w:szCs w:val="20"/>
        </w:rPr>
        <w:t xml:space="preserve"> Educators can take advantage of webinars and conferences </w:t>
      </w:r>
      <w:r>
        <w:rPr>
          <w:rFonts w:asciiTheme="minorHAnsi" w:hAnsiTheme="minorHAnsi" w:cstheme="minorHAnsi"/>
          <w:sz w:val="20"/>
          <w:szCs w:val="20"/>
        </w:rPr>
        <w:t>to</w:t>
      </w:r>
      <w:r w:rsidRPr="009E0EF0">
        <w:rPr>
          <w:rFonts w:asciiTheme="minorHAnsi" w:hAnsiTheme="minorHAnsi" w:cstheme="minorHAnsi"/>
          <w:sz w:val="20"/>
          <w:szCs w:val="20"/>
        </w:rPr>
        <w:t xml:space="preserve"> </w:t>
      </w:r>
      <w:r>
        <w:rPr>
          <w:rFonts w:asciiTheme="minorHAnsi" w:hAnsiTheme="minorHAnsi" w:cstheme="minorHAnsi"/>
          <w:sz w:val="20"/>
          <w:szCs w:val="20"/>
        </w:rPr>
        <w:t>continue their learning and enhance their capacity to teach particular topics</w:t>
      </w:r>
      <w:r w:rsidRPr="009E0EF0">
        <w:rPr>
          <w:rFonts w:asciiTheme="minorHAnsi" w:hAnsiTheme="minorHAnsi" w:cstheme="minorHAnsi"/>
          <w:sz w:val="20"/>
          <w:szCs w:val="20"/>
        </w:rPr>
        <w:t>.  </w:t>
      </w:r>
    </w:p>
    <w:p w14:paraId="2F8CD073" w14:textId="14D48724" w:rsidR="009F0DD9" w:rsidRPr="009F0DD9" w:rsidRDefault="009F0DD9" w:rsidP="009E0EF0">
      <w:pPr>
        <w:spacing w:line="259" w:lineRule="auto"/>
        <w:rPr>
          <w:rStyle w:val="Hyperlink"/>
          <w:rFonts w:ascii="Georgia" w:hAnsi="Georgia" w:cstheme="minorHAnsi"/>
          <w:b/>
          <w:bCs/>
          <w:i/>
          <w:sz w:val="26"/>
          <w:szCs w:val="26"/>
        </w:rPr>
      </w:pPr>
      <w:hyperlink r:id="rId40" w:history="1">
        <w:r w:rsidRPr="009F0DD9">
          <w:rPr>
            <w:rStyle w:val="Hyperlink"/>
            <w:rFonts w:ascii="Georgia" w:hAnsi="Georgia" w:cstheme="minorHAnsi"/>
            <w:b/>
            <w:bCs/>
            <w:sz w:val="26"/>
            <w:szCs w:val="26"/>
          </w:rPr>
          <w:t xml:space="preserve">FDIC </w:t>
        </w:r>
        <w:r w:rsidR="00CD76D5">
          <w:rPr>
            <w:rStyle w:val="Hyperlink"/>
            <w:rFonts w:ascii="Georgia" w:hAnsi="Georgia" w:cstheme="minorHAnsi"/>
            <w:b/>
            <w:bCs/>
            <w:sz w:val="26"/>
            <w:szCs w:val="26"/>
          </w:rPr>
          <w:t>Money Smart</w:t>
        </w:r>
      </w:hyperlink>
    </w:p>
    <w:p w14:paraId="44A512B3" w14:textId="0755C2A5" w:rsidR="00CD76D5" w:rsidRPr="00CD76D5" w:rsidRDefault="00CD76D5" w:rsidP="00CD76D5">
      <w:pPr>
        <w:pStyle w:val="DetailedReportTitle"/>
        <w:spacing w:after="160" w:line="259" w:lineRule="auto"/>
        <w:rPr>
          <w:rFonts w:asciiTheme="minorHAnsi" w:hAnsiTheme="minorHAnsi" w:cstheme="minorHAnsi"/>
          <w:i/>
          <w:iCs/>
          <w:sz w:val="20"/>
          <w:szCs w:val="20"/>
        </w:rPr>
      </w:pPr>
      <w:r w:rsidRPr="00CD76D5">
        <w:rPr>
          <w:rFonts w:asciiTheme="minorHAnsi" w:hAnsiTheme="minorHAnsi" w:cstheme="minorHAnsi"/>
          <w:i/>
          <w:iCs/>
          <w:sz w:val="20"/>
          <w:szCs w:val="20"/>
        </w:rPr>
        <w:t>FDIC Money Smart provides a self-led or instructor-led introduction to personal finance that can easily be used by young adults, adults and instructors. Their platform aims to positively influence how individuals manage their finances.</w:t>
      </w:r>
    </w:p>
    <w:p w14:paraId="6100F033" w14:textId="3F4F195C" w:rsidR="00CD76D5" w:rsidRDefault="00CD76D5" w:rsidP="00CD76D5">
      <w:pPr>
        <w:pStyle w:val="DetailedReportTitle"/>
        <w:numPr>
          <w:ilvl w:val="0"/>
          <w:numId w:val="5"/>
        </w:numPr>
        <w:spacing w:line="259" w:lineRule="auto"/>
        <w:rPr>
          <w:rFonts w:asciiTheme="minorHAnsi" w:hAnsiTheme="minorHAnsi" w:cstheme="minorHAnsi"/>
          <w:sz w:val="20"/>
          <w:szCs w:val="20"/>
        </w:rPr>
      </w:pPr>
      <w:r>
        <w:rPr>
          <w:rFonts w:asciiTheme="minorHAnsi" w:hAnsiTheme="minorHAnsi" w:cstheme="minorHAnsi"/>
          <w:sz w:val="20"/>
          <w:szCs w:val="20"/>
          <w:u w:val="single"/>
        </w:rPr>
        <w:t>Curricular Materials:</w:t>
      </w:r>
    </w:p>
    <w:p w14:paraId="178CA5FA" w14:textId="2AB443B8" w:rsidR="00CD76D5" w:rsidRPr="00CD76D5" w:rsidRDefault="00CD76D5" w:rsidP="00CD76D5">
      <w:pPr>
        <w:pStyle w:val="DetailedReportTitle"/>
        <w:numPr>
          <w:ilvl w:val="1"/>
          <w:numId w:val="5"/>
        </w:numPr>
        <w:spacing w:line="259" w:lineRule="auto"/>
        <w:rPr>
          <w:rFonts w:asciiTheme="minorHAnsi" w:hAnsiTheme="minorHAnsi" w:cstheme="minorHAnsi"/>
          <w:sz w:val="20"/>
          <w:szCs w:val="20"/>
        </w:rPr>
      </w:pPr>
      <w:r w:rsidRPr="00CD76D5">
        <w:rPr>
          <w:rFonts w:asciiTheme="minorHAnsi" w:hAnsiTheme="minorHAnsi" w:cstheme="minorHAnsi"/>
          <w:sz w:val="20"/>
          <w:szCs w:val="20"/>
          <w:u w:val="single"/>
        </w:rPr>
        <w:t>For Young People</w:t>
      </w:r>
      <w:r w:rsidRPr="00CD76D5">
        <w:rPr>
          <w:rFonts w:asciiTheme="minorHAnsi" w:hAnsiTheme="minorHAnsi" w:cstheme="minorHAnsi"/>
          <w:sz w:val="20"/>
          <w:szCs w:val="20"/>
        </w:rPr>
        <w:t>: This set of four grade-specific curriculum</w:t>
      </w:r>
      <w:r>
        <w:rPr>
          <w:rFonts w:asciiTheme="minorHAnsi" w:hAnsiTheme="minorHAnsi" w:cstheme="minorHAnsi"/>
          <w:sz w:val="20"/>
          <w:szCs w:val="20"/>
        </w:rPr>
        <w:t xml:space="preserve"> products</w:t>
      </w:r>
      <w:r w:rsidRPr="00CD76D5">
        <w:rPr>
          <w:rFonts w:asciiTheme="minorHAnsi" w:hAnsiTheme="minorHAnsi" w:cstheme="minorHAnsi"/>
          <w:sz w:val="20"/>
          <w:szCs w:val="20"/>
        </w:rPr>
        <w:t xml:space="preserve"> includes lesson plans for educators and guides for parents and caregivers to engage students in kindergarten through 12th grade. </w:t>
      </w:r>
      <w:r>
        <w:rPr>
          <w:rFonts w:asciiTheme="minorHAnsi" w:hAnsiTheme="minorHAnsi" w:cstheme="minorHAnsi"/>
          <w:sz w:val="20"/>
          <w:szCs w:val="20"/>
        </w:rPr>
        <w:t>The FDIC</w:t>
      </w:r>
      <w:r w:rsidRPr="00CD76D5">
        <w:rPr>
          <w:rFonts w:asciiTheme="minorHAnsi" w:hAnsiTheme="minorHAnsi" w:cstheme="minorHAnsi"/>
          <w:sz w:val="20"/>
          <w:szCs w:val="20"/>
        </w:rPr>
        <w:t xml:space="preserve"> developed these materials with the Consumer Financial Protection Bureau (CFPB). </w:t>
      </w:r>
    </w:p>
    <w:p w14:paraId="09C83227" w14:textId="77777777" w:rsidR="00CD76D5" w:rsidRPr="00CD76D5" w:rsidRDefault="00CD76D5" w:rsidP="00CD76D5">
      <w:pPr>
        <w:pStyle w:val="DetailedReportTitle"/>
        <w:numPr>
          <w:ilvl w:val="1"/>
          <w:numId w:val="5"/>
        </w:numPr>
        <w:spacing w:line="259" w:lineRule="auto"/>
        <w:rPr>
          <w:rFonts w:asciiTheme="minorHAnsi" w:hAnsiTheme="minorHAnsi" w:cstheme="minorHAnsi"/>
          <w:sz w:val="20"/>
          <w:szCs w:val="20"/>
        </w:rPr>
      </w:pPr>
      <w:r w:rsidRPr="00CD76D5">
        <w:rPr>
          <w:rFonts w:asciiTheme="minorHAnsi" w:hAnsiTheme="minorHAnsi" w:cstheme="minorHAnsi"/>
          <w:sz w:val="20"/>
          <w:szCs w:val="20"/>
          <w:u w:val="single"/>
        </w:rPr>
        <w:t>For Young Adults:</w:t>
      </w:r>
      <w:r w:rsidRPr="00CD76D5">
        <w:rPr>
          <w:rFonts w:asciiTheme="minorHAnsi" w:hAnsiTheme="minorHAnsi" w:cstheme="minorHAnsi"/>
          <w:sz w:val="20"/>
          <w:szCs w:val="20"/>
        </w:rPr>
        <w:t xml:space="preserve"> Each of the eight modules includes a scripted instructor guide. Bankers and others without teaching experience can easily use these tools to help young people ages 12-20 learn the basics of personal finance. </w:t>
      </w:r>
    </w:p>
    <w:p w14:paraId="6038BCD6" w14:textId="66158EDD" w:rsidR="00CD76D5" w:rsidRPr="00CD76D5" w:rsidRDefault="00CD76D5" w:rsidP="00CD76D5">
      <w:pPr>
        <w:pStyle w:val="DetailedReportTitle"/>
        <w:numPr>
          <w:ilvl w:val="1"/>
          <w:numId w:val="5"/>
        </w:numPr>
        <w:spacing w:line="259" w:lineRule="auto"/>
        <w:rPr>
          <w:rFonts w:asciiTheme="minorHAnsi" w:hAnsiTheme="minorHAnsi" w:cstheme="minorHAnsi"/>
          <w:sz w:val="20"/>
          <w:szCs w:val="20"/>
        </w:rPr>
      </w:pPr>
      <w:r w:rsidRPr="00CD76D5">
        <w:rPr>
          <w:rFonts w:asciiTheme="minorHAnsi" w:hAnsiTheme="minorHAnsi" w:cstheme="minorHAnsi"/>
          <w:sz w:val="20"/>
          <w:szCs w:val="20"/>
          <w:u w:val="single"/>
        </w:rPr>
        <w:t>For Adults:</w:t>
      </w:r>
      <w:r w:rsidRPr="00CD76D5">
        <w:rPr>
          <w:rFonts w:asciiTheme="minorHAnsi" w:hAnsiTheme="minorHAnsi" w:cstheme="minorHAnsi"/>
          <w:sz w:val="20"/>
          <w:szCs w:val="20"/>
        </w:rPr>
        <w:t xml:space="preserve"> 14-module </w:t>
      </w:r>
      <w:r w:rsidR="00032932">
        <w:rPr>
          <w:rFonts w:asciiTheme="minorHAnsi" w:hAnsiTheme="minorHAnsi" w:cstheme="minorHAnsi"/>
          <w:sz w:val="20"/>
          <w:szCs w:val="20"/>
        </w:rPr>
        <w:t>course</w:t>
      </w:r>
      <w:r w:rsidRPr="00CD76D5">
        <w:rPr>
          <w:rFonts w:asciiTheme="minorHAnsi" w:hAnsiTheme="minorHAnsi" w:cstheme="minorHAnsi"/>
          <w:sz w:val="20"/>
          <w:szCs w:val="20"/>
        </w:rPr>
        <w:t xml:space="preserve"> provides training for adults in many life stages and financial situations. That includes adults new to this country, adults with disabilities, adults starting or changing careers, and adults going through significant life events such as expanding their families or purchasing or renting their first homes. </w:t>
      </w:r>
    </w:p>
    <w:p w14:paraId="588CA381" w14:textId="1EB79125" w:rsidR="00CD76D5" w:rsidRDefault="00CD76D5" w:rsidP="00CD76D5">
      <w:pPr>
        <w:pStyle w:val="DetailedReportTitle"/>
        <w:numPr>
          <w:ilvl w:val="0"/>
          <w:numId w:val="5"/>
        </w:numPr>
        <w:spacing w:after="240" w:line="259" w:lineRule="auto"/>
        <w:rPr>
          <w:rFonts w:asciiTheme="minorHAnsi" w:hAnsiTheme="minorHAnsi" w:cstheme="minorHAnsi"/>
          <w:sz w:val="20"/>
          <w:szCs w:val="20"/>
        </w:rPr>
      </w:pPr>
      <w:r>
        <w:rPr>
          <w:rFonts w:asciiTheme="minorHAnsi" w:hAnsiTheme="minorHAnsi" w:cstheme="minorHAnsi"/>
          <w:sz w:val="20"/>
          <w:szCs w:val="20"/>
          <w:u w:val="single"/>
        </w:rPr>
        <w:t>Supplemental Resources</w:t>
      </w:r>
      <w:r>
        <w:rPr>
          <w:rFonts w:asciiTheme="minorHAnsi" w:hAnsiTheme="minorHAnsi" w:cstheme="minorHAnsi"/>
          <w:sz w:val="20"/>
          <w:szCs w:val="20"/>
        </w:rPr>
        <w:t xml:space="preserve">: </w:t>
      </w:r>
      <w:r w:rsidRPr="00CD76D5">
        <w:rPr>
          <w:rFonts w:asciiTheme="minorHAnsi" w:hAnsiTheme="minorHAnsi" w:cstheme="minorHAnsi"/>
          <w:sz w:val="20"/>
          <w:szCs w:val="20"/>
        </w:rPr>
        <w:t>Self-paced learning options include an online learning game and podcasts that convey key financial concepts in a conversational manner. </w:t>
      </w:r>
    </w:p>
    <w:p w14:paraId="6491E413" w14:textId="77777777" w:rsidR="009F0DD9" w:rsidRPr="009F0DD9" w:rsidRDefault="009F0DD9" w:rsidP="009E0EF0">
      <w:pPr>
        <w:spacing w:line="259" w:lineRule="auto"/>
        <w:rPr>
          <w:rFonts w:ascii="Georgia" w:hAnsi="Georgia" w:cstheme="minorHAnsi"/>
          <w:b/>
          <w:bCs/>
          <w:i/>
          <w:sz w:val="26"/>
          <w:szCs w:val="26"/>
        </w:rPr>
      </w:pPr>
      <w:hyperlink r:id="rId41" w:history="1">
        <w:r w:rsidRPr="009F0DD9">
          <w:rPr>
            <w:rStyle w:val="Hyperlink"/>
            <w:rFonts w:ascii="Georgia" w:hAnsi="Georgia" w:cstheme="minorHAnsi"/>
            <w:b/>
            <w:bCs/>
            <w:sz w:val="26"/>
            <w:szCs w:val="26"/>
          </w:rPr>
          <w:t>Federal Reserve Bank of St. Louis Econ Ed</w:t>
        </w:r>
      </w:hyperlink>
    </w:p>
    <w:p w14:paraId="4EE15CA8" w14:textId="6286ED6C" w:rsidR="00CD76D5" w:rsidRDefault="00CD76D5" w:rsidP="00CD76D5">
      <w:pPr>
        <w:pStyle w:val="DetailedReportTitle"/>
        <w:spacing w:after="160" w:line="259" w:lineRule="auto"/>
        <w:rPr>
          <w:rFonts w:asciiTheme="minorHAnsi" w:hAnsiTheme="minorHAnsi" w:cstheme="minorHAnsi"/>
          <w:i/>
          <w:iCs/>
          <w:sz w:val="20"/>
          <w:szCs w:val="20"/>
        </w:rPr>
      </w:pPr>
      <w:r w:rsidRPr="00CD76D5">
        <w:rPr>
          <w:rFonts w:asciiTheme="minorHAnsi" w:hAnsiTheme="minorHAnsi" w:cstheme="minorHAnsi"/>
          <w:i/>
          <w:iCs/>
          <w:sz w:val="20"/>
          <w:szCs w:val="20"/>
        </w:rPr>
        <w:t>The Federal Reserve Bank of St. Louis Econ Ed provides hundreds of teaching resources for students in grades K-12 ranging from videos to story projects.</w:t>
      </w:r>
    </w:p>
    <w:p w14:paraId="5D6BCB17" w14:textId="570C5F4E" w:rsidR="00CD76D5" w:rsidRPr="00CD76D5" w:rsidRDefault="00CD76D5" w:rsidP="00CD76D5">
      <w:pPr>
        <w:pStyle w:val="DetailedReportTitle"/>
        <w:numPr>
          <w:ilvl w:val="0"/>
          <w:numId w:val="5"/>
        </w:numPr>
        <w:spacing w:line="259" w:lineRule="auto"/>
        <w:rPr>
          <w:rFonts w:asciiTheme="minorHAnsi" w:hAnsiTheme="minorHAnsi" w:cstheme="minorHAnsi"/>
          <w:sz w:val="20"/>
          <w:szCs w:val="20"/>
        </w:rPr>
      </w:pPr>
      <w:r>
        <w:rPr>
          <w:rFonts w:asciiTheme="minorHAnsi" w:hAnsiTheme="minorHAnsi" w:cstheme="minorHAnsi"/>
          <w:sz w:val="20"/>
          <w:szCs w:val="20"/>
          <w:u w:val="single"/>
        </w:rPr>
        <w:t>Curricular Materials:</w:t>
      </w:r>
      <w:r>
        <w:rPr>
          <w:rFonts w:asciiTheme="minorHAnsi" w:hAnsiTheme="minorHAnsi" w:cstheme="minorHAnsi"/>
          <w:sz w:val="20"/>
          <w:szCs w:val="20"/>
        </w:rPr>
        <w:t xml:space="preserve"> </w:t>
      </w:r>
      <w:r w:rsidRPr="00CD76D5">
        <w:rPr>
          <w:rFonts w:asciiTheme="minorHAnsi" w:hAnsiTheme="minorHAnsi" w:cstheme="minorHAnsi"/>
          <w:sz w:val="20"/>
          <w:szCs w:val="20"/>
        </w:rPr>
        <w:t xml:space="preserve">Federal Reserve Bank of St. Louis Econ Ed has </w:t>
      </w:r>
      <w:r w:rsidR="00B20CC3">
        <w:rPr>
          <w:rFonts w:asciiTheme="minorHAnsi" w:hAnsiTheme="minorHAnsi" w:cstheme="minorHAnsi"/>
          <w:sz w:val="20"/>
          <w:szCs w:val="20"/>
        </w:rPr>
        <w:t>a collection of</w:t>
      </w:r>
      <w:r w:rsidRPr="00CD76D5">
        <w:rPr>
          <w:rFonts w:asciiTheme="minorHAnsi" w:hAnsiTheme="minorHAnsi" w:cstheme="minorHAnsi"/>
          <w:sz w:val="20"/>
          <w:szCs w:val="20"/>
        </w:rPr>
        <w:t xml:space="preserve"> videos and lesson plans for educators. Their lesson plans include worksheets, interactives, and modules. Educators can filter through the resources </w:t>
      </w:r>
      <w:r w:rsidR="00B20CC3">
        <w:rPr>
          <w:rFonts w:asciiTheme="minorHAnsi" w:hAnsiTheme="minorHAnsi" w:cstheme="minorHAnsi"/>
          <w:sz w:val="20"/>
          <w:szCs w:val="20"/>
        </w:rPr>
        <w:t>provided</w:t>
      </w:r>
      <w:r w:rsidRPr="00CD76D5">
        <w:rPr>
          <w:rFonts w:asciiTheme="minorHAnsi" w:hAnsiTheme="minorHAnsi" w:cstheme="minorHAnsi"/>
          <w:sz w:val="20"/>
          <w:szCs w:val="20"/>
        </w:rPr>
        <w:t xml:space="preserve"> by concepts, resource types, and grade level. </w:t>
      </w:r>
    </w:p>
    <w:p w14:paraId="0A5B1024" w14:textId="4BD0673F" w:rsidR="00CD76D5" w:rsidRPr="00CD76D5" w:rsidRDefault="00CD76D5" w:rsidP="009E0EF0">
      <w:pPr>
        <w:pStyle w:val="DetailedReportTitle"/>
        <w:numPr>
          <w:ilvl w:val="0"/>
          <w:numId w:val="5"/>
        </w:numPr>
        <w:spacing w:after="240" w:line="259" w:lineRule="auto"/>
        <w:rPr>
          <w:rFonts w:asciiTheme="minorHAnsi" w:hAnsiTheme="minorHAnsi" w:cstheme="minorHAnsi"/>
          <w:sz w:val="20"/>
          <w:szCs w:val="20"/>
        </w:rPr>
      </w:pPr>
      <w:r w:rsidRPr="00CD76D5">
        <w:rPr>
          <w:rFonts w:asciiTheme="minorHAnsi" w:hAnsiTheme="minorHAnsi" w:cstheme="minorHAnsi"/>
          <w:sz w:val="20"/>
          <w:szCs w:val="20"/>
          <w:u w:val="single"/>
        </w:rPr>
        <w:t>Professional Development:</w:t>
      </w:r>
      <w:r w:rsidRPr="00CD76D5">
        <w:rPr>
          <w:rFonts w:asciiTheme="minorHAnsi" w:hAnsiTheme="minorHAnsi" w:cstheme="minorHAnsi"/>
          <w:sz w:val="20"/>
          <w:szCs w:val="20"/>
        </w:rPr>
        <w:t xml:space="preserve"> Educators can choose among three options for professional development. Graduate credit can be acquired through Emporia State University for completing 15 hours of coursework and assessments. The Federal Reserve Bank Professional Development Certificate can be earned by finishing 10 hours of lessons and online programming. </w:t>
      </w:r>
      <w:r w:rsidR="006F6978">
        <w:rPr>
          <w:rFonts w:asciiTheme="minorHAnsi" w:hAnsiTheme="minorHAnsi" w:cstheme="minorHAnsi"/>
          <w:sz w:val="20"/>
          <w:szCs w:val="20"/>
        </w:rPr>
        <w:t>Professional Development</w:t>
      </w:r>
      <w:r w:rsidRPr="00CD76D5">
        <w:rPr>
          <w:rFonts w:asciiTheme="minorHAnsi" w:hAnsiTheme="minorHAnsi" w:cstheme="minorHAnsi"/>
          <w:sz w:val="20"/>
          <w:szCs w:val="20"/>
        </w:rPr>
        <w:t xml:space="preserve"> </w:t>
      </w:r>
      <w:r w:rsidR="006F6978">
        <w:rPr>
          <w:rFonts w:asciiTheme="minorHAnsi" w:hAnsiTheme="minorHAnsi" w:cstheme="minorHAnsi"/>
          <w:sz w:val="20"/>
          <w:szCs w:val="20"/>
        </w:rPr>
        <w:t>credit</w:t>
      </w:r>
      <w:r w:rsidRPr="00CD76D5">
        <w:rPr>
          <w:rFonts w:asciiTheme="minorHAnsi" w:hAnsiTheme="minorHAnsi" w:cstheme="minorHAnsi"/>
          <w:sz w:val="20"/>
          <w:szCs w:val="20"/>
        </w:rPr>
        <w:t xml:space="preserve"> can also be earned by working with students to complete online courses in economics and personal finance. </w:t>
      </w:r>
    </w:p>
    <w:p w14:paraId="2C646F68" w14:textId="2B4682BD" w:rsidR="009F0DD9" w:rsidRDefault="009F0DD9" w:rsidP="009E0EF0">
      <w:pPr>
        <w:pStyle w:val="DetailedReportTitle"/>
        <w:spacing w:line="259" w:lineRule="auto"/>
        <w:rPr>
          <w:rFonts w:asciiTheme="minorHAnsi" w:hAnsiTheme="minorHAnsi" w:cstheme="minorHAnsi"/>
          <w:i/>
          <w:iCs/>
          <w:sz w:val="20"/>
          <w:szCs w:val="20"/>
        </w:rPr>
      </w:pPr>
      <w:hyperlink r:id="rId42" w:history="1">
        <w:r w:rsidRPr="009F0DD9">
          <w:rPr>
            <w:rStyle w:val="Hyperlink"/>
            <w:rFonts w:cstheme="minorHAnsi"/>
            <w:b/>
            <w:bCs/>
          </w:rPr>
          <w:t>Federal Reserve Education</w:t>
        </w:r>
      </w:hyperlink>
      <w:r>
        <w:rPr>
          <w:rFonts w:asciiTheme="minorHAnsi" w:hAnsiTheme="minorHAnsi" w:cstheme="minorHAnsi"/>
          <w:sz w:val="20"/>
          <w:szCs w:val="20"/>
        </w:rPr>
        <w:br/>
      </w:r>
      <w:r w:rsidR="00AA6045">
        <w:rPr>
          <w:rFonts w:asciiTheme="minorHAnsi" w:hAnsiTheme="minorHAnsi" w:cstheme="minorHAnsi"/>
          <w:i/>
          <w:iCs/>
          <w:sz w:val="20"/>
          <w:szCs w:val="20"/>
        </w:rPr>
        <w:t>Federal Reserve Education provides</w:t>
      </w:r>
      <w:r w:rsidR="00AA6045" w:rsidRPr="00AA6045">
        <w:rPr>
          <w:rFonts w:asciiTheme="minorHAnsi" w:hAnsiTheme="minorHAnsi" w:cstheme="minorHAnsi"/>
          <w:i/>
          <w:iCs/>
          <w:sz w:val="20"/>
          <w:szCs w:val="20"/>
        </w:rPr>
        <w:t xml:space="preserve"> a range of </w:t>
      </w:r>
      <w:r w:rsidR="00032932">
        <w:rPr>
          <w:rFonts w:asciiTheme="minorHAnsi" w:hAnsiTheme="minorHAnsi" w:cstheme="minorHAnsi"/>
          <w:i/>
          <w:iCs/>
          <w:sz w:val="20"/>
          <w:szCs w:val="20"/>
        </w:rPr>
        <w:t>classroom resources including</w:t>
      </w:r>
      <w:r w:rsidR="00AA6045" w:rsidRPr="00AA6045">
        <w:rPr>
          <w:rFonts w:asciiTheme="minorHAnsi" w:hAnsiTheme="minorHAnsi" w:cstheme="minorHAnsi"/>
          <w:i/>
          <w:iCs/>
          <w:sz w:val="20"/>
          <w:szCs w:val="20"/>
        </w:rPr>
        <w:t xml:space="preserve"> digital worksheets and lesson plans. They provide content for K-12 students, college students, and adults</w:t>
      </w:r>
      <w:r w:rsidR="00AA6045">
        <w:rPr>
          <w:rFonts w:asciiTheme="minorHAnsi" w:hAnsiTheme="minorHAnsi" w:cstheme="minorHAnsi"/>
          <w:i/>
          <w:iCs/>
          <w:sz w:val="20"/>
          <w:szCs w:val="20"/>
        </w:rPr>
        <w:t>.</w:t>
      </w:r>
    </w:p>
    <w:p w14:paraId="4B652E4A" w14:textId="631BFDF2" w:rsidR="00AA6045" w:rsidRPr="00AA6045" w:rsidRDefault="00AA6045" w:rsidP="00AA6045">
      <w:pPr>
        <w:pStyle w:val="DetailedReportTitle"/>
        <w:numPr>
          <w:ilvl w:val="0"/>
          <w:numId w:val="5"/>
        </w:numPr>
        <w:spacing w:line="259" w:lineRule="auto"/>
        <w:rPr>
          <w:rFonts w:asciiTheme="minorHAnsi" w:hAnsiTheme="minorHAnsi" w:cstheme="minorHAnsi"/>
          <w:sz w:val="20"/>
          <w:szCs w:val="20"/>
        </w:rPr>
      </w:pPr>
      <w:r w:rsidRPr="00AA6045">
        <w:rPr>
          <w:rFonts w:asciiTheme="minorHAnsi" w:hAnsiTheme="minorHAnsi" w:cstheme="minorHAnsi"/>
          <w:sz w:val="20"/>
          <w:szCs w:val="20"/>
          <w:u w:val="single"/>
        </w:rPr>
        <w:t>Curricul</w:t>
      </w:r>
      <w:r>
        <w:rPr>
          <w:rFonts w:asciiTheme="minorHAnsi" w:hAnsiTheme="minorHAnsi" w:cstheme="minorHAnsi"/>
          <w:sz w:val="20"/>
          <w:szCs w:val="20"/>
          <w:u w:val="single"/>
        </w:rPr>
        <w:t>ar Materials</w:t>
      </w:r>
      <w:r w:rsidRPr="00AA6045">
        <w:rPr>
          <w:rFonts w:asciiTheme="minorHAnsi" w:hAnsiTheme="minorHAnsi" w:cstheme="minorHAnsi"/>
          <w:sz w:val="20"/>
          <w:szCs w:val="20"/>
          <w:u w:val="single"/>
        </w:rPr>
        <w:t>:</w:t>
      </w:r>
      <w:r w:rsidRPr="00AA6045">
        <w:rPr>
          <w:rFonts w:asciiTheme="minorHAnsi" w:hAnsiTheme="minorHAnsi" w:cstheme="minorHAnsi"/>
          <w:sz w:val="20"/>
          <w:szCs w:val="20"/>
        </w:rPr>
        <w:t xml:space="preserve"> </w:t>
      </w:r>
      <w:r w:rsidR="009F64D9">
        <w:rPr>
          <w:rFonts w:asciiTheme="minorHAnsi" w:hAnsiTheme="minorHAnsi" w:cstheme="minorHAnsi"/>
          <w:sz w:val="20"/>
          <w:szCs w:val="20"/>
        </w:rPr>
        <w:t>The Federal Reserve maintains a searchable database of materials organized by grade level. Additionally, t</w:t>
      </w:r>
      <w:r>
        <w:rPr>
          <w:rFonts w:asciiTheme="minorHAnsi" w:hAnsiTheme="minorHAnsi" w:cstheme="minorHAnsi"/>
          <w:sz w:val="20"/>
          <w:szCs w:val="20"/>
        </w:rPr>
        <w:t xml:space="preserve">he </w:t>
      </w:r>
      <w:hyperlink r:id="rId43" w:history="1">
        <w:r w:rsidR="00032932" w:rsidRPr="00032932">
          <w:rPr>
            <w:rStyle w:val="Hyperlink"/>
            <w:rFonts w:asciiTheme="minorHAnsi" w:hAnsiTheme="minorHAnsi" w:cstheme="minorHAnsi"/>
            <w:sz w:val="20"/>
            <w:szCs w:val="20"/>
          </w:rPr>
          <w:t>Econ Lowdown</w:t>
        </w:r>
      </w:hyperlink>
      <w:r w:rsidR="00032932">
        <w:rPr>
          <w:rFonts w:asciiTheme="minorHAnsi" w:hAnsiTheme="minorHAnsi" w:cstheme="minorHAnsi"/>
          <w:sz w:val="20"/>
          <w:szCs w:val="20"/>
        </w:rPr>
        <w:t xml:space="preserve"> platform includes online courses and videos for K-12 and college classrooms</w:t>
      </w:r>
      <w:r w:rsidR="009F64D9">
        <w:rPr>
          <w:rFonts w:asciiTheme="minorHAnsi" w:hAnsiTheme="minorHAnsi" w:cstheme="minorHAnsi"/>
          <w:sz w:val="20"/>
          <w:szCs w:val="20"/>
        </w:rPr>
        <w:t xml:space="preserve"> which allows teachers to build a syllabus from among available resources and monitor student progress through assigned materials.</w:t>
      </w:r>
    </w:p>
    <w:p w14:paraId="759D23B9" w14:textId="77777777" w:rsidR="009F0DD9" w:rsidRDefault="009F0DD9" w:rsidP="009E0EF0">
      <w:pPr>
        <w:pStyle w:val="DetailedReportTitle"/>
        <w:spacing w:line="259" w:lineRule="auto"/>
      </w:pPr>
    </w:p>
    <w:p w14:paraId="4F604EF4" w14:textId="1E82404C" w:rsidR="0017797A" w:rsidRDefault="009F0DD9" w:rsidP="24B3501F">
      <w:pPr>
        <w:keepNext/>
        <w:keepLines/>
        <w:spacing w:after="120" w:line="259" w:lineRule="auto"/>
      </w:pPr>
      <w:hyperlink r:id="rId44">
        <w:r w:rsidRPr="7313B441">
          <w:rPr>
            <w:rStyle w:val="Hyperlink"/>
            <w:rFonts w:ascii="Georgia" w:hAnsi="Georgia" w:cstheme="minorBidi"/>
            <w:b/>
            <w:bCs/>
            <w:sz w:val="26"/>
            <w:szCs w:val="26"/>
          </w:rPr>
          <w:t>FitMoney</w:t>
        </w:r>
        <w:r>
          <w:br/>
        </w:r>
      </w:hyperlink>
      <w:r w:rsidR="3841982D" w:rsidRPr="7313B441">
        <w:rPr>
          <w:rFonts w:asciiTheme="minorHAnsi" w:eastAsiaTheme="minorEastAsia" w:hAnsiTheme="minorHAnsi" w:cstheme="minorBidi"/>
          <w:i/>
          <w:iCs/>
          <w:color w:val="000000" w:themeColor="text1"/>
          <w:sz w:val="20"/>
          <w:szCs w:val="20"/>
        </w:rPr>
        <w:t>FitMoney provides free, classroom-ready K-12 personal finance curriculum as well as online learning opportunities: the $uperSquad elementary animated game and a high school self-directed Financially Fit Certificate course, all building students’ skills and knowledge around financial literacy concepts aligned with the Jump$tart standards. FitMoney also provides professional development for schools at cost.</w:t>
      </w:r>
    </w:p>
    <w:p w14:paraId="71EF4F88" w14:textId="0D4BA7BE" w:rsidR="0017797A" w:rsidRPr="0017797A" w:rsidRDefault="00AA6045" w:rsidP="009E0EF0">
      <w:pPr>
        <w:pStyle w:val="ListParagraph"/>
        <w:numPr>
          <w:ilvl w:val="0"/>
          <w:numId w:val="5"/>
        </w:numPr>
        <w:spacing w:after="240" w:line="259" w:lineRule="auto"/>
        <w:rPr>
          <w:sz w:val="20"/>
          <w:szCs w:val="20"/>
          <w:u w:val="single"/>
        </w:rPr>
      </w:pPr>
      <w:r>
        <w:rPr>
          <w:sz w:val="20"/>
          <w:szCs w:val="20"/>
          <w:u w:val="single"/>
        </w:rPr>
        <w:t>Curricular Materials</w:t>
      </w:r>
      <w:r w:rsidR="0017797A" w:rsidRPr="0017797A">
        <w:rPr>
          <w:sz w:val="20"/>
          <w:szCs w:val="20"/>
          <w:u w:val="single"/>
        </w:rPr>
        <w:t>: </w:t>
      </w:r>
    </w:p>
    <w:p w14:paraId="04CB0720" w14:textId="1889A16F" w:rsidR="0017797A" w:rsidRPr="0017797A" w:rsidRDefault="0017797A" w:rsidP="009E0EF0">
      <w:pPr>
        <w:pStyle w:val="ListParagraph"/>
        <w:numPr>
          <w:ilvl w:val="1"/>
          <w:numId w:val="5"/>
        </w:numPr>
        <w:spacing w:after="240" w:line="259" w:lineRule="auto"/>
        <w:rPr>
          <w:sz w:val="20"/>
          <w:szCs w:val="20"/>
          <w:u w:val="single"/>
        </w:rPr>
      </w:pPr>
      <w:r w:rsidRPr="0017797A">
        <w:rPr>
          <w:sz w:val="20"/>
          <w:szCs w:val="20"/>
          <w:u w:val="single"/>
        </w:rPr>
        <w:t>Elementary (K-5):</w:t>
      </w:r>
      <w:r w:rsidRPr="0017797A">
        <w:rPr>
          <w:sz w:val="20"/>
          <w:szCs w:val="20"/>
        </w:rPr>
        <w:t xml:space="preserve"> Consists of 5-6 lessons per grade between </w:t>
      </w:r>
      <w:r>
        <w:rPr>
          <w:sz w:val="20"/>
          <w:szCs w:val="20"/>
        </w:rPr>
        <w:t xml:space="preserve">grades </w:t>
      </w:r>
      <w:r w:rsidRPr="0017797A">
        <w:rPr>
          <w:sz w:val="20"/>
          <w:szCs w:val="20"/>
        </w:rPr>
        <w:t xml:space="preserve">K-5 that are all standards-aligned to Common Core math and can be integrated into 40-minute </w:t>
      </w:r>
      <w:r w:rsidR="009F64D9">
        <w:rPr>
          <w:sz w:val="20"/>
          <w:szCs w:val="20"/>
        </w:rPr>
        <w:t>class periods</w:t>
      </w:r>
      <w:r w:rsidRPr="0017797A">
        <w:rPr>
          <w:sz w:val="20"/>
          <w:szCs w:val="20"/>
        </w:rPr>
        <w:t>.</w:t>
      </w:r>
    </w:p>
    <w:p w14:paraId="7BDD0DB2" w14:textId="5658A7B1" w:rsidR="0017797A" w:rsidRPr="0017797A" w:rsidRDefault="0017797A" w:rsidP="009E0EF0">
      <w:pPr>
        <w:pStyle w:val="ListParagraph"/>
        <w:numPr>
          <w:ilvl w:val="1"/>
          <w:numId w:val="5"/>
        </w:numPr>
        <w:spacing w:after="240" w:line="259" w:lineRule="auto"/>
        <w:rPr>
          <w:sz w:val="20"/>
          <w:szCs w:val="20"/>
          <w:u w:val="single"/>
        </w:rPr>
      </w:pPr>
      <w:r w:rsidRPr="0017797A">
        <w:rPr>
          <w:sz w:val="20"/>
          <w:szCs w:val="20"/>
          <w:u w:val="single"/>
        </w:rPr>
        <w:t>Middle (6-8):</w:t>
      </w:r>
      <w:r w:rsidRPr="0017797A">
        <w:rPr>
          <w:sz w:val="20"/>
          <w:szCs w:val="20"/>
        </w:rPr>
        <w:t xml:space="preserve"> Consists of 18 real-world </w:t>
      </w:r>
      <w:r w:rsidR="009F64D9">
        <w:rPr>
          <w:sz w:val="20"/>
          <w:szCs w:val="20"/>
        </w:rPr>
        <w:t>c</w:t>
      </w:r>
      <w:r w:rsidRPr="0017797A">
        <w:rPr>
          <w:sz w:val="20"/>
          <w:szCs w:val="20"/>
        </w:rPr>
        <w:t xml:space="preserve">ase </w:t>
      </w:r>
      <w:r w:rsidR="009F64D9">
        <w:rPr>
          <w:sz w:val="20"/>
          <w:szCs w:val="20"/>
        </w:rPr>
        <w:t>s</w:t>
      </w:r>
      <w:r w:rsidRPr="0017797A">
        <w:rPr>
          <w:sz w:val="20"/>
          <w:szCs w:val="20"/>
        </w:rPr>
        <w:t>tudies (ex: “Buying a Cellphone</w:t>
      </w:r>
      <w:r w:rsidR="009F64D9">
        <w:rPr>
          <w:sz w:val="20"/>
          <w:szCs w:val="20"/>
        </w:rPr>
        <w:t>”</w:t>
      </w:r>
      <w:r w:rsidRPr="0017797A">
        <w:rPr>
          <w:sz w:val="20"/>
          <w:szCs w:val="20"/>
        </w:rPr>
        <w:t xml:space="preserve">) that can be taught in one 45-minute session or broken into two sessions, in class or in a remote setting. FitMoney also designed a STEM Business Plan Challenge for Middle School, which is a </w:t>
      </w:r>
      <w:r w:rsidR="009F64D9">
        <w:rPr>
          <w:sz w:val="20"/>
          <w:szCs w:val="20"/>
        </w:rPr>
        <w:t>one</w:t>
      </w:r>
      <w:r w:rsidRPr="0017797A">
        <w:rPr>
          <w:sz w:val="20"/>
          <w:szCs w:val="20"/>
        </w:rPr>
        <w:t xml:space="preserve">-week, </w:t>
      </w:r>
      <w:r w:rsidR="009F64D9">
        <w:rPr>
          <w:sz w:val="20"/>
          <w:szCs w:val="20"/>
        </w:rPr>
        <w:t>five</w:t>
      </w:r>
      <w:r w:rsidRPr="0017797A">
        <w:rPr>
          <w:sz w:val="20"/>
          <w:szCs w:val="20"/>
        </w:rPr>
        <w:t>-hour project-based curriculum.</w:t>
      </w:r>
    </w:p>
    <w:p w14:paraId="6A6352E8" w14:textId="6FC127A2" w:rsidR="0017797A" w:rsidRPr="0017797A" w:rsidRDefault="0017797A" w:rsidP="009E0EF0">
      <w:pPr>
        <w:pStyle w:val="ListParagraph"/>
        <w:numPr>
          <w:ilvl w:val="1"/>
          <w:numId w:val="5"/>
        </w:numPr>
        <w:spacing w:after="240" w:line="259" w:lineRule="auto"/>
        <w:rPr>
          <w:sz w:val="20"/>
          <w:szCs w:val="20"/>
          <w:u w:val="single"/>
        </w:rPr>
      </w:pPr>
      <w:r w:rsidRPr="0017797A">
        <w:rPr>
          <w:sz w:val="20"/>
          <w:szCs w:val="20"/>
          <w:u w:val="single"/>
        </w:rPr>
        <w:t>High (9-12):</w:t>
      </w:r>
      <w:r w:rsidRPr="0017797A">
        <w:rPr>
          <w:sz w:val="20"/>
          <w:szCs w:val="20"/>
        </w:rPr>
        <w:t xml:space="preserve"> Includes 25 45-minute lessons which can be taught during one Financial Literacy semester or integrated into a variety of courses like Math, Social Studies, History, or Civics over several years. Each lesson implementation plan includes suggested pacing, </w:t>
      </w:r>
      <w:r>
        <w:rPr>
          <w:sz w:val="20"/>
          <w:szCs w:val="20"/>
        </w:rPr>
        <w:t xml:space="preserve">a </w:t>
      </w:r>
      <w:r w:rsidRPr="0017797A">
        <w:rPr>
          <w:sz w:val="20"/>
          <w:szCs w:val="20"/>
        </w:rPr>
        <w:t>glossary of terms</w:t>
      </w:r>
      <w:r>
        <w:rPr>
          <w:sz w:val="20"/>
          <w:szCs w:val="20"/>
        </w:rPr>
        <w:t>,</w:t>
      </w:r>
      <w:r w:rsidRPr="0017797A">
        <w:rPr>
          <w:sz w:val="20"/>
          <w:szCs w:val="20"/>
        </w:rPr>
        <w:t xml:space="preserve"> and group activities.</w:t>
      </w:r>
    </w:p>
    <w:p w14:paraId="7F708830" w14:textId="47125F5B" w:rsidR="0017797A" w:rsidRPr="0017797A" w:rsidRDefault="0017797A" w:rsidP="009E0EF0">
      <w:pPr>
        <w:pStyle w:val="ListParagraph"/>
        <w:numPr>
          <w:ilvl w:val="1"/>
          <w:numId w:val="5"/>
        </w:numPr>
        <w:spacing w:after="240" w:line="259" w:lineRule="auto"/>
        <w:rPr>
          <w:sz w:val="20"/>
          <w:szCs w:val="20"/>
          <w:u w:val="single"/>
        </w:rPr>
      </w:pPr>
      <w:r w:rsidRPr="0017797A">
        <w:rPr>
          <w:sz w:val="20"/>
          <w:szCs w:val="20"/>
          <w:u w:val="single"/>
        </w:rPr>
        <w:t>Digital Courses:</w:t>
      </w:r>
      <w:r w:rsidRPr="0017797A">
        <w:rPr>
          <w:b/>
          <w:bCs/>
          <w:sz w:val="20"/>
          <w:szCs w:val="20"/>
        </w:rPr>
        <w:t xml:space="preserve"> </w:t>
      </w:r>
      <w:r w:rsidRPr="0017797A">
        <w:rPr>
          <w:sz w:val="20"/>
          <w:szCs w:val="20"/>
        </w:rPr>
        <w:t xml:space="preserve">The Financially Fit Certificate has two levels: the Certificate for </w:t>
      </w:r>
      <w:r>
        <w:rPr>
          <w:sz w:val="20"/>
          <w:szCs w:val="20"/>
        </w:rPr>
        <w:t>grades 8-12</w:t>
      </w:r>
      <w:r w:rsidRPr="0017797A">
        <w:rPr>
          <w:sz w:val="20"/>
          <w:szCs w:val="20"/>
        </w:rPr>
        <w:t xml:space="preserve"> and the Junior Certificate for </w:t>
      </w:r>
      <w:r>
        <w:rPr>
          <w:sz w:val="20"/>
          <w:szCs w:val="20"/>
        </w:rPr>
        <w:t>grades 3-5</w:t>
      </w:r>
      <w:r w:rsidRPr="0017797A">
        <w:rPr>
          <w:sz w:val="20"/>
          <w:szCs w:val="20"/>
        </w:rPr>
        <w:t xml:space="preserve">. Each program consists of micro-lesson video modules about real-world financial literacy topics. </w:t>
      </w:r>
      <w:r>
        <w:rPr>
          <w:sz w:val="20"/>
          <w:szCs w:val="20"/>
        </w:rPr>
        <w:t>FitMoney will also be launching</w:t>
      </w:r>
      <w:r w:rsidRPr="0017797A">
        <w:rPr>
          <w:sz w:val="20"/>
          <w:szCs w:val="20"/>
        </w:rPr>
        <w:t xml:space="preserve"> an interactive</w:t>
      </w:r>
      <w:r>
        <w:rPr>
          <w:sz w:val="20"/>
          <w:szCs w:val="20"/>
        </w:rPr>
        <w:t>, game-based curriculum for grades K-6</w:t>
      </w:r>
      <w:r w:rsidRPr="0017797A">
        <w:rPr>
          <w:sz w:val="20"/>
          <w:szCs w:val="20"/>
        </w:rPr>
        <w:t xml:space="preserve"> </w:t>
      </w:r>
      <w:r>
        <w:rPr>
          <w:sz w:val="20"/>
          <w:szCs w:val="20"/>
        </w:rPr>
        <w:t>in late 2022.</w:t>
      </w:r>
    </w:p>
    <w:p w14:paraId="643345AF" w14:textId="72309CFC" w:rsidR="009F0DD9" w:rsidRPr="00A413E2" w:rsidRDefault="0017797A" w:rsidP="009E0EF0">
      <w:pPr>
        <w:pStyle w:val="ListParagraph"/>
        <w:numPr>
          <w:ilvl w:val="0"/>
          <w:numId w:val="5"/>
        </w:numPr>
        <w:spacing w:after="240" w:line="259" w:lineRule="auto"/>
        <w:rPr>
          <w:sz w:val="20"/>
          <w:szCs w:val="20"/>
          <w:u w:val="single"/>
        </w:rPr>
      </w:pPr>
      <w:r w:rsidRPr="0017797A">
        <w:rPr>
          <w:sz w:val="20"/>
          <w:szCs w:val="20"/>
          <w:u w:val="single"/>
        </w:rPr>
        <w:t>Professional Development:</w:t>
      </w:r>
      <w:r w:rsidRPr="001961A8">
        <w:rPr>
          <w:sz w:val="20"/>
          <w:szCs w:val="20"/>
        </w:rPr>
        <w:t xml:space="preserve"> </w:t>
      </w:r>
      <w:r w:rsidRPr="0017797A">
        <w:rPr>
          <w:sz w:val="20"/>
          <w:szCs w:val="20"/>
        </w:rPr>
        <w:t xml:space="preserve">FitMoney provides virtual and in-person professional development to </w:t>
      </w:r>
      <w:r w:rsidR="009F64D9">
        <w:rPr>
          <w:sz w:val="20"/>
          <w:szCs w:val="20"/>
        </w:rPr>
        <w:t>introduce educators to their materials</w:t>
      </w:r>
      <w:r w:rsidRPr="0017797A">
        <w:rPr>
          <w:sz w:val="20"/>
          <w:szCs w:val="20"/>
        </w:rPr>
        <w:t>.</w:t>
      </w:r>
    </w:p>
    <w:p w14:paraId="0DB3FED7" w14:textId="44520AB5" w:rsidR="00A413E2" w:rsidRDefault="009F0DD9" w:rsidP="009E0EF0">
      <w:pPr>
        <w:spacing w:after="120" w:line="259" w:lineRule="auto"/>
        <w:rPr>
          <w:rFonts w:ascii="Georgia" w:hAnsi="Georgia" w:cstheme="minorHAnsi"/>
          <w:b/>
          <w:bCs/>
          <w:i/>
          <w:iCs/>
          <w:sz w:val="26"/>
          <w:szCs w:val="26"/>
        </w:rPr>
      </w:pPr>
      <w:hyperlink r:id="rId45" w:history="1">
        <w:r w:rsidRPr="009F0DD9">
          <w:rPr>
            <w:rStyle w:val="Hyperlink"/>
            <w:rFonts w:ascii="Georgia" w:hAnsi="Georgia" w:cstheme="minorHAnsi"/>
            <w:b/>
            <w:bCs/>
            <w:sz w:val="26"/>
            <w:szCs w:val="26"/>
          </w:rPr>
          <w:t>FoolProofMe</w:t>
        </w:r>
      </w:hyperlink>
      <w:r w:rsidR="00A413E2" w:rsidRPr="009F0DD9">
        <w:rPr>
          <w:rFonts w:ascii="Georgia" w:hAnsi="Georgia"/>
          <w:sz w:val="26"/>
          <w:szCs w:val="26"/>
        </w:rPr>
        <w:br/>
      </w:r>
      <w:r w:rsidR="00A413E2">
        <w:rPr>
          <w:i/>
          <w:iCs/>
          <w:sz w:val="20"/>
          <w:szCs w:val="20"/>
        </w:rPr>
        <w:t xml:space="preserve">FoolProofMe </w:t>
      </w:r>
      <w:r w:rsidR="00A413E2" w:rsidRPr="005F116A">
        <w:rPr>
          <w:i/>
          <w:iCs/>
          <w:sz w:val="20"/>
          <w:szCs w:val="20"/>
        </w:rPr>
        <w:t xml:space="preserve">offers financial literacy resources and </w:t>
      </w:r>
      <w:r w:rsidR="00A413E2">
        <w:rPr>
          <w:i/>
          <w:iCs/>
          <w:sz w:val="20"/>
          <w:szCs w:val="20"/>
        </w:rPr>
        <w:t>curricular resources</w:t>
      </w:r>
      <w:r w:rsidR="00A413E2" w:rsidRPr="005F116A">
        <w:rPr>
          <w:i/>
          <w:iCs/>
          <w:sz w:val="20"/>
          <w:szCs w:val="20"/>
        </w:rPr>
        <w:t xml:space="preserve"> for middle school, high school students, and college students. It </w:t>
      </w:r>
      <w:r w:rsidR="009F64D9">
        <w:rPr>
          <w:i/>
          <w:iCs/>
          <w:sz w:val="20"/>
          <w:szCs w:val="20"/>
        </w:rPr>
        <w:t>focuses on helping</w:t>
      </w:r>
      <w:r w:rsidR="00A413E2" w:rsidRPr="005F116A">
        <w:rPr>
          <w:i/>
          <w:iCs/>
          <w:sz w:val="20"/>
          <w:szCs w:val="20"/>
        </w:rPr>
        <w:t xml:space="preserve"> students develop </w:t>
      </w:r>
      <w:r w:rsidR="00A413E2">
        <w:rPr>
          <w:i/>
          <w:iCs/>
          <w:sz w:val="20"/>
          <w:szCs w:val="20"/>
        </w:rPr>
        <w:t>the habits of</w:t>
      </w:r>
      <w:r w:rsidR="00A413E2" w:rsidRPr="005F116A">
        <w:rPr>
          <w:i/>
          <w:iCs/>
          <w:sz w:val="20"/>
          <w:szCs w:val="20"/>
        </w:rPr>
        <w:t xml:space="preserve"> healthy skepticism, trustworthiness, and personal responsibility</w:t>
      </w:r>
      <w:r w:rsidR="009E0EF0">
        <w:rPr>
          <w:i/>
          <w:iCs/>
          <w:sz w:val="20"/>
          <w:szCs w:val="20"/>
        </w:rPr>
        <w:t xml:space="preserve"> and support healthy decision-making</w:t>
      </w:r>
      <w:r w:rsidR="00A413E2">
        <w:rPr>
          <w:i/>
          <w:iCs/>
          <w:sz w:val="20"/>
          <w:szCs w:val="20"/>
        </w:rPr>
        <w:t>.</w:t>
      </w:r>
    </w:p>
    <w:p w14:paraId="2A9534E6" w14:textId="77777777" w:rsidR="00AA6045" w:rsidRPr="00AA6045" w:rsidRDefault="00A413E2" w:rsidP="009E0EF0">
      <w:pPr>
        <w:pStyle w:val="ListParagraph"/>
        <w:numPr>
          <w:ilvl w:val="0"/>
          <w:numId w:val="5"/>
        </w:numPr>
        <w:spacing w:after="240" w:line="259" w:lineRule="auto"/>
        <w:rPr>
          <w:sz w:val="20"/>
          <w:szCs w:val="20"/>
          <w:u w:val="single"/>
        </w:rPr>
      </w:pPr>
      <w:r w:rsidRPr="00A413E2">
        <w:rPr>
          <w:sz w:val="20"/>
          <w:szCs w:val="20"/>
          <w:u w:val="single"/>
        </w:rPr>
        <w:t>Curricular Materials:</w:t>
      </w:r>
      <w:r w:rsidRPr="00A413E2">
        <w:rPr>
          <w:sz w:val="20"/>
          <w:szCs w:val="20"/>
        </w:rPr>
        <w:t xml:space="preserve"> </w:t>
      </w:r>
      <w:r w:rsidR="001961A8">
        <w:rPr>
          <w:sz w:val="20"/>
          <w:szCs w:val="20"/>
        </w:rPr>
        <w:t>FoolProofMe offers</w:t>
      </w:r>
      <w:r w:rsidRPr="00A413E2">
        <w:rPr>
          <w:sz w:val="20"/>
          <w:szCs w:val="20"/>
        </w:rPr>
        <w:t xml:space="preserve"> </w:t>
      </w:r>
      <w:r>
        <w:rPr>
          <w:sz w:val="20"/>
          <w:szCs w:val="20"/>
        </w:rPr>
        <w:t>programs</w:t>
      </w:r>
      <w:r w:rsidRPr="00A413E2">
        <w:rPr>
          <w:sz w:val="20"/>
          <w:szCs w:val="20"/>
        </w:rPr>
        <w:t xml:space="preserve"> catered towards middle school and high school students. </w:t>
      </w:r>
    </w:p>
    <w:p w14:paraId="0F055890" w14:textId="14F8CB16" w:rsidR="00A413E2" w:rsidRPr="00A413E2" w:rsidRDefault="00AA6045" w:rsidP="00AA6045">
      <w:pPr>
        <w:pStyle w:val="ListParagraph"/>
        <w:numPr>
          <w:ilvl w:val="1"/>
          <w:numId w:val="5"/>
        </w:numPr>
        <w:spacing w:after="240" w:line="259" w:lineRule="auto"/>
        <w:rPr>
          <w:sz w:val="20"/>
          <w:szCs w:val="20"/>
          <w:u w:val="single"/>
        </w:rPr>
      </w:pPr>
      <w:r>
        <w:rPr>
          <w:sz w:val="20"/>
          <w:szCs w:val="20"/>
          <w:u w:val="single"/>
        </w:rPr>
        <w:t>Classroom Materials:</w:t>
      </w:r>
      <w:r w:rsidRPr="00CD76D5">
        <w:rPr>
          <w:sz w:val="20"/>
          <w:szCs w:val="20"/>
        </w:rPr>
        <w:t xml:space="preserve"> </w:t>
      </w:r>
      <w:r w:rsidR="00CD76D5">
        <w:rPr>
          <w:sz w:val="20"/>
          <w:szCs w:val="20"/>
        </w:rPr>
        <w:t>The</w:t>
      </w:r>
      <w:r w:rsidR="00A413E2" w:rsidRPr="00A413E2">
        <w:rPr>
          <w:sz w:val="20"/>
          <w:szCs w:val="20"/>
        </w:rPr>
        <w:t xml:space="preserve"> curriculum </w:t>
      </w:r>
      <w:r>
        <w:rPr>
          <w:sz w:val="20"/>
          <w:szCs w:val="20"/>
        </w:rPr>
        <w:t>is aligned to</w:t>
      </w:r>
      <w:r w:rsidR="00A413E2" w:rsidRPr="00A413E2">
        <w:rPr>
          <w:sz w:val="20"/>
          <w:szCs w:val="20"/>
        </w:rPr>
        <w:t xml:space="preserve"> the </w:t>
      </w:r>
      <w:r>
        <w:rPr>
          <w:sz w:val="20"/>
          <w:szCs w:val="20"/>
        </w:rPr>
        <w:t>Council for Economic Education</w:t>
      </w:r>
      <w:r w:rsidR="00A413E2" w:rsidRPr="00A413E2">
        <w:rPr>
          <w:sz w:val="20"/>
          <w:szCs w:val="20"/>
        </w:rPr>
        <w:t xml:space="preserve"> standards. Aside from teaching basic financial literacy concepts, the </w:t>
      </w:r>
      <w:r w:rsidR="009F64D9">
        <w:rPr>
          <w:sz w:val="20"/>
          <w:szCs w:val="20"/>
        </w:rPr>
        <w:t>materials</w:t>
      </w:r>
      <w:r w:rsidR="00A413E2" w:rsidRPr="00A413E2">
        <w:rPr>
          <w:sz w:val="20"/>
          <w:szCs w:val="20"/>
        </w:rPr>
        <w:t xml:space="preserve"> help students build good decision-making habits.</w:t>
      </w:r>
      <w:r w:rsidR="00A413E2">
        <w:rPr>
          <w:sz w:val="20"/>
          <w:szCs w:val="20"/>
        </w:rPr>
        <w:t xml:space="preserve"> </w:t>
      </w:r>
      <w:r w:rsidR="00A413E2" w:rsidRPr="00A413E2">
        <w:rPr>
          <w:sz w:val="20"/>
          <w:szCs w:val="20"/>
        </w:rPr>
        <w:t xml:space="preserve">They include videos, interactive conversations, animation and text; students can register and complete at their own </w:t>
      </w:r>
      <w:r w:rsidR="00CD76D5">
        <w:rPr>
          <w:sz w:val="20"/>
          <w:szCs w:val="20"/>
        </w:rPr>
        <w:t>pace</w:t>
      </w:r>
      <w:r w:rsidR="00A413E2" w:rsidRPr="00A413E2">
        <w:rPr>
          <w:sz w:val="20"/>
          <w:szCs w:val="20"/>
        </w:rPr>
        <w:t xml:space="preserve">, and teachers can monitor </w:t>
      </w:r>
      <w:r>
        <w:rPr>
          <w:sz w:val="20"/>
          <w:szCs w:val="20"/>
        </w:rPr>
        <w:t>progress.</w:t>
      </w:r>
    </w:p>
    <w:p w14:paraId="09D52993" w14:textId="4960838E" w:rsidR="009F0DD9" w:rsidRDefault="00A413E2" w:rsidP="00AA6045">
      <w:pPr>
        <w:pStyle w:val="ListParagraph"/>
        <w:numPr>
          <w:ilvl w:val="1"/>
          <w:numId w:val="5"/>
        </w:numPr>
        <w:spacing w:after="240" w:line="259" w:lineRule="auto"/>
        <w:rPr>
          <w:sz w:val="20"/>
          <w:szCs w:val="20"/>
        </w:rPr>
      </w:pPr>
      <w:hyperlink r:id="rId46" w:history="1">
        <w:r w:rsidRPr="00A413E2">
          <w:rPr>
            <w:rStyle w:val="Hyperlink"/>
            <w:sz w:val="20"/>
            <w:szCs w:val="20"/>
          </w:rPr>
          <w:t>Solo Program:</w:t>
        </w:r>
      </w:hyperlink>
      <w:r w:rsidRPr="00A413E2">
        <w:rPr>
          <w:sz w:val="20"/>
          <w:szCs w:val="20"/>
        </w:rPr>
        <w:t xml:space="preserve"> </w:t>
      </w:r>
      <w:r w:rsidR="001961A8">
        <w:rPr>
          <w:sz w:val="20"/>
          <w:szCs w:val="20"/>
        </w:rPr>
        <w:t>This program, intended for students to work through independently, consists</w:t>
      </w:r>
      <w:r w:rsidRPr="00A413E2">
        <w:rPr>
          <w:sz w:val="20"/>
          <w:szCs w:val="20"/>
        </w:rPr>
        <w:t xml:space="preserve"> of 18 interactive videos on topics such as renting, bankruptcy, credit cards, and money habits.</w:t>
      </w:r>
    </w:p>
    <w:p w14:paraId="2015EB4B" w14:textId="2F3243DE" w:rsidR="00872B19" w:rsidRDefault="00872B19" w:rsidP="00872B19">
      <w:pPr>
        <w:spacing w:after="120" w:line="259" w:lineRule="auto"/>
        <w:rPr>
          <w:rFonts w:ascii="Georgia" w:hAnsi="Georgia" w:cstheme="minorHAnsi"/>
          <w:b/>
          <w:bCs/>
          <w:i/>
          <w:iCs/>
          <w:sz w:val="26"/>
          <w:szCs w:val="26"/>
        </w:rPr>
      </w:pPr>
      <w:hyperlink r:id="rId47" w:history="1">
        <w:r w:rsidRPr="00994D98">
          <w:rPr>
            <w:rStyle w:val="Hyperlink"/>
            <w:rFonts w:ascii="Georgia" w:hAnsi="Georgia" w:cstheme="minorHAnsi"/>
            <w:b/>
            <w:bCs/>
            <w:sz w:val="26"/>
            <w:szCs w:val="26"/>
          </w:rPr>
          <w:t>Intuit for Education</w:t>
        </w:r>
      </w:hyperlink>
      <w:r w:rsidRPr="009F0DD9">
        <w:rPr>
          <w:rFonts w:ascii="Georgia" w:hAnsi="Georgia"/>
          <w:sz w:val="26"/>
          <w:szCs w:val="26"/>
        </w:rPr>
        <w:br/>
      </w:r>
      <w:r>
        <w:rPr>
          <w:i/>
          <w:iCs/>
          <w:sz w:val="20"/>
          <w:szCs w:val="20"/>
        </w:rPr>
        <w:t>Intuit for Education provides personal and entrepreneurial finance</w:t>
      </w:r>
      <w:r w:rsidRPr="00872B19">
        <w:rPr>
          <w:i/>
          <w:iCs/>
          <w:sz w:val="20"/>
          <w:szCs w:val="20"/>
        </w:rPr>
        <w:t xml:space="preserve"> literacy </w:t>
      </w:r>
      <w:r>
        <w:rPr>
          <w:i/>
          <w:iCs/>
          <w:sz w:val="20"/>
          <w:szCs w:val="20"/>
        </w:rPr>
        <w:t>curriculum</w:t>
      </w:r>
      <w:r w:rsidRPr="00872B19">
        <w:rPr>
          <w:i/>
          <w:iCs/>
          <w:sz w:val="20"/>
          <w:szCs w:val="20"/>
        </w:rPr>
        <w:t xml:space="preserve"> for high school students</w:t>
      </w:r>
      <w:r>
        <w:rPr>
          <w:i/>
          <w:iCs/>
          <w:sz w:val="20"/>
          <w:szCs w:val="20"/>
        </w:rPr>
        <w:t>. It highlights</w:t>
      </w:r>
      <w:r w:rsidRPr="00872B19">
        <w:rPr>
          <w:i/>
          <w:iCs/>
          <w:sz w:val="20"/>
          <w:szCs w:val="20"/>
        </w:rPr>
        <w:t xml:space="preserve"> real-world tools</w:t>
      </w:r>
      <w:r>
        <w:rPr>
          <w:i/>
          <w:iCs/>
          <w:sz w:val="20"/>
          <w:szCs w:val="20"/>
        </w:rPr>
        <w:t xml:space="preserve"> such as TurboTax</w:t>
      </w:r>
      <w:r w:rsidRPr="00872B19">
        <w:rPr>
          <w:i/>
          <w:iCs/>
          <w:sz w:val="20"/>
          <w:szCs w:val="20"/>
        </w:rPr>
        <w:t xml:space="preserve"> to get </w:t>
      </w:r>
      <w:r>
        <w:rPr>
          <w:i/>
          <w:iCs/>
          <w:sz w:val="20"/>
          <w:szCs w:val="20"/>
        </w:rPr>
        <w:t>students</w:t>
      </w:r>
      <w:r w:rsidRPr="00872B19">
        <w:rPr>
          <w:i/>
          <w:iCs/>
          <w:sz w:val="20"/>
          <w:szCs w:val="20"/>
        </w:rPr>
        <w:t xml:space="preserve"> excited about finances and build their financial confidence.</w:t>
      </w:r>
      <w:r>
        <w:rPr>
          <w:i/>
          <w:iCs/>
          <w:sz w:val="20"/>
          <w:szCs w:val="20"/>
        </w:rPr>
        <w:t xml:space="preserve"> </w:t>
      </w:r>
    </w:p>
    <w:p w14:paraId="03F04DDA" w14:textId="0D930133" w:rsidR="00872B19" w:rsidRPr="00AA6045" w:rsidRDefault="00872B19" w:rsidP="00872B19">
      <w:pPr>
        <w:pStyle w:val="ListParagraph"/>
        <w:numPr>
          <w:ilvl w:val="0"/>
          <w:numId w:val="5"/>
        </w:numPr>
        <w:spacing w:after="240" w:line="259" w:lineRule="auto"/>
        <w:rPr>
          <w:sz w:val="20"/>
          <w:szCs w:val="20"/>
          <w:u w:val="single"/>
        </w:rPr>
      </w:pPr>
      <w:r w:rsidRPr="00A413E2">
        <w:rPr>
          <w:sz w:val="20"/>
          <w:szCs w:val="20"/>
          <w:u w:val="single"/>
        </w:rPr>
        <w:t>Curricular Materials:</w:t>
      </w:r>
      <w:r w:rsidRPr="00A413E2">
        <w:rPr>
          <w:sz w:val="20"/>
          <w:szCs w:val="20"/>
        </w:rPr>
        <w:t xml:space="preserve"> </w:t>
      </w:r>
      <w:r>
        <w:rPr>
          <w:sz w:val="20"/>
          <w:szCs w:val="20"/>
        </w:rPr>
        <w:t>Intuit for Education offers</w:t>
      </w:r>
      <w:r w:rsidRPr="00A413E2">
        <w:rPr>
          <w:sz w:val="20"/>
          <w:szCs w:val="20"/>
        </w:rPr>
        <w:t xml:space="preserve"> </w:t>
      </w:r>
      <w:r>
        <w:rPr>
          <w:sz w:val="20"/>
          <w:szCs w:val="20"/>
        </w:rPr>
        <w:t>programs</w:t>
      </w:r>
      <w:r w:rsidRPr="00A413E2">
        <w:rPr>
          <w:sz w:val="20"/>
          <w:szCs w:val="20"/>
        </w:rPr>
        <w:t xml:space="preserve"> catered towards </w:t>
      </w:r>
      <w:r>
        <w:rPr>
          <w:sz w:val="20"/>
          <w:szCs w:val="20"/>
        </w:rPr>
        <w:t xml:space="preserve">high </w:t>
      </w:r>
      <w:r w:rsidRPr="00A413E2">
        <w:rPr>
          <w:sz w:val="20"/>
          <w:szCs w:val="20"/>
        </w:rPr>
        <w:t xml:space="preserve">school students. </w:t>
      </w:r>
    </w:p>
    <w:p w14:paraId="34E7611D" w14:textId="6AAF773F" w:rsidR="00872B19" w:rsidRPr="006E3DA0" w:rsidRDefault="00872B19" w:rsidP="00872B19">
      <w:pPr>
        <w:pStyle w:val="ListParagraph"/>
        <w:numPr>
          <w:ilvl w:val="1"/>
          <w:numId w:val="5"/>
        </w:numPr>
        <w:spacing w:after="240" w:line="259" w:lineRule="auto"/>
        <w:rPr>
          <w:sz w:val="20"/>
          <w:szCs w:val="20"/>
          <w:u w:val="single"/>
        </w:rPr>
      </w:pPr>
      <w:r w:rsidRPr="006E3DA0">
        <w:rPr>
          <w:sz w:val="20"/>
          <w:szCs w:val="20"/>
          <w:u w:val="single"/>
        </w:rPr>
        <w:t>Classroom Materials:</w:t>
      </w:r>
      <w:r w:rsidRPr="006E3DA0">
        <w:rPr>
          <w:sz w:val="20"/>
          <w:szCs w:val="20"/>
        </w:rPr>
        <w:t xml:space="preserve"> The curriculum is aligned to the Massachusetts standards. Aside from teaching </w:t>
      </w:r>
      <w:r w:rsidR="006E3DA0" w:rsidRPr="006E3DA0">
        <w:rPr>
          <w:sz w:val="20"/>
          <w:szCs w:val="20"/>
        </w:rPr>
        <w:t>charitable giving</w:t>
      </w:r>
      <w:r w:rsidRPr="006E3DA0">
        <w:rPr>
          <w:sz w:val="20"/>
          <w:szCs w:val="20"/>
        </w:rPr>
        <w:t xml:space="preserve">, the materials help students </w:t>
      </w:r>
      <w:r w:rsidR="006E3DA0" w:rsidRPr="006E3DA0">
        <w:rPr>
          <w:sz w:val="20"/>
          <w:szCs w:val="20"/>
        </w:rPr>
        <w:t>increa</w:t>
      </w:r>
      <w:r w:rsidRPr="006E3DA0">
        <w:rPr>
          <w:sz w:val="20"/>
          <w:szCs w:val="20"/>
        </w:rPr>
        <w:t>s</w:t>
      </w:r>
      <w:r w:rsidR="006E3DA0" w:rsidRPr="006E3DA0">
        <w:rPr>
          <w:sz w:val="20"/>
          <w:szCs w:val="20"/>
        </w:rPr>
        <w:t>e their personal and entrepreneurial finance knowledge and confidence</w:t>
      </w:r>
      <w:r w:rsidRPr="006E3DA0">
        <w:rPr>
          <w:sz w:val="20"/>
          <w:szCs w:val="20"/>
        </w:rPr>
        <w:t xml:space="preserve">. </w:t>
      </w:r>
      <w:r w:rsidR="006E3DA0" w:rsidRPr="006E3DA0">
        <w:rPr>
          <w:sz w:val="20"/>
          <w:szCs w:val="20"/>
        </w:rPr>
        <w:t>The curriculum includes lesson plans and materials, interactive activities, and an option for students to complete the course self-paced.</w:t>
      </w:r>
    </w:p>
    <w:p w14:paraId="6802EB17" w14:textId="281CE4FD" w:rsidR="00872B19" w:rsidRPr="00872B19" w:rsidRDefault="00872B19" w:rsidP="00872B19">
      <w:pPr>
        <w:pStyle w:val="ListParagraph"/>
        <w:numPr>
          <w:ilvl w:val="0"/>
          <w:numId w:val="5"/>
        </w:numPr>
        <w:spacing w:after="240" w:line="259" w:lineRule="auto"/>
        <w:rPr>
          <w:sz w:val="20"/>
          <w:szCs w:val="20"/>
        </w:rPr>
      </w:pPr>
      <w:r>
        <w:rPr>
          <w:rFonts w:asciiTheme="minorHAnsi" w:hAnsiTheme="minorHAnsi" w:cstheme="minorHAnsi"/>
          <w:sz w:val="20"/>
          <w:szCs w:val="20"/>
          <w:u w:val="single"/>
        </w:rPr>
        <w:t>Professional Development:</w:t>
      </w:r>
      <w:r w:rsidRPr="00872B19">
        <w:rPr>
          <w:rFonts w:asciiTheme="minorHAnsi" w:hAnsiTheme="minorHAnsi" w:cstheme="minorHAnsi"/>
          <w:color w:val="FF0000"/>
          <w:sz w:val="20"/>
          <w:szCs w:val="20"/>
        </w:rPr>
        <w:t xml:space="preserve"> </w:t>
      </w:r>
      <w:r w:rsidR="006E3DA0" w:rsidRPr="00CD76D5">
        <w:rPr>
          <w:rFonts w:asciiTheme="minorHAnsi" w:hAnsiTheme="minorHAnsi" w:cstheme="minorHAnsi"/>
          <w:sz w:val="20"/>
          <w:szCs w:val="20"/>
        </w:rPr>
        <w:t xml:space="preserve">Educators can </w:t>
      </w:r>
      <w:r w:rsidR="00994D98">
        <w:rPr>
          <w:rFonts w:asciiTheme="minorHAnsi" w:hAnsiTheme="minorHAnsi" w:cstheme="minorHAnsi"/>
          <w:sz w:val="20"/>
          <w:szCs w:val="20"/>
        </w:rPr>
        <w:t>access</w:t>
      </w:r>
      <w:r w:rsidR="006E3DA0">
        <w:rPr>
          <w:rFonts w:asciiTheme="minorHAnsi" w:hAnsiTheme="minorHAnsi" w:cstheme="minorHAnsi"/>
          <w:sz w:val="20"/>
          <w:szCs w:val="20"/>
        </w:rPr>
        <w:t xml:space="preserve"> live and on-demand webinars, vodcasts (video podcast), </w:t>
      </w:r>
      <w:r w:rsidR="006E3DA0">
        <w:rPr>
          <w:rFonts w:asciiTheme="minorHAnsi" w:hAnsiTheme="minorHAnsi" w:cstheme="minorHAnsi"/>
          <w:sz w:val="20"/>
          <w:szCs w:val="20"/>
        </w:rPr>
        <w:lastRenderedPageBreak/>
        <w:t>on-demand modules,</w:t>
      </w:r>
      <w:r w:rsidR="00994D98">
        <w:rPr>
          <w:rFonts w:asciiTheme="minorHAnsi" w:hAnsiTheme="minorHAnsi" w:cstheme="minorHAnsi"/>
          <w:sz w:val="20"/>
          <w:szCs w:val="20"/>
        </w:rPr>
        <w:t xml:space="preserve"> and</w:t>
      </w:r>
      <w:r w:rsidR="006E3DA0">
        <w:rPr>
          <w:rFonts w:asciiTheme="minorHAnsi" w:hAnsiTheme="minorHAnsi" w:cstheme="minorHAnsi"/>
          <w:sz w:val="20"/>
          <w:szCs w:val="20"/>
        </w:rPr>
        <w:t xml:space="preserve"> join educator community</w:t>
      </w:r>
      <w:r w:rsidR="00994D98">
        <w:rPr>
          <w:rFonts w:asciiTheme="minorHAnsi" w:hAnsiTheme="minorHAnsi" w:cstheme="minorHAnsi"/>
          <w:sz w:val="20"/>
          <w:szCs w:val="20"/>
        </w:rPr>
        <w:t>.</w:t>
      </w:r>
    </w:p>
    <w:p w14:paraId="79B2AC23" w14:textId="4F0888E5" w:rsidR="00872B19" w:rsidRPr="006E3DA0" w:rsidRDefault="00872B19" w:rsidP="00872B19">
      <w:pPr>
        <w:pStyle w:val="ListParagraph"/>
        <w:numPr>
          <w:ilvl w:val="0"/>
          <w:numId w:val="5"/>
        </w:numPr>
        <w:spacing w:after="240" w:line="259" w:lineRule="auto"/>
        <w:rPr>
          <w:sz w:val="20"/>
          <w:szCs w:val="20"/>
        </w:rPr>
      </w:pPr>
      <w:r w:rsidRPr="006E3DA0">
        <w:rPr>
          <w:rFonts w:asciiTheme="minorHAnsi" w:hAnsiTheme="minorHAnsi" w:cstheme="minorHAnsi"/>
          <w:sz w:val="20"/>
          <w:szCs w:val="20"/>
          <w:u w:val="single"/>
        </w:rPr>
        <w:t>Supplemental Programs:</w:t>
      </w:r>
      <w:r w:rsidRPr="006E3DA0">
        <w:rPr>
          <w:rFonts w:asciiTheme="minorHAnsi" w:hAnsiTheme="minorHAnsi" w:cstheme="minorHAnsi"/>
          <w:sz w:val="20"/>
          <w:szCs w:val="20"/>
        </w:rPr>
        <w:t xml:space="preserve"> </w:t>
      </w:r>
      <w:r w:rsidR="006E3DA0" w:rsidRPr="006E3DA0">
        <w:rPr>
          <w:rFonts w:asciiTheme="minorHAnsi" w:hAnsiTheme="minorHAnsi" w:cstheme="minorHAnsi"/>
          <w:sz w:val="20"/>
          <w:szCs w:val="20"/>
        </w:rPr>
        <w:t>Programs include “Intuit Hour of Finance Challenge” (a competition designed to introduce students to personal finance concepts in an hour or less) and Prosperity Quest (financial literacy games).</w:t>
      </w:r>
    </w:p>
    <w:p w14:paraId="2283B4F8" w14:textId="54079010" w:rsidR="009F0DD9" w:rsidRDefault="009F0DD9" w:rsidP="009E0EF0">
      <w:pPr>
        <w:widowControl/>
        <w:autoSpaceDE/>
        <w:autoSpaceDN/>
        <w:spacing w:after="160" w:line="259" w:lineRule="auto"/>
        <w:rPr>
          <w:rFonts w:asciiTheme="minorHAnsi" w:hAnsiTheme="minorHAnsi" w:cstheme="minorHAnsi"/>
          <w:i/>
          <w:iCs/>
          <w:sz w:val="20"/>
          <w:szCs w:val="20"/>
        </w:rPr>
      </w:pPr>
      <w:hyperlink r:id="rId48" w:history="1">
        <w:r w:rsidRPr="009F0DD9">
          <w:rPr>
            <w:rStyle w:val="Hyperlink"/>
            <w:rFonts w:ascii="Georgia" w:hAnsi="Georgia"/>
            <w:b/>
            <w:bCs/>
            <w:sz w:val="26"/>
            <w:szCs w:val="26"/>
          </w:rPr>
          <w:t>Junior Achievement</w:t>
        </w:r>
      </w:hyperlink>
      <w:r>
        <w:br/>
      </w:r>
      <w:r w:rsidR="001365D3">
        <w:rPr>
          <w:rFonts w:asciiTheme="minorHAnsi" w:hAnsiTheme="minorHAnsi" w:cstheme="minorHAnsi"/>
          <w:i/>
          <w:iCs/>
          <w:sz w:val="20"/>
          <w:szCs w:val="20"/>
        </w:rPr>
        <w:t>Junior Achievement (JA)</w:t>
      </w:r>
      <w:r w:rsidR="001365D3" w:rsidRPr="005F116A">
        <w:rPr>
          <w:rFonts w:asciiTheme="minorHAnsi" w:hAnsiTheme="minorHAnsi" w:cstheme="minorHAnsi"/>
          <w:i/>
          <w:iCs/>
          <w:sz w:val="20"/>
          <w:szCs w:val="20"/>
        </w:rPr>
        <w:t xml:space="preserve"> provides a full-fledged</w:t>
      </w:r>
      <w:r w:rsidR="001365D3">
        <w:rPr>
          <w:rFonts w:asciiTheme="minorHAnsi" w:hAnsiTheme="minorHAnsi" w:cstheme="minorHAnsi"/>
          <w:i/>
          <w:iCs/>
          <w:sz w:val="20"/>
          <w:szCs w:val="20"/>
        </w:rPr>
        <w:t xml:space="preserve"> </w:t>
      </w:r>
      <w:r w:rsidR="001365D3" w:rsidRPr="005F116A">
        <w:rPr>
          <w:rFonts w:asciiTheme="minorHAnsi" w:hAnsiTheme="minorHAnsi" w:cstheme="minorHAnsi"/>
          <w:i/>
          <w:iCs/>
          <w:sz w:val="20"/>
          <w:szCs w:val="20"/>
        </w:rPr>
        <w:t>personal finance curriculum to local schools and youth organizations through the support of local businesses, individuals, and foundations</w:t>
      </w:r>
      <w:r w:rsidR="001365D3">
        <w:rPr>
          <w:rFonts w:asciiTheme="minorHAnsi" w:hAnsiTheme="minorHAnsi" w:cstheme="minorHAnsi"/>
          <w:i/>
          <w:iCs/>
          <w:sz w:val="20"/>
          <w:szCs w:val="20"/>
        </w:rPr>
        <w:t>. Materials focus on teaching finance and economics lessons to students in a real-world context.</w:t>
      </w:r>
    </w:p>
    <w:p w14:paraId="412EA322" w14:textId="504A0528" w:rsidR="001365D3" w:rsidRDefault="00AA6045" w:rsidP="001365D3">
      <w:pPr>
        <w:pStyle w:val="ListParagraph"/>
        <w:widowControl/>
        <w:numPr>
          <w:ilvl w:val="0"/>
          <w:numId w:val="5"/>
        </w:numPr>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u w:val="single"/>
        </w:rPr>
        <w:t>Curricular Materials</w:t>
      </w:r>
      <w:r w:rsidR="001365D3">
        <w:rPr>
          <w:rFonts w:asciiTheme="minorHAnsi" w:hAnsiTheme="minorHAnsi" w:cstheme="minorHAnsi"/>
          <w:sz w:val="20"/>
          <w:szCs w:val="20"/>
          <w:u w:val="single"/>
        </w:rPr>
        <w:t>:</w:t>
      </w:r>
      <w:r w:rsidR="001365D3">
        <w:rPr>
          <w:rFonts w:asciiTheme="minorHAnsi" w:hAnsiTheme="minorHAnsi" w:cstheme="minorHAnsi"/>
          <w:sz w:val="20"/>
          <w:szCs w:val="20"/>
        </w:rPr>
        <w:t xml:space="preserve"> </w:t>
      </w:r>
      <w:r w:rsidR="001365D3" w:rsidRPr="005F116A">
        <w:rPr>
          <w:rFonts w:asciiTheme="minorHAnsi" w:hAnsiTheme="minorHAnsi" w:cstheme="minorHAnsi"/>
          <w:sz w:val="20"/>
          <w:szCs w:val="20"/>
        </w:rPr>
        <w:t>JA offers High School Experience courses, which are one-semester, teacher-led courses targeting 9-12 grade students</w:t>
      </w:r>
      <w:r w:rsidR="001365D3">
        <w:rPr>
          <w:rFonts w:asciiTheme="minorHAnsi" w:hAnsiTheme="minorHAnsi" w:cstheme="minorHAnsi"/>
          <w:sz w:val="20"/>
          <w:szCs w:val="20"/>
        </w:rPr>
        <w:t>.</w:t>
      </w:r>
      <w:r w:rsidR="009F64D9">
        <w:rPr>
          <w:rFonts w:asciiTheme="minorHAnsi" w:hAnsiTheme="minorHAnsi" w:cstheme="minorHAnsi"/>
          <w:sz w:val="20"/>
          <w:szCs w:val="20"/>
        </w:rPr>
        <w:t xml:space="preserve"> Each course focuses on different personal financial literacy topics.</w:t>
      </w:r>
    </w:p>
    <w:p w14:paraId="5AEC5D1C" w14:textId="06B9D7BB" w:rsidR="001365D3" w:rsidRPr="001365D3" w:rsidRDefault="001365D3" w:rsidP="001365D3">
      <w:pPr>
        <w:pStyle w:val="ListParagraph"/>
        <w:numPr>
          <w:ilvl w:val="1"/>
          <w:numId w:val="5"/>
        </w:numPr>
        <w:spacing w:after="160" w:line="259" w:lineRule="auto"/>
        <w:rPr>
          <w:rFonts w:asciiTheme="minorHAnsi" w:hAnsiTheme="minorHAnsi" w:cstheme="minorHAnsi"/>
          <w:sz w:val="20"/>
          <w:szCs w:val="20"/>
        </w:rPr>
      </w:pPr>
      <w:r w:rsidRPr="001365D3">
        <w:rPr>
          <w:rFonts w:asciiTheme="minorHAnsi" w:hAnsiTheme="minorHAnsi" w:cstheme="minorHAnsi"/>
          <w:sz w:val="20"/>
          <w:szCs w:val="20"/>
          <w:u w:val="single"/>
        </w:rPr>
        <w:t>JA Financial Literacy:</w:t>
      </w:r>
      <w:r w:rsidRPr="001365D3">
        <w:rPr>
          <w:rFonts w:asciiTheme="minorHAnsi" w:hAnsiTheme="minorHAnsi" w:cstheme="minorHAnsi"/>
          <w:sz w:val="20"/>
          <w:szCs w:val="20"/>
        </w:rPr>
        <w:t xml:space="preserve"> </w:t>
      </w:r>
      <w:r>
        <w:rPr>
          <w:rFonts w:asciiTheme="minorHAnsi" w:hAnsiTheme="minorHAnsi" w:cstheme="minorHAnsi"/>
          <w:sz w:val="20"/>
          <w:szCs w:val="20"/>
        </w:rPr>
        <w:t>How</w:t>
      </w:r>
      <w:r w:rsidRPr="001365D3">
        <w:rPr>
          <w:rFonts w:asciiTheme="minorHAnsi" w:hAnsiTheme="minorHAnsi" w:cstheme="minorHAnsi"/>
          <w:sz w:val="20"/>
          <w:szCs w:val="20"/>
        </w:rPr>
        <w:t xml:space="preserve"> to earn and save money; create a budget; manage bank accounts, investments, and credit; assess risks and use insurance; and address financial problems.</w:t>
      </w:r>
    </w:p>
    <w:p w14:paraId="38BCEB57" w14:textId="3A30909D" w:rsidR="001365D3" w:rsidRPr="001365D3" w:rsidRDefault="001365D3" w:rsidP="001365D3">
      <w:pPr>
        <w:pStyle w:val="ListParagraph"/>
        <w:numPr>
          <w:ilvl w:val="1"/>
          <w:numId w:val="5"/>
        </w:numPr>
        <w:spacing w:after="160" w:line="259" w:lineRule="auto"/>
        <w:rPr>
          <w:rFonts w:asciiTheme="minorHAnsi" w:hAnsiTheme="minorHAnsi" w:cstheme="minorHAnsi"/>
          <w:sz w:val="20"/>
          <w:szCs w:val="20"/>
        </w:rPr>
      </w:pPr>
      <w:r w:rsidRPr="001365D3">
        <w:rPr>
          <w:rFonts w:asciiTheme="minorHAnsi" w:hAnsiTheme="minorHAnsi" w:cstheme="minorHAnsi"/>
          <w:sz w:val="20"/>
          <w:szCs w:val="20"/>
          <w:u w:val="single"/>
        </w:rPr>
        <w:t xml:space="preserve">JA Personal Finance 2.0: </w:t>
      </w:r>
      <w:r>
        <w:rPr>
          <w:rFonts w:asciiTheme="minorHAnsi" w:hAnsiTheme="minorHAnsi" w:cstheme="minorHAnsi"/>
          <w:sz w:val="20"/>
          <w:szCs w:val="20"/>
        </w:rPr>
        <w:t xml:space="preserve">Money </w:t>
      </w:r>
      <w:r w:rsidRPr="001365D3">
        <w:rPr>
          <w:rFonts w:asciiTheme="minorHAnsi" w:hAnsiTheme="minorHAnsi" w:cstheme="minorHAnsi"/>
          <w:sz w:val="20"/>
          <w:szCs w:val="20"/>
        </w:rPr>
        <w:t>management strategies, including employment and income, budgeting, savings, credit and debt, consumer protection, risk management, investing, and debt management.</w:t>
      </w:r>
    </w:p>
    <w:p w14:paraId="429D3F39" w14:textId="2F4301F7" w:rsidR="001365D3" w:rsidRPr="001365D3" w:rsidRDefault="001365D3" w:rsidP="001365D3">
      <w:pPr>
        <w:pStyle w:val="ListParagraph"/>
        <w:numPr>
          <w:ilvl w:val="1"/>
          <w:numId w:val="5"/>
        </w:numPr>
        <w:spacing w:after="160" w:line="259" w:lineRule="auto"/>
        <w:rPr>
          <w:rFonts w:asciiTheme="minorHAnsi" w:hAnsiTheme="minorHAnsi" w:cstheme="minorHAnsi"/>
          <w:sz w:val="20"/>
          <w:szCs w:val="20"/>
        </w:rPr>
      </w:pPr>
      <w:r w:rsidRPr="001365D3">
        <w:rPr>
          <w:rFonts w:asciiTheme="minorHAnsi" w:hAnsiTheme="minorHAnsi" w:cstheme="minorHAnsi"/>
          <w:sz w:val="20"/>
          <w:szCs w:val="20"/>
          <w:u w:val="single"/>
        </w:rPr>
        <w:t>JA Economics:</w:t>
      </w:r>
      <w:r w:rsidRPr="001365D3">
        <w:rPr>
          <w:rFonts w:asciiTheme="minorHAnsi" w:hAnsiTheme="minorHAnsi" w:cstheme="minorHAnsi"/>
          <w:sz w:val="20"/>
          <w:szCs w:val="20"/>
        </w:rPr>
        <w:t xml:space="preserve"> </w:t>
      </w:r>
      <w:r>
        <w:rPr>
          <w:rFonts w:asciiTheme="minorHAnsi" w:hAnsiTheme="minorHAnsi" w:cstheme="minorHAnsi"/>
          <w:sz w:val="20"/>
          <w:szCs w:val="20"/>
        </w:rPr>
        <w:t>Connects</w:t>
      </w:r>
      <w:r w:rsidRPr="001365D3">
        <w:rPr>
          <w:rFonts w:asciiTheme="minorHAnsi" w:hAnsiTheme="minorHAnsi" w:cstheme="minorHAnsi"/>
          <w:sz w:val="20"/>
          <w:szCs w:val="20"/>
        </w:rPr>
        <w:t xml:space="preserve"> high school students to the economic principles that influence their daily life as well as their future.</w:t>
      </w:r>
    </w:p>
    <w:p w14:paraId="258F46A6" w14:textId="77777777" w:rsidR="001365D3" w:rsidRPr="001365D3" w:rsidRDefault="001365D3" w:rsidP="001365D3">
      <w:pPr>
        <w:pStyle w:val="ListParagraph"/>
        <w:numPr>
          <w:ilvl w:val="1"/>
          <w:numId w:val="5"/>
        </w:numPr>
        <w:spacing w:after="160" w:line="259" w:lineRule="auto"/>
        <w:rPr>
          <w:rFonts w:asciiTheme="minorHAnsi" w:hAnsiTheme="minorHAnsi" w:cstheme="minorHAnsi"/>
          <w:sz w:val="20"/>
          <w:szCs w:val="20"/>
        </w:rPr>
      </w:pPr>
      <w:r w:rsidRPr="001365D3">
        <w:rPr>
          <w:rFonts w:asciiTheme="minorHAnsi" w:hAnsiTheme="minorHAnsi" w:cstheme="minorHAnsi"/>
          <w:sz w:val="20"/>
          <w:szCs w:val="20"/>
          <w:u w:val="single"/>
        </w:rPr>
        <w:t>JA Financial Capability 1 + 2:</w:t>
      </w:r>
      <w:r w:rsidRPr="001365D3">
        <w:rPr>
          <w:rFonts w:asciiTheme="minorHAnsi" w:hAnsiTheme="minorHAnsi" w:cstheme="minorHAnsi"/>
          <w:sz w:val="20"/>
          <w:szCs w:val="20"/>
        </w:rPr>
        <w:t xml:space="preserve"> One-semester, teacher-led courses in which high school students examine financial capabilities from a business perspective, focusing on (1) banking, economics, business planning, and risk management, (2) employee benefits, ethics, business investment, and international business operations.</w:t>
      </w:r>
    </w:p>
    <w:p w14:paraId="55DBC2FD" w14:textId="3E410542" w:rsidR="001365D3" w:rsidRPr="001365D3" w:rsidRDefault="00AA6045" w:rsidP="001365D3">
      <w:pPr>
        <w:pStyle w:val="ListParagraph"/>
        <w:widowControl/>
        <w:numPr>
          <w:ilvl w:val="0"/>
          <w:numId w:val="5"/>
        </w:numPr>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u w:val="single"/>
        </w:rPr>
        <w:t>Supplemental Programs</w:t>
      </w:r>
      <w:r w:rsidR="001365D3">
        <w:rPr>
          <w:rFonts w:asciiTheme="minorHAnsi" w:hAnsiTheme="minorHAnsi" w:cstheme="minorHAnsi"/>
          <w:sz w:val="20"/>
          <w:szCs w:val="20"/>
          <w:u w:val="single"/>
        </w:rPr>
        <w:t>:</w:t>
      </w:r>
      <w:r w:rsidR="001365D3">
        <w:rPr>
          <w:rFonts w:asciiTheme="minorHAnsi" w:hAnsiTheme="minorHAnsi" w:cstheme="minorHAnsi"/>
          <w:sz w:val="20"/>
          <w:szCs w:val="20"/>
        </w:rPr>
        <w:t xml:space="preserve"> Programs include “Take Stock in Your Future” (a curriculum and stock market competition event)</w:t>
      </w:r>
      <w:r w:rsidR="009F64D9">
        <w:rPr>
          <w:rFonts w:asciiTheme="minorHAnsi" w:hAnsiTheme="minorHAnsi" w:cstheme="minorHAnsi"/>
          <w:sz w:val="20"/>
          <w:szCs w:val="20"/>
        </w:rPr>
        <w:t>;</w:t>
      </w:r>
      <w:r w:rsidR="001365D3">
        <w:rPr>
          <w:rFonts w:asciiTheme="minorHAnsi" w:hAnsiTheme="minorHAnsi" w:cstheme="minorHAnsi"/>
          <w:sz w:val="20"/>
          <w:szCs w:val="20"/>
        </w:rPr>
        <w:t xml:space="preserve"> a simulation-based program in which students compete as CEOs making business decisions</w:t>
      </w:r>
      <w:r w:rsidR="009F64D9">
        <w:rPr>
          <w:rFonts w:asciiTheme="minorHAnsi" w:hAnsiTheme="minorHAnsi" w:cstheme="minorHAnsi"/>
          <w:sz w:val="20"/>
          <w:szCs w:val="20"/>
        </w:rPr>
        <w:t>;</w:t>
      </w:r>
      <w:r w:rsidR="001365D3">
        <w:rPr>
          <w:rFonts w:asciiTheme="minorHAnsi" w:hAnsiTheme="minorHAnsi" w:cstheme="minorHAnsi"/>
          <w:sz w:val="20"/>
          <w:szCs w:val="20"/>
        </w:rPr>
        <w:t xml:space="preserve"> a volunteer-led session focused on purchasing a car</w:t>
      </w:r>
      <w:r w:rsidR="009F64D9">
        <w:rPr>
          <w:rFonts w:asciiTheme="minorHAnsi" w:hAnsiTheme="minorHAnsi" w:cstheme="minorHAnsi"/>
          <w:sz w:val="20"/>
          <w:szCs w:val="20"/>
        </w:rPr>
        <w:t xml:space="preserve">; </w:t>
      </w:r>
      <w:r w:rsidR="001365D3">
        <w:rPr>
          <w:rFonts w:asciiTheme="minorHAnsi" w:hAnsiTheme="minorHAnsi" w:cstheme="minorHAnsi"/>
          <w:sz w:val="20"/>
          <w:szCs w:val="20"/>
        </w:rPr>
        <w:t>and others.</w:t>
      </w:r>
    </w:p>
    <w:p w14:paraId="63049769" w14:textId="66D18CB1" w:rsidR="001365D3" w:rsidRPr="001365D3" w:rsidRDefault="001365D3" w:rsidP="00CD76D5">
      <w:pPr>
        <w:pStyle w:val="ListParagraph"/>
        <w:widowControl/>
        <w:numPr>
          <w:ilvl w:val="0"/>
          <w:numId w:val="5"/>
        </w:numPr>
        <w:autoSpaceDE/>
        <w:autoSpaceDN/>
        <w:spacing w:after="240" w:line="259" w:lineRule="auto"/>
        <w:rPr>
          <w:rFonts w:asciiTheme="minorHAnsi" w:hAnsiTheme="minorHAnsi" w:cstheme="minorHAnsi"/>
          <w:sz w:val="20"/>
          <w:szCs w:val="20"/>
        </w:rPr>
      </w:pPr>
      <w:r>
        <w:rPr>
          <w:rFonts w:asciiTheme="minorHAnsi" w:hAnsiTheme="minorHAnsi" w:cstheme="minorHAnsi"/>
          <w:sz w:val="20"/>
          <w:szCs w:val="20"/>
          <w:u w:val="single"/>
        </w:rPr>
        <w:t>Online Resources:</w:t>
      </w:r>
      <w:r w:rsidR="003B20D6">
        <w:rPr>
          <w:rFonts w:asciiTheme="minorHAnsi" w:hAnsiTheme="minorHAnsi" w:cstheme="minorHAnsi"/>
          <w:sz w:val="20"/>
          <w:szCs w:val="20"/>
        </w:rPr>
        <w:t xml:space="preserve"> JA p</w:t>
      </w:r>
      <w:r w:rsidR="003B20D6" w:rsidRPr="005F116A">
        <w:rPr>
          <w:rFonts w:asciiTheme="minorHAnsi" w:hAnsiTheme="minorHAnsi" w:cstheme="minorHAnsi"/>
          <w:sz w:val="20"/>
          <w:szCs w:val="20"/>
        </w:rPr>
        <w:t>rovides online content including activities, videos, and career speaker videos for students and parents</w:t>
      </w:r>
      <w:r w:rsidR="00AA6045">
        <w:rPr>
          <w:rFonts w:asciiTheme="minorHAnsi" w:hAnsiTheme="minorHAnsi" w:cstheme="minorHAnsi"/>
          <w:sz w:val="20"/>
          <w:szCs w:val="20"/>
        </w:rPr>
        <w:t>.</w:t>
      </w:r>
    </w:p>
    <w:p w14:paraId="10D6A2E5" w14:textId="1BF5C3C9" w:rsidR="009F0DD9" w:rsidRDefault="009F0DD9" w:rsidP="009E0EF0">
      <w:pPr>
        <w:widowControl/>
        <w:autoSpaceDE/>
        <w:autoSpaceDN/>
        <w:spacing w:after="160" w:line="259" w:lineRule="auto"/>
        <w:rPr>
          <w:rFonts w:asciiTheme="minorHAnsi" w:hAnsiTheme="minorHAnsi" w:cstheme="minorHAnsi"/>
          <w:i/>
          <w:iCs/>
          <w:sz w:val="20"/>
          <w:szCs w:val="20"/>
        </w:rPr>
      </w:pPr>
      <w:hyperlink r:id="rId49" w:history="1">
        <w:r w:rsidRPr="009F0DD9">
          <w:rPr>
            <w:rStyle w:val="Hyperlink"/>
            <w:rFonts w:ascii="Georgia" w:hAnsi="Georgia" w:cstheme="minorHAnsi"/>
            <w:b/>
            <w:bCs/>
            <w:sz w:val="26"/>
            <w:szCs w:val="26"/>
          </w:rPr>
          <w:t>National Jump$tart Coalition Clearinghouse</w:t>
        </w:r>
      </w:hyperlink>
      <w:r>
        <w:rPr>
          <w:rFonts w:asciiTheme="minorHAnsi" w:hAnsiTheme="minorHAnsi" w:cstheme="minorHAnsi"/>
          <w:sz w:val="20"/>
          <w:szCs w:val="20"/>
        </w:rPr>
        <w:br/>
      </w:r>
      <w:r w:rsidR="00B20CC3" w:rsidRPr="00B20CC3">
        <w:rPr>
          <w:rFonts w:asciiTheme="minorHAnsi" w:hAnsiTheme="minorHAnsi" w:cstheme="minorHAnsi"/>
          <w:i/>
          <w:iCs/>
          <w:sz w:val="20"/>
          <w:szCs w:val="20"/>
        </w:rPr>
        <w:t>The Jump$tart coalition consists of more than 100 national organizations and a network of 51 independent, affiliated state coalitions that share a commitment to advancing youth financial literacy. They maintain a d</w:t>
      </w:r>
      <w:r w:rsidRPr="00B20CC3">
        <w:rPr>
          <w:rFonts w:asciiTheme="minorHAnsi" w:hAnsiTheme="minorHAnsi" w:cstheme="minorHAnsi"/>
          <w:i/>
          <w:iCs/>
          <w:sz w:val="20"/>
          <w:szCs w:val="20"/>
        </w:rPr>
        <w:t>atabase of effective, financial education resources from various sources (both open source and for-cost)</w:t>
      </w:r>
      <w:r w:rsidR="00B20CC3">
        <w:rPr>
          <w:rFonts w:asciiTheme="minorHAnsi" w:hAnsiTheme="minorHAnsi" w:cstheme="minorHAnsi"/>
          <w:i/>
          <w:iCs/>
          <w:sz w:val="20"/>
          <w:szCs w:val="20"/>
        </w:rPr>
        <w:t>.</w:t>
      </w:r>
    </w:p>
    <w:p w14:paraId="136A4D6E" w14:textId="51631208" w:rsidR="00B20CC3" w:rsidRPr="00B20CC3" w:rsidRDefault="00B20CC3" w:rsidP="00B20CC3">
      <w:pPr>
        <w:pStyle w:val="ListParagraph"/>
        <w:widowControl/>
        <w:numPr>
          <w:ilvl w:val="0"/>
          <w:numId w:val="5"/>
        </w:numPr>
        <w:autoSpaceDE/>
        <w:autoSpaceDN/>
        <w:spacing w:line="259" w:lineRule="auto"/>
        <w:rPr>
          <w:rFonts w:asciiTheme="minorHAnsi" w:hAnsiTheme="minorHAnsi" w:cstheme="minorHAnsi"/>
          <w:sz w:val="20"/>
          <w:szCs w:val="20"/>
        </w:rPr>
      </w:pPr>
      <w:r w:rsidRPr="00B20CC3">
        <w:rPr>
          <w:rFonts w:asciiTheme="minorHAnsi" w:hAnsiTheme="minorHAnsi" w:cstheme="minorHAnsi"/>
          <w:sz w:val="20"/>
          <w:szCs w:val="20"/>
          <w:u w:val="single"/>
        </w:rPr>
        <w:t>Curricular Materials</w:t>
      </w:r>
      <w:r>
        <w:rPr>
          <w:rFonts w:asciiTheme="minorHAnsi" w:hAnsiTheme="minorHAnsi" w:cstheme="minorHAnsi"/>
          <w:sz w:val="20"/>
          <w:szCs w:val="20"/>
        </w:rPr>
        <w:t>: The Clearinghouse is a searchable database with filters by target audience, resource type, and price. It aims to consolidate materials from a variety of personal financial literacy sources.</w:t>
      </w:r>
    </w:p>
    <w:p w14:paraId="0BD3CB62" w14:textId="65EE553A" w:rsidR="00B20CC3" w:rsidRDefault="00B20CC3" w:rsidP="00B20CC3">
      <w:pPr>
        <w:pStyle w:val="ListParagraph"/>
        <w:widowControl/>
        <w:numPr>
          <w:ilvl w:val="0"/>
          <w:numId w:val="5"/>
        </w:numPr>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u w:val="single"/>
        </w:rPr>
        <w:t>Professional Development:</w:t>
      </w:r>
      <w:r>
        <w:rPr>
          <w:rFonts w:asciiTheme="minorHAnsi" w:hAnsiTheme="minorHAnsi" w:cstheme="minorHAnsi"/>
          <w:sz w:val="20"/>
          <w:szCs w:val="20"/>
        </w:rPr>
        <w:t xml:space="preserve"> </w:t>
      </w:r>
      <w:r w:rsidR="009F64D9">
        <w:rPr>
          <w:rFonts w:asciiTheme="minorHAnsi" w:hAnsiTheme="minorHAnsi" w:cstheme="minorHAnsi"/>
          <w:sz w:val="20"/>
          <w:szCs w:val="20"/>
        </w:rPr>
        <w:t>Jump$tart offers a variety of professional learning opportunities.</w:t>
      </w:r>
    </w:p>
    <w:p w14:paraId="22E927E4" w14:textId="1A60060F" w:rsidR="00B20CC3" w:rsidRDefault="00B20CC3" w:rsidP="00B20CC3">
      <w:pPr>
        <w:pStyle w:val="ListParagraph"/>
        <w:widowControl/>
        <w:numPr>
          <w:ilvl w:val="1"/>
          <w:numId w:val="5"/>
        </w:numPr>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t>The</w:t>
      </w:r>
      <w:r w:rsidRPr="00B20CC3">
        <w:rPr>
          <w:rFonts w:asciiTheme="minorHAnsi" w:hAnsiTheme="minorHAnsi" w:cstheme="minorHAnsi"/>
          <w:sz w:val="20"/>
          <w:szCs w:val="20"/>
        </w:rPr>
        <w:t xml:space="preserve"> </w:t>
      </w:r>
      <w:hyperlink r:id="rId50" w:history="1">
        <w:r w:rsidRPr="00B20CC3">
          <w:rPr>
            <w:rStyle w:val="Hyperlink"/>
            <w:rFonts w:asciiTheme="minorHAnsi" w:hAnsiTheme="minorHAnsi" w:cstheme="minorHAnsi"/>
            <w:sz w:val="20"/>
            <w:szCs w:val="20"/>
          </w:rPr>
          <w:t>National Educator Conference</w:t>
        </w:r>
      </w:hyperlink>
      <w:r w:rsidRPr="00B20CC3">
        <w:rPr>
          <w:rFonts w:asciiTheme="minorHAnsi" w:hAnsiTheme="minorHAnsi" w:cstheme="minorHAnsi"/>
          <w:sz w:val="20"/>
          <w:szCs w:val="20"/>
        </w:rPr>
        <w:t xml:space="preserve"> is </w:t>
      </w:r>
      <w:r>
        <w:rPr>
          <w:rFonts w:asciiTheme="minorHAnsi" w:hAnsiTheme="minorHAnsi" w:cstheme="minorHAnsi"/>
          <w:sz w:val="20"/>
          <w:szCs w:val="20"/>
        </w:rPr>
        <w:t>a</w:t>
      </w:r>
      <w:r w:rsidRPr="00B20CC3">
        <w:rPr>
          <w:rFonts w:asciiTheme="minorHAnsi" w:hAnsiTheme="minorHAnsi" w:cstheme="minorHAnsi"/>
          <w:sz w:val="20"/>
          <w:szCs w:val="20"/>
        </w:rPr>
        <w:t xml:space="preserve"> national conference</w:t>
      </w:r>
      <w:r>
        <w:rPr>
          <w:rFonts w:asciiTheme="minorHAnsi" w:hAnsiTheme="minorHAnsi" w:cstheme="minorHAnsi"/>
          <w:sz w:val="20"/>
          <w:szCs w:val="20"/>
        </w:rPr>
        <w:t>, free for educators,</w:t>
      </w:r>
      <w:r w:rsidRPr="00B20CC3">
        <w:rPr>
          <w:rFonts w:asciiTheme="minorHAnsi" w:hAnsiTheme="minorHAnsi" w:cstheme="minorHAnsi"/>
          <w:sz w:val="20"/>
          <w:szCs w:val="20"/>
        </w:rPr>
        <w:t xml:space="preserve"> dedicated to financial education in the classroom and the professionals who teach it. </w:t>
      </w:r>
    </w:p>
    <w:p w14:paraId="3E64C8E4" w14:textId="70D53334" w:rsidR="00B20CC3" w:rsidRPr="00B20CC3" w:rsidRDefault="00B20CC3" w:rsidP="00B20CC3">
      <w:pPr>
        <w:pStyle w:val="ListParagraph"/>
        <w:widowControl/>
        <w:numPr>
          <w:ilvl w:val="1"/>
          <w:numId w:val="5"/>
        </w:numPr>
        <w:autoSpaceDE/>
        <w:autoSpaceDN/>
        <w:spacing w:after="240" w:line="259" w:lineRule="auto"/>
        <w:rPr>
          <w:rFonts w:asciiTheme="minorHAnsi" w:hAnsiTheme="minorHAnsi" w:cstheme="minorHAnsi"/>
          <w:sz w:val="20"/>
          <w:szCs w:val="20"/>
        </w:rPr>
      </w:pPr>
      <w:hyperlink r:id="rId51" w:history="1">
        <w:r w:rsidRPr="00B20CC3">
          <w:rPr>
            <w:rStyle w:val="Hyperlink"/>
            <w:rFonts w:asciiTheme="minorHAnsi" w:hAnsiTheme="minorHAnsi" w:cstheme="minorHAnsi"/>
            <w:sz w:val="20"/>
            <w:szCs w:val="20"/>
          </w:rPr>
          <w:t>Financial Foundations for Educators</w:t>
        </w:r>
      </w:hyperlink>
      <w:r w:rsidRPr="00B20CC3">
        <w:rPr>
          <w:rFonts w:asciiTheme="minorHAnsi" w:hAnsiTheme="minorHAnsi" w:cstheme="minorHAnsi"/>
          <w:sz w:val="20"/>
          <w:szCs w:val="20"/>
        </w:rPr>
        <w:t xml:space="preserve"> is a comprehensive content</w:t>
      </w:r>
      <w:r>
        <w:rPr>
          <w:rFonts w:asciiTheme="minorHAnsi" w:hAnsiTheme="minorHAnsi" w:cstheme="minorHAnsi"/>
          <w:sz w:val="20"/>
          <w:szCs w:val="20"/>
        </w:rPr>
        <w:t>-based professional learning</w:t>
      </w:r>
      <w:r w:rsidRPr="00B20CC3">
        <w:rPr>
          <w:rFonts w:asciiTheme="minorHAnsi" w:hAnsiTheme="minorHAnsi" w:cstheme="minorHAnsi"/>
          <w:sz w:val="20"/>
          <w:szCs w:val="20"/>
        </w:rPr>
        <w:t xml:space="preserve"> model that ensures consistency and rigor in professional development for teachers</w:t>
      </w:r>
    </w:p>
    <w:p w14:paraId="470ED161" w14:textId="78878CA6" w:rsidR="009F0DD9" w:rsidRPr="009F0DD9" w:rsidRDefault="009F0DD9" w:rsidP="009E0EF0">
      <w:pPr>
        <w:spacing w:line="259" w:lineRule="auto"/>
        <w:rPr>
          <w:rFonts w:ascii="Georgia" w:hAnsi="Georgia" w:cstheme="minorHAnsi"/>
          <w:i/>
          <w:sz w:val="26"/>
          <w:szCs w:val="26"/>
        </w:rPr>
      </w:pPr>
      <w:hyperlink r:id="rId52" w:history="1">
        <w:r w:rsidRPr="009F0DD9">
          <w:rPr>
            <w:rStyle w:val="Hyperlink"/>
            <w:rFonts w:ascii="Georgia" w:hAnsi="Georgia" w:cstheme="minorHAnsi"/>
            <w:b/>
            <w:bCs/>
            <w:sz w:val="26"/>
            <w:szCs w:val="26"/>
          </w:rPr>
          <w:t>NextGen Personal Finance</w:t>
        </w:r>
      </w:hyperlink>
    </w:p>
    <w:p w14:paraId="1866050D" w14:textId="451203B9" w:rsidR="0054089D" w:rsidRDefault="0017797A" w:rsidP="001365D3">
      <w:pPr>
        <w:spacing w:after="160" w:line="259" w:lineRule="auto"/>
        <w:rPr>
          <w:rFonts w:ascii="Georgia" w:hAnsi="Georgia" w:cstheme="minorHAnsi"/>
          <w:b/>
          <w:bCs/>
          <w:i/>
          <w:iCs/>
          <w:sz w:val="26"/>
          <w:szCs w:val="26"/>
        </w:rPr>
      </w:pPr>
      <w:r>
        <w:rPr>
          <w:i/>
          <w:iCs/>
          <w:sz w:val="20"/>
          <w:szCs w:val="20"/>
        </w:rPr>
        <w:t>NextGen Personal Finance (NGPF) p</w:t>
      </w:r>
      <w:r w:rsidR="0054089D" w:rsidRPr="005F116A">
        <w:rPr>
          <w:i/>
          <w:iCs/>
          <w:sz w:val="20"/>
          <w:szCs w:val="20"/>
        </w:rPr>
        <w:t xml:space="preserve">rovides </w:t>
      </w:r>
      <w:r>
        <w:rPr>
          <w:i/>
          <w:iCs/>
          <w:sz w:val="20"/>
          <w:szCs w:val="20"/>
        </w:rPr>
        <w:t>comprehensive</w:t>
      </w:r>
      <w:r w:rsidR="001365D3">
        <w:rPr>
          <w:i/>
          <w:iCs/>
          <w:sz w:val="20"/>
          <w:szCs w:val="20"/>
        </w:rPr>
        <w:t xml:space="preserve"> </w:t>
      </w:r>
      <w:r w:rsidR="0054089D" w:rsidRPr="005F116A">
        <w:rPr>
          <w:i/>
          <w:iCs/>
          <w:sz w:val="20"/>
          <w:szCs w:val="20"/>
        </w:rPr>
        <w:t xml:space="preserve">curriculum, professional </w:t>
      </w:r>
      <w:r w:rsidR="001365D3">
        <w:rPr>
          <w:i/>
          <w:iCs/>
          <w:sz w:val="20"/>
          <w:szCs w:val="20"/>
        </w:rPr>
        <w:t>development,</w:t>
      </w:r>
      <w:r w:rsidR="0054089D" w:rsidRPr="005F116A">
        <w:rPr>
          <w:i/>
          <w:iCs/>
          <w:sz w:val="20"/>
          <w:szCs w:val="20"/>
        </w:rPr>
        <w:t xml:space="preserve"> and advocacy resources to increase access to financial education</w:t>
      </w:r>
      <w:r>
        <w:rPr>
          <w:i/>
          <w:iCs/>
          <w:sz w:val="20"/>
          <w:szCs w:val="20"/>
        </w:rPr>
        <w:t xml:space="preserve"> and build a community of financial literacy educators</w:t>
      </w:r>
      <w:r w:rsidR="0054089D" w:rsidRPr="005F116A">
        <w:rPr>
          <w:i/>
          <w:iCs/>
          <w:sz w:val="20"/>
          <w:szCs w:val="20"/>
        </w:rPr>
        <w:t xml:space="preserve">. NGPF also offers step-by-step plans </w:t>
      </w:r>
      <w:r w:rsidR="001365D3">
        <w:rPr>
          <w:i/>
          <w:iCs/>
          <w:sz w:val="20"/>
          <w:szCs w:val="20"/>
        </w:rPr>
        <w:t>for schools and districts to</w:t>
      </w:r>
      <w:r w:rsidR="0054089D" w:rsidRPr="005F116A">
        <w:rPr>
          <w:i/>
          <w:iCs/>
          <w:sz w:val="20"/>
          <w:szCs w:val="20"/>
        </w:rPr>
        <w:t xml:space="preserve"> expand financial education access. </w:t>
      </w:r>
    </w:p>
    <w:p w14:paraId="13FDE2EE" w14:textId="01C04661" w:rsidR="0054089D" w:rsidRPr="0054089D" w:rsidRDefault="00AA6045" w:rsidP="009E0EF0">
      <w:pPr>
        <w:pStyle w:val="ListParagraph"/>
        <w:numPr>
          <w:ilvl w:val="0"/>
          <w:numId w:val="5"/>
        </w:numPr>
        <w:spacing w:after="160" w:line="259" w:lineRule="auto"/>
        <w:rPr>
          <w:sz w:val="20"/>
          <w:szCs w:val="20"/>
        </w:rPr>
      </w:pPr>
      <w:r>
        <w:rPr>
          <w:sz w:val="20"/>
          <w:szCs w:val="20"/>
          <w:u w:val="single"/>
        </w:rPr>
        <w:t>Curricular Materials</w:t>
      </w:r>
      <w:r w:rsidR="0054089D">
        <w:rPr>
          <w:sz w:val="20"/>
          <w:szCs w:val="20"/>
        </w:rPr>
        <w:t xml:space="preserve">: </w:t>
      </w:r>
      <w:r w:rsidR="0054089D" w:rsidRPr="0054089D">
        <w:rPr>
          <w:sz w:val="20"/>
          <w:szCs w:val="20"/>
        </w:rPr>
        <w:t>NGPF has a variety of lesson formats including customizable, ready-to-use courses, lessons, and activities to teach personal finance at both the high school and middle school levels.</w:t>
      </w:r>
    </w:p>
    <w:p w14:paraId="0DF7843A" w14:textId="77777777" w:rsidR="0054089D" w:rsidRPr="0054089D" w:rsidRDefault="0054089D" w:rsidP="009E0EF0">
      <w:pPr>
        <w:pStyle w:val="ListParagraph"/>
        <w:numPr>
          <w:ilvl w:val="1"/>
          <w:numId w:val="5"/>
        </w:numPr>
        <w:spacing w:after="160" w:line="259" w:lineRule="auto"/>
        <w:rPr>
          <w:sz w:val="20"/>
          <w:szCs w:val="20"/>
        </w:rPr>
      </w:pPr>
      <w:r w:rsidRPr="0054089D">
        <w:rPr>
          <w:sz w:val="20"/>
          <w:szCs w:val="20"/>
          <w:u w:val="single"/>
        </w:rPr>
        <w:lastRenderedPageBreak/>
        <w:t>Units</w:t>
      </w:r>
      <w:r w:rsidRPr="0054089D">
        <w:rPr>
          <w:sz w:val="20"/>
          <w:szCs w:val="20"/>
        </w:rPr>
        <w:t>: NGPF features 12 different personal finance units each including interactives and assessments. </w:t>
      </w:r>
    </w:p>
    <w:p w14:paraId="6B986EA6" w14:textId="0DC68A3F" w:rsidR="0054089D" w:rsidRPr="0054089D" w:rsidRDefault="0054089D" w:rsidP="009E0EF0">
      <w:pPr>
        <w:pStyle w:val="ListParagraph"/>
        <w:numPr>
          <w:ilvl w:val="1"/>
          <w:numId w:val="5"/>
        </w:numPr>
        <w:spacing w:after="160" w:line="259" w:lineRule="auto"/>
        <w:rPr>
          <w:sz w:val="20"/>
          <w:szCs w:val="20"/>
        </w:rPr>
      </w:pPr>
      <w:r w:rsidRPr="0054089D">
        <w:rPr>
          <w:sz w:val="20"/>
          <w:szCs w:val="20"/>
          <w:u w:val="single"/>
        </w:rPr>
        <w:t>Courses</w:t>
      </w:r>
      <w:r w:rsidRPr="0054089D">
        <w:rPr>
          <w:sz w:val="20"/>
          <w:szCs w:val="20"/>
        </w:rPr>
        <w:t xml:space="preserve">: </w:t>
      </w:r>
      <w:r>
        <w:rPr>
          <w:sz w:val="20"/>
          <w:szCs w:val="20"/>
        </w:rPr>
        <w:t>NGPF</w:t>
      </w:r>
      <w:r w:rsidRPr="0054089D">
        <w:rPr>
          <w:sz w:val="20"/>
          <w:szCs w:val="20"/>
        </w:rPr>
        <w:t xml:space="preserve"> offers a </w:t>
      </w:r>
      <w:r w:rsidR="009F64D9">
        <w:rPr>
          <w:sz w:val="20"/>
          <w:szCs w:val="20"/>
        </w:rPr>
        <w:t>nine-</w:t>
      </w:r>
      <w:r w:rsidRPr="0054089D">
        <w:rPr>
          <w:sz w:val="20"/>
          <w:szCs w:val="20"/>
        </w:rPr>
        <w:t>week, semester</w:t>
      </w:r>
      <w:r w:rsidR="009F64D9">
        <w:rPr>
          <w:sz w:val="20"/>
          <w:szCs w:val="20"/>
        </w:rPr>
        <w:t>-long</w:t>
      </w:r>
      <w:r w:rsidRPr="0054089D">
        <w:rPr>
          <w:sz w:val="20"/>
          <w:szCs w:val="20"/>
        </w:rPr>
        <w:t xml:space="preserve">, </w:t>
      </w:r>
      <w:r>
        <w:rPr>
          <w:sz w:val="20"/>
          <w:szCs w:val="20"/>
        </w:rPr>
        <w:t xml:space="preserve">and </w:t>
      </w:r>
      <w:r w:rsidRPr="0054089D">
        <w:rPr>
          <w:sz w:val="20"/>
          <w:szCs w:val="20"/>
        </w:rPr>
        <w:t xml:space="preserve">full-year course for high schoolers, </w:t>
      </w:r>
      <w:r>
        <w:rPr>
          <w:sz w:val="20"/>
          <w:szCs w:val="20"/>
        </w:rPr>
        <w:t>as well as</w:t>
      </w:r>
      <w:r w:rsidRPr="0054089D">
        <w:rPr>
          <w:sz w:val="20"/>
          <w:szCs w:val="20"/>
        </w:rPr>
        <w:t xml:space="preserve"> a middle school course.</w:t>
      </w:r>
    </w:p>
    <w:p w14:paraId="51D9BE61" w14:textId="77777777" w:rsidR="0054089D" w:rsidRPr="0054089D" w:rsidRDefault="0054089D" w:rsidP="009E0EF0">
      <w:pPr>
        <w:pStyle w:val="ListParagraph"/>
        <w:numPr>
          <w:ilvl w:val="1"/>
          <w:numId w:val="5"/>
        </w:numPr>
        <w:spacing w:after="160" w:line="259" w:lineRule="auto"/>
        <w:rPr>
          <w:sz w:val="20"/>
          <w:szCs w:val="20"/>
        </w:rPr>
      </w:pPr>
      <w:r w:rsidRPr="0054089D">
        <w:rPr>
          <w:sz w:val="20"/>
          <w:szCs w:val="20"/>
          <w:u w:val="single"/>
        </w:rPr>
        <w:t>Activities</w:t>
      </w:r>
      <w:r w:rsidRPr="0054089D">
        <w:rPr>
          <w:sz w:val="20"/>
          <w:szCs w:val="20"/>
        </w:rPr>
        <w:t>: NGPF’s website has arcade games on personal finance concepts such as paying for college, insurance, budgeting, investing, and managing their credit. In addition, it offers an Interactive Library with links to interactive projects, simulations, graphs, quizzes, and other online interactives. NGPF’s games are also available on Quizlet, Kahoot, and Quizizz. </w:t>
      </w:r>
    </w:p>
    <w:p w14:paraId="1CDC8E34" w14:textId="5E6D0B48" w:rsidR="0054089D" w:rsidRPr="0054089D" w:rsidRDefault="0054089D" w:rsidP="009E0EF0">
      <w:pPr>
        <w:pStyle w:val="ListParagraph"/>
        <w:numPr>
          <w:ilvl w:val="0"/>
          <w:numId w:val="5"/>
        </w:numPr>
        <w:spacing w:after="240" w:line="259" w:lineRule="auto"/>
        <w:rPr>
          <w:sz w:val="20"/>
          <w:szCs w:val="20"/>
          <w:u w:val="single"/>
        </w:rPr>
      </w:pPr>
      <w:r w:rsidRPr="0054089D">
        <w:rPr>
          <w:sz w:val="20"/>
          <w:szCs w:val="20"/>
          <w:u w:val="single"/>
        </w:rPr>
        <w:t>Professional Development</w:t>
      </w:r>
      <w:r w:rsidRPr="0054089D">
        <w:rPr>
          <w:sz w:val="20"/>
          <w:szCs w:val="20"/>
        </w:rPr>
        <w:t xml:space="preserve">: NGPF offers </w:t>
      </w:r>
      <w:r>
        <w:rPr>
          <w:sz w:val="20"/>
          <w:szCs w:val="20"/>
        </w:rPr>
        <w:t>various</w:t>
      </w:r>
      <w:r w:rsidRPr="0054089D">
        <w:rPr>
          <w:sz w:val="20"/>
          <w:szCs w:val="20"/>
        </w:rPr>
        <w:t xml:space="preserve"> professional development opportunities, delivered through three different methods (Virtual PD, Certification </w:t>
      </w:r>
      <w:r>
        <w:rPr>
          <w:sz w:val="20"/>
          <w:szCs w:val="20"/>
        </w:rPr>
        <w:t>C</w:t>
      </w:r>
      <w:r w:rsidRPr="0054089D">
        <w:rPr>
          <w:sz w:val="20"/>
          <w:szCs w:val="20"/>
        </w:rPr>
        <w:t>ourses, and On-Demand). The sessions cover a wide range of personal finance topics and teaching strategies and provide opportunities to collaborate with other educators</w:t>
      </w:r>
      <w:r>
        <w:rPr>
          <w:sz w:val="20"/>
          <w:szCs w:val="20"/>
        </w:rPr>
        <w:t>.</w:t>
      </w:r>
    </w:p>
    <w:p w14:paraId="5EE93E98" w14:textId="207B1163" w:rsidR="009E0EF0" w:rsidRDefault="009F0DD9" w:rsidP="009E0EF0">
      <w:pPr>
        <w:widowControl/>
        <w:autoSpaceDE/>
        <w:autoSpaceDN/>
        <w:spacing w:after="160" w:line="259" w:lineRule="auto"/>
        <w:rPr>
          <w:rFonts w:asciiTheme="minorHAnsi" w:hAnsiTheme="minorHAnsi" w:cstheme="minorHAnsi"/>
          <w:i/>
          <w:iCs/>
          <w:sz w:val="20"/>
          <w:szCs w:val="20"/>
        </w:rPr>
      </w:pPr>
      <w:hyperlink r:id="rId53" w:history="1">
        <w:r w:rsidRPr="009F0DD9">
          <w:rPr>
            <w:rStyle w:val="Hyperlink"/>
            <w:rFonts w:ascii="Georgia" w:hAnsi="Georgia" w:cstheme="minorHAnsi"/>
            <w:b/>
            <w:bCs/>
            <w:sz w:val="26"/>
            <w:szCs w:val="26"/>
          </w:rPr>
          <w:t>PwC Access Your Potential</w:t>
        </w:r>
      </w:hyperlink>
      <w:r>
        <w:br/>
      </w:r>
      <w:r w:rsidR="009E0EF0" w:rsidRPr="005F116A">
        <w:rPr>
          <w:rFonts w:asciiTheme="minorHAnsi" w:hAnsiTheme="minorHAnsi" w:cstheme="minorHAnsi"/>
          <w:i/>
          <w:iCs/>
          <w:sz w:val="20"/>
          <w:szCs w:val="20"/>
        </w:rPr>
        <w:t xml:space="preserve">PwC provides personal finance education to students across </w:t>
      </w:r>
      <w:r w:rsidR="009F64D9">
        <w:rPr>
          <w:rFonts w:asciiTheme="minorHAnsi" w:hAnsiTheme="minorHAnsi" w:cstheme="minorHAnsi"/>
          <w:i/>
          <w:iCs/>
          <w:sz w:val="20"/>
          <w:szCs w:val="20"/>
        </w:rPr>
        <w:t>all grade levels</w:t>
      </w:r>
      <w:r w:rsidR="009E0EF0" w:rsidRPr="005F116A">
        <w:rPr>
          <w:rFonts w:asciiTheme="minorHAnsi" w:hAnsiTheme="minorHAnsi" w:cstheme="minorHAnsi"/>
          <w:i/>
          <w:iCs/>
          <w:sz w:val="20"/>
          <w:szCs w:val="20"/>
        </w:rPr>
        <w:t xml:space="preserve">. </w:t>
      </w:r>
      <w:r w:rsidR="009E0EF0">
        <w:rPr>
          <w:rFonts w:asciiTheme="minorHAnsi" w:hAnsiTheme="minorHAnsi" w:cstheme="minorHAnsi"/>
          <w:i/>
          <w:iCs/>
          <w:sz w:val="20"/>
          <w:szCs w:val="20"/>
        </w:rPr>
        <w:t>Lesson</w:t>
      </w:r>
      <w:r w:rsidR="009E0EF0" w:rsidRPr="005F116A">
        <w:rPr>
          <w:rFonts w:asciiTheme="minorHAnsi" w:hAnsiTheme="minorHAnsi" w:cstheme="minorHAnsi"/>
          <w:i/>
          <w:iCs/>
          <w:sz w:val="20"/>
          <w:szCs w:val="20"/>
        </w:rPr>
        <w:t xml:space="preserve"> plans </w:t>
      </w:r>
      <w:r w:rsidR="009E0EF0">
        <w:rPr>
          <w:rFonts w:asciiTheme="minorHAnsi" w:hAnsiTheme="minorHAnsi" w:cstheme="minorHAnsi"/>
          <w:i/>
          <w:iCs/>
          <w:sz w:val="20"/>
          <w:szCs w:val="20"/>
        </w:rPr>
        <w:t xml:space="preserve">include short summary videos, worksheets, </w:t>
      </w:r>
      <w:r w:rsidR="009F64D9">
        <w:rPr>
          <w:rFonts w:asciiTheme="minorHAnsi" w:hAnsiTheme="minorHAnsi" w:cstheme="minorHAnsi"/>
          <w:i/>
          <w:iCs/>
          <w:sz w:val="20"/>
          <w:szCs w:val="20"/>
        </w:rPr>
        <w:t>and post-tests</w:t>
      </w:r>
      <w:r w:rsidR="009E0EF0">
        <w:rPr>
          <w:rFonts w:asciiTheme="minorHAnsi" w:hAnsiTheme="minorHAnsi" w:cstheme="minorHAnsi"/>
          <w:i/>
          <w:iCs/>
          <w:sz w:val="20"/>
          <w:szCs w:val="20"/>
        </w:rPr>
        <w:t xml:space="preserve"> to assess student learning.</w:t>
      </w:r>
    </w:p>
    <w:p w14:paraId="613855B3" w14:textId="48720B48" w:rsidR="009E0EF0" w:rsidRDefault="00AA6045" w:rsidP="009E0EF0">
      <w:pPr>
        <w:widowControl/>
        <w:numPr>
          <w:ilvl w:val="0"/>
          <w:numId w:val="19"/>
        </w:numPr>
        <w:autoSpaceDE/>
        <w:autoSpaceDN/>
        <w:spacing w:line="259" w:lineRule="auto"/>
        <w:rPr>
          <w:rFonts w:asciiTheme="minorHAnsi" w:hAnsiTheme="minorHAnsi" w:cstheme="minorHAnsi"/>
          <w:sz w:val="20"/>
          <w:szCs w:val="20"/>
        </w:rPr>
      </w:pPr>
      <w:r>
        <w:rPr>
          <w:rFonts w:asciiTheme="minorHAnsi" w:hAnsiTheme="minorHAnsi" w:cstheme="minorHAnsi"/>
          <w:sz w:val="20"/>
          <w:szCs w:val="20"/>
          <w:u w:val="single"/>
        </w:rPr>
        <w:t>Curricular Materials</w:t>
      </w:r>
      <w:r w:rsidR="009E0EF0" w:rsidRPr="009E0EF0">
        <w:rPr>
          <w:rFonts w:asciiTheme="minorHAnsi" w:hAnsiTheme="minorHAnsi" w:cstheme="minorHAnsi"/>
          <w:sz w:val="20"/>
          <w:szCs w:val="20"/>
          <w:u w:val="single"/>
        </w:rPr>
        <w:t>:</w:t>
      </w:r>
      <w:r w:rsidR="009E0EF0" w:rsidRPr="009E0EF0">
        <w:rPr>
          <w:rFonts w:asciiTheme="minorHAnsi" w:hAnsiTheme="minorHAnsi" w:cstheme="minorHAnsi"/>
          <w:sz w:val="20"/>
          <w:szCs w:val="20"/>
        </w:rPr>
        <w:t xml:space="preserve"> </w:t>
      </w:r>
      <w:r w:rsidR="009E0EF0">
        <w:rPr>
          <w:rFonts w:asciiTheme="minorHAnsi" w:hAnsiTheme="minorHAnsi" w:cstheme="minorHAnsi"/>
          <w:sz w:val="20"/>
          <w:szCs w:val="20"/>
        </w:rPr>
        <w:t xml:space="preserve">PwC has </w:t>
      </w:r>
      <w:r w:rsidR="009E0EF0" w:rsidRPr="009E0EF0">
        <w:rPr>
          <w:rFonts w:asciiTheme="minorHAnsi" w:hAnsiTheme="minorHAnsi" w:cstheme="minorHAnsi"/>
          <w:sz w:val="20"/>
          <w:szCs w:val="20"/>
        </w:rPr>
        <w:t xml:space="preserve">modules for all </w:t>
      </w:r>
      <w:r w:rsidR="009E0EF0">
        <w:rPr>
          <w:rFonts w:asciiTheme="minorHAnsi" w:hAnsiTheme="minorHAnsi" w:cstheme="minorHAnsi"/>
          <w:sz w:val="20"/>
          <w:szCs w:val="20"/>
        </w:rPr>
        <w:t>grade</w:t>
      </w:r>
      <w:r w:rsidR="009E0EF0" w:rsidRPr="009E0EF0">
        <w:rPr>
          <w:rFonts w:asciiTheme="minorHAnsi" w:hAnsiTheme="minorHAnsi" w:cstheme="minorHAnsi"/>
          <w:sz w:val="20"/>
          <w:szCs w:val="20"/>
        </w:rPr>
        <w:t xml:space="preserve"> levels composed of easy-to-follow lesson plans accompanied by engaging activities.</w:t>
      </w:r>
    </w:p>
    <w:p w14:paraId="7F980D54" w14:textId="107ED253" w:rsidR="009E0EF0" w:rsidRDefault="009E0EF0" w:rsidP="009E0EF0">
      <w:pPr>
        <w:widowControl/>
        <w:numPr>
          <w:ilvl w:val="1"/>
          <w:numId w:val="19"/>
        </w:numPr>
        <w:autoSpaceDE/>
        <w:autoSpaceDN/>
        <w:spacing w:line="259" w:lineRule="auto"/>
        <w:rPr>
          <w:rFonts w:asciiTheme="minorHAnsi" w:hAnsiTheme="minorHAnsi" w:cstheme="minorHAnsi"/>
          <w:sz w:val="20"/>
          <w:szCs w:val="20"/>
        </w:rPr>
      </w:pPr>
      <w:r w:rsidRPr="009E0EF0">
        <w:rPr>
          <w:rFonts w:asciiTheme="minorHAnsi" w:hAnsiTheme="minorHAnsi" w:cstheme="minorHAnsi"/>
          <w:sz w:val="20"/>
          <w:szCs w:val="20"/>
          <w:u w:val="single"/>
        </w:rPr>
        <w:t>Elementary School:</w:t>
      </w:r>
      <w:r w:rsidRPr="009E0EF0">
        <w:rPr>
          <w:rFonts w:asciiTheme="minorHAnsi" w:hAnsiTheme="minorHAnsi" w:cstheme="minorHAnsi"/>
          <w:sz w:val="20"/>
          <w:szCs w:val="20"/>
        </w:rPr>
        <w:t xml:space="preserve"> </w:t>
      </w:r>
      <w:r w:rsidR="004C4833">
        <w:rPr>
          <w:rFonts w:asciiTheme="minorHAnsi" w:hAnsiTheme="minorHAnsi" w:cstheme="minorHAnsi"/>
          <w:sz w:val="20"/>
          <w:szCs w:val="20"/>
        </w:rPr>
        <w:t>Covers eight topics; each topic consists of</w:t>
      </w:r>
      <w:r w:rsidRPr="009E0EF0">
        <w:rPr>
          <w:rFonts w:asciiTheme="minorHAnsi" w:hAnsiTheme="minorHAnsi" w:cstheme="minorHAnsi"/>
          <w:sz w:val="20"/>
          <w:szCs w:val="20"/>
        </w:rPr>
        <w:t xml:space="preserve"> a one</w:t>
      </w:r>
      <w:r>
        <w:rPr>
          <w:rFonts w:asciiTheme="minorHAnsi" w:hAnsiTheme="minorHAnsi" w:cstheme="minorHAnsi"/>
          <w:sz w:val="20"/>
          <w:szCs w:val="20"/>
        </w:rPr>
        <w:t>-</w:t>
      </w:r>
      <w:r w:rsidRPr="009E0EF0">
        <w:rPr>
          <w:rFonts w:asciiTheme="minorHAnsi" w:hAnsiTheme="minorHAnsi" w:cstheme="minorHAnsi"/>
          <w:sz w:val="20"/>
          <w:szCs w:val="20"/>
        </w:rPr>
        <w:t>hour class lesson plan and a short summary video with an accompanying worksheet.</w:t>
      </w:r>
    </w:p>
    <w:p w14:paraId="6F08344C" w14:textId="5B2856C5" w:rsidR="009E0EF0" w:rsidRPr="009E0EF0" w:rsidRDefault="009E0EF0" w:rsidP="009E0EF0">
      <w:pPr>
        <w:widowControl/>
        <w:numPr>
          <w:ilvl w:val="1"/>
          <w:numId w:val="19"/>
        </w:numPr>
        <w:autoSpaceDE/>
        <w:autoSpaceDN/>
        <w:spacing w:line="259" w:lineRule="auto"/>
        <w:rPr>
          <w:rFonts w:asciiTheme="minorHAnsi" w:hAnsiTheme="minorHAnsi" w:cstheme="minorHAnsi"/>
          <w:sz w:val="20"/>
          <w:szCs w:val="20"/>
        </w:rPr>
      </w:pPr>
      <w:r w:rsidRPr="009E0EF0">
        <w:rPr>
          <w:rFonts w:asciiTheme="minorHAnsi" w:hAnsiTheme="minorHAnsi" w:cstheme="minorHAnsi"/>
          <w:sz w:val="20"/>
          <w:szCs w:val="20"/>
          <w:u w:val="single"/>
        </w:rPr>
        <w:t>Middle School:</w:t>
      </w:r>
      <w:r w:rsidRPr="009E0EF0">
        <w:rPr>
          <w:rFonts w:asciiTheme="minorHAnsi" w:hAnsiTheme="minorHAnsi" w:cstheme="minorHAnsi"/>
          <w:sz w:val="20"/>
          <w:szCs w:val="20"/>
        </w:rPr>
        <w:t xml:space="preserve"> </w:t>
      </w:r>
      <w:r>
        <w:rPr>
          <w:rFonts w:asciiTheme="minorHAnsi" w:hAnsiTheme="minorHAnsi" w:cstheme="minorHAnsi"/>
          <w:sz w:val="20"/>
          <w:szCs w:val="20"/>
        </w:rPr>
        <w:t>Builds upon the</w:t>
      </w:r>
      <w:r w:rsidRPr="009E0EF0">
        <w:rPr>
          <w:rFonts w:asciiTheme="minorHAnsi" w:hAnsiTheme="minorHAnsi" w:cstheme="minorHAnsi"/>
          <w:sz w:val="20"/>
          <w:szCs w:val="20"/>
        </w:rPr>
        <w:t xml:space="preserve"> elementary school curriculum with more units geared towards saving up for college tuition, understanding taxes, and increasing human capital.</w:t>
      </w:r>
    </w:p>
    <w:p w14:paraId="2756A43D" w14:textId="2530DA6C" w:rsidR="009F0DD9" w:rsidRPr="009E0EF0" w:rsidRDefault="009E0EF0" w:rsidP="009E0EF0">
      <w:pPr>
        <w:widowControl/>
        <w:numPr>
          <w:ilvl w:val="1"/>
          <w:numId w:val="19"/>
        </w:numPr>
        <w:autoSpaceDE/>
        <w:autoSpaceDN/>
        <w:spacing w:after="240" w:line="259" w:lineRule="auto"/>
        <w:rPr>
          <w:rFonts w:asciiTheme="minorHAnsi" w:hAnsiTheme="minorHAnsi" w:cstheme="minorHAnsi"/>
          <w:sz w:val="20"/>
          <w:szCs w:val="20"/>
        </w:rPr>
      </w:pPr>
      <w:r w:rsidRPr="009E0EF0">
        <w:rPr>
          <w:rFonts w:asciiTheme="minorHAnsi" w:hAnsiTheme="minorHAnsi" w:cstheme="minorHAnsi"/>
          <w:sz w:val="20"/>
          <w:szCs w:val="20"/>
          <w:u w:val="single"/>
        </w:rPr>
        <w:t>High School:</w:t>
      </w:r>
      <w:r w:rsidRPr="009E0EF0">
        <w:rPr>
          <w:rFonts w:asciiTheme="minorHAnsi" w:hAnsiTheme="minorHAnsi" w:cstheme="minorHAnsi"/>
          <w:sz w:val="20"/>
          <w:szCs w:val="20"/>
        </w:rPr>
        <w:t xml:space="preserve"> </w:t>
      </w:r>
      <w:r>
        <w:rPr>
          <w:rFonts w:asciiTheme="minorHAnsi" w:hAnsiTheme="minorHAnsi" w:cstheme="minorHAnsi"/>
          <w:sz w:val="20"/>
          <w:szCs w:val="20"/>
        </w:rPr>
        <w:t>Builds upon</w:t>
      </w:r>
      <w:r w:rsidRPr="009E0EF0">
        <w:rPr>
          <w:rFonts w:asciiTheme="minorHAnsi" w:hAnsiTheme="minorHAnsi" w:cstheme="minorHAnsi"/>
          <w:sz w:val="20"/>
          <w:szCs w:val="20"/>
        </w:rPr>
        <w:t xml:space="preserve"> the middle school curriculum with extra units centered around making informed career decisions, planning for the future, and preventing financial fraud. </w:t>
      </w:r>
    </w:p>
    <w:p w14:paraId="14CC135D" w14:textId="7035EEC5" w:rsidR="0020563B" w:rsidRDefault="0020563B" w:rsidP="0020563B">
      <w:pPr>
        <w:widowControl/>
        <w:autoSpaceDE/>
        <w:autoSpaceDN/>
        <w:spacing w:after="160" w:line="259" w:lineRule="auto"/>
        <w:rPr>
          <w:rFonts w:asciiTheme="minorHAnsi" w:hAnsiTheme="minorHAnsi" w:cstheme="minorHAnsi"/>
          <w:i/>
          <w:iCs/>
          <w:sz w:val="20"/>
          <w:szCs w:val="20"/>
        </w:rPr>
      </w:pPr>
      <w:hyperlink r:id="rId54" w:history="1">
        <w:r w:rsidRPr="0020563B">
          <w:rPr>
            <w:rStyle w:val="Hyperlink"/>
            <w:rFonts w:ascii="Georgia" w:hAnsi="Georgia" w:cstheme="minorHAnsi"/>
            <w:b/>
            <w:bCs/>
            <w:sz w:val="26"/>
            <w:szCs w:val="26"/>
          </w:rPr>
          <w:t>SIFMA Foundation’s The Stock Market Game</w:t>
        </w:r>
      </w:hyperlink>
      <w:r>
        <w:rPr>
          <w:rFonts w:asciiTheme="minorHAnsi" w:hAnsiTheme="minorHAnsi" w:cstheme="minorHAnsi"/>
          <w:sz w:val="20"/>
          <w:szCs w:val="20"/>
        </w:rPr>
        <w:br/>
      </w:r>
      <w:r>
        <w:rPr>
          <w:rFonts w:asciiTheme="minorHAnsi" w:hAnsiTheme="minorHAnsi" w:cstheme="minorHAnsi"/>
          <w:i/>
          <w:iCs/>
          <w:sz w:val="20"/>
          <w:szCs w:val="20"/>
        </w:rPr>
        <w:t>The SIFMA Foundation provides</w:t>
      </w:r>
      <w:r w:rsidRPr="005F116A">
        <w:rPr>
          <w:rFonts w:asciiTheme="minorHAnsi" w:hAnsiTheme="minorHAnsi" w:cstheme="minorHAnsi"/>
          <w:i/>
          <w:iCs/>
          <w:sz w:val="20"/>
          <w:szCs w:val="20"/>
        </w:rPr>
        <w:t xml:space="preserve"> </w:t>
      </w:r>
      <w:r w:rsidRPr="0020563B">
        <w:rPr>
          <w:rFonts w:asciiTheme="minorHAnsi" w:hAnsiTheme="minorHAnsi" w:cstheme="minorHAnsi"/>
          <w:i/>
          <w:iCs/>
          <w:sz w:val="20"/>
          <w:szCs w:val="20"/>
        </w:rPr>
        <w:t>an online simulation of the global capital markets that engages students grades 4-12 in the world of economics, investing and personal finance.</w:t>
      </w:r>
    </w:p>
    <w:p w14:paraId="782074B4" w14:textId="77777777" w:rsidR="00B317AB" w:rsidRDefault="0020563B" w:rsidP="00B317AB">
      <w:pPr>
        <w:pStyle w:val="ListParagraph"/>
        <w:widowControl/>
        <w:numPr>
          <w:ilvl w:val="0"/>
          <w:numId w:val="32"/>
        </w:numPr>
        <w:autoSpaceDE/>
        <w:autoSpaceDN/>
        <w:spacing w:after="240" w:line="259" w:lineRule="auto"/>
        <w:rPr>
          <w:rFonts w:asciiTheme="minorHAnsi" w:hAnsiTheme="minorHAnsi" w:cstheme="minorHAnsi"/>
          <w:sz w:val="20"/>
          <w:szCs w:val="20"/>
        </w:rPr>
      </w:pPr>
      <w:r w:rsidRPr="00B317AB">
        <w:rPr>
          <w:rFonts w:asciiTheme="minorHAnsi" w:hAnsiTheme="minorHAnsi" w:cstheme="minorHAnsi"/>
          <w:sz w:val="20"/>
          <w:szCs w:val="20"/>
          <w:u w:val="single"/>
        </w:rPr>
        <w:t>Curricular Materials:</w:t>
      </w:r>
      <w:r w:rsidRPr="00B317AB">
        <w:rPr>
          <w:rFonts w:asciiTheme="minorHAnsi" w:hAnsiTheme="minorHAnsi" w:cstheme="minorHAnsi"/>
          <w:sz w:val="20"/>
          <w:szCs w:val="20"/>
        </w:rPr>
        <w:t xml:space="preserve"> </w:t>
      </w:r>
      <w:r w:rsidR="00B317AB" w:rsidRPr="00B317AB">
        <w:rPr>
          <w:rFonts w:asciiTheme="minorHAnsi" w:hAnsiTheme="minorHAnsi" w:cstheme="minorHAnsi"/>
          <w:sz w:val="20"/>
          <w:szCs w:val="20"/>
        </w:rPr>
        <w:t xml:space="preserve">The </w:t>
      </w:r>
      <w:r w:rsidRPr="00B317AB">
        <w:rPr>
          <w:rFonts w:asciiTheme="minorHAnsi" w:hAnsiTheme="minorHAnsi" w:cstheme="minorHAnsi"/>
          <w:sz w:val="20"/>
          <w:szCs w:val="20"/>
        </w:rPr>
        <w:t>Stock Market Game</w:t>
      </w:r>
      <w:r w:rsidR="00B317AB" w:rsidRPr="00B317AB">
        <w:rPr>
          <w:rFonts w:asciiTheme="minorHAnsi" w:hAnsiTheme="minorHAnsi" w:cstheme="minorHAnsi"/>
          <w:sz w:val="20"/>
          <w:szCs w:val="20"/>
        </w:rPr>
        <w:t xml:space="preserve"> is accompanied by </w:t>
      </w:r>
      <w:r w:rsidRPr="00B317AB">
        <w:rPr>
          <w:rFonts w:asciiTheme="minorHAnsi" w:hAnsiTheme="minorHAnsi" w:cstheme="minorHAnsi"/>
          <w:sz w:val="20"/>
          <w:szCs w:val="20"/>
        </w:rPr>
        <w:t>ten</w:t>
      </w:r>
      <w:r w:rsidR="00B317AB" w:rsidRPr="00B317AB">
        <w:rPr>
          <w:rFonts w:asciiTheme="minorHAnsi" w:hAnsiTheme="minorHAnsi" w:cstheme="minorHAnsi"/>
          <w:sz w:val="20"/>
          <w:szCs w:val="20"/>
        </w:rPr>
        <w:t xml:space="preserve"> 45 – 60 minute</w:t>
      </w:r>
      <w:r w:rsidRPr="00B317AB">
        <w:rPr>
          <w:rFonts w:asciiTheme="minorHAnsi" w:hAnsiTheme="minorHAnsi" w:cstheme="minorHAnsi"/>
          <w:sz w:val="20"/>
          <w:szCs w:val="20"/>
        </w:rPr>
        <w:t xml:space="preserve"> lessons </w:t>
      </w:r>
      <w:r w:rsidR="00B317AB" w:rsidRPr="00B317AB">
        <w:rPr>
          <w:rFonts w:asciiTheme="minorHAnsi" w:hAnsiTheme="minorHAnsi" w:cstheme="minorHAnsi"/>
          <w:sz w:val="20"/>
          <w:szCs w:val="20"/>
        </w:rPr>
        <w:t>to support implementation</w:t>
      </w:r>
      <w:r w:rsidRPr="00B317AB">
        <w:rPr>
          <w:rFonts w:asciiTheme="minorHAnsi" w:hAnsiTheme="minorHAnsi" w:cstheme="minorHAnsi"/>
          <w:sz w:val="20"/>
          <w:szCs w:val="20"/>
        </w:rPr>
        <w:t>.</w:t>
      </w:r>
      <w:r w:rsidR="00B317AB" w:rsidRPr="00B317AB">
        <w:rPr>
          <w:rFonts w:ascii="inherit" w:eastAsia="Times New Roman" w:hAnsi="inherit" w:cs="Times New Roman"/>
          <w:color w:val="000000"/>
          <w:sz w:val="24"/>
          <w:szCs w:val="24"/>
          <w:lang w:eastAsia="zh-CN" w:bidi="th-TH"/>
        </w:rPr>
        <w:t xml:space="preserve"> </w:t>
      </w:r>
      <w:r w:rsidRPr="00B317AB">
        <w:rPr>
          <w:sz w:val="20"/>
          <w:szCs w:val="20"/>
        </w:rPr>
        <w:t>T</w:t>
      </w:r>
      <w:r w:rsidRPr="00B317AB">
        <w:rPr>
          <w:rFonts w:asciiTheme="minorHAnsi" w:hAnsiTheme="minorHAnsi" w:cstheme="minorHAnsi"/>
          <w:sz w:val="20"/>
          <w:szCs w:val="20"/>
        </w:rPr>
        <w:t>he Teacher Support Center is a searchable library of curriculum resources, lesson plans, assessments, and standards correlations</w:t>
      </w:r>
      <w:r w:rsidR="00B317AB" w:rsidRPr="00B317AB">
        <w:rPr>
          <w:rFonts w:asciiTheme="minorHAnsi" w:hAnsiTheme="minorHAnsi" w:cstheme="minorHAnsi"/>
          <w:sz w:val="20"/>
          <w:szCs w:val="20"/>
        </w:rPr>
        <w:t>.</w:t>
      </w:r>
    </w:p>
    <w:p w14:paraId="4036AE00" w14:textId="77777777" w:rsidR="00B317AB" w:rsidRDefault="0020563B" w:rsidP="00B317AB">
      <w:pPr>
        <w:pStyle w:val="ListParagraph"/>
        <w:widowControl/>
        <w:numPr>
          <w:ilvl w:val="0"/>
          <w:numId w:val="32"/>
        </w:numPr>
        <w:autoSpaceDE/>
        <w:autoSpaceDN/>
        <w:spacing w:after="240" w:line="259" w:lineRule="auto"/>
        <w:rPr>
          <w:rFonts w:asciiTheme="minorHAnsi" w:hAnsiTheme="minorHAnsi" w:cstheme="minorHAnsi"/>
          <w:sz w:val="20"/>
          <w:szCs w:val="20"/>
        </w:rPr>
      </w:pPr>
      <w:r w:rsidRPr="00B317AB">
        <w:rPr>
          <w:sz w:val="20"/>
          <w:szCs w:val="20"/>
          <w:u w:val="single"/>
        </w:rPr>
        <w:t>Professional Development</w:t>
      </w:r>
      <w:r w:rsidRPr="00B317AB">
        <w:rPr>
          <w:sz w:val="20"/>
          <w:szCs w:val="20"/>
        </w:rPr>
        <w:t>:</w:t>
      </w:r>
      <w:r w:rsidR="00B317AB" w:rsidRPr="00B317AB">
        <w:rPr>
          <w:rFonts w:asciiTheme="minorHAnsi" w:hAnsiTheme="minorHAnsi" w:cstheme="minorHAnsi"/>
          <w:sz w:val="20"/>
          <w:szCs w:val="20"/>
        </w:rPr>
        <w:t xml:space="preserve"> Educators can access webinar recordings on the website and e</w:t>
      </w:r>
      <w:r w:rsidRPr="00B317AB">
        <w:rPr>
          <w:rFonts w:asciiTheme="minorHAnsi" w:hAnsiTheme="minorHAnsi" w:cstheme="minorHAnsi"/>
          <w:sz w:val="20"/>
          <w:szCs w:val="20"/>
        </w:rPr>
        <w:t>ach lesson plan provides a brief “Teacher Background.” </w:t>
      </w:r>
    </w:p>
    <w:p w14:paraId="57030F20" w14:textId="5432E98D" w:rsidR="0020563B" w:rsidRPr="00B317AB" w:rsidRDefault="0020563B" w:rsidP="00B317AB">
      <w:pPr>
        <w:pStyle w:val="ListParagraph"/>
        <w:widowControl/>
        <w:numPr>
          <w:ilvl w:val="0"/>
          <w:numId w:val="32"/>
        </w:numPr>
        <w:autoSpaceDE/>
        <w:autoSpaceDN/>
        <w:spacing w:after="240" w:line="259" w:lineRule="auto"/>
        <w:rPr>
          <w:rFonts w:asciiTheme="minorHAnsi" w:hAnsiTheme="minorHAnsi" w:cstheme="minorHAnsi"/>
          <w:sz w:val="20"/>
          <w:szCs w:val="20"/>
        </w:rPr>
      </w:pPr>
      <w:r w:rsidRPr="00B317AB">
        <w:rPr>
          <w:rFonts w:asciiTheme="minorHAnsi" w:hAnsiTheme="minorHAnsi" w:cstheme="minorHAnsi"/>
          <w:sz w:val="20"/>
          <w:szCs w:val="20"/>
          <w:u w:val="single"/>
        </w:rPr>
        <w:t>Supplemental Programs:</w:t>
      </w:r>
      <w:r w:rsidRPr="00B317AB">
        <w:rPr>
          <w:rFonts w:asciiTheme="minorHAnsi" w:hAnsiTheme="minorHAnsi" w:cstheme="minorHAnsi"/>
          <w:sz w:val="20"/>
          <w:szCs w:val="20"/>
        </w:rPr>
        <w:t xml:space="preserve"> Programs include “InvestWrite” (an annual writing competition), SMG </w:t>
      </w:r>
      <w:r w:rsidR="00B317AB" w:rsidRPr="00B317AB">
        <w:rPr>
          <w:rFonts w:asciiTheme="minorHAnsi" w:hAnsiTheme="minorHAnsi" w:cstheme="minorHAnsi"/>
          <w:sz w:val="20"/>
          <w:szCs w:val="20"/>
        </w:rPr>
        <w:t>“</w:t>
      </w:r>
      <w:r w:rsidRPr="00B317AB">
        <w:rPr>
          <w:rFonts w:asciiTheme="minorHAnsi" w:hAnsiTheme="minorHAnsi" w:cstheme="minorHAnsi"/>
          <w:sz w:val="20"/>
          <w:szCs w:val="20"/>
        </w:rPr>
        <w:t>InvestQuest</w:t>
      </w:r>
      <w:r w:rsidR="00B317AB" w:rsidRPr="00B317AB">
        <w:rPr>
          <w:rFonts w:asciiTheme="minorHAnsi" w:hAnsiTheme="minorHAnsi" w:cstheme="minorHAnsi"/>
          <w:sz w:val="20"/>
          <w:szCs w:val="20"/>
        </w:rPr>
        <w:t>”</w:t>
      </w:r>
      <w:r w:rsidRPr="00B317AB">
        <w:rPr>
          <w:rFonts w:asciiTheme="minorHAnsi" w:hAnsiTheme="minorHAnsi" w:cstheme="minorHAnsi"/>
          <w:sz w:val="20"/>
          <w:szCs w:val="20"/>
        </w:rPr>
        <w:t xml:space="preserve"> (a 30-minute investing experience focused on diversification and long-term investing), and </w:t>
      </w:r>
      <w:r w:rsidR="00B317AB" w:rsidRPr="00B317AB">
        <w:rPr>
          <w:rFonts w:asciiTheme="minorHAnsi" w:hAnsiTheme="minorHAnsi" w:cstheme="minorHAnsi"/>
          <w:sz w:val="20"/>
          <w:szCs w:val="20"/>
        </w:rPr>
        <w:t>“</w:t>
      </w:r>
      <w:r w:rsidRPr="00B317AB">
        <w:rPr>
          <w:rFonts w:asciiTheme="minorHAnsi" w:hAnsiTheme="minorHAnsi" w:cstheme="minorHAnsi"/>
          <w:sz w:val="20"/>
          <w:szCs w:val="20"/>
        </w:rPr>
        <w:t>The Capitall Hill Challenge</w:t>
      </w:r>
      <w:r w:rsidR="00B317AB" w:rsidRPr="00B317AB">
        <w:rPr>
          <w:rFonts w:asciiTheme="minorHAnsi" w:hAnsiTheme="minorHAnsi" w:cstheme="minorHAnsi"/>
          <w:sz w:val="20"/>
          <w:szCs w:val="20"/>
        </w:rPr>
        <w:t>”</w:t>
      </w:r>
      <w:r w:rsidRPr="00B317AB">
        <w:rPr>
          <w:rFonts w:asciiTheme="minorHAnsi" w:hAnsiTheme="minorHAnsi" w:cstheme="minorHAnsi"/>
          <w:sz w:val="20"/>
          <w:szCs w:val="20"/>
        </w:rPr>
        <w:t xml:space="preserve"> (teams manage a hypothetical investment portfolio).</w:t>
      </w:r>
    </w:p>
    <w:p w14:paraId="5CBC56F9" w14:textId="6DF09B8A" w:rsidR="004C4833" w:rsidRPr="0020563B" w:rsidRDefault="009F0DD9" w:rsidP="0020563B">
      <w:pPr>
        <w:widowControl/>
        <w:autoSpaceDE/>
        <w:autoSpaceDN/>
        <w:spacing w:after="160" w:line="259" w:lineRule="auto"/>
        <w:ind w:left="360"/>
        <w:rPr>
          <w:rFonts w:asciiTheme="minorHAnsi" w:hAnsiTheme="minorHAnsi" w:cstheme="minorHAnsi"/>
          <w:i/>
          <w:iCs/>
          <w:sz w:val="20"/>
          <w:szCs w:val="20"/>
        </w:rPr>
      </w:pPr>
      <w:hyperlink r:id="rId55" w:history="1">
        <w:r w:rsidRPr="0020563B">
          <w:rPr>
            <w:rStyle w:val="Hyperlink"/>
            <w:rFonts w:ascii="Georgia" w:hAnsi="Georgia" w:cstheme="minorHAnsi"/>
            <w:b/>
            <w:bCs/>
            <w:sz w:val="26"/>
            <w:szCs w:val="26"/>
          </w:rPr>
          <w:t>$martPath</w:t>
        </w:r>
      </w:hyperlink>
      <w:r w:rsidRPr="0020563B">
        <w:rPr>
          <w:rFonts w:asciiTheme="minorHAnsi" w:hAnsiTheme="minorHAnsi" w:cstheme="minorHAnsi"/>
          <w:sz w:val="20"/>
          <w:szCs w:val="20"/>
        </w:rPr>
        <w:br/>
      </w:r>
      <w:r w:rsidR="004C4833" w:rsidRPr="0020563B">
        <w:rPr>
          <w:rFonts w:asciiTheme="minorHAnsi" w:hAnsiTheme="minorHAnsi" w:cstheme="minorHAnsi"/>
          <w:i/>
          <w:iCs/>
          <w:sz w:val="20"/>
          <w:szCs w:val="20"/>
        </w:rPr>
        <w:t>$martPath uses an online platform to help middle and elementary school educators access economic and financial education videos, interactive games, assessments, and other teaching tools.</w:t>
      </w:r>
    </w:p>
    <w:p w14:paraId="2B5AECC4" w14:textId="1810BADC" w:rsidR="004C4833" w:rsidRPr="006F6978" w:rsidRDefault="00AA6045" w:rsidP="006F6978">
      <w:pPr>
        <w:widowControl/>
        <w:numPr>
          <w:ilvl w:val="2"/>
          <w:numId w:val="21"/>
        </w:numPr>
        <w:autoSpaceDE/>
        <w:autoSpaceDN/>
        <w:spacing w:after="240" w:line="259" w:lineRule="auto"/>
        <w:rPr>
          <w:rFonts w:asciiTheme="minorHAnsi" w:hAnsiTheme="minorHAnsi" w:cstheme="minorHAnsi"/>
          <w:sz w:val="20"/>
          <w:szCs w:val="20"/>
        </w:rPr>
      </w:pPr>
      <w:r>
        <w:rPr>
          <w:rFonts w:asciiTheme="minorHAnsi" w:hAnsiTheme="minorHAnsi" w:cstheme="minorHAnsi"/>
          <w:sz w:val="20"/>
          <w:szCs w:val="20"/>
          <w:u w:val="single"/>
        </w:rPr>
        <w:t>Curricular Materials</w:t>
      </w:r>
      <w:r w:rsidR="004C4833" w:rsidRPr="004C4833">
        <w:rPr>
          <w:rFonts w:asciiTheme="minorHAnsi" w:hAnsiTheme="minorHAnsi" w:cstheme="minorHAnsi"/>
          <w:sz w:val="20"/>
          <w:szCs w:val="20"/>
          <w:u w:val="single"/>
        </w:rPr>
        <w:t>:</w:t>
      </w:r>
      <w:r w:rsidR="004C4833" w:rsidRPr="004C4833">
        <w:rPr>
          <w:rFonts w:asciiTheme="minorHAnsi" w:hAnsiTheme="minorHAnsi" w:cstheme="minorHAnsi"/>
          <w:sz w:val="20"/>
          <w:szCs w:val="20"/>
        </w:rPr>
        <w:t xml:space="preserve"> $martPath’s </w:t>
      </w:r>
      <w:r w:rsidR="006F6978">
        <w:rPr>
          <w:rFonts w:asciiTheme="minorHAnsi" w:hAnsiTheme="minorHAnsi" w:cstheme="minorHAnsi"/>
          <w:sz w:val="20"/>
          <w:szCs w:val="20"/>
        </w:rPr>
        <w:t xml:space="preserve">award-winning </w:t>
      </w:r>
      <w:r w:rsidR="004C4833">
        <w:rPr>
          <w:rFonts w:asciiTheme="minorHAnsi" w:hAnsiTheme="minorHAnsi" w:cstheme="minorHAnsi"/>
          <w:sz w:val="20"/>
          <w:szCs w:val="20"/>
        </w:rPr>
        <w:t>curricular videos</w:t>
      </w:r>
      <w:r w:rsidR="004C4833" w:rsidRPr="004C4833">
        <w:rPr>
          <w:rFonts w:asciiTheme="minorHAnsi" w:hAnsiTheme="minorHAnsi" w:cstheme="minorHAnsi"/>
          <w:sz w:val="20"/>
          <w:szCs w:val="20"/>
        </w:rPr>
        <w:t xml:space="preserve"> are story</w:t>
      </w:r>
      <w:r w:rsidR="006F6978">
        <w:rPr>
          <w:rFonts w:asciiTheme="minorHAnsi" w:hAnsiTheme="minorHAnsi" w:cstheme="minorHAnsi"/>
          <w:sz w:val="20"/>
          <w:szCs w:val="20"/>
        </w:rPr>
        <w:t>-</w:t>
      </w:r>
      <w:r w:rsidR="004C4833" w:rsidRPr="004C4833">
        <w:rPr>
          <w:rFonts w:asciiTheme="minorHAnsi" w:hAnsiTheme="minorHAnsi" w:cstheme="minorHAnsi"/>
          <w:sz w:val="20"/>
          <w:szCs w:val="20"/>
        </w:rPr>
        <w:t xml:space="preserve">based and attempt to </w:t>
      </w:r>
      <w:r w:rsidR="006F6978">
        <w:rPr>
          <w:rFonts w:asciiTheme="minorHAnsi" w:hAnsiTheme="minorHAnsi" w:cstheme="minorHAnsi"/>
          <w:sz w:val="20"/>
          <w:szCs w:val="20"/>
        </w:rPr>
        <w:t>connect</w:t>
      </w:r>
      <w:r w:rsidR="004C4833" w:rsidRPr="004C4833">
        <w:rPr>
          <w:rFonts w:asciiTheme="minorHAnsi" w:hAnsiTheme="minorHAnsi" w:cstheme="minorHAnsi"/>
          <w:sz w:val="20"/>
          <w:szCs w:val="20"/>
        </w:rPr>
        <w:t xml:space="preserve"> financial literacy topics </w:t>
      </w:r>
      <w:r w:rsidR="006F6978">
        <w:rPr>
          <w:rFonts w:asciiTheme="minorHAnsi" w:hAnsiTheme="minorHAnsi" w:cstheme="minorHAnsi"/>
          <w:sz w:val="20"/>
          <w:szCs w:val="20"/>
        </w:rPr>
        <w:t>with real-life scenarios</w:t>
      </w:r>
      <w:r w:rsidR="004C4833" w:rsidRPr="004C4833">
        <w:rPr>
          <w:rFonts w:asciiTheme="minorHAnsi" w:hAnsiTheme="minorHAnsi" w:cstheme="minorHAnsi"/>
          <w:sz w:val="20"/>
          <w:szCs w:val="20"/>
        </w:rPr>
        <w:t xml:space="preserve">. Through </w:t>
      </w:r>
      <w:r w:rsidR="004C4833">
        <w:rPr>
          <w:rFonts w:asciiTheme="minorHAnsi" w:hAnsiTheme="minorHAnsi" w:cstheme="minorHAnsi"/>
          <w:sz w:val="20"/>
          <w:szCs w:val="20"/>
        </w:rPr>
        <w:t>these videos</w:t>
      </w:r>
      <w:r w:rsidR="004C4833" w:rsidRPr="004C4833">
        <w:rPr>
          <w:rFonts w:asciiTheme="minorHAnsi" w:hAnsiTheme="minorHAnsi" w:cstheme="minorHAnsi"/>
          <w:sz w:val="20"/>
          <w:szCs w:val="20"/>
        </w:rPr>
        <w:t>, $martPath teaches content such as saving, methods of payment</w:t>
      </w:r>
      <w:r w:rsidR="004C4833">
        <w:rPr>
          <w:rFonts w:asciiTheme="minorHAnsi" w:hAnsiTheme="minorHAnsi" w:cstheme="minorHAnsi"/>
          <w:sz w:val="20"/>
          <w:szCs w:val="20"/>
        </w:rPr>
        <w:t>,</w:t>
      </w:r>
      <w:r w:rsidR="004C4833" w:rsidRPr="004C4833">
        <w:rPr>
          <w:rFonts w:asciiTheme="minorHAnsi" w:hAnsiTheme="minorHAnsi" w:cstheme="minorHAnsi"/>
          <w:sz w:val="20"/>
          <w:szCs w:val="20"/>
        </w:rPr>
        <w:t xml:space="preserve"> and opportunity costs. </w:t>
      </w:r>
      <w:r w:rsidR="004C4833" w:rsidRPr="006F6978">
        <w:rPr>
          <w:rFonts w:asciiTheme="minorHAnsi" w:hAnsiTheme="minorHAnsi" w:cstheme="minorHAnsi"/>
          <w:sz w:val="20"/>
          <w:szCs w:val="20"/>
        </w:rPr>
        <w:t>$martPath</w:t>
      </w:r>
      <w:r w:rsidR="006F6978">
        <w:rPr>
          <w:rFonts w:asciiTheme="minorHAnsi" w:hAnsiTheme="minorHAnsi" w:cstheme="minorHAnsi"/>
          <w:sz w:val="20"/>
          <w:szCs w:val="20"/>
        </w:rPr>
        <w:t xml:space="preserve"> also</w:t>
      </w:r>
      <w:r w:rsidR="004C4833" w:rsidRPr="006F6978">
        <w:rPr>
          <w:rFonts w:asciiTheme="minorHAnsi" w:hAnsiTheme="minorHAnsi" w:cstheme="minorHAnsi"/>
          <w:sz w:val="20"/>
          <w:szCs w:val="20"/>
        </w:rPr>
        <w:t xml:space="preserve"> provides resources for facilitating classroom discussions about race and power and explains how relationships, assumptions, and leverage can often influence financial decision making. Partnering with expert interventionists, $martPath </w:t>
      </w:r>
      <w:r w:rsidR="006F6978">
        <w:rPr>
          <w:rFonts w:asciiTheme="minorHAnsi" w:hAnsiTheme="minorHAnsi" w:cstheme="minorHAnsi"/>
          <w:sz w:val="20"/>
          <w:szCs w:val="20"/>
        </w:rPr>
        <w:t xml:space="preserve">also </w:t>
      </w:r>
      <w:r w:rsidR="004C4833" w:rsidRPr="006F6978">
        <w:rPr>
          <w:rFonts w:asciiTheme="minorHAnsi" w:hAnsiTheme="minorHAnsi" w:cstheme="minorHAnsi"/>
          <w:sz w:val="20"/>
          <w:szCs w:val="20"/>
        </w:rPr>
        <w:t xml:space="preserve">has </w:t>
      </w:r>
      <w:r w:rsidR="004C4833" w:rsidRPr="006F6978">
        <w:rPr>
          <w:rFonts w:asciiTheme="minorHAnsi" w:hAnsiTheme="minorHAnsi" w:cstheme="minorHAnsi"/>
          <w:sz w:val="20"/>
          <w:szCs w:val="20"/>
        </w:rPr>
        <w:lastRenderedPageBreak/>
        <w:t>resources and learning guides that focus on supporting students with different learning styles and dis/abilities. </w:t>
      </w:r>
    </w:p>
    <w:p w14:paraId="7745E65B" w14:textId="77777777" w:rsidR="004C4833" w:rsidRDefault="009F0DD9" w:rsidP="004C4833">
      <w:pPr>
        <w:widowControl/>
        <w:autoSpaceDE/>
        <w:autoSpaceDN/>
        <w:spacing w:line="259" w:lineRule="auto"/>
        <w:rPr>
          <w:rFonts w:ascii="Georgia" w:hAnsi="Georgia" w:cstheme="minorHAnsi"/>
          <w:i/>
          <w:color w:val="5B666F"/>
          <w:sz w:val="26"/>
          <w:szCs w:val="26"/>
        </w:rPr>
      </w:pPr>
      <w:hyperlink r:id="rId56" w:history="1">
        <w:r w:rsidRPr="009F0DD9">
          <w:rPr>
            <w:rStyle w:val="Hyperlink"/>
            <w:rFonts w:ascii="Georgia" w:hAnsi="Georgia" w:cstheme="minorHAnsi"/>
            <w:b/>
            <w:bCs/>
            <w:sz w:val="26"/>
            <w:szCs w:val="26"/>
          </w:rPr>
          <w:t>Take Charge Today</w:t>
        </w:r>
      </w:hyperlink>
    </w:p>
    <w:p w14:paraId="6D72C99A" w14:textId="77777777" w:rsidR="004C4833" w:rsidRDefault="004C4833">
      <w:pPr>
        <w:widowControl/>
        <w:autoSpaceDE/>
        <w:autoSpaceDN/>
        <w:spacing w:after="160" w:line="259" w:lineRule="auto"/>
        <w:rPr>
          <w:rFonts w:asciiTheme="minorHAnsi" w:hAnsiTheme="minorHAnsi" w:cstheme="minorHAnsi"/>
          <w:i/>
          <w:iCs/>
          <w:color w:val="333333"/>
          <w:sz w:val="20"/>
          <w:szCs w:val="20"/>
        </w:rPr>
      </w:pPr>
      <w:r>
        <w:rPr>
          <w:rFonts w:asciiTheme="minorHAnsi" w:hAnsiTheme="minorHAnsi" w:cstheme="minorHAnsi"/>
          <w:i/>
          <w:iCs/>
          <w:color w:val="333333"/>
          <w:sz w:val="20"/>
          <w:szCs w:val="20"/>
        </w:rPr>
        <w:t xml:space="preserve">Take Charge Today </w:t>
      </w:r>
      <w:r w:rsidRPr="005F116A">
        <w:rPr>
          <w:rFonts w:asciiTheme="minorHAnsi" w:hAnsiTheme="minorHAnsi" w:cstheme="minorHAnsi"/>
          <w:i/>
          <w:iCs/>
          <w:color w:val="333333"/>
          <w:sz w:val="20"/>
          <w:szCs w:val="20"/>
        </w:rPr>
        <w:t>uses teacher feedback and research to provide a consistent framework to teach financial literacy through lesson plans and professional development. As a program under the University of Arizona, Take Charge Today has interactive lesson plans for students in grades 7-12</w:t>
      </w:r>
      <w:r>
        <w:rPr>
          <w:rFonts w:asciiTheme="minorHAnsi" w:hAnsiTheme="minorHAnsi" w:cstheme="minorHAnsi"/>
          <w:i/>
          <w:iCs/>
          <w:color w:val="333333"/>
          <w:sz w:val="20"/>
          <w:szCs w:val="20"/>
        </w:rPr>
        <w:t>.</w:t>
      </w:r>
    </w:p>
    <w:p w14:paraId="7B522E83" w14:textId="4429EE4F" w:rsidR="004C4833" w:rsidRDefault="00AA6045" w:rsidP="004C4833">
      <w:pPr>
        <w:pStyle w:val="ListParagraph"/>
        <w:widowControl/>
        <w:numPr>
          <w:ilvl w:val="2"/>
          <w:numId w:val="24"/>
        </w:numPr>
        <w:autoSpaceDE/>
        <w:autoSpaceDN/>
        <w:spacing w:line="259" w:lineRule="auto"/>
        <w:rPr>
          <w:rFonts w:asciiTheme="minorHAnsi" w:hAnsiTheme="minorHAnsi" w:cstheme="minorHAnsi"/>
          <w:sz w:val="20"/>
          <w:szCs w:val="20"/>
        </w:rPr>
      </w:pPr>
      <w:r>
        <w:rPr>
          <w:rFonts w:asciiTheme="minorHAnsi" w:hAnsiTheme="minorHAnsi" w:cstheme="minorHAnsi"/>
          <w:sz w:val="20"/>
          <w:szCs w:val="20"/>
          <w:u w:val="single"/>
        </w:rPr>
        <w:t>Curricular Materials</w:t>
      </w:r>
      <w:r w:rsidR="004C4833" w:rsidRPr="004C4833">
        <w:rPr>
          <w:rFonts w:asciiTheme="minorHAnsi" w:hAnsiTheme="minorHAnsi" w:cstheme="minorHAnsi"/>
          <w:sz w:val="20"/>
          <w:szCs w:val="20"/>
          <w:u w:val="single"/>
        </w:rPr>
        <w:t>:</w:t>
      </w:r>
      <w:r w:rsidR="004C4833" w:rsidRPr="004C4833">
        <w:rPr>
          <w:rFonts w:asciiTheme="minorHAnsi" w:hAnsiTheme="minorHAnsi" w:cstheme="minorHAnsi"/>
          <w:sz w:val="20"/>
          <w:szCs w:val="20"/>
        </w:rPr>
        <w:t> </w:t>
      </w:r>
      <w:r w:rsidR="004C4833">
        <w:rPr>
          <w:rFonts w:asciiTheme="minorHAnsi" w:hAnsiTheme="minorHAnsi" w:cstheme="minorHAnsi"/>
          <w:sz w:val="20"/>
          <w:szCs w:val="20"/>
        </w:rPr>
        <w:t xml:space="preserve">Take Charge Today </w:t>
      </w:r>
      <w:r w:rsidR="004C4833" w:rsidRPr="004C4833">
        <w:rPr>
          <w:rFonts w:asciiTheme="minorHAnsi" w:hAnsiTheme="minorHAnsi" w:cstheme="minorHAnsi"/>
          <w:sz w:val="20"/>
          <w:szCs w:val="20"/>
        </w:rPr>
        <w:t>offers curricul</w:t>
      </w:r>
      <w:r w:rsidR="006F6978">
        <w:rPr>
          <w:rFonts w:asciiTheme="minorHAnsi" w:hAnsiTheme="minorHAnsi" w:cstheme="minorHAnsi"/>
          <w:sz w:val="20"/>
          <w:szCs w:val="20"/>
        </w:rPr>
        <w:t xml:space="preserve">ar </w:t>
      </w:r>
      <w:r w:rsidR="004C4833" w:rsidRPr="004C4833">
        <w:rPr>
          <w:rFonts w:asciiTheme="minorHAnsi" w:hAnsiTheme="minorHAnsi" w:cstheme="minorHAnsi"/>
          <w:sz w:val="20"/>
          <w:szCs w:val="20"/>
        </w:rPr>
        <w:t xml:space="preserve">materials that include more than 75 lesson plans, worksheets, hands-on learning activities, and </w:t>
      </w:r>
      <w:r w:rsidR="004C4833">
        <w:rPr>
          <w:rFonts w:asciiTheme="minorHAnsi" w:hAnsiTheme="minorHAnsi" w:cstheme="minorHAnsi"/>
          <w:sz w:val="20"/>
          <w:szCs w:val="20"/>
        </w:rPr>
        <w:t>PowerPoint</w:t>
      </w:r>
      <w:r w:rsidR="004C4833" w:rsidRPr="004C4833">
        <w:rPr>
          <w:rFonts w:asciiTheme="minorHAnsi" w:hAnsiTheme="minorHAnsi" w:cstheme="minorHAnsi"/>
          <w:sz w:val="20"/>
          <w:szCs w:val="20"/>
        </w:rPr>
        <w:t xml:space="preserve"> presentations. Their curriculum has been designed by university educators and financial literacy experts and </w:t>
      </w:r>
      <w:r w:rsidR="004C4833">
        <w:rPr>
          <w:rFonts w:asciiTheme="minorHAnsi" w:hAnsiTheme="minorHAnsi" w:cstheme="minorHAnsi"/>
          <w:sz w:val="20"/>
          <w:szCs w:val="20"/>
        </w:rPr>
        <w:t>is</w:t>
      </w:r>
      <w:r w:rsidR="004C4833" w:rsidRPr="004C4833">
        <w:rPr>
          <w:rFonts w:asciiTheme="minorHAnsi" w:hAnsiTheme="minorHAnsi" w:cstheme="minorHAnsi"/>
          <w:sz w:val="20"/>
          <w:szCs w:val="20"/>
        </w:rPr>
        <w:t xml:space="preserve"> consistently updated based on classroom feedback and research. Lesson plans are aligned to most state and national standards, </w:t>
      </w:r>
      <w:r w:rsidR="002B1818">
        <w:rPr>
          <w:rFonts w:asciiTheme="minorHAnsi" w:hAnsiTheme="minorHAnsi" w:cstheme="minorHAnsi"/>
          <w:sz w:val="20"/>
          <w:szCs w:val="20"/>
        </w:rPr>
        <w:t>include accompanying course guides</w:t>
      </w:r>
      <w:r w:rsidR="004C4833" w:rsidRPr="004C4833">
        <w:rPr>
          <w:rFonts w:asciiTheme="minorHAnsi" w:hAnsiTheme="minorHAnsi" w:cstheme="minorHAnsi"/>
          <w:sz w:val="20"/>
          <w:szCs w:val="20"/>
        </w:rPr>
        <w:t xml:space="preserve">, and provide </w:t>
      </w:r>
      <w:r w:rsidR="004C4833">
        <w:rPr>
          <w:rFonts w:asciiTheme="minorHAnsi" w:hAnsiTheme="minorHAnsi" w:cstheme="minorHAnsi"/>
          <w:sz w:val="20"/>
          <w:szCs w:val="20"/>
        </w:rPr>
        <w:t>various</w:t>
      </w:r>
      <w:r w:rsidR="004C4833" w:rsidRPr="004C4833">
        <w:rPr>
          <w:rFonts w:asciiTheme="minorHAnsi" w:hAnsiTheme="minorHAnsi" w:cstheme="minorHAnsi"/>
          <w:sz w:val="20"/>
          <w:szCs w:val="20"/>
        </w:rPr>
        <w:t xml:space="preserve"> assessment tools. </w:t>
      </w:r>
    </w:p>
    <w:p w14:paraId="7A47A23C" w14:textId="07EE4BE7" w:rsidR="004C4833" w:rsidRPr="004C4833" w:rsidRDefault="004C4833" w:rsidP="001365D3">
      <w:pPr>
        <w:pStyle w:val="ListParagraph"/>
        <w:widowControl/>
        <w:numPr>
          <w:ilvl w:val="2"/>
          <w:numId w:val="24"/>
        </w:numPr>
        <w:autoSpaceDE/>
        <w:autoSpaceDN/>
        <w:spacing w:after="240" w:line="259" w:lineRule="auto"/>
        <w:rPr>
          <w:rFonts w:asciiTheme="minorHAnsi" w:hAnsiTheme="minorHAnsi" w:cstheme="minorHAnsi"/>
          <w:sz w:val="20"/>
          <w:szCs w:val="20"/>
        </w:rPr>
      </w:pPr>
      <w:r w:rsidRPr="004C4833">
        <w:rPr>
          <w:rFonts w:asciiTheme="minorHAnsi" w:hAnsiTheme="minorHAnsi" w:cstheme="minorHAnsi"/>
          <w:sz w:val="20"/>
          <w:szCs w:val="20"/>
          <w:u w:val="single"/>
        </w:rPr>
        <w:t>Professional Development:</w:t>
      </w:r>
      <w:r w:rsidRPr="004C4833">
        <w:rPr>
          <w:rFonts w:asciiTheme="minorHAnsi" w:hAnsiTheme="minorHAnsi" w:cstheme="minorHAnsi"/>
          <w:sz w:val="20"/>
          <w:szCs w:val="20"/>
        </w:rPr>
        <w:t xml:space="preserve"> </w:t>
      </w:r>
      <w:r w:rsidR="002B1818">
        <w:rPr>
          <w:rFonts w:asciiTheme="minorHAnsi" w:hAnsiTheme="minorHAnsi" w:cstheme="minorHAnsi"/>
          <w:sz w:val="20"/>
          <w:szCs w:val="20"/>
        </w:rPr>
        <w:t>Take Charge Today offers</w:t>
      </w:r>
      <w:r w:rsidRPr="004C4833">
        <w:rPr>
          <w:rFonts w:asciiTheme="minorHAnsi" w:hAnsiTheme="minorHAnsi" w:cstheme="minorHAnsi"/>
          <w:sz w:val="20"/>
          <w:szCs w:val="20"/>
        </w:rPr>
        <w:t xml:space="preserve"> videos and webinars for educators that cover topics regarding financial education. </w:t>
      </w:r>
      <w:r>
        <w:rPr>
          <w:rFonts w:asciiTheme="minorHAnsi" w:hAnsiTheme="minorHAnsi" w:cstheme="minorHAnsi"/>
          <w:sz w:val="20"/>
          <w:szCs w:val="20"/>
        </w:rPr>
        <w:t>E</w:t>
      </w:r>
      <w:r w:rsidRPr="004C4833">
        <w:rPr>
          <w:rFonts w:asciiTheme="minorHAnsi" w:hAnsiTheme="minorHAnsi" w:cstheme="minorHAnsi"/>
          <w:sz w:val="20"/>
          <w:szCs w:val="20"/>
        </w:rPr>
        <w:t xml:space="preserve">ducator training and interactive workshops allow educators to network </w:t>
      </w:r>
      <w:r>
        <w:rPr>
          <w:rFonts w:asciiTheme="minorHAnsi" w:hAnsiTheme="minorHAnsi" w:cstheme="minorHAnsi"/>
          <w:sz w:val="20"/>
          <w:szCs w:val="20"/>
        </w:rPr>
        <w:t xml:space="preserve">and collaborate </w:t>
      </w:r>
      <w:r w:rsidRPr="004C4833">
        <w:rPr>
          <w:rFonts w:asciiTheme="minorHAnsi" w:hAnsiTheme="minorHAnsi" w:cstheme="minorHAnsi"/>
          <w:sz w:val="20"/>
          <w:szCs w:val="20"/>
        </w:rPr>
        <w:t xml:space="preserve">with others across the nation and collaborate on developing their skills in teaching. </w:t>
      </w:r>
      <w:r w:rsidR="006F6978">
        <w:rPr>
          <w:rFonts w:asciiTheme="minorHAnsi" w:hAnsiTheme="minorHAnsi" w:cstheme="minorHAnsi"/>
          <w:sz w:val="20"/>
          <w:szCs w:val="20"/>
        </w:rPr>
        <w:t>They also publish newsletters to</w:t>
      </w:r>
      <w:r w:rsidRPr="004C4833">
        <w:rPr>
          <w:rFonts w:asciiTheme="minorHAnsi" w:hAnsiTheme="minorHAnsi" w:cstheme="minorHAnsi"/>
          <w:sz w:val="20"/>
          <w:szCs w:val="20"/>
        </w:rPr>
        <w:t xml:space="preserve"> keep educators updated on current financial topics.</w:t>
      </w:r>
    </w:p>
    <w:p w14:paraId="7749C322" w14:textId="06E07EF2" w:rsidR="009F0DD9" w:rsidRPr="004C4833" w:rsidRDefault="009F0DD9">
      <w:pPr>
        <w:widowControl/>
        <w:autoSpaceDE/>
        <w:autoSpaceDN/>
        <w:spacing w:after="160" w:line="259" w:lineRule="auto"/>
        <w:rPr>
          <w:rFonts w:ascii="Georgia" w:hAnsi="Georgia" w:cstheme="minorHAnsi"/>
          <w:i/>
          <w:color w:val="5B666F"/>
          <w:sz w:val="26"/>
          <w:szCs w:val="26"/>
        </w:rPr>
      </w:pPr>
      <w:r>
        <w:rPr>
          <w:rFonts w:asciiTheme="minorHAnsi" w:hAnsiTheme="minorHAnsi" w:cstheme="minorHAnsi"/>
          <w:i/>
          <w:iCs/>
          <w:sz w:val="20"/>
          <w:szCs w:val="20"/>
        </w:rPr>
        <w:br w:type="page"/>
      </w:r>
    </w:p>
    <w:p w14:paraId="5944F6F0" w14:textId="082167A7" w:rsidR="009F0DD9" w:rsidRPr="009F0DD9" w:rsidRDefault="009F0DD9" w:rsidP="009F0DD9">
      <w:pPr>
        <w:pStyle w:val="Heading2"/>
      </w:pPr>
      <w:r w:rsidRPr="009F0DD9">
        <w:lastRenderedPageBreak/>
        <w:t>APPENDIX:</w:t>
      </w:r>
    </w:p>
    <w:p w14:paraId="20BC4FEE" w14:textId="04921AA8" w:rsidR="009F0DD9" w:rsidRDefault="009F0DD9" w:rsidP="009F0DD9">
      <w:pPr>
        <w:pStyle w:val="Heading2"/>
      </w:pPr>
      <w:r w:rsidRPr="009F0DD9">
        <w:t>Policy Regarding Inclusion of Materials for Financial Literacy “Curricular Materials at a Glance” Document</w:t>
      </w:r>
      <w:r>
        <w:br/>
      </w:r>
      <w:r w:rsidRPr="0065771A">
        <w:rPr>
          <w:color w:val="833C0B" w:themeColor="accent2" w:themeShade="80"/>
          <w:sz w:val="24"/>
          <w:szCs w:val="24"/>
        </w:rPr>
        <w:t>December 1, 2021</w:t>
      </w:r>
    </w:p>
    <w:p w14:paraId="74156037" w14:textId="77777777" w:rsidR="009F0DD9" w:rsidRPr="00010B78" w:rsidRDefault="009F0DD9" w:rsidP="009F0DD9">
      <w:pPr>
        <w:jc w:val="center"/>
      </w:pPr>
    </w:p>
    <w:p w14:paraId="735332E0" w14:textId="0B04BB01" w:rsidR="009F0DD9" w:rsidRDefault="009F0DD9" w:rsidP="009F0DD9">
      <w:pPr>
        <w:rPr>
          <w:rFonts w:cstheme="minorHAnsi"/>
        </w:rPr>
      </w:pPr>
      <w:r>
        <w:t xml:space="preserve">This document is intended to support schools and districts with implementing instruction consistent with the Personal Financial Literacy standards in the 2018 History and Social Science Framework and </w:t>
      </w:r>
      <w:r w:rsidRPr="003E50EE">
        <w:rPr>
          <w:rFonts w:cstheme="minorHAnsi"/>
        </w:rPr>
        <w:t xml:space="preserve">Chapter 438 of the Acts of 2018, </w:t>
      </w:r>
      <w:hyperlink r:id="rId57" w:history="1">
        <w:r w:rsidRPr="003E50EE">
          <w:rPr>
            <w:rStyle w:val="Hyperlink"/>
            <w:rFonts w:cstheme="minorHAnsi"/>
            <w:i/>
          </w:rPr>
          <w:t>An Act Relative to Financial Literacy in Schools</w:t>
        </w:r>
      </w:hyperlink>
      <w:r>
        <w:t xml:space="preserve">. Chapter 438 specifically </w:t>
      </w:r>
      <w:r w:rsidRPr="003E50EE">
        <w:rPr>
          <w:rFonts w:cstheme="minorHAnsi"/>
        </w:rPr>
        <w:t>requires the Department to assist schools in the selection of materials and curriculum on personal financial literacy, and resources for professional development activities</w:t>
      </w:r>
      <w:r>
        <w:rPr>
          <w:rFonts w:cstheme="minorHAnsi"/>
        </w:rPr>
        <w:t>.</w:t>
      </w:r>
    </w:p>
    <w:p w14:paraId="25D00103" w14:textId="77777777" w:rsidR="009F0DD9" w:rsidRDefault="009F0DD9" w:rsidP="009F0DD9">
      <w:pPr>
        <w:rPr>
          <w:rFonts w:cstheme="minorHAnsi"/>
        </w:rPr>
      </w:pPr>
    </w:p>
    <w:p w14:paraId="59D3BE46" w14:textId="77777777" w:rsidR="009F0DD9" w:rsidRDefault="009F0DD9" w:rsidP="009F0DD9">
      <w:pPr>
        <w:rPr>
          <w:rFonts w:cstheme="minorHAnsi"/>
        </w:rPr>
      </w:pPr>
      <w:r>
        <w:rPr>
          <w:rFonts w:cstheme="minorHAnsi"/>
        </w:rPr>
        <w:t>In determining which materials to include on this list, DESE staff apply the following criteria:</w:t>
      </w:r>
    </w:p>
    <w:p w14:paraId="2B3769DC" w14:textId="77777777" w:rsidR="009F0DD9" w:rsidRDefault="009F0DD9" w:rsidP="009F0DD9">
      <w:pPr>
        <w:pStyle w:val="ListParagraph"/>
        <w:widowControl/>
        <w:numPr>
          <w:ilvl w:val="0"/>
          <w:numId w:val="6"/>
        </w:numPr>
        <w:autoSpaceDE/>
        <w:autoSpaceDN/>
        <w:spacing w:after="160" w:line="259" w:lineRule="auto"/>
      </w:pPr>
      <w:r>
        <w:t>The materials are free of charge to schools.</w:t>
      </w:r>
    </w:p>
    <w:p w14:paraId="07E4DC04" w14:textId="77777777" w:rsidR="009F0DD9" w:rsidRDefault="009F0DD9" w:rsidP="009F0DD9">
      <w:pPr>
        <w:pStyle w:val="ListParagraph"/>
        <w:widowControl/>
        <w:numPr>
          <w:ilvl w:val="0"/>
          <w:numId w:val="6"/>
        </w:numPr>
        <w:autoSpaceDE/>
        <w:autoSpaceDN/>
        <w:spacing w:after="160" w:line="259" w:lineRule="auto"/>
      </w:pPr>
      <w:r>
        <w:t>The materials include lesson plans, interactive activities, assessments, or other student-facing resources that can be directly used for classroom instruction.</w:t>
      </w:r>
    </w:p>
    <w:p w14:paraId="71D936AE" w14:textId="77777777" w:rsidR="009F0DD9" w:rsidRDefault="009F0DD9" w:rsidP="009F0DD9">
      <w:pPr>
        <w:pStyle w:val="ListParagraph"/>
        <w:widowControl/>
        <w:numPr>
          <w:ilvl w:val="0"/>
          <w:numId w:val="6"/>
        </w:numPr>
        <w:autoSpaceDE/>
        <w:autoSpaceDN/>
        <w:spacing w:after="160" w:line="259" w:lineRule="auto"/>
      </w:pPr>
      <w:r>
        <w:t>The materials cover one or more of the topics listed in Chapter 438:</w:t>
      </w:r>
    </w:p>
    <w:p w14:paraId="35139803"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 xml:space="preserve">loans; </w:t>
      </w:r>
    </w:p>
    <w:p w14:paraId="4BBB8D05"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interest and interest accrual;</w:t>
      </w:r>
    </w:p>
    <w:p w14:paraId="751DE22A"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 xml:space="preserve">credit card debt; </w:t>
      </w:r>
    </w:p>
    <w:p w14:paraId="167A4DEF"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online commerce</w:t>
      </w:r>
      <w:r>
        <w:rPr>
          <w:rFonts w:cstheme="minorHAnsi"/>
        </w:rPr>
        <w:t>;</w:t>
      </w:r>
    </w:p>
    <w:p w14:paraId="6D0C9A38"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rights and responsibilities of renting or buying a home;</w:t>
      </w:r>
    </w:p>
    <w:p w14:paraId="178552BA"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saving, investing and planning for retirement;</w:t>
      </w:r>
    </w:p>
    <w:p w14:paraId="70C37120"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the role of banking and financial services;</w:t>
      </w:r>
    </w:p>
    <w:p w14:paraId="14D7C460"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 xml:space="preserve">balancing a checkbook; </w:t>
      </w:r>
    </w:p>
    <w:p w14:paraId="34955225"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 xml:space="preserve">state and federal taxes; </w:t>
      </w:r>
    </w:p>
    <w:p w14:paraId="5F7D22EA"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 xml:space="preserve">charitable giving; </w:t>
      </w:r>
    </w:p>
    <w:p w14:paraId="5EB1642A" w14:textId="77777777" w:rsidR="009F0DD9" w:rsidRPr="00010B78" w:rsidRDefault="009F0DD9" w:rsidP="009F0DD9">
      <w:pPr>
        <w:pStyle w:val="ListParagraph"/>
        <w:widowControl/>
        <w:numPr>
          <w:ilvl w:val="1"/>
          <w:numId w:val="6"/>
        </w:numPr>
        <w:autoSpaceDE/>
        <w:autoSpaceDN/>
        <w:spacing w:after="160" w:line="259" w:lineRule="auto"/>
      </w:pPr>
      <w:r w:rsidRPr="003E50EE">
        <w:rPr>
          <w:rFonts w:cstheme="minorHAnsi"/>
        </w:rPr>
        <w:t>evaluating media content, including online content, that relates to personal finance matters; and</w:t>
      </w:r>
    </w:p>
    <w:p w14:paraId="565C9472" w14:textId="77777777" w:rsidR="009F0DD9" w:rsidRPr="00833B80" w:rsidRDefault="009F0DD9" w:rsidP="009F0DD9">
      <w:pPr>
        <w:pStyle w:val="ListParagraph"/>
        <w:widowControl/>
        <w:numPr>
          <w:ilvl w:val="1"/>
          <w:numId w:val="6"/>
        </w:numPr>
        <w:autoSpaceDE/>
        <w:autoSpaceDN/>
        <w:spacing w:after="160" w:line="259" w:lineRule="auto"/>
      </w:pPr>
      <w:r w:rsidRPr="003E50EE">
        <w:rPr>
          <w:rFonts w:cstheme="minorHAnsi"/>
        </w:rPr>
        <w:t>saving, investing and planning for higher education or professional training</w:t>
      </w:r>
      <w:r>
        <w:rPr>
          <w:rFonts w:cstheme="minorHAnsi"/>
        </w:rPr>
        <w:t>.</w:t>
      </w:r>
    </w:p>
    <w:p w14:paraId="38B7B68D" w14:textId="77777777" w:rsidR="009F0DD9" w:rsidRPr="00833B80" w:rsidRDefault="009F0DD9" w:rsidP="009F0DD9">
      <w:pPr>
        <w:pStyle w:val="ListParagraph"/>
        <w:widowControl/>
        <w:numPr>
          <w:ilvl w:val="0"/>
          <w:numId w:val="6"/>
        </w:numPr>
        <w:autoSpaceDE/>
        <w:autoSpaceDN/>
        <w:spacing w:after="160" w:line="259" w:lineRule="auto"/>
      </w:pPr>
      <w:r>
        <w:rPr>
          <w:rFonts w:cstheme="minorHAnsi"/>
        </w:rPr>
        <w:t>The materials meet baseline expectations for quality by:</w:t>
      </w:r>
    </w:p>
    <w:p w14:paraId="7AE31097" w14:textId="77777777" w:rsidR="009F0DD9" w:rsidRDefault="009F0DD9" w:rsidP="009F0DD9">
      <w:pPr>
        <w:pStyle w:val="ListParagraph"/>
        <w:widowControl/>
        <w:numPr>
          <w:ilvl w:val="1"/>
          <w:numId w:val="7"/>
        </w:numPr>
        <w:autoSpaceDE/>
        <w:autoSpaceDN/>
        <w:spacing w:after="160" w:line="259" w:lineRule="auto"/>
      </w:pPr>
      <w:r>
        <w:t>Being of an appropriate level of rigor and complexity for the targeted grade(s)</w:t>
      </w:r>
    </w:p>
    <w:p w14:paraId="74007B18" w14:textId="77777777" w:rsidR="009F0DD9" w:rsidRDefault="009F0DD9" w:rsidP="009F0DD9">
      <w:pPr>
        <w:pStyle w:val="ListParagraph"/>
        <w:widowControl/>
        <w:numPr>
          <w:ilvl w:val="1"/>
          <w:numId w:val="7"/>
        </w:numPr>
        <w:autoSpaceDE/>
        <w:autoSpaceDN/>
        <w:spacing w:after="160" w:line="259" w:lineRule="auto"/>
      </w:pPr>
      <w:r>
        <w:t>Including supports for planning, preparation, and classroom implementation</w:t>
      </w:r>
    </w:p>
    <w:p w14:paraId="517F4CDE" w14:textId="77777777" w:rsidR="009F0DD9" w:rsidRDefault="009F0DD9" w:rsidP="009F0DD9">
      <w:pPr>
        <w:pStyle w:val="ListParagraph"/>
        <w:widowControl/>
        <w:numPr>
          <w:ilvl w:val="1"/>
          <w:numId w:val="7"/>
        </w:numPr>
        <w:autoSpaceDE/>
        <w:autoSpaceDN/>
        <w:spacing w:after="160" w:line="259" w:lineRule="auto"/>
      </w:pPr>
      <w:r>
        <w:t>Acknowledging a diversity of stories and experiences and providing students opportunities to connect their learning to their own identity and experiences</w:t>
      </w:r>
    </w:p>
    <w:p w14:paraId="1BB4B1F3" w14:textId="77777777" w:rsidR="009F0DD9" w:rsidRPr="007B2721" w:rsidRDefault="009F0DD9" w:rsidP="009F0DD9">
      <w:pPr>
        <w:pStyle w:val="ListParagraph"/>
        <w:widowControl/>
        <w:numPr>
          <w:ilvl w:val="1"/>
          <w:numId w:val="7"/>
        </w:numPr>
        <w:autoSpaceDE/>
        <w:autoSpaceDN/>
        <w:spacing w:after="160" w:line="259" w:lineRule="auto"/>
      </w:pPr>
      <w:r>
        <w:t>Being free of factual inaccuracies or undue bias</w:t>
      </w:r>
    </w:p>
    <w:p w14:paraId="7E1B6DD2" w14:textId="77777777" w:rsidR="009F0DD9" w:rsidRDefault="009F0DD9" w:rsidP="009F0DD9"/>
    <w:p w14:paraId="7D511A7B" w14:textId="77777777" w:rsidR="009F0DD9" w:rsidRPr="00010B78" w:rsidRDefault="009F0DD9" w:rsidP="009F0DD9">
      <w:r>
        <w:t>In developing the list of materials, DESE staff conducted a review of all financial literacy resources known to the Department. As DESE becomes aware of additional resources that may qualify for inclusion, they will periodically review them and update the “At a Glance” document as appropriate.</w:t>
      </w:r>
    </w:p>
    <w:p w14:paraId="46273F46" w14:textId="77777777" w:rsidR="005B0562" w:rsidRPr="005B0562" w:rsidRDefault="005B0562">
      <w:pPr>
        <w:widowControl/>
        <w:autoSpaceDE/>
        <w:autoSpaceDN/>
        <w:spacing w:after="160" w:line="259" w:lineRule="auto"/>
        <w:rPr>
          <w:rFonts w:asciiTheme="minorHAnsi" w:hAnsiTheme="minorHAnsi" w:cstheme="minorHAnsi"/>
          <w:i/>
          <w:iCs/>
          <w:sz w:val="20"/>
          <w:szCs w:val="20"/>
        </w:rPr>
      </w:pPr>
    </w:p>
    <w:sectPr w:rsidR="005B0562" w:rsidRPr="005B0562" w:rsidSect="005C327D">
      <w:headerReference w:type="default" r:id="rId58"/>
      <w:footerReference w:type="default" r:id="rId59"/>
      <w:headerReference w:type="first" r:id="rId60"/>
      <w:footerReference w:type="first" r:id="rId6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95A2C" w14:textId="77777777" w:rsidR="006C5FDD" w:rsidRDefault="006C5FDD" w:rsidP="00715092">
      <w:r>
        <w:separator/>
      </w:r>
    </w:p>
  </w:endnote>
  <w:endnote w:type="continuationSeparator" w:id="0">
    <w:p w14:paraId="1F4972F7" w14:textId="77777777" w:rsidR="006C5FDD" w:rsidRDefault="006C5FDD" w:rsidP="0071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8FCC" w14:textId="19CA1FC3" w:rsidR="0071704D" w:rsidRPr="0071704D" w:rsidRDefault="009D234B" w:rsidP="0071704D">
    <w:pPr>
      <w:pStyle w:val="Footer"/>
      <w:rPr>
        <w:sz w:val="19"/>
        <w:szCs w:val="19"/>
      </w:rPr>
    </w:pPr>
    <w:r>
      <w:rPr>
        <w:sz w:val="19"/>
        <w:szCs w:val="19"/>
      </w:rPr>
      <w:t xml:space="preserve">Curricular Materials at a Glance: </w:t>
    </w:r>
    <w:r w:rsidR="005B0562">
      <w:rPr>
        <w:sz w:val="19"/>
        <w:szCs w:val="19"/>
      </w:rPr>
      <w:t>Personal Financial Literacy</w:t>
    </w:r>
    <w:r w:rsidR="0071704D">
      <w:rPr>
        <w:sz w:val="19"/>
        <w:szCs w:val="19"/>
      </w:rPr>
      <w:tab/>
    </w:r>
    <w:r w:rsidR="0071704D">
      <w:rPr>
        <w:sz w:val="19"/>
        <w:szCs w:val="19"/>
      </w:rPr>
      <w:tab/>
    </w:r>
    <w:r w:rsidR="0090667C" w:rsidRPr="0090667C">
      <w:rPr>
        <w:sz w:val="19"/>
        <w:szCs w:val="19"/>
      </w:rPr>
      <w:t xml:space="preserve">Page </w:t>
    </w:r>
    <w:r w:rsidR="0090667C" w:rsidRPr="0090667C">
      <w:rPr>
        <w:sz w:val="19"/>
        <w:szCs w:val="19"/>
      </w:rPr>
      <w:fldChar w:fldCharType="begin"/>
    </w:r>
    <w:r w:rsidR="0090667C" w:rsidRPr="0090667C">
      <w:rPr>
        <w:sz w:val="19"/>
        <w:szCs w:val="19"/>
      </w:rPr>
      <w:instrText xml:space="preserve"> PAGE  \* Arabic  \* MERGEFORMAT </w:instrText>
    </w:r>
    <w:r w:rsidR="0090667C" w:rsidRPr="0090667C">
      <w:rPr>
        <w:sz w:val="19"/>
        <w:szCs w:val="19"/>
      </w:rPr>
      <w:fldChar w:fldCharType="separate"/>
    </w:r>
    <w:r w:rsidR="0090667C" w:rsidRPr="0090667C">
      <w:rPr>
        <w:noProof/>
        <w:sz w:val="19"/>
        <w:szCs w:val="19"/>
      </w:rPr>
      <w:t>1</w:t>
    </w:r>
    <w:r w:rsidR="0090667C" w:rsidRPr="0090667C">
      <w:rPr>
        <w:sz w:val="19"/>
        <w:szCs w:val="19"/>
      </w:rPr>
      <w:fldChar w:fldCharType="end"/>
    </w:r>
    <w:r w:rsidR="0090667C" w:rsidRPr="0090667C">
      <w:rPr>
        <w:sz w:val="19"/>
        <w:szCs w:val="19"/>
      </w:rPr>
      <w:t xml:space="preserve"> of </w:t>
    </w:r>
    <w:r w:rsidR="0090667C" w:rsidRPr="0090667C">
      <w:rPr>
        <w:sz w:val="19"/>
        <w:szCs w:val="19"/>
      </w:rPr>
      <w:fldChar w:fldCharType="begin"/>
    </w:r>
    <w:r w:rsidR="0090667C" w:rsidRPr="0090667C">
      <w:rPr>
        <w:sz w:val="19"/>
        <w:szCs w:val="19"/>
      </w:rPr>
      <w:instrText xml:space="preserve"> NUMPAGES  \* Arabic  \* MERGEFORMAT </w:instrText>
    </w:r>
    <w:r w:rsidR="0090667C" w:rsidRPr="0090667C">
      <w:rPr>
        <w:sz w:val="19"/>
        <w:szCs w:val="19"/>
      </w:rPr>
      <w:fldChar w:fldCharType="separate"/>
    </w:r>
    <w:r w:rsidR="0090667C" w:rsidRPr="0090667C">
      <w:rPr>
        <w:noProof/>
        <w:sz w:val="19"/>
        <w:szCs w:val="19"/>
      </w:rPr>
      <w:t>2</w:t>
    </w:r>
    <w:r w:rsidR="0090667C" w:rsidRPr="0090667C">
      <w:rPr>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A75C" w14:textId="61674318" w:rsidR="005B0562" w:rsidRDefault="005B0562" w:rsidP="005B0562">
    <w:pPr>
      <w:widowControl/>
      <w:pBdr>
        <w:bottom w:val="single" w:sz="6" w:space="1" w:color="auto"/>
      </w:pBdr>
      <w:autoSpaceDE/>
      <w:autoSpaceDN/>
      <w:spacing w:after="160" w:line="259" w:lineRule="auto"/>
      <w:rPr>
        <w:rFonts w:asciiTheme="minorHAnsi" w:hAnsiTheme="minorHAnsi" w:cstheme="minorHAnsi"/>
        <w:b/>
        <w:bCs/>
        <w:sz w:val="20"/>
        <w:szCs w:val="20"/>
      </w:rPr>
    </w:pPr>
  </w:p>
  <w:p w14:paraId="528DA935" w14:textId="462CDBF2" w:rsidR="005B0562" w:rsidRDefault="005B0562" w:rsidP="005B0562">
    <w:pPr>
      <w:widowControl/>
      <w:autoSpaceDE/>
      <w:autoSpaceDN/>
      <w:spacing w:after="160" w:line="259" w:lineRule="auto"/>
      <w:rPr>
        <w:rFonts w:asciiTheme="minorHAnsi" w:hAnsiTheme="minorHAnsi" w:cstheme="minorHAnsi"/>
        <w:sz w:val="20"/>
        <w:szCs w:val="20"/>
      </w:rPr>
    </w:pPr>
    <w:r>
      <w:rPr>
        <w:rFonts w:asciiTheme="minorHAnsi" w:hAnsiTheme="minorHAnsi" w:cstheme="minorHAnsi"/>
        <w:b/>
        <w:bCs/>
        <w:sz w:val="20"/>
        <w:szCs w:val="20"/>
      </w:rPr>
      <w:t xml:space="preserve">Note to Publishers: </w:t>
    </w:r>
    <w:r w:rsidRPr="00BF3D67">
      <w:rPr>
        <w:rFonts w:asciiTheme="minorHAnsi" w:hAnsiTheme="minorHAnsi" w:cstheme="minorHAnsi"/>
        <w:sz w:val="20"/>
        <w:szCs w:val="20"/>
      </w:rPr>
      <w:t>If you have</w:t>
    </w:r>
    <w:r>
      <w:rPr>
        <w:rFonts w:asciiTheme="minorHAnsi" w:hAnsiTheme="minorHAnsi" w:cstheme="minorHAnsi"/>
        <w:sz w:val="20"/>
        <w:szCs w:val="20"/>
      </w:rPr>
      <w:t xml:space="preserve"> </w:t>
    </w:r>
    <w:r w:rsidRPr="00BF3D67">
      <w:rPr>
        <w:rFonts w:asciiTheme="minorHAnsi" w:hAnsiTheme="minorHAnsi" w:cstheme="minorHAnsi"/>
        <w:sz w:val="20"/>
        <w:szCs w:val="20"/>
      </w:rPr>
      <w:t xml:space="preserve">curricular materials you would like to submit for </w:t>
    </w:r>
    <w:r>
      <w:rPr>
        <w:rFonts w:asciiTheme="minorHAnsi" w:hAnsiTheme="minorHAnsi" w:cstheme="minorHAnsi"/>
        <w:sz w:val="20"/>
        <w:szCs w:val="20"/>
      </w:rPr>
      <w:t>possible inclusion on this list</w:t>
    </w:r>
    <w:r w:rsidRPr="00BF3D67">
      <w:rPr>
        <w:rFonts w:asciiTheme="minorHAnsi" w:hAnsiTheme="minorHAnsi" w:cstheme="minorHAnsi"/>
        <w:sz w:val="20"/>
        <w:szCs w:val="20"/>
      </w:rPr>
      <w:t xml:space="preserve">, please contact historycivics@doe.mass.edu. </w:t>
    </w:r>
    <w:r>
      <w:rPr>
        <w:rFonts w:asciiTheme="minorHAnsi" w:hAnsiTheme="minorHAnsi" w:cstheme="minorHAnsi"/>
        <w:sz w:val="20"/>
        <w:szCs w:val="20"/>
      </w:rPr>
      <w:t>Note that we are only able to include materials that are free of charge to educators.</w:t>
    </w:r>
    <w:r w:rsidRPr="00BF3D67">
      <w:rPr>
        <w:rFonts w:asciiTheme="minorHAnsi" w:hAnsiTheme="minorHAnsi" w:cstheme="minorHAnsi"/>
        <w:sz w:val="20"/>
        <w:szCs w:val="20"/>
      </w:rPr>
      <w:t xml:space="preserve"> </w:t>
    </w:r>
  </w:p>
  <w:p w14:paraId="0967DEEA" w14:textId="512E369D" w:rsidR="4490395E" w:rsidRPr="005B0562" w:rsidRDefault="005B0562" w:rsidP="005B0562">
    <w:pPr>
      <w:widowControl/>
      <w:autoSpaceDE/>
      <w:autoSpaceDN/>
      <w:spacing w:after="160" w:line="259" w:lineRule="auto"/>
      <w:rPr>
        <w:rFonts w:asciiTheme="minorHAnsi" w:hAnsiTheme="minorHAnsi" w:cstheme="minorHAnsi"/>
        <w:i/>
        <w:iCs/>
        <w:sz w:val="20"/>
        <w:szCs w:val="20"/>
      </w:rPr>
    </w:pPr>
    <w:r w:rsidRPr="00BF3D67">
      <w:rPr>
        <w:rFonts w:asciiTheme="minorHAnsi" w:hAnsiTheme="minorHAnsi" w:cstheme="minorHAnsi"/>
        <w:i/>
        <w:iCs/>
        <w:sz w:val="20"/>
        <w:szCs w:val="20"/>
      </w:rPr>
      <w:t xml:space="preserve">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DESE may supplement this list with other services and products that meet the specified criteria. For more information contact: historycivics@doe.mass.edu or 781-338-6237.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2964" w14:textId="77777777" w:rsidR="006C5FDD" w:rsidRDefault="006C5FDD" w:rsidP="00715092">
      <w:r>
        <w:separator/>
      </w:r>
    </w:p>
  </w:footnote>
  <w:footnote w:type="continuationSeparator" w:id="0">
    <w:p w14:paraId="5EB603F1" w14:textId="77777777" w:rsidR="006C5FDD" w:rsidRDefault="006C5FDD" w:rsidP="00715092">
      <w:r>
        <w:continuationSeparator/>
      </w:r>
    </w:p>
  </w:footnote>
  <w:footnote w:id="1">
    <w:p w14:paraId="67838F26" w14:textId="32F51C50" w:rsidR="005B0562" w:rsidRDefault="005B0562">
      <w:pPr>
        <w:pStyle w:val="FootnoteText"/>
      </w:pPr>
      <w:r>
        <w:rPr>
          <w:rStyle w:val="FootnoteReference"/>
        </w:rPr>
        <w:footnoteRef/>
      </w:r>
      <w:r>
        <w:t xml:space="preserve"> The Department is grateful to </w:t>
      </w:r>
      <w:hyperlink r:id="rId1" w:history="1">
        <w:r w:rsidRPr="002D1C91">
          <w:rPr>
            <w:rStyle w:val="Hyperlink"/>
          </w:rPr>
          <w:t>Angie Leung</w:t>
        </w:r>
      </w:hyperlink>
      <w:r>
        <w:t xml:space="preserve"> and </w:t>
      </w:r>
      <w:hyperlink r:id="rId2" w:history="1">
        <w:r w:rsidRPr="002D1C91">
          <w:rPr>
            <w:rStyle w:val="Hyperlink"/>
          </w:rPr>
          <w:t>Vidula Mannem</w:t>
        </w:r>
      </w:hyperlink>
      <w:r>
        <w:t xml:space="preserve"> (</w:t>
      </w:r>
      <w:hyperlink r:id="rId3" w:history="1">
        <w:r w:rsidR="002D1C91" w:rsidRPr="002D1C91">
          <w:rPr>
            <w:rStyle w:val="Hyperlink"/>
          </w:rPr>
          <w:t>Team Financial Future</w:t>
        </w:r>
      </w:hyperlink>
      <w:r w:rsidR="002D1C91">
        <w:t xml:space="preserve">, </w:t>
      </w:r>
      <w:r>
        <w:t xml:space="preserve">Lexington High School) for their support in gathering the information for this section.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78B8" w14:textId="41C54E9A" w:rsidR="000E7FC4" w:rsidRPr="0071704D" w:rsidRDefault="0071704D">
    <w:pPr>
      <w:pStyle w:val="Header"/>
      <w:rPr>
        <w:sz w:val="19"/>
        <w:szCs w:val="19"/>
      </w:rPr>
    </w:pPr>
    <w:r>
      <w:rPr>
        <w:sz w:val="19"/>
        <w:szCs w:val="19"/>
      </w:rPr>
      <w:t>Massachusetts Department of Elementary and Secondary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B0E2" w14:textId="7FE0FD87" w:rsidR="005C327D" w:rsidRPr="005C327D" w:rsidRDefault="005C327D">
    <w:pPr>
      <w:pStyle w:val="Header"/>
      <w:rPr>
        <w:b/>
      </w:rPr>
    </w:pPr>
    <w:r>
      <w:rPr>
        <w:noProof/>
        <w:lang w:bidi="ar-SA"/>
      </w:rPr>
      <w:drawing>
        <wp:inline distT="0" distB="0" distL="0" distR="0" wp14:anchorId="2CAB3B94" wp14:editId="3C4DFAFD">
          <wp:extent cx="1438275" cy="697048"/>
          <wp:effectExtent l="0" t="0" r="0" b="0"/>
          <wp:docPr id="1" name="Picture 1" descr="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 cstate="print"/>
                  <a:srcRect/>
                  <a:stretch>
                    <a:fillRect/>
                  </a:stretch>
                </pic:blipFill>
                <pic:spPr bwMode="auto">
                  <a:xfrm>
                    <a:off x="0" y="0"/>
                    <a:ext cx="1453643" cy="704496"/>
                  </a:xfrm>
                  <a:prstGeom prst="rect">
                    <a:avLst/>
                  </a:prstGeom>
                  <a:noFill/>
                  <a:ln w="9525">
                    <a:noFill/>
                    <a:miter lim="800000"/>
                    <a:headEnd/>
                    <a:tailEnd/>
                  </a:ln>
                </pic:spPr>
              </pic:pic>
            </a:graphicData>
          </a:graphic>
        </wp:inline>
      </w:drawing>
    </w:r>
    <w:r w:rsidRPr="005C327D">
      <w:rPr>
        <w:bCs/>
        <w:noProof/>
        <w:color w:val="FF9933"/>
      </w:rPr>
      <w:t xml:space="preserve"> </w:t>
    </w:r>
    <w:r w:rsidR="008A3CE6">
      <w:rPr>
        <w:bCs/>
        <w:noProof/>
        <w:color w:val="FF9933"/>
      </w:rPr>
      <w:tab/>
    </w:r>
    <w:r w:rsidR="008A3CE6">
      <w:rPr>
        <w:bCs/>
        <w:noProof/>
        <w:color w:val="FF9933"/>
      </w:rPr>
      <w:tab/>
    </w:r>
    <w:r w:rsidR="008A3CE6" w:rsidRPr="004F7057">
      <w:rPr>
        <w:bCs/>
        <w:noProof/>
        <w:color w:val="FF9933"/>
        <w:lang w:bidi="ar-SA"/>
      </w:rPr>
      <w:drawing>
        <wp:inline distT="0" distB="0" distL="0" distR="0" wp14:anchorId="07B5987A" wp14:editId="5CA73598">
          <wp:extent cx="1133475" cy="545465"/>
          <wp:effectExtent l="0" t="0" r="9525" b="0"/>
          <wp:docPr id="2" name="image1.png" descr="Curriculum and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3475" cy="54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1BB"/>
    <w:multiLevelType w:val="multilevel"/>
    <w:tmpl w:val="3C0A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756A8"/>
    <w:multiLevelType w:val="multilevel"/>
    <w:tmpl w:val="4880CA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E7838"/>
    <w:multiLevelType w:val="hybridMultilevel"/>
    <w:tmpl w:val="2416C494"/>
    <w:lvl w:ilvl="0" w:tplc="F202FF92">
      <w:start w:val="75"/>
      <w:numFmt w:val="bullet"/>
      <w:lvlText w:val=""/>
      <w:lvlJc w:val="left"/>
      <w:pPr>
        <w:ind w:left="720" w:hanging="360"/>
      </w:pPr>
      <w:rPr>
        <w:rFonts w:ascii="Symbol" w:eastAsia="Calibri" w:hAnsi="Symbol" w:cs="Calibri" w:hint="default"/>
        <w:sz w:val="22"/>
        <w:szCs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369B2"/>
    <w:multiLevelType w:val="multilevel"/>
    <w:tmpl w:val="2A58F1B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4419D"/>
    <w:multiLevelType w:val="multilevel"/>
    <w:tmpl w:val="B7F275D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C61F1"/>
    <w:multiLevelType w:val="multilevel"/>
    <w:tmpl w:val="24A8C2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5"/>
      <w:numFmt w:val="bullet"/>
      <w:lvlText w:val=""/>
      <w:lvlJc w:val="left"/>
      <w:pPr>
        <w:ind w:left="720" w:hanging="360"/>
      </w:pPr>
      <w:rPr>
        <w:rFonts w:ascii="Symbol" w:eastAsia="Calibri" w:hAnsi="Symbol" w:cs="Calibri" w:hint="default"/>
        <w:u w:val="none"/>
      </w:rPr>
    </w:lvl>
    <w:lvl w:ilvl="3">
      <w:start w:val="1"/>
      <w:numFmt w:val="bullet"/>
      <w:lvlText w:val="o"/>
      <w:lvlJc w:val="left"/>
      <w:pPr>
        <w:ind w:left="1440" w:hanging="360"/>
      </w:pPr>
      <w:rPr>
        <w:rFonts w:ascii="Courier New" w:hAnsi="Courier New" w:cs="Courier New" w:hint="default"/>
        <w:sz w:val="22"/>
        <w:szCs w:val="22"/>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D4056"/>
    <w:multiLevelType w:val="multilevel"/>
    <w:tmpl w:val="D548E1A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F3ED2"/>
    <w:multiLevelType w:val="hybridMultilevel"/>
    <w:tmpl w:val="65226490"/>
    <w:lvl w:ilvl="0" w:tplc="9F1C882E">
      <w:start w:val="75"/>
      <w:numFmt w:val="bullet"/>
      <w:lvlText w:val=""/>
      <w:lvlJc w:val="left"/>
      <w:pPr>
        <w:ind w:left="720" w:hanging="360"/>
      </w:pPr>
      <w:rPr>
        <w:rFonts w:ascii="Symbol" w:eastAsia="Calibri" w:hAnsi="Symbol"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B2DA5"/>
    <w:multiLevelType w:val="hybridMultilevel"/>
    <w:tmpl w:val="4D063C5A"/>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24400"/>
    <w:multiLevelType w:val="multilevel"/>
    <w:tmpl w:val="CCD830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340CC"/>
    <w:multiLevelType w:val="multilevel"/>
    <w:tmpl w:val="578ADBA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5"/>
      <w:numFmt w:val="bullet"/>
      <w:lvlText w:val=""/>
      <w:lvlJc w:val="left"/>
      <w:pPr>
        <w:ind w:left="720" w:hanging="360"/>
      </w:pPr>
      <w:rPr>
        <w:rFonts w:ascii="Symbol" w:eastAsia="Calibri" w:hAnsi="Symbol" w:cs="Calibri" w:hint="default"/>
        <w:u w:val="none"/>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E2193"/>
    <w:multiLevelType w:val="hybridMultilevel"/>
    <w:tmpl w:val="6466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6348A"/>
    <w:multiLevelType w:val="multilevel"/>
    <w:tmpl w:val="923A540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F10896"/>
    <w:multiLevelType w:val="multilevel"/>
    <w:tmpl w:val="0926661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B54027"/>
    <w:multiLevelType w:val="multilevel"/>
    <w:tmpl w:val="D60AEC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D6C12"/>
    <w:multiLevelType w:val="multilevel"/>
    <w:tmpl w:val="7868AE5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C241B8"/>
    <w:multiLevelType w:val="hybridMultilevel"/>
    <w:tmpl w:val="511AE232"/>
    <w:lvl w:ilvl="0" w:tplc="037C26F0">
      <w:start w:val="2"/>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A6661"/>
    <w:multiLevelType w:val="multilevel"/>
    <w:tmpl w:val="C98C77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64858"/>
    <w:multiLevelType w:val="hybridMultilevel"/>
    <w:tmpl w:val="57DAB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E57038"/>
    <w:multiLevelType w:val="hybridMultilevel"/>
    <w:tmpl w:val="D090A54C"/>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0B1EE3"/>
    <w:multiLevelType w:val="multilevel"/>
    <w:tmpl w:val="23CE215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6162BE"/>
    <w:multiLevelType w:val="multilevel"/>
    <w:tmpl w:val="DD303D0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46B6E"/>
    <w:multiLevelType w:val="multilevel"/>
    <w:tmpl w:val="691EFA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576FBD"/>
    <w:multiLevelType w:val="multilevel"/>
    <w:tmpl w:val="EEDCF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851473">
    <w:abstractNumId w:val="16"/>
  </w:num>
  <w:num w:numId="2" w16cid:durableId="790587692">
    <w:abstractNumId w:val="21"/>
    <w:lvlOverride w:ilvl="0">
      <w:lvl w:ilvl="0">
        <w:numFmt w:val="decimal"/>
        <w:lvlText w:val="%1."/>
        <w:lvlJc w:val="left"/>
      </w:lvl>
    </w:lvlOverride>
  </w:num>
  <w:num w:numId="3" w16cid:durableId="241262238">
    <w:abstractNumId w:val="21"/>
    <w:lvlOverride w:ilvl="0">
      <w:lvl w:ilvl="0">
        <w:numFmt w:val="decimal"/>
        <w:lvlText w:val="%1."/>
        <w:lvlJc w:val="left"/>
      </w:lvl>
    </w:lvlOverride>
    <w:lvlOverride w:ilvl="1">
      <w:lvl w:ilvl="1">
        <w:numFmt w:val="lowerLetter"/>
        <w:lvlText w:val="%2."/>
        <w:lvlJc w:val="left"/>
      </w:lvl>
    </w:lvlOverride>
  </w:num>
  <w:num w:numId="4" w16cid:durableId="257101664">
    <w:abstractNumId w:val="2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5" w16cid:durableId="831408027">
    <w:abstractNumId w:val="2"/>
  </w:num>
  <w:num w:numId="6" w16cid:durableId="795174832">
    <w:abstractNumId w:val="8"/>
  </w:num>
  <w:num w:numId="7" w16cid:durableId="2070877524">
    <w:abstractNumId w:val="19"/>
  </w:num>
  <w:num w:numId="8" w16cid:durableId="1244024791">
    <w:abstractNumId w:val="17"/>
    <w:lvlOverride w:ilvl="0">
      <w:lvl w:ilvl="0">
        <w:numFmt w:val="decimal"/>
        <w:lvlText w:val="%1."/>
        <w:lvlJc w:val="left"/>
      </w:lvl>
    </w:lvlOverride>
  </w:num>
  <w:num w:numId="9" w16cid:durableId="918952324">
    <w:abstractNumId w:val="17"/>
    <w:lvlOverride w:ilvl="0">
      <w:lvl w:ilvl="0">
        <w:numFmt w:val="decimal"/>
        <w:lvlText w:val="%1."/>
        <w:lvlJc w:val="left"/>
      </w:lvl>
    </w:lvlOverride>
    <w:lvlOverride w:ilvl="1">
      <w:lvl w:ilvl="1">
        <w:numFmt w:val="lowerLetter"/>
        <w:lvlText w:val="%2."/>
        <w:lvlJc w:val="left"/>
      </w:lvl>
    </w:lvlOverride>
  </w:num>
  <w:num w:numId="10" w16cid:durableId="689527014">
    <w:abstractNumId w:val="1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1" w16cid:durableId="831876970">
    <w:abstractNumId w:val="1"/>
    <w:lvlOverride w:ilvl="0">
      <w:lvl w:ilvl="0">
        <w:numFmt w:val="decimal"/>
        <w:lvlText w:val="%1."/>
        <w:lvlJc w:val="left"/>
      </w:lvl>
    </w:lvlOverride>
    <w:lvlOverride w:ilvl="1">
      <w:lvl w:ilvl="1">
        <w:numFmt w:val="lowerLetter"/>
        <w:lvlText w:val="%2."/>
        <w:lvlJc w:val="left"/>
      </w:lvl>
    </w:lvlOverride>
  </w:num>
  <w:num w:numId="12" w16cid:durableId="2099252872">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3" w16cid:durableId="502938442">
    <w:abstractNumId w:val="9"/>
    <w:lvlOverride w:ilvl="0">
      <w:lvl w:ilvl="0">
        <w:numFmt w:val="decimal"/>
        <w:lvlText w:val="%1."/>
        <w:lvlJc w:val="left"/>
      </w:lvl>
    </w:lvlOverride>
    <w:lvlOverride w:ilvl="1">
      <w:lvl w:ilvl="1">
        <w:numFmt w:val="lowerLetter"/>
        <w:lvlText w:val="%2."/>
        <w:lvlJc w:val="left"/>
      </w:lvl>
    </w:lvlOverride>
  </w:num>
  <w:num w:numId="14" w16cid:durableId="943656423">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5" w16cid:durableId="805272231">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6" w16cid:durableId="336538668">
    <w:abstractNumId w:val="2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7" w16cid:durableId="1226991390">
    <w:abstractNumId w:val="12"/>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16cid:durableId="1616712259">
    <w:abstractNumId w:val="12"/>
    <w:lvlOverride w:ilvl="0">
      <w:lvl w:ilvl="0">
        <w:numFmt w:val="decimal"/>
        <w:lvlText w:val="%1."/>
        <w:lvlJc w:val="left"/>
      </w:lvl>
    </w:lvlOverride>
    <w:lvlOverride w:ilvl="1">
      <w:lvl w:ilvl="1">
        <w:numFmt w:val="lowerLetter"/>
        <w:lvlText w:val="%2."/>
        <w:lvlJc w:val="left"/>
      </w:lvl>
    </w:lvlOverride>
  </w:num>
  <w:num w:numId="19" w16cid:durableId="150757103">
    <w:abstractNumId w:val="7"/>
  </w:num>
  <w:num w:numId="20" w16cid:durableId="877162248">
    <w:abstractNumId w:val="1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1" w16cid:durableId="271326711">
    <w:abstractNumId w:val="5"/>
  </w:num>
  <w:num w:numId="22" w16cid:durableId="1041780103">
    <w:abstractNumId w:val="4"/>
    <w:lvlOverride w:ilvl="0">
      <w:lvl w:ilvl="0">
        <w:numFmt w:val="decimal"/>
        <w:lvlText w:val="%1."/>
        <w:lvlJc w:val="left"/>
      </w:lvl>
    </w:lvlOverride>
    <w:lvlOverride w:ilvl="1">
      <w:lvl w:ilvl="1">
        <w:numFmt w:val="lowerLetter"/>
        <w:lvlText w:val="%2."/>
        <w:lvlJc w:val="left"/>
      </w:lvl>
    </w:lvlOverride>
  </w:num>
  <w:num w:numId="23" w16cid:durableId="569508984">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4" w16cid:durableId="927009251">
    <w:abstractNumId w:val="10"/>
  </w:num>
  <w:num w:numId="25" w16cid:durableId="764033149">
    <w:abstractNumId w:val="1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6" w16cid:durableId="565535867">
    <w:abstractNumId w:val="0"/>
  </w:num>
  <w:num w:numId="27" w16cid:durableId="475294681">
    <w:abstractNumId w:val="23"/>
    <w:lvlOverride w:ilvl="0">
      <w:lvl w:ilvl="0">
        <w:numFmt w:val="upperRoman"/>
        <w:lvlText w:val="%1."/>
        <w:lvlJc w:val="right"/>
      </w:lvl>
    </w:lvlOverride>
    <w:lvlOverride w:ilvl="1">
      <w:lvl w:ilvl="1">
        <w:numFmt w:val="upperLetter"/>
        <w:lvlText w:val="%2."/>
        <w:lvlJc w:val="left"/>
      </w:lvl>
    </w:lvlOverride>
  </w:num>
  <w:num w:numId="28" w16cid:durableId="293219170">
    <w:abstractNumId w:val="1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9" w16cid:durableId="389421195">
    <w:abstractNumId w:val="22"/>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0" w16cid:durableId="1569608178">
    <w:abstractNumId w:val="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1" w16cid:durableId="1517187071">
    <w:abstractNumId w:val="18"/>
  </w:num>
  <w:num w:numId="32" w16cid:durableId="272637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92"/>
    <w:rsid w:val="00017557"/>
    <w:rsid w:val="00032932"/>
    <w:rsid w:val="00046A38"/>
    <w:rsid w:val="000573C8"/>
    <w:rsid w:val="00064E3B"/>
    <w:rsid w:val="000A0BF3"/>
    <w:rsid w:val="000A52D6"/>
    <w:rsid w:val="000E5E33"/>
    <w:rsid w:val="000E6998"/>
    <w:rsid w:val="000E7FC4"/>
    <w:rsid w:val="000F3E64"/>
    <w:rsid w:val="00132325"/>
    <w:rsid w:val="001365D3"/>
    <w:rsid w:val="00164CE7"/>
    <w:rsid w:val="001721C2"/>
    <w:rsid w:val="0017797A"/>
    <w:rsid w:val="001961A8"/>
    <w:rsid w:val="001A0C10"/>
    <w:rsid w:val="001A4D3C"/>
    <w:rsid w:val="001A63FE"/>
    <w:rsid w:val="001C1042"/>
    <w:rsid w:val="001D290B"/>
    <w:rsid w:val="0020563B"/>
    <w:rsid w:val="00205B96"/>
    <w:rsid w:val="002073CD"/>
    <w:rsid w:val="00213DC7"/>
    <w:rsid w:val="00220595"/>
    <w:rsid w:val="002312F1"/>
    <w:rsid w:val="002839EF"/>
    <w:rsid w:val="002920AD"/>
    <w:rsid w:val="002B1818"/>
    <w:rsid w:val="002D0B00"/>
    <w:rsid w:val="002D1C91"/>
    <w:rsid w:val="002D1ED6"/>
    <w:rsid w:val="002D6FE5"/>
    <w:rsid w:val="00320417"/>
    <w:rsid w:val="0032505D"/>
    <w:rsid w:val="00356362"/>
    <w:rsid w:val="00380EED"/>
    <w:rsid w:val="00382BD8"/>
    <w:rsid w:val="00384E4C"/>
    <w:rsid w:val="003B0190"/>
    <w:rsid w:val="003B20D6"/>
    <w:rsid w:val="003B660C"/>
    <w:rsid w:val="003E0F1D"/>
    <w:rsid w:val="003E50EE"/>
    <w:rsid w:val="004007FD"/>
    <w:rsid w:val="004360C7"/>
    <w:rsid w:val="00442D8E"/>
    <w:rsid w:val="00472221"/>
    <w:rsid w:val="00482611"/>
    <w:rsid w:val="00490D7E"/>
    <w:rsid w:val="004937CB"/>
    <w:rsid w:val="00495A8F"/>
    <w:rsid w:val="004A73A9"/>
    <w:rsid w:val="004B7042"/>
    <w:rsid w:val="004C4833"/>
    <w:rsid w:val="004E0091"/>
    <w:rsid w:val="004F72C5"/>
    <w:rsid w:val="005010CF"/>
    <w:rsid w:val="00521D4F"/>
    <w:rsid w:val="0054089D"/>
    <w:rsid w:val="00543FC5"/>
    <w:rsid w:val="005461E2"/>
    <w:rsid w:val="00554F81"/>
    <w:rsid w:val="00563ED7"/>
    <w:rsid w:val="00597AB2"/>
    <w:rsid w:val="005A1218"/>
    <w:rsid w:val="005B0562"/>
    <w:rsid w:val="005C0106"/>
    <w:rsid w:val="005C327D"/>
    <w:rsid w:val="005F050D"/>
    <w:rsid w:val="005F4953"/>
    <w:rsid w:val="005F7939"/>
    <w:rsid w:val="006222AB"/>
    <w:rsid w:val="00631852"/>
    <w:rsid w:val="006452A3"/>
    <w:rsid w:val="00646DAA"/>
    <w:rsid w:val="006531B1"/>
    <w:rsid w:val="0065771A"/>
    <w:rsid w:val="0067254D"/>
    <w:rsid w:val="00692487"/>
    <w:rsid w:val="006A0606"/>
    <w:rsid w:val="006A7E04"/>
    <w:rsid w:val="006C51CC"/>
    <w:rsid w:val="006C5FDD"/>
    <w:rsid w:val="006D2C1C"/>
    <w:rsid w:val="006E2C95"/>
    <w:rsid w:val="006E3DA0"/>
    <w:rsid w:val="006F6978"/>
    <w:rsid w:val="006F700E"/>
    <w:rsid w:val="00705BEE"/>
    <w:rsid w:val="00715092"/>
    <w:rsid w:val="007153A6"/>
    <w:rsid w:val="0071704D"/>
    <w:rsid w:val="00730E10"/>
    <w:rsid w:val="007311E3"/>
    <w:rsid w:val="0073443A"/>
    <w:rsid w:val="007549A4"/>
    <w:rsid w:val="007565E6"/>
    <w:rsid w:val="0078147D"/>
    <w:rsid w:val="007900DA"/>
    <w:rsid w:val="007B2F88"/>
    <w:rsid w:val="007C098B"/>
    <w:rsid w:val="00852193"/>
    <w:rsid w:val="0085275E"/>
    <w:rsid w:val="00854836"/>
    <w:rsid w:val="008708D4"/>
    <w:rsid w:val="00871838"/>
    <w:rsid w:val="00872B19"/>
    <w:rsid w:val="008A1E45"/>
    <w:rsid w:val="008A3CE6"/>
    <w:rsid w:val="008C2DC8"/>
    <w:rsid w:val="008D003D"/>
    <w:rsid w:val="008D0BAA"/>
    <w:rsid w:val="008D7B45"/>
    <w:rsid w:val="0090667C"/>
    <w:rsid w:val="00926955"/>
    <w:rsid w:val="009364E1"/>
    <w:rsid w:val="0094160A"/>
    <w:rsid w:val="009625F7"/>
    <w:rsid w:val="009862E8"/>
    <w:rsid w:val="0098655B"/>
    <w:rsid w:val="00994D98"/>
    <w:rsid w:val="009B5348"/>
    <w:rsid w:val="009B5E15"/>
    <w:rsid w:val="009D234B"/>
    <w:rsid w:val="009E0EF0"/>
    <w:rsid w:val="009E7DEB"/>
    <w:rsid w:val="009F0DD9"/>
    <w:rsid w:val="009F30DA"/>
    <w:rsid w:val="009F64D9"/>
    <w:rsid w:val="00A02DD8"/>
    <w:rsid w:val="00A11651"/>
    <w:rsid w:val="00A2621F"/>
    <w:rsid w:val="00A413E2"/>
    <w:rsid w:val="00A42955"/>
    <w:rsid w:val="00A43A03"/>
    <w:rsid w:val="00A5712A"/>
    <w:rsid w:val="00AA6045"/>
    <w:rsid w:val="00AC1458"/>
    <w:rsid w:val="00AE5CC2"/>
    <w:rsid w:val="00B20CC3"/>
    <w:rsid w:val="00B317AB"/>
    <w:rsid w:val="00B37A2A"/>
    <w:rsid w:val="00B4428A"/>
    <w:rsid w:val="00B601B7"/>
    <w:rsid w:val="00B93CF1"/>
    <w:rsid w:val="00B942A3"/>
    <w:rsid w:val="00BC1864"/>
    <w:rsid w:val="00BC3C39"/>
    <w:rsid w:val="00BD3FC9"/>
    <w:rsid w:val="00BD4F78"/>
    <w:rsid w:val="00BE3727"/>
    <w:rsid w:val="00BF3D67"/>
    <w:rsid w:val="00C030E5"/>
    <w:rsid w:val="00C15856"/>
    <w:rsid w:val="00C46B8A"/>
    <w:rsid w:val="00C972F2"/>
    <w:rsid w:val="00CD73E4"/>
    <w:rsid w:val="00CD76D5"/>
    <w:rsid w:val="00CF0825"/>
    <w:rsid w:val="00D01EFD"/>
    <w:rsid w:val="00D4097B"/>
    <w:rsid w:val="00D64F88"/>
    <w:rsid w:val="00D71307"/>
    <w:rsid w:val="00D940F1"/>
    <w:rsid w:val="00DA0FF1"/>
    <w:rsid w:val="00DA6D42"/>
    <w:rsid w:val="00DB0AFC"/>
    <w:rsid w:val="00DD4C06"/>
    <w:rsid w:val="00DE1291"/>
    <w:rsid w:val="00E323E5"/>
    <w:rsid w:val="00E56753"/>
    <w:rsid w:val="00EA0BC0"/>
    <w:rsid w:val="00F15F12"/>
    <w:rsid w:val="00F23183"/>
    <w:rsid w:val="00F24E25"/>
    <w:rsid w:val="00F25094"/>
    <w:rsid w:val="00F606CD"/>
    <w:rsid w:val="00FC05E6"/>
    <w:rsid w:val="00FC1744"/>
    <w:rsid w:val="00FD3D24"/>
    <w:rsid w:val="00FE1B4E"/>
    <w:rsid w:val="00FF7139"/>
    <w:rsid w:val="01AE0E5A"/>
    <w:rsid w:val="23C2DAA7"/>
    <w:rsid w:val="24B3501F"/>
    <w:rsid w:val="3841982D"/>
    <w:rsid w:val="3E8F2D4B"/>
    <w:rsid w:val="406D2736"/>
    <w:rsid w:val="4288746C"/>
    <w:rsid w:val="4490395E"/>
    <w:rsid w:val="6DDCACAC"/>
    <w:rsid w:val="7313B441"/>
    <w:rsid w:val="74E419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B5B"/>
  <w15:chartTrackingRefBased/>
  <w15:docId w15:val="{85474163-BCD1-4B7A-B514-E3646FF2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0DD9"/>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F4953"/>
    <w:pPr>
      <w:spacing w:line="409" w:lineRule="exact"/>
      <w:ind w:left="2377" w:right="2410"/>
      <w:jc w:val="center"/>
      <w:outlineLvl w:val="0"/>
    </w:pPr>
    <w:rPr>
      <w:rFonts w:ascii="Georgia" w:eastAsia="Georgia" w:hAnsi="Georgia" w:cs="Georgia"/>
      <w:b/>
      <w:bCs/>
      <w:sz w:val="36"/>
      <w:szCs w:val="36"/>
    </w:rPr>
  </w:style>
  <w:style w:type="paragraph" w:styleId="Heading2">
    <w:name w:val="heading 2"/>
    <w:basedOn w:val="Normal"/>
    <w:next w:val="Normal"/>
    <w:link w:val="Heading2Char"/>
    <w:uiPriority w:val="9"/>
    <w:unhideWhenUsed/>
    <w:qFormat/>
    <w:rsid w:val="009F0DD9"/>
    <w:pPr>
      <w:jc w:val="center"/>
      <w:outlineLvl w:val="1"/>
    </w:pPr>
    <w:rPr>
      <w:rFonts w:ascii="Georgia" w:hAnsi="Georgia"/>
      <w:b/>
      <w:color w:val="0563C1"/>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092"/>
    <w:pPr>
      <w:tabs>
        <w:tab w:val="center" w:pos="4680"/>
        <w:tab w:val="right" w:pos="9360"/>
      </w:tabs>
    </w:pPr>
  </w:style>
  <w:style w:type="character" w:customStyle="1" w:styleId="HeaderChar">
    <w:name w:val="Header Char"/>
    <w:basedOn w:val="DefaultParagraphFont"/>
    <w:link w:val="Header"/>
    <w:uiPriority w:val="99"/>
    <w:rsid w:val="00715092"/>
  </w:style>
  <w:style w:type="paragraph" w:styleId="Footer">
    <w:name w:val="footer"/>
    <w:basedOn w:val="Normal"/>
    <w:link w:val="FooterChar"/>
    <w:uiPriority w:val="99"/>
    <w:unhideWhenUsed/>
    <w:rsid w:val="00715092"/>
    <w:pPr>
      <w:tabs>
        <w:tab w:val="center" w:pos="4680"/>
        <w:tab w:val="right" w:pos="9360"/>
      </w:tabs>
    </w:pPr>
  </w:style>
  <w:style w:type="character" w:customStyle="1" w:styleId="FooterChar">
    <w:name w:val="Footer Char"/>
    <w:basedOn w:val="DefaultParagraphFont"/>
    <w:link w:val="Footer"/>
    <w:uiPriority w:val="99"/>
    <w:rsid w:val="00715092"/>
  </w:style>
  <w:style w:type="character" w:customStyle="1" w:styleId="Heading1Char">
    <w:name w:val="Heading 1 Char"/>
    <w:basedOn w:val="DefaultParagraphFont"/>
    <w:link w:val="Heading1"/>
    <w:uiPriority w:val="1"/>
    <w:rsid w:val="005F4953"/>
    <w:rPr>
      <w:rFonts w:ascii="Georgia" w:eastAsia="Georgia" w:hAnsi="Georgia" w:cs="Georgia"/>
      <w:b/>
      <w:bCs/>
      <w:sz w:val="36"/>
      <w:szCs w:val="36"/>
      <w:lang w:bidi="en-US"/>
    </w:rPr>
  </w:style>
  <w:style w:type="paragraph" w:styleId="FootnoteText">
    <w:name w:val="footnote text"/>
    <w:basedOn w:val="Normal"/>
    <w:link w:val="FootnoteTextChar"/>
    <w:uiPriority w:val="99"/>
    <w:semiHidden/>
    <w:unhideWhenUsed/>
    <w:rsid w:val="005F4953"/>
    <w:rPr>
      <w:sz w:val="20"/>
      <w:szCs w:val="20"/>
    </w:rPr>
  </w:style>
  <w:style w:type="character" w:customStyle="1" w:styleId="FootnoteTextChar">
    <w:name w:val="Footnote Text Char"/>
    <w:basedOn w:val="DefaultParagraphFont"/>
    <w:link w:val="FootnoteText"/>
    <w:uiPriority w:val="99"/>
    <w:semiHidden/>
    <w:rsid w:val="005F4953"/>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5F4953"/>
    <w:rPr>
      <w:vertAlign w:val="superscript"/>
    </w:rPr>
  </w:style>
  <w:style w:type="table" w:styleId="TableGrid">
    <w:name w:val="Table Grid"/>
    <w:basedOn w:val="TableNormal"/>
    <w:uiPriority w:val="39"/>
    <w:rsid w:val="005F4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F4953"/>
    <w:rPr>
      <w:color w:val="0563C1" w:themeColor="hyperlink"/>
      <w:u w:val="single"/>
    </w:rPr>
  </w:style>
  <w:style w:type="character" w:styleId="FollowedHyperlink">
    <w:name w:val="FollowedHyperlink"/>
    <w:basedOn w:val="DefaultParagraphFont"/>
    <w:uiPriority w:val="99"/>
    <w:semiHidden/>
    <w:unhideWhenUsed/>
    <w:rsid w:val="009F30DA"/>
    <w:rPr>
      <w:color w:val="0563C1"/>
      <w:u w:val="single"/>
    </w:rPr>
  </w:style>
  <w:style w:type="table" w:styleId="PlainTable5">
    <w:name w:val="Plain Table 5"/>
    <w:basedOn w:val="TableNormal"/>
    <w:uiPriority w:val="45"/>
    <w:rsid w:val="005F495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B601B7"/>
    <w:rPr>
      <w:color w:val="808080"/>
      <w:shd w:val="clear" w:color="auto" w:fill="E6E6E6"/>
    </w:rPr>
  </w:style>
  <w:style w:type="character" w:styleId="CommentReference">
    <w:name w:val="annotation reference"/>
    <w:basedOn w:val="DefaultParagraphFont"/>
    <w:uiPriority w:val="99"/>
    <w:semiHidden/>
    <w:unhideWhenUsed/>
    <w:rsid w:val="001721C2"/>
    <w:rPr>
      <w:sz w:val="16"/>
      <w:szCs w:val="16"/>
    </w:rPr>
  </w:style>
  <w:style w:type="paragraph" w:styleId="CommentText">
    <w:name w:val="annotation text"/>
    <w:basedOn w:val="Normal"/>
    <w:link w:val="CommentTextChar"/>
    <w:uiPriority w:val="99"/>
    <w:semiHidden/>
    <w:unhideWhenUsed/>
    <w:rsid w:val="001721C2"/>
    <w:rPr>
      <w:sz w:val="20"/>
      <w:szCs w:val="20"/>
    </w:rPr>
  </w:style>
  <w:style w:type="character" w:customStyle="1" w:styleId="CommentTextChar">
    <w:name w:val="Comment Text Char"/>
    <w:basedOn w:val="DefaultParagraphFont"/>
    <w:link w:val="CommentText"/>
    <w:uiPriority w:val="99"/>
    <w:semiHidden/>
    <w:rsid w:val="001721C2"/>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721C2"/>
    <w:rPr>
      <w:b/>
      <w:bCs/>
    </w:rPr>
  </w:style>
  <w:style w:type="character" w:customStyle="1" w:styleId="CommentSubjectChar">
    <w:name w:val="Comment Subject Char"/>
    <w:basedOn w:val="CommentTextChar"/>
    <w:link w:val="CommentSubject"/>
    <w:uiPriority w:val="99"/>
    <w:semiHidden/>
    <w:rsid w:val="001721C2"/>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172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1C2"/>
    <w:rPr>
      <w:rFonts w:ascii="Segoe UI" w:eastAsia="Calibri" w:hAnsi="Segoe UI" w:cs="Segoe UI"/>
      <w:sz w:val="18"/>
      <w:szCs w:val="18"/>
      <w:lang w:bidi="en-US"/>
    </w:rPr>
  </w:style>
  <w:style w:type="paragraph" w:styleId="Revision">
    <w:name w:val="Revision"/>
    <w:hidden/>
    <w:uiPriority w:val="99"/>
    <w:semiHidden/>
    <w:rsid w:val="00FC05E6"/>
    <w:pPr>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FC05E6"/>
    <w:rPr>
      <w:color w:val="605E5C"/>
      <w:shd w:val="clear" w:color="auto" w:fill="E1DFDD"/>
    </w:rPr>
  </w:style>
  <w:style w:type="paragraph" w:styleId="ListParagraph">
    <w:name w:val="List Paragraph"/>
    <w:basedOn w:val="Normal"/>
    <w:uiPriority w:val="34"/>
    <w:qFormat/>
    <w:rsid w:val="00D4097B"/>
    <w:pPr>
      <w:ind w:left="720"/>
      <w:contextualSpacing/>
    </w:pPr>
  </w:style>
  <w:style w:type="paragraph" w:customStyle="1" w:styleId="CurricTitle">
    <w:name w:val="CurricTitle"/>
    <w:basedOn w:val="Normal"/>
    <w:link w:val="CurricTitleChar"/>
    <w:uiPriority w:val="1"/>
    <w:qFormat/>
    <w:rsid w:val="00356362"/>
    <w:pPr>
      <w:widowControl/>
      <w:autoSpaceDE/>
      <w:autoSpaceDN/>
      <w:spacing w:line="259" w:lineRule="auto"/>
    </w:pPr>
    <w:rPr>
      <w:b/>
      <w:bCs/>
    </w:rPr>
  </w:style>
  <w:style w:type="character" w:customStyle="1" w:styleId="CurricTitleChar">
    <w:name w:val="CurricTitle Char"/>
    <w:basedOn w:val="DefaultParagraphFont"/>
    <w:link w:val="CurricTitle"/>
    <w:uiPriority w:val="1"/>
    <w:rsid w:val="00356362"/>
    <w:rPr>
      <w:rFonts w:ascii="Calibri" w:eastAsia="Calibri" w:hAnsi="Calibri" w:cs="Calibri"/>
      <w:b/>
      <w:bCs/>
      <w:lang w:bidi="en-US"/>
    </w:rPr>
  </w:style>
  <w:style w:type="character" w:customStyle="1" w:styleId="Heading2Char">
    <w:name w:val="Heading 2 Char"/>
    <w:basedOn w:val="DefaultParagraphFont"/>
    <w:link w:val="Heading2"/>
    <w:uiPriority w:val="9"/>
    <w:rsid w:val="009F0DD9"/>
    <w:rPr>
      <w:rFonts w:ascii="Georgia" w:eastAsia="Calibri" w:hAnsi="Georgia" w:cs="Calibri"/>
      <w:b/>
      <w:color w:val="0563C1"/>
      <w:sz w:val="28"/>
      <w:szCs w:val="36"/>
      <w:lang w:bidi="en-US"/>
    </w:rPr>
  </w:style>
  <w:style w:type="paragraph" w:customStyle="1" w:styleId="DetailedReportTitle">
    <w:name w:val="DetailedReportTitle"/>
    <w:basedOn w:val="Normal"/>
    <w:uiPriority w:val="1"/>
    <w:qFormat/>
    <w:rsid w:val="009F0DD9"/>
    <w:rPr>
      <w:rFonts w:ascii="Georgia" w:hAnsi="Georg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082">
      <w:bodyDiv w:val="1"/>
      <w:marLeft w:val="0"/>
      <w:marRight w:val="0"/>
      <w:marTop w:val="0"/>
      <w:marBottom w:val="0"/>
      <w:divBdr>
        <w:top w:val="none" w:sz="0" w:space="0" w:color="auto"/>
        <w:left w:val="none" w:sz="0" w:space="0" w:color="auto"/>
        <w:bottom w:val="none" w:sz="0" w:space="0" w:color="auto"/>
        <w:right w:val="none" w:sz="0" w:space="0" w:color="auto"/>
      </w:divBdr>
    </w:div>
    <w:div w:id="221644467">
      <w:bodyDiv w:val="1"/>
      <w:marLeft w:val="0"/>
      <w:marRight w:val="0"/>
      <w:marTop w:val="0"/>
      <w:marBottom w:val="0"/>
      <w:divBdr>
        <w:top w:val="none" w:sz="0" w:space="0" w:color="auto"/>
        <w:left w:val="none" w:sz="0" w:space="0" w:color="auto"/>
        <w:bottom w:val="none" w:sz="0" w:space="0" w:color="auto"/>
        <w:right w:val="none" w:sz="0" w:space="0" w:color="auto"/>
      </w:divBdr>
    </w:div>
    <w:div w:id="418019060">
      <w:bodyDiv w:val="1"/>
      <w:marLeft w:val="0"/>
      <w:marRight w:val="0"/>
      <w:marTop w:val="0"/>
      <w:marBottom w:val="0"/>
      <w:divBdr>
        <w:top w:val="none" w:sz="0" w:space="0" w:color="auto"/>
        <w:left w:val="none" w:sz="0" w:space="0" w:color="auto"/>
        <w:bottom w:val="none" w:sz="0" w:space="0" w:color="auto"/>
        <w:right w:val="none" w:sz="0" w:space="0" w:color="auto"/>
      </w:divBdr>
    </w:div>
    <w:div w:id="522943550">
      <w:bodyDiv w:val="1"/>
      <w:marLeft w:val="0"/>
      <w:marRight w:val="0"/>
      <w:marTop w:val="0"/>
      <w:marBottom w:val="0"/>
      <w:divBdr>
        <w:top w:val="none" w:sz="0" w:space="0" w:color="auto"/>
        <w:left w:val="none" w:sz="0" w:space="0" w:color="auto"/>
        <w:bottom w:val="none" w:sz="0" w:space="0" w:color="auto"/>
        <w:right w:val="none" w:sz="0" w:space="0" w:color="auto"/>
      </w:divBdr>
    </w:div>
    <w:div w:id="880704967">
      <w:bodyDiv w:val="1"/>
      <w:marLeft w:val="0"/>
      <w:marRight w:val="0"/>
      <w:marTop w:val="0"/>
      <w:marBottom w:val="0"/>
      <w:divBdr>
        <w:top w:val="none" w:sz="0" w:space="0" w:color="auto"/>
        <w:left w:val="none" w:sz="0" w:space="0" w:color="auto"/>
        <w:bottom w:val="none" w:sz="0" w:space="0" w:color="auto"/>
        <w:right w:val="none" w:sz="0" w:space="0" w:color="auto"/>
      </w:divBdr>
    </w:div>
    <w:div w:id="1136021357">
      <w:bodyDiv w:val="1"/>
      <w:marLeft w:val="0"/>
      <w:marRight w:val="0"/>
      <w:marTop w:val="0"/>
      <w:marBottom w:val="0"/>
      <w:divBdr>
        <w:top w:val="none" w:sz="0" w:space="0" w:color="auto"/>
        <w:left w:val="none" w:sz="0" w:space="0" w:color="auto"/>
        <w:bottom w:val="none" w:sz="0" w:space="0" w:color="auto"/>
        <w:right w:val="none" w:sz="0" w:space="0" w:color="auto"/>
      </w:divBdr>
    </w:div>
    <w:div w:id="1380783715">
      <w:bodyDiv w:val="1"/>
      <w:marLeft w:val="0"/>
      <w:marRight w:val="0"/>
      <w:marTop w:val="0"/>
      <w:marBottom w:val="0"/>
      <w:divBdr>
        <w:top w:val="none" w:sz="0" w:space="0" w:color="auto"/>
        <w:left w:val="none" w:sz="0" w:space="0" w:color="auto"/>
        <w:bottom w:val="none" w:sz="0" w:space="0" w:color="auto"/>
        <w:right w:val="none" w:sz="0" w:space="0" w:color="auto"/>
      </w:divBdr>
    </w:div>
    <w:div w:id="1455248164">
      <w:bodyDiv w:val="1"/>
      <w:marLeft w:val="0"/>
      <w:marRight w:val="0"/>
      <w:marTop w:val="0"/>
      <w:marBottom w:val="0"/>
      <w:divBdr>
        <w:top w:val="none" w:sz="0" w:space="0" w:color="auto"/>
        <w:left w:val="none" w:sz="0" w:space="0" w:color="auto"/>
        <w:bottom w:val="none" w:sz="0" w:space="0" w:color="auto"/>
        <w:right w:val="none" w:sz="0" w:space="0" w:color="auto"/>
      </w:divBdr>
    </w:div>
    <w:div w:id="1506285521">
      <w:bodyDiv w:val="1"/>
      <w:marLeft w:val="0"/>
      <w:marRight w:val="0"/>
      <w:marTop w:val="0"/>
      <w:marBottom w:val="0"/>
      <w:divBdr>
        <w:top w:val="none" w:sz="0" w:space="0" w:color="auto"/>
        <w:left w:val="none" w:sz="0" w:space="0" w:color="auto"/>
        <w:bottom w:val="none" w:sz="0" w:space="0" w:color="auto"/>
        <w:right w:val="none" w:sz="0" w:space="0" w:color="auto"/>
      </w:divBdr>
      <w:divsChild>
        <w:div w:id="1757358305">
          <w:marLeft w:val="0"/>
          <w:marRight w:val="0"/>
          <w:marTop w:val="0"/>
          <w:marBottom w:val="0"/>
          <w:divBdr>
            <w:top w:val="none" w:sz="0" w:space="0" w:color="auto"/>
            <w:left w:val="none" w:sz="0" w:space="0" w:color="auto"/>
            <w:bottom w:val="none" w:sz="0" w:space="0" w:color="auto"/>
            <w:right w:val="none" w:sz="0" w:space="0" w:color="auto"/>
          </w:divBdr>
          <w:divsChild>
            <w:div w:id="1158152732">
              <w:marLeft w:val="0"/>
              <w:marRight w:val="0"/>
              <w:marTop w:val="0"/>
              <w:marBottom w:val="0"/>
              <w:divBdr>
                <w:top w:val="none" w:sz="0" w:space="0" w:color="auto"/>
                <w:left w:val="none" w:sz="0" w:space="0" w:color="auto"/>
                <w:bottom w:val="none" w:sz="0" w:space="0" w:color="auto"/>
                <w:right w:val="none" w:sz="0" w:space="0" w:color="auto"/>
              </w:divBdr>
              <w:divsChild>
                <w:div w:id="12330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2384">
      <w:bodyDiv w:val="1"/>
      <w:marLeft w:val="0"/>
      <w:marRight w:val="0"/>
      <w:marTop w:val="0"/>
      <w:marBottom w:val="0"/>
      <w:divBdr>
        <w:top w:val="none" w:sz="0" w:space="0" w:color="auto"/>
        <w:left w:val="none" w:sz="0" w:space="0" w:color="auto"/>
        <w:bottom w:val="none" w:sz="0" w:space="0" w:color="auto"/>
        <w:right w:val="none" w:sz="0" w:space="0" w:color="auto"/>
      </w:divBdr>
    </w:div>
    <w:div w:id="1738938412">
      <w:bodyDiv w:val="1"/>
      <w:marLeft w:val="0"/>
      <w:marRight w:val="0"/>
      <w:marTop w:val="0"/>
      <w:marBottom w:val="0"/>
      <w:divBdr>
        <w:top w:val="none" w:sz="0" w:space="0" w:color="auto"/>
        <w:left w:val="none" w:sz="0" w:space="0" w:color="auto"/>
        <w:bottom w:val="none" w:sz="0" w:space="0" w:color="auto"/>
        <w:right w:val="none" w:sz="0" w:space="0" w:color="auto"/>
      </w:divBdr>
    </w:div>
    <w:div w:id="1886789924">
      <w:bodyDiv w:val="1"/>
      <w:marLeft w:val="0"/>
      <w:marRight w:val="0"/>
      <w:marTop w:val="0"/>
      <w:marBottom w:val="0"/>
      <w:divBdr>
        <w:top w:val="none" w:sz="0" w:space="0" w:color="auto"/>
        <w:left w:val="none" w:sz="0" w:space="0" w:color="auto"/>
        <w:bottom w:val="none" w:sz="0" w:space="0" w:color="auto"/>
        <w:right w:val="none" w:sz="0" w:space="0" w:color="auto"/>
      </w:divBdr>
    </w:div>
    <w:div w:id="1955281197">
      <w:bodyDiv w:val="1"/>
      <w:marLeft w:val="0"/>
      <w:marRight w:val="0"/>
      <w:marTop w:val="0"/>
      <w:marBottom w:val="0"/>
      <w:divBdr>
        <w:top w:val="none" w:sz="0" w:space="0" w:color="auto"/>
        <w:left w:val="none" w:sz="0" w:space="0" w:color="auto"/>
        <w:bottom w:val="none" w:sz="0" w:space="0" w:color="auto"/>
        <w:right w:val="none" w:sz="0" w:space="0" w:color="auto"/>
      </w:divBdr>
      <w:divsChild>
        <w:div w:id="1464033250">
          <w:marLeft w:val="0"/>
          <w:marRight w:val="0"/>
          <w:marTop w:val="0"/>
          <w:marBottom w:val="0"/>
          <w:divBdr>
            <w:top w:val="none" w:sz="0" w:space="0" w:color="auto"/>
            <w:left w:val="none" w:sz="0" w:space="0" w:color="auto"/>
            <w:bottom w:val="none" w:sz="0" w:space="0" w:color="auto"/>
            <w:right w:val="none" w:sz="0" w:space="0" w:color="auto"/>
          </w:divBdr>
          <w:divsChild>
            <w:div w:id="1296565737">
              <w:marLeft w:val="0"/>
              <w:marRight w:val="0"/>
              <w:marTop w:val="0"/>
              <w:marBottom w:val="0"/>
              <w:divBdr>
                <w:top w:val="none" w:sz="0" w:space="0" w:color="auto"/>
                <w:left w:val="none" w:sz="0" w:space="0" w:color="auto"/>
                <w:bottom w:val="none" w:sz="0" w:space="0" w:color="auto"/>
                <w:right w:val="none" w:sz="0" w:space="0" w:color="auto"/>
              </w:divBdr>
              <w:divsChild>
                <w:div w:id="9802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8644">
      <w:bodyDiv w:val="1"/>
      <w:marLeft w:val="0"/>
      <w:marRight w:val="0"/>
      <w:marTop w:val="0"/>
      <w:marBottom w:val="0"/>
      <w:divBdr>
        <w:top w:val="none" w:sz="0" w:space="0" w:color="auto"/>
        <w:left w:val="none" w:sz="0" w:space="0" w:color="auto"/>
        <w:bottom w:val="none" w:sz="0" w:space="0" w:color="auto"/>
        <w:right w:val="none" w:sz="0" w:space="0" w:color="auto"/>
      </w:divBdr>
    </w:div>
    <w:div w:id="21456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ncilforeconed.org/k-12-resources/" TargetMode="External"/><Relationship Id="rId18" Type="http://schemas.openxmlformats.org/officeDocument/2006/relationships/hyperlink" Target="https://www.federalreserveeducation.org/" TargetMode="External"/><Relationship Id="rId26" Type="http://schemas.openxmlformats.org/officeDocument/2006/relationships/hyperlink" Target="https://www.stockmarketgame.org/" TargetMode="External"/><Relationship Id="rId39" Type="http://schemas.openxmlformats.org/officeDocument/2006/relationships/hyperlink" Target="https://everfi.com/offerings/listing/everfi-financial-literacy/" TargetMode="External"/><Relationship Id="rId21" Type="http://schemas.openxmlformats.org/officeDocument/2006/relationships/hyperlink" Target="https://www.intuit.com/solutions/education/" TargetMode="External"/><Relationship Id="rId34" Type="http://schemas.openxmlformats.org/officeDocument/2006/relationships/hyperlink" Target="https://www.councilforeconed.org/k-12-resources/" TargetMode="External"/><Relationship Id="rId42" Type="http://schemas.openxmlformats.org/officeDocument/2006/relationships/hyperlink" Target="https://www.federalreserveeducation.org/" TargetMode="External"/><Relationship Id="rId47" Type="http://schemas.openxmlformats.org/officeDocument/2006/relationships/hyperlink" Target="https://www.intuit.com/solutions/education/" TargetMode="External"/><Relationship Id="rId50" Type="http://schemas.openxmlformats.org/officeDocument/2006/relationships/hyperlink" Target="https://www.jumpstart.org/what-we-do/nec/" TargetMode="External"/><Relationship Id="rId55" Type="http://schemas.openxmlformats.org/officeDocument/2006/relationships/hyperlink" Target="https://smartpathlearning.com/"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dic.gov/consumers/consumer/moneysmart/young.html" TargetMode="External"/><Relationship Id="rId29" Type="http://schemas.openxmlformats.org/officeDocument/2006/relationships/hyperlink" Target="http://councilforeconed.org" TargetMode="External"/><Relationship Id="rId11" Type="http://schemas.openxmlformats.org/officeDocument/2006/relationships/hyperlink" Target="https://malegislature.gov/Laws/SessionLaws/Acts/2018/Chapter438" TargetMode="External"/><Relationship Id="rId24" Type="http://schemas.openxmlformats.org/officeDocument/2006/relationships/hyperlink" Target="https://www.ngpf.org/" TargetMode="External"/><Relationship Id="rId32" Type="http://schemas.openxmlformats.org/officeDocument/2006/relationships/hyperlink" Target="http://www.doe.mass.edu/frameworks/hss/2018-12sup.docx" TargetMode="External"/><Relationship Id="rId37" Type="http://schemas.openxmlformats.org/officeDocument/2006/relationships/hyperlink" Target="https://www.doe.mass.edu/pd/search/details.aspx?id=3905" TargetMode="External"/><Relationship Id="rId40" Type="http://schemas.openxmlformats.org/officeDocument/2006/relationships/hyperlink" Target="https://www.fdic.gov/consumers/consumer/moneysmart/young.html" TargetMode="External"/><Relationship Id="rId45" Type="http://schemas.openxmlformats.org/officeDocument/2006/relationships/hyperlink" Target="https://www.foolproofme.org/" TargetMode="External"/><Relationship Id="rId53" Type="http://schemas.openxmlformats.org/officeDocument/2006/relationships/hyperlink" Target="https://www.pwc.com/us/en/about-us/corporate-responsibility/access-your-potential/tech-financial-literacy-curriculum.html"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www.fitmoney.org/" TargetMode="External"/><Relationship Id="rId14" Type="http://schemas.openxmlformats.org/officeDocument/2006/relationships/hyperlink" Target="https://www.thecrashcourse.com" TargetMode="External"/><Relationship Id="rId22" Type="http://schemas.openxmlformats.org/officeDocument/2006/relationships/hyperlink" Target="https://jausa.ja.org/" TargetMode="External"/><Relationship Id="rId27" Type="http://schemas.openxmlformats.org/officeDocument/2006/relationships/hyperlink" Target="https://smartpathlearning.com/" TargetMode="External"/><Relationship Id="rId30" Type="http://schemas.openxmlformats.org/officeDocument/2006/relationships/hyperlink" Target="https://www.midascollab.org/about-fen" TargetMode="External"/><Relationship Id="rId35" Type="http://schemas.openxmlformats.org/officeDocument/2006/relationships/hyperlink" Target="https://www.econedlink.org/" TargetMode="External"/><Relationship Id="rId43" Type="http://schemas.openxmlformats.org/officeDocument/2006/relationships/hyperlink" Target="https://www.econlowdown.org/" TargetMode="External"/><Relationship Id="rId48" Type="http://schemas.openxmlformats.org/officeDocument/2006/relationships/hyperlink" Target="https://jausa.ja.org/" TargetMode="External"/><Relationship Id="rId56" Type="http://schemas.openxmlformats.org/officeDocument/2006/relationships/hyperlink" Target="https://takechargetoday.arizona.edu/" TargetMode="External"/><Relationship Id="rId8" Type="http://schemas.openxmlformats.org/officeDocument/2006/relationships/webSettings" Target="webSettings.xml"/><Relationship Id="rId51" Type="http://schemas.openxmlformats.org/officeDocument/2006/relationships/hyperlink" Target="https://www.jumpstart.org/what-we-do/support-financial-education/jffe-2/" TargetMode="External"/><Relationship Id="rId3" Type="http://schemas.openxmlformats.org/officeDocument/2006/relationships/customXml" Target="../customXml/item3.xml"/><Relationship Id="rId12" Type="http://schemas.openxmlformats.org/officeDocument/2006/relationships/hyperlink" Target="https://teachbanzai.com/" TargetMode="External"/><Relationship Id="rId17" Type="http://schemas.openxmlformats.org/officeDocument/2006/relationships/hyperlink" Target="https://www.stlouisfed.org/education" TargetMode="External"/><Relationship Id="rId25" Type="http://schemas.openxmlformats.org/officeDocument/2006/relationships/hyperlink" Target="https://www.pwc.com/us/en/about-us/corporate-responsibility/access-your-potential/tech-financial-literacy-curriculum.html" TargetMode="External"/><Relationship Id="rId33" Type="http://schemas.openxmlformats.org/officeDocument/2006/relationships/hyperlink" Target="https://teachbanzai.com/" TargetMode="External"/><Relationship Id="rId38" Type="http://schemas.openxmlformats.org/officeDocument/2006/relationships/hyperlink" Target="https://www.thecrashcourse.com" TargetMode="External"/><Relationship Id="rId46" Type="http://schemas.openxmlformats.org/officeDocument/2006/relationships/hyperlink" Target="https://solo.foolproofonline.info/foolproof/" TargetMode="External"/><Relationship Id="rId59" Type="http://schemas.openxmlformats.org/officeDocument/2006/relationships/footer" Target="footer1.xml"/><Relationship Id="rId20" Type="http://schemas.openxmlformats.org/officeDocument/2006/relationships/hyperlink" Target="https://www.foolproofme.org/" TargetMode="External"/><Relationship Id="rId41" Type="http://schemas.openxmlformats.org/officeDocument/2006/relationships/hyperlink" Target="https://www.stlouisfed.org/education" TargetMode="External"/><Relationship Id="rId54" Type="http://schemas.openxmlformats.org/officeDocument/2006/relationships/hyperlink" Target="https://www.stockmarketgame.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verfi.com/offerings/listing/everfi-financial-literacy/" TargetMode="External"/><Relationship Id="rId23" Type="http://schemas.openxmlformats.org/officeDocument/2006/relationships/hyperlink" Target="https://www.jumpstart.org/clearinghouse/" TargetMode="External"/><Relationship Id="rId28" Type="http://schemas.openxmlformats.org/officeDocument/2006/relationships/hyperlink" Target="https://takechargetoday.arizona.edu/" TargetMode="External"/><Relationship Id="rId36" Type="http://schemas.openxmlformats.org/officeDocument/2006/relationships/hyperlink" Target="https://www.econedlink.org/readyassessments/" TargetMode="External"/><Relationship Id="rId49" Type="http://schemas.openxmlformats.org/officeDocument/2006/relationships/hyperlink" Target="https://www.jumpstart.org/clearinghouse/" TargetMode="External"/><Relationship Id="rId57" Type="http://schemas.openxmlformats.org/officeDocument/2006/relationships/hyperlink" Target="https://malegislature.gov/Laws/SessionLaws/Acts/2018/Chapter438" TargetMode="External"/><Relationship Id="rId10" Type="http://schemas.openxmlformats.org/officeDocument/2006/relationships/endnotes" Target="endnotes.xml"/><Relationship Id="rId31" Type="http://schemas.openxmlformats.org/officeDocument/2006/relationships/hyperlink" Target="https://myfinanciallifema.org/topic/resources-for-educators/" TargetMode="External"/><Relationship Id="rId44" Type="http://schemas.openxmlformats.org/officeDocument/2006/relationships/hyperlink" Target="http://www.fitmoney.org/" TargetMode="External"/><Relationship Id="rId52" Type="http://schemas.openxmlformats.org/officeDocument/2006/relationships/hyperlink" Target="https://www.ngpf.org/"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teamfinfuture@gmail.com" TargetMode="External"/><Relationship Id="rId2" Type="http://schemas.openxmlformats.org/officeDocument/2006/relationships/hyperlink" Target="mailto:vidulamannem@gmail.com" TargetMode="External"/><Relationship Id="rId1" Type="http://schemas.openxmlformats.org/officeDocument/2006/relationships/hyperlink" Target="mailto:leungyn3@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a1f75a7bf252ced77c0818bd6cd1d9">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88eca445fcd7920b81f7ec3e7a86480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df8dc5e-e5f0-476b-aed9-3b59e9fde311">
      <UserInfo>
        <DisplayName>Tarca, Katherine (DESE)</DisplayName>
        <AccountId>14</AccountId>
        <AccountType/>
      </UserInfo>
    </SharedWithUsers>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8D638D4D-E2DA-4DB3-823A-24923885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E035F-7906-4C3F-B81B-72E3DC1C0CB0}">
  <ds:schemaRefs>
    <ds:schemaRef ds:uri="http://schemas.openxmlformats.org/officeDocument/2006/bibliography"/>
  </ds:schemaRefs>
</ds:datastoreItem>
</file>

<file path=customXml/itemProps3.xml><?xml version="1.0" encoding="utf-8"?>
<ds:datastoreItem xmlns:ds="http://schemas.openxmlformats.org/officeDocument/2006/customXml" ds:itemID="{3851215F-CC42-4CB1-8488-0F63F3FBB13E}">
  <ds:schemaRefs>
    <ds:schemaRef ds:uri="http://schemas.microsoft.com/sharepoint/v3/contenttype/forms"/>
  </ds:schemaRefs>
</ds:datastoreItem>
</file>

<file path=customXml/itemProps4.xml><?xml version="1.0" encoding="utf-8"?>
<ds:datastoreItem xmlns:ds="http://schemas.openxmlformats.org/officeDocument/2006/customXml" ds:itemID="{4B1C602D-5BFB-4A2F-B6B8-F212FA9BC7E9}">
  <ds:schemaRefs>
    <ds:schemaRef ds:uri="http://schemas.microsoft.com/office/2006/metadata/properties"/>
    <ds:schemaRef ds:uri="http://schemas.microsoft.com/office/infopath/2007/PartnerControls"/>
    <ds:schemaRef ds:uri="8df8dc5e-e5f0-476b-aed9-3b59e9fde311"/>
    <ds:schemaRef ds:uri="7d325074-d398-43b9-9fad-f1a483cc331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Quick Reference Guide Resources for Supporting Personal Financial Literacy</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Resources for Supporting Personal Financial Literacy</dc:title>
  <dc:subject/>
  <dc:creator>DESE</dc:creator>
  <cp:keywords/>
  <dc:description/>
  <cp:lastModifiedBy>Zou, Dong (EOE)</cp:lastModifiedBy>
  <cp:revision>6</cp:revision>
  <dcterms:created xsi:type="dcterms:W3CDTF">2025-04-03T20:20:00Z</dcterms:created>
  <dcterms:modified xsi:type="dcterms:W3CDTF">2025-04-04T13:58:00Z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2025 12:00AM</vt:lpwstr>
  </property>
</Properties>
</file>