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57" w:rsidRDefault="00972D90" w:rsidP="00AC17AA">
      <w:pPr>
        <w:spacing w:after="0" w:line="240" w:lineRule="auto"/>
        <w:jc w:val="center"/>
        <w:rPr>
          <w:b/>
          <w:sz w:val="32"/>
          <w:szCs w:val="32"/>
        </w:rPr>
      </w:pPr>
      <w:r>
        <w:rPr>
          <w:b/>
          <w:sz w:val="32"/>
          <w:szCs w:val="32"/>
        </w:rPr>
        <w:t xml:space="preserve">Title IIA Quick Reference Guide </w:t>
      </w:r>
      <w:r w:rsidRPr="000F210C">
        <w:rPr>
          <w:b/>
          <w:sz w:val="28"/>
          <w:szCs w:val="28"/>
        </w:rPr>
        <w:t>(Incorporating ESSA Regulations)</w:t>
      </w:r>
    </w:p>
    <w:p w:rsidR="00965002" w:rsidRDefault="00965002" w:rsidP="002251D1">
      <w:pPr>
        <w:spacing w:after="0" w:line="240" w:lineRule="auto"/>
        <w:jc w:val="center"/>
        <w:rPr>
          <w:b/>
          <w:sz w:val="32"/>
          <w:szCs w:val="32"/>
        </w:rPr>
      </w:pPr>
      <w:r>
        <w:rPr>
          <w:b/>
          <w:sz w:val="32"/>
          <w:szCs w:val="32"/>
        </w:rPr>
        <w:t xml:space="preserve">Building </w:t>
      </w:r>
      <w:r w:rsidR="00972D90">
        <w:rPr>
          <w:b/>
          <w:sz w:val="32"/>
          <w:szCs w:val="32"/>
        </w:rPr>
        <w:t>Systems of Support for Excellent Teaching and Leading</w:t>
      </w:r>
    </w:p>
    <w:p w:rsidR="002251D1" w:rsidRDefault="00186E2D" w:rsidP="002251D1">
      <w:pPr>
        <w:spacing w:after="0" w:line="240" w:lineRule="auto"/>
        <w:jc w:val="center"/>
        <w:rPr>
          <w:b/>
          <w:sz w:val="32"/>
          <w:szCs w:val="32"/>
        </w:rPr>
      </w:pPr>
      <w:r>
        <w:rPr>
          <w:b/>
          <w:noProof/>
          <w:sz w:val="32"/>
          <w:szCs w:val="32"/>
        </w:rPr>
        <w:pict>
          <v:shapetype id="_x0000_t202" coordsize="21600,21600" o:spt="202" path="m,l,21600r21600,l21600,xe">
            <v:stroke joinstyle="miter"/>
            <v:path gradientshapeok="t" o:connecttype="rect"/>
          </v:shapetype>
          <v:shape id="_x0000_s1038" type="#_x0000_t202" style="position:absolute;left:0;text-align:left;margin-left:-6.9pt;margin-top:7.3pt;width:525.75pt;height:64.5pt;z-index:251662336" fillcolor="#8db3e2 [1311]" strokecolor="black [3213]">
            <v:shadow opacity=".5" offset="6pt,-6pt"/>
            <v:textbox>
              <w:txbxContent>
                <w:p w:rsidR="00DF4F96" w:rsidRDefault="00DF4F96" w:rsidP="00CA3513">
                  <w:pPr>
                    <w:shd w:val="clear" w:color="auto" w:fill="DBE5F1" w:themeFill="accent1" w:themeFillTint="33"/>
                  </w:pPr>
                  <w:r w:rsidRPr="009D7A8A">
                    <w:rPr>
                      <w:b/>
                      <w:sz w:val="20"/>
                      <w:szCs w:val="20"/>
                      <w:u w:val="single"/>
                    </w:rPr>
                    <w:t>Priorities of Title IIA:</w:t>
                  </w:r>
                  <w:r w:rsidRPr="009D7A8A">
                    <w:rPr>
                      <w:sz w:val="20"/>
                      <w:szCs w:val="20"/>
                    </w:rPr>
                    <w:t xml:space="preserve">  Increase student achievement consistent with challenging State academic standards</w:t>
                  </w:r>
                  <w:r>
                    <w:rPr>
                      <w:sz w:val="20"/>
                      <w:szCs w:val="20"/>
                    </w:rPr>
                    <w:t xml:space="preserve">; </w:t>
                  </w:r>
                  <w:r w:rsidRPr="009D7A8A">
                    <w:rPr>
                      <w:sz w:val="20"/>
                      <w:szCs w:val="20"/>
                    </w:rPr>
                    <w:t xml:space="preserve">Improve the quality and effectiveness of </w:t>
                  </w:r>
                  <w:r>
                    <w:rPr>
                      <w:sz w:val="20"/>
                      <w:szCs w:val="20"/>
                    </w:rPr>
                    <w:t>teachers, principals, and other school leaders;</w:t>
                  </w:r>
                  <w:r w:rsidRPr="009D7A8A">
                    <w:rPr>
                      <w:sz w:val="20"/>
                      <w:szCs w:val="20"/>
                    </w:rPr>
                    <w:t xml:space="preserve"> Increase </w:t>
                  </w:r>
                  <w:r>
                    <w:rPr>
                      <w:sz w:val="20"/>
                      <w:szCs w:val="20"/>
                    </w:rPr>
                    <w:t>the number of teachers, principals, and other school leaders who are effective in</w:t>
                  </w:r>
                  <w:r w:rsidRPr="009D7A8A">
                    <w:rPr>
                      <w:sz w:val="20"/>
                      <w:szCs w:val="20"/>
                    </w:rPr>
                    <w:t xml:space="preserve"> improving student academic achievement</w:t>
                  </w:r>
                  <w:r>
                    <w:rPr>
                      <w:sz w:val="20"/>
                      <w:szCs w:val="20"/>
                    </w:rPr>
                    <w:t xml:space="preserve"> in schools; and p</w:t>
                  </w:r>
                  <w:r w:rsidRPr="009D7A8A">
                    <w:rPr>
                      <w:sz w:val="20"/>
                      <w:szCs w:val="20"/>
                    </w:rPr>
                    <w:t>rovide low-income and minority students equitable access to effective teachers, principals, and other school leaders</w:t>
                  </w:r>
                  <w:r>
                    <w:t>.</w:t>
                  </w:r>
                </w:p>
              </w:txbxContent>
            </v:textbox>
          </v:shape>
        </w:pict>
      </w:r>
    </w:p>
    <w:p w:rsidR="00411DA1" w:rsidRDefault="00411DA1" w:rsidP="00411DA1">
      <w:pPr>
        <w:spacing w:after="0" w:line="240" w:lineRule="auto"/>
        <w:jc w:val="center"/>
        <w:rPr>
          <w:b/>
          <w:sz w:val="32"/>
          <w:szCs w:val="32"/>
        </w:rPr>
      </w:pPr>
    </w:p>
    <w:p w:rsidR="009D7A8A" w:rsidRDefault="009D7A8A" w:rsidP="00411DA1">
      <w:pPr>
        <w:spacing w:after="0" w:line="240" w:lineRule="auto"/>
        <w:jc w:val="center"/>
        <w:rPr>
          <w:b/>
          <w:sz w:val="32"/>
          <w:szCs w:val="32"/>
        </w:rPr>
      </w:pPr>
    </w:p>
    <w:p w:rsidR="009D7A8A" w:rsidRDefault="009D7A8A" w:rsidP="00411DA1">
      <w:pPr>
        <w:spacing w:after="0" w:line="240" w:lineRule="auto"/>
        <w:jc w:val="center"/>
        <w:rPr>
          <w:b/>
          <w:sz w:val="32"/>
          <w:szCs w:val="32"/>
        </w:rPr>
      </w:pPr>
    </w:p>
    <w:p w:rsidR="00AD1C20" w:rsidRPr="00411DA1" w:rsidRDefault="00AD1C20" w:rsidP="009D7A8A">
      <w:pPr>
        <w:spacing w:after="0" w:line="240" w:lineRule="auto"/>
        <w:rPr>
          <w:b/>
          <w:sz w:val="32"/>
          <w:szCs w:val="32"/>
        </w:rPr>
      </w:pPr>
    </w:p>
    <w:tbl>
      <w:tblPr>
        <w:tblStyle w:val="LightGrid-Accent6"/>
        <w:tblW w:w="10458" w:type="dxa"/>
        <w:tblLayout w:type="fixed"/>
        <w:tblLook w:val="04A0"/>
      </w:tblPr>
      <w:tblGrid>
        <w:gridCol w:w="1818"/>
        <w:gridCol w:w="4860"/>
        <w:gridCol w:w="3780"/>
      </w:tblGrid>
      <w:tr w:rsidR="008A468A" w:rsidRPr="008A468A" w:rsidTr="002433E6">
        <w:trPr>
          <w:cnfStyle w:val="100000000000"/>
          <w:tblHeader/>
        </w:trPr>
        <w:tc>
          <w:tcPr>
            <w:cnfStyle w:val="001000000000"/>
            <w:tcW w:w="181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8A468A" w:rsidRPr="0092051A" w:rsidRDefault="008A468A" w:rsidP="00144928">
            <w:pPr>
              <w:spacing w:before="40" w:after="40"/>
              <w:jc w:val="center"/>
              <w:rPr>
                <w:rFonts w:asciiTheme="minorHAnsi" w:hAnsiTheme="minorHAnsi"/>
                <w:color w:val="FFFFFF" w:themeColor="background1"/>
                <w:sz w:val="24"/>
                <w:szCs w:val="24"/>
              </w:rPr>
            </w:pPr>
            <w:r w:rsidRPr="0092051A">
              <w:rPr>
                <w:rFonts w:asciiTheme="minorHAnsi" w:hAnsiTheme="minorHAnsi"/>
                <w:color w:val="FFFFFF" w:themeColor="background1"/>
                <w:sz w:val="24"/>
                <w:szCs w:val="24"/>
              </w:rPr>
              <w:t>Line Item</w:t>
            </w:r>
          </w:p>
        </w:tc>
        <w:tc>
          <w:tcPr>
            <w:tcW w:w="486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8A468A" w:rsidRPr="0092051A" w:rsidRDefault="008A468A" w:rsidP="00144928">
            <w:pPr>
              <w:spacing w:before="40" w:after="40"/>
              <w:jc w:val="center"/>
              <w:cnfStyle w:val="100000000000"/>
              <w:rPr>
                <w:rFonts w:asciiTheme="minorHAnsi" w:hAnsiTheme="minorHAnsi"/>
                <w:color w:val="FFFFFF" w:themeColor="background1"/>
                <w:sz w:val="24"/>
                <w:szCs w:val="24"/>
              </w:rPr>
            </w:pPr>
            <w:r w:rsidRPr="0092051A">
              <w:rPr>
                <w:rFonts w:asciiTheme="minorHAnsi" w:hAnsiTheme="minorHAnsi"/>
                <w:color w:val="FFFFFF" w:themeColor="background1"/>
                <w:sz w:val="24"/>
                <w:szCs w:val="24"/>
              </w:rPr>
              <w:t xml:space="preserve">Eligible </w:t>
            </w:r>
            <w:r w:rsidR="00144928" w:rsidRPr="0092051A">
              <w:rPr>
                <w:rFonts w:asciiTheme="minorHAnsi" w:hAnsiTheme="minorHAnsi"/>
                <w:color w:val="FFFFFF" w:themeColor="background1"/>
                <w:sz w:val="24"/>
                <w:szCs w:val="24"/>
              </w:rPr>
              <w:t>Activities</w:t>
            </w:r>
          </w:p>
        </w:tc>
        <w:tc>
          <w:tcPr>
            <w:tcW w:w="378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8A468A" w:rsidRPr="0092051A" w:rsidRDefault="008A468A" w:rsidP="00144928">
            <w:pPr>
              <w:spacing w:before="40" w:after="40"/>
              <w:jc w:val="center"/>
              <w:cnfStyle w:val="100000000000"/>
              <w:rPr>
                <w:rFonts w:asciiTheme="minorHAnsi" w:hAnsiTheme="minorHAnsi"/>
                <w:color w:val="FFFFFF" w:themeColor="background1"/>
                <w:sz w:val="24"/>
                <w:szCs w:val="24"/>
              </w:rPr>
            </w:pPr>
            <w:r w:rsidRPr="0092051A">
              <w:rPr>
                <w:rFonts w:asciiTheme="minorHAnsi" w:hAnsiTheme="minorHAnsi"/>
                <w:color w:val="FFFFFF" w:themeColor="background1"/>
                <w:sz w:val="24"/>
                <w:szCs w:val="24"/>
              </w:rPr>
              <w:t xml:space="preserve">Non-Eligible </w:t>
            </w:r>
            <w:r w:rsidR="00144928" w:rsidRPr="0092051A">
              <w:rPr>
                <w:rFonts w:asciiTheme="minorHAnsi" w:hAnsiTheme="minorHAnsi"/>
                <w:color w:val="FFFFFF" w:themeColor="background1"/>
                <w:sz w:val="24"/>
                <w:szCs w:val="24"/>
              </w:rPr>
              <w:t>Activities</w:t>
            </w:r>
          </w:p>
        </w:tc>
      </w:tr>
      <w:tr w:rsidR="008A468A" w:rsidRPr="008A468A" w:rsidTr="006F2BB5">
        <w:trPr>
          <w:cnfStyle w:val="000000100000"/>
        </w:trPr>
        <w:tc>
          <w:tcPr>
            <w:cnfStyle w:val="001000000000"/>
            <w:tcW w:w="18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Pr="008A468A" w:rsidRDefault="008A468A" w:rsidP="008A468A">
            <w:pPr>
              <w:pStyle w:val="ListParagraph"/>
              <w:numPr>
                <w:ilvl w:val="0"/>
                <w:numId w:val="15"/>
              </w:numPr>
              <w:tabs>
                <w:tab w:val="left" w:pos="540"/>
                <w:tab w:val="left" w:pos="630"/>
              </w:tabs>
              <w:ind w:left="360"/>
              <w:rPr>
                <w:rFonts w:asciiTheme="minorHAnsi" w:hAnsiTheme="minorHAnsi"/>
                <w:sz w:val="20"/>
                <w:szCs w:val="20"/>
              </w:rPr>
            </w:pPr>
            <w:r w:rsidRPr="008A468A">
              <w:rPr>
                <w:rFonts w:asciiTheme="minorHAnsi" w:hAnsiTheme="minorHAnsi"/>
                <w:sz w:val="20"/>
                <w:szCs w:val="20"/>
              </w:rPr>
              <w:t>Administrator Salaries</w:t>
            </w:r>
          </w:p>
        </w:tc>
        <w:tc>
          <w:tcPr>
            <w:tcW w:w="48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Default="008A468A" w:rsidP="008A468A">
            <w:pPr>
              <w:pStyle w:val="ListParagraph"/>
              <w:numPr>
                <w:ilvl w:val="0"/>
                <w:numId w:val="16"/>
              </w:numPr>
              <w:ind w:left="342" w:hanging="270"/>
              <w:cnfStyle w:val="000000100000"/>
              <w:rPr>
                <w:sz w:val="20"/>
                <w:szCs w:val="20"/>
              </w:rPr>
            </w:pPr>
            <w:r w:rsidRPr="008A468A">
              <w:rPr>
                <w:sz w:val="20"/>
                <w:szCs w:val="20"/>
              </w:rPr>
              <w:t>Program Administrator/Grant Manager/Professional Development Coordinator  – only the portion of the salary dealing directly with Title II, Part A</w:t>
            </w:r>
          </w:p>
          <w:p w:rsidR="00EC25E8" w:rsidRPr="008A468A" w:rsidRDefault="00EC25E8" w:rsidP="008A468A">
            <w:pPr>
              <w:pStyle w:val="ListParagraph"/>
              <w:numPr>
                <w:ilvl w:val="0"/>
                <w:numId w:val="16"/>
              </w:numPr>
              <w:ind w:left="342" w:hanging="270"/>
              <w:cnfStyle w:val="000000100000"/>
              <w:rPr>
                <w:sz w:val="20"/>
                <w:szCs w:val="20"/>
              </w:rPr>
            </w:pPr>
            <w:r>
              <w:rPr>
                <w:sz w:val="20"/>
                <w:szCs w:val="20"/>
              </w:rPr>
              <w:t>District Mentoring/Induction Administrator</w:t>
            </w:r>
          </w:p>
        </w:tc>
        <w:tc>
          <w:tcPr>
            <w:tcW w:w="37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Pr="008A468A" w:rsidRDefault="008A468A" w:rsidP="008A468A">
            <w:pPr>
              <w:pStyle w:val="ListParagraph"/>
              <w:numPr>
                <w:ilvl w:val="0"/>
                <w:numId w:val="16"/>
              </w:numPr>
              <w:ind w:left="342" w:hanging="270"/>
              <w:cnfStyle w:val="000000100000"/>
              <w:rPr>
                <w:sz w:val="20"/>
                <w:szCs w:val="20"/>
              </w:rPr>
            </w:pPr>
            <w:r w:rsidRPr="008A468A">
              <w:rPr>
                <w:sz w:val="20"/>
                <w:szCs w:val="20"/>
              </w:rPr>
              <w:t xml:space="preserve">Entire salary unless the manager’s entire responsibility is Title II, Part A </w:t>
            </w:r>
          </w:p>
        </w:tc>
      </w:tr>
      <w:tr w:rsidR="008A468A" w:rsidRPr="008A468A" w:rsidTr="006F2BB5">
        <w:trPr>
          <w:cnfStyle w:val="000000010000"/>
        </w:trPr>
        <w:tc>
          <w:tcPr>
            <w:cnfStyle w:val="001000000000"/>
            <w:tcW w:w="1818" w:type="dxa"/>
            <w:tcBorders>
              <w:top w:val="single" w:sz="4" w:space="0" w:color="auto"/>
              <w:left w:val="single" w:sz="4" w:space="0" w:color="auto"/>
              <w:bottom w:val="single" w:sz="4" w:space="0" w:color="auto"/>
              <w:right w:val="single" w:sz="4" w:space="0" w:color="auto"/>
            </w:tcBorders>
          </w:tcPr>
          <w:p w:rsidR="008A468A" w:rsidRPr="008A468A" w:rsidRDefault="008A468A" w:rsidP="008A468A">
            <w:pPr>
              <w:pStyle w:val="ListParagraph"/>
              <w:numPr>
                <w:ilvl w:val="0"/>
                <w:numId w:val="15"/>
              </w:numPr>
              <w:tabs>
                <w:tab w:val="left" w:pos="540"/>
                <w:tab w:val="left" w:pos="630"/>
              </w:tabs>
              <w:ind w:left="360"/>
              <w:rPr>
                <w:rFonts w:asciiTheme="minorHAnsi" w:hAnsiTheme="minorHAnsi"/>
                <w:sz w:val="20"/>
                <w:szCs w:val="20"/>
              </w:rPr>
            </w:pPr>
            <w:r w:rsidRPr="008A468A">
              <w:rPr>
                <w:rFonts w:asciiTheme="minorHAnsi" w:hAnsiTheme="minorHAnsi"/>
                <w:sz w:val="20"/>
                <w:szCs w:val="20"/>
              </w:rPr>
              <w:t>Instructional/</w:t>
            </w:r>
            <w:r w:rsidRPr="008A468A">
              <w:rPr>
                <w:rFonts w:asciiTheme="minorHAnsi" w:hAnsiTheme="minorHAnsi"/>
                <w:sz w:val="20"/>
                <w:szCs w:val="20"/>
              </w:rPr>
              <w:br/>
              <w:t>Professional Staff</w:t>
            </w:r>
          </w:p>
        </w:tc>
        <w:tc>
          <w:tcPr>
            <w:tcW w:w="4860" w:type="dxa"/>
            <w:tcBorders>
              <w:top w:val="single" w:sz="4" w:space="0" w:color="auto"/>
              <w:left w:val="single" w:sz="4" w:space="0" w:color="auto"/>
              <w:bottom w:val="single" w:sz="4" w:space="0" w:color="auto"/>
              <w:right w:val="single" w:sz="4" w:space="0" w:color="auto"/>
            </w:tcBorders>
          </w:tcPr>
          <w:p w:rsidR="008A468A" w:rsidRPr="008A468A" w:rsidRDefault="008A468A" w:rsidP="008A468A">
            <w:pPr>
              <w:pStyle w:val="ListParagraph"/>
              <w:numPr>
                <w:ilvl w:val="0"/>
                <w:numId w:val="16"/>
              </w:numPr>
              <w:ind w:left="342" w:hanging="270"/>
              <w:cnfStyle w:val="000000010000"/>
              <w:rPr>
                <w:sz w:val="20"/>
                <w:szCs w:val="20"/>
              </w:rPr>
            </w:pPr>
            <w:r w:rsidRPr="008A468A">
              <w:rPr>
                <w:sz w:val="20"/>
                <w:szCs w:val="20"/>
              </w:rPr>
              <w:t xml:space="preserve">Academic/Instructional coaches </w:t>
            </w:r>
            <w:r w:rsidR="009D7A8A">
              <w:rPr>
                <w:sz w:val="20"/>
                <w:szCs w:val="20"/>
              </w:rPr>
              <w:t>for any subject</w:t>
            </w:r>
          </w:p>
          <w:p w:rsidR="008A468A" w:rsidRDefault="00DF4F96" w:rsidP="003461A7">
            <w:pPr>
              <w:pStyle w:val="ListParagraph"/>
              <w:numPr>
                <w:ilvl w:val="0"/>
                <w:numId w:val="16"/>
              </w:numPr>
              <w:ind w:left="342" w:hanging="270"/>
              <w:cnfStyle w:val="000000010000"/>
              <w:rPr>
                <w:sz w:val="20"/>
                <w:szCs w:val="20"/>
              </w:rPr>
            </w:pPr>
            <w:r>
              <w:rPr>
                <w:sz w:val="20"/>
                <w:szCs w:val="20"/>
              </w:rPr>
              <w:t>Teacher salary</w:t>
            </w:r>
            <w:r w:rsidR="008A468A" w:rsidRPr="008A468A">
              <w:rPr>
                <w:sz w:val="20"/>
                <w:szCs w:val="20"/>
              </w:rPr>
              <w:t xml:space="preserve"> </w:t>
            </w:r>
            <w:r>
              <w:rPr>
                <w:sz w:val="20"/>
                <w:szCs w:val="20"/>
              </w:rPr>
              <w:t>to reduce</w:t>
            </w:r>
            <w:r w:rsidRPr="008A468A">
              <w:rPr>
                <w:sz w:val="20"/>
                <w:szCs w:val="20"/>
              </w:rPr>
              <w:t xml:space="preserve"> </w:t>
            </w:r>
            <w:r w:rsidR="008A468A" w:rsidRPr="008A468A">
              <w:rPr>
                <w:sz w:val="20"/>
                <w:szCs w:val="20"/>
              </w:rPr>
              <w:t>class-size</w:t>
            </w:r>
            <w:r>
              <w:rPr>
                <w:sz w:val="20"/>
                <w:szCs w:val="20"/>
              </w:rPr>
              <w:t>s</w:t>
            </w:r>
            <w:r w:rsidR="00EC25E8">
              <w:rPr>
                <w:sz w:val="20"/>
                <w:szCs w:val="20"/>
              </w:rPr>
              <w:t xml:space="preserve">: needs to be </w:t>
            </w:r>
            <w:r>
              <w:rPr>
                <w:sz w:val="20"/>
                <w:szCs w:val="20"/>
              </w:rPr>
              <w:t>justified based on evidence</w:t>
            </w:r>
            <w:r w:rsidR="008A468A" w:rsidRPr="008A468A">
              <w:rPr>
                <w:sz w:val="20"/>
                <w:szCs w:val="20"/>
              </w:rPr>
              <w:t xml:space="preserve"> </w:t>
            </w:r>
          </w:p>
          <w:p w:rsidR="003461A7" w:rsidRDefault="003461A7" w:rsidP="003461A7">
            <w:pPr>
              <w:pStyle w:val="ListParagraph"/>
              <w:numPr>
                <w:ilvl w:val="0"/>
                <w:numId w:val="16"/>
              </w:numPr>
              <w:ind w:left="342" w:hanging="270"/>
              <w:cnfStyle w:val="000000010000"/>
              <w:rPr>
                <w:sz w:val="20"/>
                <w:szCs w:val="20"/>
              </w:rPr>
            </w:pPr>
            <w:r>
              <w:rPr>
                <w:sz w:val="20"/>
                <w:szCs w:val="20"/>
              </w:rPr>
              <w:t>Incentivize and reward excellent educators serving in the district’s highest-need schools*</w:t>
            </w:r>
          </w:p>
          <w:p w:rsidR="003461A7" w:rsidRPr="003461A7" w:rsidRDefault="00205019" w:rsidP="003461A7">
            <w:pPr>
              <w:pStyle w:val="ListParagraph"/>
              <w:numPr>
                <w:ilvl w:val="0"/>
                <w:numId w:val="16"/>
              </w:numPr>
              <w:ind w:left="342" w:hanging="270"/>
              <w:cnfStyle w:val="000000010000"/>
              <w:rPr>
                <w:sz w:val="20"/>
                <w:szCs w:val="20"/>
              </w:rPr>
            </w:pPr>
            <w:r>
              <w:rPr>
                <w:sz w:val="20"/>
                <w:szCs w:val="20"/>
              </w:rPr>
              <w:t>Differential and incentive pay for educators in high-need academic subject areas and specialty areas*</w:t>
            </w:r>
          </w:p>
        </w:tc>
        <w:tc>
          <w:tcPr>
            <w:tcW w:w="3780" w:type="dxa"/>
            <w:tcBorders>
              <w:top w:val="single" w:sz="4" w:space="0" w:color="auto"/>
              <w:left w:val="single" w:sz="4" w:space="0" w:color="auto"/>
              <w:bottom w:val="single" w:sz="4" w:space="0" w:color="auto"/>
              <w:right w:val="single" w:sz="4" w:space="0" w:color="auto"/>
            </w:tcBorders>
          </w:tcPr>
          <w:p w:rsidR="008A468A" w:rsidRPr="003461A7" w:rsidRDefault="008A468A" w:rsidP="003461A7">
            <w:pPr>
              <w:cnfStyle w:val="000000010000"/>
              <w:rPr>
                <w:sz w:val="20"/>
                <w:szCs w:val="20"/>
              </w:rPr>
            </w:pPr>
          </w:p>
        </w:tc>
      </w:tr>
      <w:tr w:rsidR="008A468A" w:rsidRPr="008A468A" w:rsidTr="006F2BB5">
        <w:trPr>
          <w:cnfStyle w:val="000000100000"/>
        </w:trPr>
        <w:tc>
          <w:tcPr>
            <w:cnfStyle w:val="001000000000"/>
            <w:tcW w:w="18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Pr="008A468A" w:rsidRDefault="008A468A" w:rsidP="008A468A">
            <w:pPr>
              <w:pStyle w:val="ListParagraph"/>
              <w:numPr>
                <w:ilvl w:val="0"/>
                <w:numId w:val="15"/>
              </w:numPr>
              <w:tabs>
                <w:tab w:val="left" w:pos="540"/>
                <w:tab w:val="left" w:pos="630"/>
              </w:tabs>
              <w:ind w:left="360"/>
              <w:rPr>
                <w:rFonts w:asciiTheme="minorHAnsi" w:hAnsiTheme="minorHAnsi"/>
                <w:sz w:val="20"/>
                <w:szCs w:val="20"/>
              </w:rPr>
            </w:pPr>
            <w:r w:rsidRPr="008A468A">
              <w:rPr>
                <w:rFonts w:asciiTheme="minorHAnsi" w:hAnsiTheme="minorHAnsi"/>
                <w:sz w:val="20"/>
                <w:szCs w:val="20"/>
              </w:rPr>
              <w:t>Support Staff Salaries</w:t>
            </w:r>
          </w:p>
        </w:tc>
        <w:tc>
          <w:tcPr>
            <w:tcW w:w="48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Pr="008A468A" w:rsidRDefault="008A468A" w:rsidP="008A468A">
            <w:pPr>
              <w:pStyle w:val="ListParagraph"/>
              <w:numPr>
                <w:ilvl w:val="0"/>
                <w:numId w:val="17"/>
              </w:numPr>
              <w:ind w:left="342" w:hanging="270"/>
              <w:cnfStyle w:val="000000100000"/>
              <w:rPr>
                <w:sz w:val="20"/>
                <w:szCs w:val="20"/>
              </w:rPr>
            </w:pPr>
            <w:r w:rsidRPr="008A468A">
              <w:rPr>
                <w:sz w:val="20"/>
                <w:szCs w:val="20"/>
              </w:rPr>
              <w:t>Secretary/Bookkeeper for Title II, Part A grant work – only portion of salary dealing directly with Title II, Part A</w:t>
            </w:r>
          </w:p>
        </w:tc>
        <w:tc>
          <w:tcPr>
            <w:tcW w:w="37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Pr="008A468A" w:rsidRDefault="008A468A" w:rsidP="00DF4F96">
            <w:pPr>
              <w:pStyle w:val="ListParagraph"/>
              <w:numPr>
                <w:ilvl w:val="0"/>
                <w:numId w:val="17"/>
              </w:numPr>
              <w:ind w:left="342" w:hanging="270"/>
              <w:cnfStyle w:val="000000100000"/>
              <w:rPr>
                <w:sz w:val="20"/>
                <w:szCs w:val="20"/>
              </w:rPr>
            </w:pPr>
            <w:r w:rsidRPr="008A468A">
              <w:rPr>
                <w:sz w:val="20"/>
                <w:szCs w:val="20"/>
              </w:rPr>
              <w:t xml:space="preserve">Entire salary unless the </w:t>
            </w:r>
            <w:r w:rsidR="00DF4F96">
              <w:rPr>
                <w:sz w:val="20"/>
                <w:szCs w:val="20"/>
              </w:rPr>
              <w:t>individual’s</w:t>
            </w:r>
            <w:r w:rsidRPr="008A468A">
              <w:rPr>
                <w:sz w:val="20"/>
                <w:szCs w:val="20"/>
              </w:rPr>
              <w:t xml:space="preserve"> entire responsibility is Title II, Part A</w:t>
            </w:r>
          </w:p>
        </w:tc>
      </w:tr>
      <w:tr w:rsidR="008A468A" w:rsidRPr="008A468A" w:rsidTr="006F2BB5">
        <w:trPr>
          <w:cnfStyle w:val="000000010000"/>
          <w:trHeight w:val="853"/>
        </w:trPr>
        <w:tc>
          <w:tcPr>
            <w:cnfStyle w:val="001000000000"/>
            <w:tcW w:w="1818" w:type="dxa"/>
            <w:tcBorders>
              <w:top w:val="single" w:sz="4" w:space="0" w:color="auto"/>
              <w:left w:val="single" w:sz="4" w:space="0" w:color="auto"/>
              <w:bottom w:val="single" w:sz="4" w:space="0" w:color="auto"/>
              <w:right w:val="single" w:sz="4" w:space="0" w:color="auto"/>
            </w:tcBorders>
          </w:tcPr>
          <w:p w:rsidR="008A468A" w:rsidRPr="008A468A" w:rsidRDefault="008A468A" w:rsidP="008A468A">
            <w:pPr>
              <w:pStyle w:val="ListParagraph"/>
              <w:numPr>
                <w:ilvl w:val="0"/>
                <w:numId w:val="15"/>
              </w:numPr>
              <w:tabs>
                <w:tab w:val="left" w:pos="540"/>
                <w:tab w:val="left" w:pos="630"/>
              </w:tabs>
              <w:ind w:left="360"/>
              <w:rPr>
                <w:rFonts w:asciiTheme="minorHAnsi" w:hAnsiTheme="minorHAnsi"/>
                <w:sz w:val="20"/>
                <w:szCs w:val="20"/>
              </w:rPr>
            </w:pPr>
            <w:r w:rsidRPr="008A468A">
              <w:rPr>
                <w:rFonts w:asciiTheme="minorHAnsi" w:hAnsiTheme="minorHAnsi"/>
                <w:sz w:val="20"/>
                <w:szCs w:val="20"/>
              </w:rPr>
              <w:t>Stipends</w:t>
            </w:r>
          </w:p>
        </w:tc>
        <w:tc>
          <w:tcPr>
            <w:tcW w:w="4860" w:type="dxa"/>
            <w:tcBorders>
              <w:top w:val="single" w:sz="4" w:space="0" w:color="auto"/>
              <w:left w:val="single" w:sz="4" w:space="0" w:color="auto"/>
              <w:bottom w:val="single" w:sz="4" w:space="0" w:color="auto"/>
              <w:right w:val="single" w:sz="4" w:space="0" w:color="auto"/>
            </w:tcBorders>
          </w:tcPr>
          <w:p w:rsidR="008A468A" w:rsidRDefault="008A468A" w:rsidP="00EC25E8">
            <w:pPr>
              <w:pStyle w:val="ListParagraph"/>
              <w:numPr>
                <w:ilvl w:val="0"/>
                <w:numId w:val="16"/>
              </w:numPr>
              <w:ind w:left="342" w:hanging="270"/>
              <w:cnfStyle w:val="000000010000"/>
              <w:rPr>
                <w:sz w:val="20"/>
                <w:szCs w:val="20"/>
              </w:rPr>
            </w:pPr>
            <w:r w:rsidRPr="008A468A">
              <w:rPr>
                <w:sz w:val="20"/>
                <w:szCs w:val="20"/>
              </w:rPr>
              <w:t>Stipends for Mentors</w:t>
            </w:r>
          </w:p>
          <w:p w:rsidR="00B13EB9" w:rsidRDefault="00B13EB9" w:rsidP="00B13EB9">
            <w:pPr>
              <w:pStyle w:val="ListParagraph"/>
              <w:numPr>
                <w:ilvl w:val="0"/>
                <w:numId w:val="16"/>
              </w:numPr>
              <w:ind w:left="342" w:hanging="270"/>
              <w:cnfStyle w:val="000000010000"/>
              <w:rPr>
                <w:sz w:val="20"/>
                <w:szCs w:val="20"/>
              </w:rPr>
            </w:pPr>
            <w:r>
              <w:rPr>
                <w:sz w:val="20"/>
                <w:szCs w:val="20"/>
              </w:rPr>
              <w:t>Collaborative planning, curriculum writing, peer obs</w:t>
            </w:r>
            <w:r w:rsidR="00205019">
              <w:rPr>
                <w:sz w:val="20"/>
                <w:szCs w:val="20"/>
              </w:rPr>
              <w:t>ervations</w:t>
            </w:r>
          </w:p>
          <w:p w:rsidR="00DF4F96" w:rsidRDefault="00DF4F96" w:rsidP="00B13EB9">
            <w:pPr>
              <w:pStyle w:val="ListParagraph"/>
              <w:numPr>
                <w:ilvl w:val="0"/>
                <w:numId w:val="16"/>
              </w:numPr>
              <w:ind w:left="342" w:hanging="270"/>
              <w:cnfStyle w:val="000000010000"/>
              <w:rPr>
                <w:sz w:val="20"/>
                <w:szCs w:val="20"/>
              </w:rPr>
            </w:pPr>
            <w:r>
              <w:rPr>
                <w:sz w:val="20"/>
                <w:szCs w:val="20"/>
              </w:rPr>
              <w:t xml:space="preserve">Stipends for teacher-led High Quality Professional Development (HQPD) to close achievement gaps </w:t>
            </w:r>
          </w:p>
          <w:p w:rsidR="00205019" w:rsidRDefault="00205019" w:rsidP="00B13EB9">
            <w:pPr>
              <w:pStyle w:val="ListParagraph"/>
              <w:numPr>
                <w:ilvl w:val="0"/>
                <w:numId w:val="16"/>
              </w:numPr>
              <w:ind w:left="342" w:hanging="270"/>
              <w:cnfStyle w:val="000000010000"/>
              <w:rPr>
                <w:sz w:val="20"/>
                <w:szCs w:val="20"/>
              </w:rPr>
            </w:pPr>
            <w:r>
              <w:rPr>
                <w:sz w:val="20"/>
                <w:szCs w:val="20"/>
              </w:rPr>
              <w:t>Leading trainings to improve content knowledge, teaching strategies, and addressing issues related to school conditions for student learning</w:t>
            </w:r>
          </w:p>
          <w:p w:rsidR="003461A7" w:rsidRPr="00B13EB9" w:rsidRDefault="003461A7" w:rsidP="00B13EB9">
            <w:pPr>
              <w:pStyle w:val="ListParagraph"/>
              <w:numPr>
                <w:ilvl w:val="0"/>
                <w:numId w:val="16"/>
              </w:numPr>
              <w:ind w:left="342" w:hanging="270"/>
              <w:cnfStyle w:val="000000010000"/>
              <w:rPr>
                <w:sz w:val="20"/>
                <w:szCs w:val="20"/>
              </w:rPr>
            </w:pPr>
            <w:r w:rsidRPr="008A468A">
              <w:rPr>
                <w:sz w:val="20"/>
                <w:szCs w:val="20"/>
              </w:rPr>
              <w:t xml:space="preserve">Development and support for district based preparation programs for </w:t>
            </w:r>
            <w:r>
              <w:rPr>
                <w:sz w:val="20"/>
                <w:szCs w:val="20"/>
              </w:rPr>
              <w:t>teachers</w:t>
            </w:r>
            <w:r w:rsidR="00C91EAE">
              <w:rPr>
                <w:sz w:val="20"/>
                <w:szCs w:val="20"/>
              </w:rPr>
              <w:t>, paraprofessionals</w:t>
            </w:r>
            <w:r>
              <w:rPr>
                <w:sz w:val="20"/>
                <w:szCs w:val="20"/>
              </w:rPr>
              <w:t xml:space="preserve"> and school leaders</w:t>
            </w:r>
          </w:p>
        </w:tc>
        <w:tc>
          <w:tcPr>
            <w:tcW w:w="3780" w:type="dxa"/>
            <w:tcBorders>
              <w:top w:val="single" w:sz="4" w:space="0" w:color="auto"/>
              <w:left w:val="single" w:sz="4" w:space="0" w:color="auto"/>
              <w:bottom w:val="single" w:sz="4" w:space="0" w:color="auto"/>
              <w:right w:val="single" w:sz="4" w:space="0" w:color="auto"/>
            </w:tcBorders>
          </w:tcPr>
          <w:p w:rsidR="008A468A" w:rsidRDefault="008A468A" w:rsidP="008A468A">
            <w:pPr>
              <w:pStyle w:val="ListParagraph"/>
              <w:numPr>
                <w:ilvl w:val="0"/>
                <w:numId w:val="16"/>
              </w:numPr>
              <w:ind w:left="342" w:hanging="270"/>
              <w:cnfStyle w:val="000000010000"/>
              <w:rPr>
                <w:sz w:val="20"/>
                <w:szCs w:val="20"/>
              </w:rPr>
            </w:pPr>
            <w:r w:rsidRPr="008A468A">
              <w:rPr>
                <w:sz w:val="20"/>
                <w:szCs w:val="20"/>
              </w:rPr>
              <w:t>Stipends for tutors</w:t>
            </w:r>
          </w:p>
          <w:p w:rsidR="00B16149" w:rsidRPr="008A468A" w:rsidRDefault="00B16149" w:rsidP="008A468A">
            <w:pPr>
              <w:pStyle w:val="ListParagraph"/>
              <w:numPr>
                <w:ilvl w:val="0"/>
                <w:numId w:val="16"/>
              </w:numPr>
              <w:ind w:left="342" w:hanging="270"/>
              <w:cnfStyle w:val="000000010000"/>
              <w:rPr>
                <w:sz w:val="20"/>
                <w:szCs w:val="20"/>
              </w:rPr>
            </w:pPr>
            <w:r>
              <w:rPr>
                <w:sz w:val="20"/>
                <w:szCs w:val="20"/>
              </w:rPr>
              <w:t>Salaries for paraprofessionals</w:t>
            </w:r>
          </w:p>
          <w:p w:rsidR="008A468A" w:rsidRPr="008A468A" w:rsidRDefault="008A468A" w:rsidP="00AD5EB7">
            <w:pPr>
              <w:ind w:left="342" w:hanging="270"/>
              <w:cnfStyle w:val="000000010000"/>
              <w:rPr>
                <w:sz w:val="20"/>
                <w:szCs w:val="20"/>
              </w:rPr>
            </w:pPr>
          </w:p>
        </w:tc>
      </w:tr>
      <w:tr w:rsidR="008A468A" w:rsidRPr="008A468A" w:rsidTr="006F2BB5">
        <w:trPr>
          <w:cnfStyle w:val="000000100000"/>
        </w:trPr>
        <w:tc>
          <w:tcPr>
            <w:cnfStyle w:val="001000000000"/>
            <w:tcW w:w="18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Pr="008A468A" w:rsidRDefault="008A468A" w:rsidP="008A468A">
            <w:pPr>
              <w:pStyle w:val="ListParagraph"/>
              <w:numPr>
                <w:ilvl w:val="0"/>
                <w:numId w:val="15"/>
              </w:numPr>
              <w:tabs>
                <w:tab w:val="left" w:pos="540"/>
                <w:tab w:val="left" w:pos="630"/>
              </w:tabs>
              <w:ind w:left="360"/>
              <w:rPr>
                <w:rFonts w:asciiTheme="minorHAnsi" w:hAnsiTheme="minorHAnsi"/>
                <w:sz w:val="20"/>
                <w:szCs w:val="20"/>
              </w:rPr>
            </w:pPr>
            <w:r w:rsidRPr="008A468A">
              <w:rPr>
                <w:rFonts w:asciiTheme="minorHAnsi" w:hAnsiTheme="minorHAnsi"/>
                <w:sz w:val="20"/>
                <w:szCs w:val="20"/>
              </w:rPr>
              <w:t>Fringe Benefits</w:t>
            </w:r>
          </w:p>
        </w:tc>
        <w:tc>
          <w:tcPr>
            <w:tcW w:w="48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Pr="008A468A" w:rsidRDefault="008A468A" w:rsidP="008A468A">
            <w:pPr>
              <w:pStyle w:val="ListParagraph"/>
              <w:numPr>
                <w:ilvl w:val="0"/>
                <w:numId w:val="17"/>
              </w:numPr>
              <w:ind w:left="342" w:hanging="270"/>
              <w:cnfStyle w:val="000000100000"/>
              <w:rPr>
                <w:sz w:val="20"/>
                <w:szCs w:val="20"/>
              </w:rPr>
            </w:pPr>
            <w:r w:rsidRPr="008A468A">
              <w:rPr>
                <w:sz w:val="20"/>
                <w:szCs w:val="20"/>
              </w:rPr>
              <w:t>MTRS</w:t>
            </w:r>
          </w:p>
          <w:p w:rsidR="008A468A" w:rsidRPr="008A468A" w:rsidRDefault="008A468A" w:rsidP="008A468A">
            <w:pPr>
              <w:pStyle w:val="ListParagraph"/>
              <w:numPr>
                <w:ilvl w:val="0"/>
                <w:numId w:val="17"/>
              </w:numPr>
              <w:ind w:left="342" w:hanging="270"/>
              <w:cnfStyle w:val="000000100000"/>
              <w:rPr>
                <w:sz w:val="20"/>
                <w:szCs w:val="20"/>
              </w:rPr>
            </w:pPr>
            <w:r w:rsidRPr="008A468A">
              <w:rPr>
                <w:sz w:val="20"/>
                <w:szCs w:val="20"/>
              </w:rPr>
              <w:t>Other Fringe benefits such as health insurance</w:t>
            </w:r>
          </w:p>
        </w:tc>
        <w:tc>
          <w:tcPr>
            <w:tcW w:w="37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Pr="008A468A" w:rsidRDefault="008A468A" w:rsidP="00AD5EB7">
            <w:pPr>
              <w:ind w:left="342" w:hanging="270"/>
              <w:cnfStyle w:val="000000100000"/>
              <w:rPr>
                <w:sz w:val="20"/>
                <w:szCs w:val="20"/>
              </w:rPr>
            </w:pPr>
          </w:p>
        </w:tc>
      </w:tr>
      <w:tr w:rsidR="008A468A" w:rsidRPr="008A468A" w:rsidTr="006F2BB5">
        <w:trPr>
          <w:cnfStyle w:val="000000010000"/>
        </w:trPr>
        <w:tc>
          <w:tcPr>
            <w:cnfStyle w:val="001000000000"/>
            <w:tcW w:w="1818" w:type="dxa"/>
            <w:tcBorders>
              <w:top w:val="single" w:sz="4" w:space="0" w:color="auto"/>
              <w:left w:val="single" w:sz="4" w:space="0" w:color="auto"/>
              <w:bottom w:val="single" w:sz="4" w:space="0" w:color="auto"/>
              <w:right w:val="single" w:sz="4" w:space="0" w:color="auto"/>
            </w:tcBorders>
          </w:tcPr>
          <w:p w:rsidR="008A468A" w:rsidRPr="008A468A" w:rsidRDefault="008A468A" w:rsidP="008A468A">
            <w:pPr>
              <w:pStyle w:val="ListParagraph"/>
              <w:numPr>
                <w:ilvl w:val="0"/>
                <w:numId w:val="15"/>
              </w:numPr>
              <w:tabs>
                <w:tab w:val="left" w:pos="540"/>
                <w:tab w:val="left" w:pos="630"/>
              </w:tabs>
              <w:ind w:left="360"/>
              <w:rPr>
                <w:rFonts w:asciiTheme="minorHAnsi" w:hAnsiTheme="minorHAnsi"/>
                <w:sz w:val="20"/>
                <w:szCs w:val="20"/>
              </w:rPr>
            </w:pPr>
            <w:r w:rsidRPr="008A468A">
              <w:rPr>
                <w:rFonts w:asciiTheme="minorHAnsi" w:hAnsiTheme="minorHAnsi"/>
                <w:sz w:val="20"/>
                <w:szCs w:val="20"/>
              </w:rPr>
              <w:t>Contractual Services</w:t>
            </w:r>
          </w:p>
        </w:tc>
        <w:tc>
          <w:tcPr>
            <w:tcW w:w="4860" w:type="dxa"/>
            <w:tcBorders>
              <w:top w:val="single" w:sz="4" w:space="0" w:color="auto"/>
              <w:left w:val="single" w:sz="4" w:space="0" w:color="auto"/>
              <w:bottom w:val="single" w:sz="4" w:space="0" w:color="auto"/>
              <w:right w:val="single" w:sz="4" w:space="0" w:color="auto"/>
            </w:tcBorders>
          </w:tcPr>
          <w:p w:rsidR="008A468A" w:rsidRPr="00972D90" w:rsidRDefault="00B13EB9" w:rsidP="008A468A">
            <w:pPr>
              <w:pStyle w:val="ListParagraph"/>
              <w:numPr>
                <w:ilvl w:val="0"/>
                <w:numId w:val="18"/>
              </w:numPr>
              <w:ind w:left="342" w:hanging="270"/>
              <w:cnfStyle w:val="000000010000"/>
              <w:rPr>
                <w:sz w:val="20"/>
                <w:szCs w:val="20"/>
              </w:rPr>
            </w:pPr>
            <w:r w:rsidRPr="00972D90">
              <w:rPr>
                <w:sz w:val="20"/>
                <w:szCs w:val="20"/>
              </w:rPr>
              <w:t>Consultants for</w:t>
            </w:r>
            <w:r w:rsidR="00C91EAE" w:rsidRPr="00972D90">
              <w:rPr>
                <w:sz w:val="20"/>
                <w:szCs w:val="20"/>
              </w:rPr>
              <w:t xml:space="preserve"> </w:t>
            </w:r>
            <w:r w:rsidR="00DF4F96" w:rsidRPr="00972D90">
              <w:rPr>
                <w:sz w:val="20"/>
                <w:szCs w:val="20"/>
              </w:rPr>
              <w:t xml:space="preserve">HQPD </w:t>
            </w:r>
            <w:r w:rsidR="008A468A" w:rsidRPr="00972D90">
              <w:rPr>
                <w:sz w:val="20"/>
                <w:szCs w:val="20"/>
              </w:rPr>
              <w:t>to improve content knowledge and/or classroom practice</w:t>
            </w:r>
            <w:r w:rsidRPr="00972D90">
              <w:rPr>
                <w:sz w:val="20"/>
                <w:szCs w:val="20"/>
              </w:rPr>
              <w:t xml:space="preserve"> for any subject</w:t>
            </w:r>
          </w:p>
          <w:p w:rsidR="008A468A" w:rsidRPr="00972D90" w:rsidRDefault="008A468A" w:rsidP="008A468A">
            <w:pPr>
              <w:pStyle w:val="ListParagraph"/>
              <w:numPr>
                <w:ilvl w:val="0"/>
                <w:numId w:val="18"/>
              </w:numPr>
              <w:ind w:left="342" w:hanging="270"/>
              <w:cnfStyle w:val="000000010000"/>
              <w:rPr>
                <w:sz w:val="20"/>
                <w:szCs w:val="20"/>
              </w:rPr>
            </w:pPr>
            <w:r w:rsidRPr="00972D90">
              <w:rPr>
                <w:sz w:val="20"/>
                <w:szCs w:val="20"/>
              </w:rPr>
              <w:t>Consultants to provide training to enable educators to involve parents in their children’s education</w:t>
            </w:r>
          </w:p>
          <w:p w:rsidR="008A468A" w:rsidRPr="00972D90" w:rsidRDefault="008A468A" w:rsidP="008A468A">
            <w:pPr>
              <w:pStyle w:val="ListParagraph"/>
              <w:numPr>
                <w:ilvl w:val="0"/>
                <w:numId w:val="18"/>
              </w:numPr>
              <w:ind w:left="342" w:hanging="270"/>
              <w:cnfStyle w:val="000000010000"/>
              <w:rPr>
                <w:sz w:val="20"/>
                <w:szCs w:val="20"/>
              </w:rPr>
            </w:pPr>
            <w:r w:rsidRPr="00972D90">
              <w:rPr>
                <w:sz w:val="20"/>
                <w:szCs w:val="20"/>
              </w:rPr>
              <w:t>Consultants to improve classroom management</w:t>
            </w:r>
          </w:p>
          <w:p w:rsidR="008A468A" w:rsidRPr="00972D90" w:rsidRDefault="008A468A" w:rsidP="008A468A">
            <w:pPr>
              <w:pStyle w:val="ListParagraph"/>
              <w:numPr>
                <w:ilvl w:val="0"/>
                <w:numId w:val="18"/>
              </w:numPr>
              <w:ind w:left="342" w:hanging="270"/>
              <w:cnfStyle w:val="000000010000"/>
              <w:rPr>
                <w:sz w:val="20"/>
                <w:szCs w:val="20"/>
              </w:rPr>
            </w:pPr>
            <w:r w:rsidRPr="00972D90">
              <w:rPr>
                <w:sz w:val="20"/>
                <w:szCs w:val="20"/>
              </w:rPr>
              <w:t>Substitutes for te</w:t>
            </w:r>
            <w:r w:rsidR="00B13EB9" w:rsidRPr="00972D90">
              <w:rPr>
                <w:sz w:val="20"/>
                <w:szCs w:val="20"/>
              </w:rPr>
              <w:t>achers attending TIIA funded</w:t>
            </w:r>
            <w:r w:rsidR="00C91EAE" w:rsidRPr="00972D90">
              <w:rPr>
                <w:sz w:val="20"/>
                <w:szCs w:val="20"/>
              </w:rPr>
              <w:t xml:space="preserve"> HQ</w:t>
            </w:r>
            <w:r w:rsidRPr="00972D90">
              <w:rPr>
                <w:sz w:val="20"/>
                <w:szCs w:val="20"/>
              </w:rPr>
              <w:t xml:space="preserve">PD or for </w:t>
            </w:r>
            <w:r w:rsidR="00DF4F96" w:rsidRPr="00972D90">
              <w:rPr>
                <w:sz w:val="20"/>
                <w:szCs w:val="20"/>
              </w:rPr>
              <w:t>class size reduction (CSR)</w:t>
            </w:r>
          </w:p>
          <w:p w:rsidR="00F82D1B" w:rsidRPr="00972D90" w:rsidRDefault="00B570C5">
            <w:pPr>
              <w:pStyle w:val="ListParagraph"/>
              <w:numPr>
                <w:ilvl w:val="0"/>
                <w:numId w:val="18"/>
              </w:numPr>
              <w:ind w:left="342" w:hanging="270"/>
              <w:cnfStyle w:val="000000010000"/>
              <w:rPr>
                <w:rFonts w:asciiTheme="majorHAnsi" w:eastAsiaTheme="majorEastAsia" w:hAnsiTheme="majorHAnsi" w:cstheme="majorBidi"/>
                <w:b/>
                <w:bCs/>
                <w:sz w:val="20"/>
                <w:szCs w:val="20"/>
              </w:rPr>
            </w:pPr>
            <w:r w:rsidRPr="00972D90">
              <w:rPr>
                <w:sz w:val="20"/>
                <w:szCs w:val="20"/>
              </w:rPr>
              <w:t>HQPD on Social and Emotional Learning, School Climate, Inclusive Practice, Behavioral Health, and other issues related to school conditions for student learning</w:t>
            </w:r>
            <w:r w:rsidRPr="00972D90" w:rsidDel="00DF4F96">
              <w:rPr>
                <w:sz w:val="20"/>
                <w:szCs w:val="20"/>
              </w:rPr>
              <w:t xml:space="preserve"> </w:t>
            </w:r>
          </w:p>
          <w:p w:rsidR="00F82D1B" w:rsidRPr="00972D90" w:rsidRDefault="008D7359">
            <w:pPr>
              <w:pStyle w:val="ListParagraph"/>
              <w:numPr>
                <w:ilvl w:val="0"/>
                <w:numId w:val="18"/>
              </w:numPr>
              <w:ind w:left="342" w:hanging="270"/>
              <w:cnfStyle w:val="000000010000"/>
              <w:rPr>
                <w:rFonts w:asciiTheme="majorHAnsi" w:eastAsiaTheme="majorEastAsia" w:hAnsiTheme="majorHAnsi" w:cstheme="majorBidi"/>
                <w:b/>
                <w:bCs/>
                <w:sz w:val="20"/>
                <w:szCs w:val="20"/>
              </w:rPr>
            </w:pPr>
            <w:r w:rsidRPr="00972D90">
              <w:rPr>
                <w:sz w:val="20"/>
                <w:szCs w:val="20"/>
              </w:rPr>
              <w:t>Consultants for private school equitable participation</w:t>
            </w:r>
          </w:p>
        </w:tc>
        <w:tc>
          <w:tcPr>
            <w:tcW w:w="3780" w:type="dxa"/>
            <w:tcBorders>
              <w:top w:val="single" w:sz="4" w:space="0" w:color="auto"/>
              <w:left w:val="single" w:sz="4" w:space="0" w:color="auto"/>
              <w:bottom w:val="single" w:sz="4" w:space="0" w:color="auto"/>
              <w:right w:val="single" w:sz="4" w:space="0" w:color="auto"/>
            </w:tcBorders>
          </w:tcPr>
          <w:p w:rsidR="008A468A" w:rsidRPr="008A468A" w:rsidRDefault="008A468A" w:rsidP="008A468A">
            <w:pPr>
              <w:pStyle w:val="ListParagraph"/>
              <w:numPr>
                <w:ilvl w:val="0"/>
                <w:numId w:val="18"/>
              </w:numPr>
              <w:ind w:left="342" w:hanging="270"/>
              <w:cnfStyle w:val="000000010000"/>
              <w:rPr>
                <w:sz w:val="20"/>
                <w:szCs w:val="20"/>
              </w:rPr>
            </w:pPr>
            <w:r w:rsidRPr="008A468A">
              <w:rPr>
                <w:sz w:val="20"/>
                <w:szCs w:val="20"/>
              </w:rPr>
              <w:t>Substitutes for teachers not attending TIIA funded PD or not CSR teacher</w:t>
            </w:r>
          </w:p>
          <w:p w:rsidR="008A468A" w:rsidRPr="00B13EB9" w:rsidRDefault="008A468A" w:rsidP="00B13EB9">
            <w:pPr>
              <w:ind w:left="72"/>
              <w:cnfStyle w:val="000000010000"/>
              <w:rPr>
                <w:sz w:val="20"/>
                <w:szCs w:val="20"/>
              </w:rPr>
            </w:pPr>
          </w:p>
        </w:tc>
      </w:tr>
      <w:tr w:rsidR="008A468A" w:rsidRPr="008A468A" w:rsidTr="006F2BB5">
        <w:trPr>
          <w:cnfStyle w:val="000000100000"/>
        </w:trPr>
        <w:tc>
          <w:tcPr>
            <w:cnfStyle w:val="001000000000"/>
            <w:tcW w:w="18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Pr="008A468A" w:rsidRDefault="008A468A" w:rsidP="008A468A">
            <w:pPr>
              <w:pStyle w:val="ListParagraph"/>
              <w:numPr>
                <w:ilvl w:val="0"/>
                <w:numId w:val="15"/>
              </w:numPr>
              <w:tabs>
                <w:tab w:val="left" w:pos="540"/>
                <w:tab w:val="left" w:pos="630"/>
              </w:tabs>
              <w:ind w:left="360"/>
              <w:rPr>
                <w:rFonts w:asciiTheme="minorHAnsi" w:hAnsiTheme="minorHAnsi"/>
                <w:sz w:val="20"/>
                <w:szCs w:val="20"/>
              </w:rPr>
            </w:pPr>
            <w:r w:rsidRPr="008A468A">
              <w:rPr>
                <w:rFonts w:asciiTheme="minorHAnsi" w:hAnsiTheme="minorHAnsi"/>
                <w:sz w:val="20"/>
                <w:szCs w:val="20"/>
              </w:rPr>
              <w:lastRenderedPageBreak/>
              <w:t>Supplies and Materials</w:t>
            </w:r>
          </w:p>
        </w:tc>
        <w:tc>
          <w:tcPr>
            <w:tcW w:w="48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Pr="00972D90" w:rsidRDefault="008A468A" w:rsidP="008A468A">
            <w:pPr>
              <w:pStyle w:val="ListParagraph"/>
              <w:numPr>
                <w:ilvl w:val="0"/>
                <w:numId w:val="19"/>
              </w:numPr>
              <w:ind w:left="342" w:hanging="270"/>
              <w:cnfStyle w:val="000000100000"/>
              <w:rPr>
                <w:sz w:val="20"/>
                <w:szCs w:val="20"/>
              </w:rPr>
            </w:pPr>
            <w:r w:rsidRPr="00972D90">
              <w:rPr>
                <w:sz w:val="20"/>
                <w:szCs w:val="20"/>
              </w:rPr>
              <w:t xml:space="preserve">Supplies to be used </w:t>
            </w:r>
            <w:r w:rsidR="00EF5AA2" w:rsidRPr="00972D90">
              <w:rPr>
                <w:b/>
                <w:i/>
                <w:sz w:val="20"/>
                <w:szCs w:val="20"/>
              </w:rPr>
              <w:t>strictly</w:t>
            </w:r>
            <w:r w:rsidRPr="00972D90">
              <w:rPr>
                <w:sz w:val="20"/>
                <w:szCs w:val="20"/>
              </w:rPr>
              <w:t xml:space="preserve"> for </w:t>
            </w:r>
            <w:r w:rsidR="00C91EAE" w:rsidRPr="00972D90">
              <w:rPr>
                <w:sz w:val="20"/>
                <w:szCs w:val="20"/>
              </w:rPr>
              <w:t>HQ</w:t>
            </w:r>
            <w:r w:rsidRPr="00972D90">
              <w:rPr>
                <w:sz w:val="20"/>
                <w:szCs w:val="20"/>
              </w:rPr>
              <w:t>PD such as books, software, instructional technology</w:t>
            </w:r>
          </w:p>
          <w:p w:rsidR="008A468A" w:rsidRPr="00972D90" w:rsidRDefault="00C91EAE" w:rsidP="008A468A">
            <w:pPr>
              <w:pStyle w:val="ListParagraph"/>
              <w:numPr>
                <w:ilvl w:val="0"/>
                <w:numId w:val="19"/>
              </w:numPr>
              <w:ind w:left="342" w:hanging="270"/>
              <w:cnfStyle w:val="000000100000"/>
              <w:rPr>
                <w:sz w:val="20"/>
                <w:szCs w:val="20"/>
              </w:rPr>
            </w:pPr>
            <w:r w:rsidRPr="00972D90">
              <w:rPr>
                <w:sz w:val="20"/>
                <w:szCs w:val="20"/>
              </w:rPr>
              <w:t>HQ</w:t>
            </w:r>
            <w:r w:rsidR="008A468A" w:rsidRPr="00972D90">
              <w:rPr>
                <w:sz w:val="20"/>
                <w:szCs w:val="20"/>
              </w:rPr>
              <w:t>PD Meeting supplies such as chart paper, pens, binders, easels</w:t>
            </w:r>
          </w:p>
        </w:tc>
        <w:tc>
          <w:tcPr>
            <w:tcW w:w="37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Pr="008A468A" w:rsidRDefault="008A468A" w:rsidP="008A468A">
            <w:pPr>
              <w:pStyle w:val="ListParagraph"/>
              <w:numPr>
                <w:ilvl w:val="0"/>
                <w:numId w:val="19"/>
              </w:numPr>
              <w:ind w:left="342" w:hanging="270"/>
              <w:cnfStyle w:val="000000100000"/>
              <w:rPr>
                <w:sz w:val="20"/>
                <w:szCs w:val="20"/>
              </w:rPr>
            </w:pPr>
            <w:r w:rsidRPr="008A468A">
              <w:rPr>
                <w:sz w:val="20"/>
                <w:szCs w:val="20"/>
              </w:rPr>
              <w:t>Supplies to be used in the classroom or by students</w:t>
            </w:r>
          </w:p>
          <w:p w:rsidR="008A468A" w:rsidRPr="008A468A" w:rsidRDefault="008A468A" w:rsidP="008A468A">
            <w:pPr>
              <w:pStyle w:val="ListParagraph"/>
              <w:numPr>
                <w:ilvl w:val="0"/>
                <w:numId w:val="19"/>
              </w:numPr>
              <w:ind w:left="342" w:hanging="270"/>
              <w:cnfStyle w:val="000000100000"/>
              <w:rPr>
                <w:sz w:val="20"/>
                <w:szCs w:val="20"/>
              </w:rPr>
            </w:pPr>
            <w:r w:rsidRPr="008A468A">
              <w:rPr>
                <w:sz w:val="20"/>
                <w:szCs w:val="20"/>
              </w:rPr>
              <w:t>Anything not directly connected to educators’</w:t>
            </w:r>
            <w:r w:rsidR="00C91EAE">
              <w:rPr>
                <w:sz w:val="20"/>
                <w:szCs w:val="20"/>
              </w:rPr>
              <w:t xml:space="preserve"> HQ</w:t>
            </w:r>
            <w:r w:rsidRPr="008A468A">
              <w:rPr>
                <w:sz w:val="20"/>
                <w:szCs w:val="20"/>
              </w:rPr>
              <w:t>PD</w:t>
            </w:r>
          </w:p>
          <w:p w:rsidR="008A468A" w:rsidRPr="008A468A" w:rsidRDefault="008A468A" w:rsidP="008A468A">
            <w:pPr>
              <w:pStyle w:val="ListParagraph"/>
              <w:numPr>
                <w:ilvl w:val="0"/>
                <w:numId w:val="19"/>
              </w:numPr>
              <w:ind w:left="342" w:hanging="270"/>
              <w:cnfStyle w:val="000000100000"/>
              <w:rPr>
                <w:sz w:val="20"/>
                <w:szCs w:val="20"/>
              </w:rPr>
            </w:pPr>
            <w:r w:rsidRPr="008A468A">
              <w:rPr>
                <w:sz w:val="20"/>
                <w:szCs w:val="20"/>
              </w:rPr>
              <w:t>Books, software, instructional technology for private schools</w:t>
            </w:r>
          </w:p>
          <w:p w:rsidR="008A468A" w:rsidRPr="008A468A" w:rsidRDefault="008A468A" w:rsidP="008A468A">
            <w:pPr>
              <w:pStyle w:val="ListParagraph"/>
              <w:numPr>
                <w:ilvl w:val="0"/>
                <w:numId w:val="19"/>
              </w:numPr>
              <w:ind w:left="342" w:hanging="270"/>
              <w:cnfStyle w:val="000000100000"/>
              <w:rPr>
                <w:sz w:val="20"/>
                <w:szCs w:val="20"/>
              </w:rPr>
            </w:pPr>
            <w:r w:rsidRPr="008A468A">
              <w:rPr>
                <w:sz w:val="20"/>
                <w:szCs w:val="20"/>
              </w:rPr>
              <w:t>Evaluation system-related data systems to manage linking student-teacher data</w:t>
            </w:r>
          </w:p>
        </w:tc>
      </w:tr>
      <w:tr w:rsidR="008A468A" w:rsidRPr="008A468A" w:rsidTr="006F2BB5">
        <w:trPr>
          <w:cnfStyle w:val="000000010000"/>
        </w:trPr>
        <w:tc>
          <w:tcPr>
            <w:cnfStyle w:val="001000000000"/>
            <w:tcW w:w="1818" w:type="dxa"/>
            <w:tcBorders>
              <w:top w:val="single" w:sz="4" w:space="0" w:color="auto"/>
              <w:left w:val="single" w:sz="4" w:space="0" w:color="auto"/>
              <w:bottom w:val="single" w:sz="4" w:space="0" w:color="auto"/>
              <w:right w:val="single" w:sz="4" w:space="0" w:color="auto"/>
            </w:tcBorders>
          </w:tcPr>
          <w:p w:rsidR="008A468A" w:rsidRPr="008A468A" w:rsidRDefault="008A468A" w:rsidP="008A468A">
            <w:pPr>
              <w:pStyle w:val="ListParagraph"/>
              <w:numPr>
                <w:ilvl w:val="0"/>
                <w:numId w:val="15"/>
              </w:numPr>
              <w:tabs>
                <w:tab w:val="left" w:pos="540"/>
                <w:tab w:val="left" w:pos="630"/>
              </w:tabs>
              <w:ind w:left="360"/>
              <w:rPr>
                <w:rFonts w:asciiTheme="minorHAnsi" w:hAnsiTheme="minorHAnsi"/>
                <w:sz w:val="20"/>
                <w:szCs w:val="20"/>
              </w:rPr>
            </w:pPr>
            <w:r w:rsidRPr="008A468A">
              <w:rPr>
                <w:rFonts w:asciiTheme="minorHAnsi" w:hAnsiTheme="minorHAnsi"/>
                <w:sz w:val="20"/>
                <w:szCs w:val="20"/>
              </w:rPr>
              <w:t>Travel</w:t>
            </w:r>
            <w:r w:rsidR="00FA34A8">
              <w:rPr>
                <w:rFonts w:asciiTheme="minorHAnsi" w:hAnsiTheme="minorHAnsi"/>
                <w:sz w:val="20"/>
                <w:szCs w:val="20"/>
              </w:rPr>
              <w:t xml:space="preserve"> (</w:t>
            </w:r>
            <w:r w:rsidR="00C91EAE">
              <w:rPr>
                <w:rFonts w:asciiTheme="minorHAnsi" w:hAnsiTheme="minorHAnsi"/>
                <w:sz w:val="20"/>
                <w:szCs w:val="20"/>
              </w:rPr>
              <w:t xml:space="preserve">Conference &amp; Course </w:t>
            </w:r>
            <w:r w:rsidR="00FA34A8">
              <w:rPr>
                <w:rFonts w:asciiTheme="minorHAnsi" w:hAnsiTheme="minorHAnsi"/>
                <w:sz w:val="20"/>
                <w:szCs w:val="20"/>
              </w:rPr>
              <w:t>Registration)</w:t>
            </w:r>
          </w:p>
        </w:tc>
        <w:tc>
          <w:tcPr>
            <w:tcW w:w="4860" w:type="dxa"/>
            <w:tcBorders>
              <w:top w:val="single" w:sz="4" w:space="0" w:color="auto"/>
              <w:left w:val="single" w:sz="4" w:space="0" w:color="auto"/>
              <w:bottom w:val="single" w:sz="4" w:space="0" w:color="auto"/>
              <w:right w:val="single" w:sz="4" w:space="0" w:color="auto"/>
            </w:tcBorders>
          </w:tcPr>
          <w:p w:rsidR="008A468A" w:rsidRPr="00FA34A8" w:rsidRDefault="008A468A" w:rsidP="008A468A">
            <w:pPr>
              <w:pStyle w:val="ListParagraph"/>
              <w:numPr>
                <w:ilvl w:val="0"/>
                <w:numId w:val="20"/>
              </w:numPr>
              <w:ind w:left="342" w:hanging="270"/>
              <w:cnfStyle w:val="000000010000"/>
              <w:rPr>
                <w:sz w:val="20"/>
                <w:szCs w:val="20"/>
              </w:rPr>
            </w:pPr>
            <w:r w:rsidRPr="00FA34A8">
              <w:rPr>
                <w:sz w:val="20"/>
                <w:szCs w:val="20"/>
              </w:rPr>
              <w:t>Conference registration for HQPD</w:t>
            </w:r>
          </w:p>
          <w:p w:rsidR="008A468A" w:rsidRPr="00FA34A8" w:rsidRDefault="008A468A" w:rsidP="008A468A">
            <w:pPr>
              <w:pStyle w:val="ListParagraph"/>
              <w:numPr>
                <w:ilvl w:val="0"/>
                <w:numId w:val="20"/>
              </w:numPr>
              <w:ind w:left="342" w:hanging="270"/>
              <w:cnfStyle w:val="000000010000"/>
              <w:rPr>
                <w:sz w:val="20"/>
                <w:szCs w:val="20"/>
              </w:rPr>
            </w:pPr>
            <w:r w:rsidRPr="00FA34A8">
              <w:rPr>
                <w:sz w:val="20"/>
                <w:szCs w:val="20"/>
              </w:rPr>
              <w:t xml:space="preserve">Course reimbursement for </w:t>
            </w:r>
            <w:r w:rsidR="00DF4F96" w:rsidRPr="00FA34A8">
              <w:rPr>
                <w:sz w:val="20"/>
                <w:szCs w:val="20"/>
              </w:rPr>
              <w:t>HQPD</w:t>
            </w:r>
          </w:p>
          <w:p w:rsidR="008A468A" w:rsidRPr="00FA34A8" w:rsidRDefault="008A468A" w:rsidP="008A468A">
            <w:pPr>
              <w:pStyle w:val="ListParagraph"/>
              <w:numPr>
                <w:ilvl w:val="0"/>
                <w:numId w:val="20"/>
              </w:numPr>
              <w:ind w:left="342" w:hanging="270"/>
              <w:cnfStyle w:val="000000010000"/>
              <w:rPr>
                <w:sz w:val="20"/>
                <w:szCs w:val="20"/>
              </w:rPr>
            </w:pPr>
            <w:r w:rsidRPr="00FA34A8">
              <w:rPr>
                <w:sz w:val="20"/>
                <w:szCs w:val="20"/>
              </w:rPr>
              <w:t xml:space="preserve">Private school allocation for </w:t>
            </w:r>
            <w:r w:rsidR="00DF4F96" w:rsidRPr="00FA34A8">
              <w:rPr>
                <w:sz w:val="20"/>
                <w:szCs w:val="20"/>
              </w:rPr>
              <w:t>HQPD</w:t>
            </w:r>
          </w:p>
          <w:p w:rsidR="008A468A" w:rsidRPr="00FA34A8" w:rsidRDefault="008A468A" w:rsidP="008A468A">
            <w:pPr>
              <w:pStyle w:val="ListParagraph"/>
              <w:numPr>
                <w:ilvl w:val="0"/>
                <w:numId w:val="20"/>
              </w:numPr>
              <w:ind w:left="342" w:hanging="270"/>
              <w:cnfStyle w:val="000000010000"/>
              <w:rPr>
                <w:sz w:val="20"/>
                <w:szCs w:val="20"/>
              </w:rPr>
            </w:pPr>
            <w:r w:rsidRPr="00FA34A8">
              <w:rPr>
                <w:sz w:val="20"/>
                <w:szCs w:val="20"/>
              </w:rPr>
              <w:t>Expenses for transportation, per diem, and lodging if the costs are reasonable and necessary</w:t>
            </w:r>
          </w:p>
          <w:p w:rsidR="00C91EAE" w:rsidRDefault="008A468A" w:rsidP="00C91EAE">
            <w:pPr>
              <w:pStyle w:val="ListParagraph"/>
              <w:numPr>
                <w:ilvl w:val="0"/>
                <w:numId w:val="20"/>
              </w:numPr>
              <w:ind w:left="342" w:hanging="270"/>
              <w:cnfStyle w:val="000000010000"/>
              <w:rPr>
                <w:sz w:val="20"/>
                <w:szCs w:val="20"/>
              </w:rPr>
            </w:pPr>
            <w:r w:rsidRPr="00FA34A8">
              <w:rPr>
                <w:sz w:val="20"/>
                <w:szCs w:val="20"/>
              </w:rPr>
              <w:t>Support for National Board certification</w:t>
            </w:r>
          </w:p>
          <w:p w:rsidR="00C91EAE" w:rsidRPr="00C91EAE" w:rsidRDefault="00C91EAE" w:rsidP="00C91EAE">
            <w:pPr>
              <w:pStyle w:val="ListParagraph"/>
              <w:numPr>
                <w:ilvl w:val="0"/>
                <w:numId w:val="20"/>
              </w:numPr>
              <w:ind w:left="342" w:hanging="270"/>
              <w:cnfStyle w:val="000000010000"/>
              <w:rPr>
                <w:sz w:val="20"/>
                <w:szCs w:val="20"/>
              </w:rPr>
            </w:pPr>
            <w:r>
              <w:rPr>
                <w:sz w:val="20"/>
                <w:szCs w:val="20"/>
              </w:rPr>
              <w:t>C</w:t>
            </w:r>
            <w:r w:rsidRPr="00C91EAE">
              <w:rPr>
                <w:sz w:val="20"/>
                <w:szCs w:val="20"/>
              </w:rPr>
              <w:t xml:space="preserve">areer advancement opportunities for current staff members, such as paraprofessionals, who have worked in the community for an extended period of time, to support their efforts to gain the requisite credentials to become classroom instructors </w:t>
            </w:r>
          </w:p>
        </w:tc>
        <w:tc>
          <w:tcPr>
            <w:tcW w:w="3780" w:type="dxa"/>
            <w:tcBorders>
              <w:top w:val="single" w:sz="4" w:space="0" w:color="auto"/>
              <w:left w:val="single" w:sz="4" w:space="0" w:color="auto"/>
              <w:bottom w:val="single" w:sz="4" w:space="0" w:color="auto"/>
              <w:right w:val="single" w:sz="4" w:space="0" w:color="auto"/>
            </w:tcBorders>
          </w:tcPr>
          <w:p w:rsidR="008A468A" w:rsidRPr="008A468A" w:rsidRDefault="008A468A" w:rsidP="008A468A">
            <w:pPr>
              <w:pStyle w:val="ListParagraph"/>
              <w:numPr>
                <w:ilvl w:val="0"/>
                <w:numId w:val="20"/>
              </w:numPr>
              <w:ind w:left="342" w:hanging="270"/>
              <w:cnfStyle w:val="000000010000"/>
              <w:rPr>
                <w:sz w:val="20"/>
                <w:szCs w:val="20"/>
              </w:rPr>
            </w:pPr>
            <w:r w:rsidRPr="008A468A">
              <w:rPr>
                <w:sz w:val="20"/>
                <w:szCs w:val="20"/>
              </w:rPr>
              <w:t>Meals unless included in registration fee for conference</w:t>
            </w:r>
          </w:p>
          <w:p w:rsidR="008A468A" w:rsidRPr="008A468A" w:rsidRDefault="008A468A" w:rsidP="008A468A">
            <w:pPr>
              <w:pStyle w:val="ListParagraph"/>
              <w:numPr>
                <w:ilvl w:val="0"/>
                <w:numId w:val="20"/>
              </w:numPr>
              <w:ind w:left="342" w:hanging="270"/>
              <w:cnfStyle w:val="000000010000"/>
              <w:rPr>
                <w:sz w:val="20"/>
                <w:szCs w:val="20"/>
              </w:rPr>
            </w:pPr>
            <w:r w:rsidRPr="008A468A">
              <w:rPr>
                <w:sz w:val="20"/>
                <w:szCs w:val="20"/>
              </w:rPr>
              <w:t xml:space="preserve">Meals for school/district </w:t>
            </w:r>
            <w:r w:rsidR="00DF4F96" w:rsidRPr="00FA34A8">
              <w:rPr>
                <w:sz w:val="20"/>
                <w:szCs w:val="20"/>
              </w:rPr>
              <w:t>HQPD</w:t>
            </w:r>
            <w:r w:rsidRPr="008A468A">
              <w:rPr>
                <w:sz w:val="20"/>
                <w:szCs w:val="20"/>
              </w:rPr>
              <w:t xml:space="preserve"> meetings</w:t>
            </w:r>
          </w:p>
        </w:tc>
      </w:tr>
      <w:tr w:rsidR="008A468A" w:rsidRPr="008A468A" w:rsidTr="006F2BB5">
        <w:trPr>
          <w:cnfStyle w:val="000000100000"/>
        </w:trPr>
        <w:tc>
          <w:tcPr>
            <w:cnfStyle w:val="001000000000"/>
            <w:tcW w:w="18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Pr="008A468A" w:rsidRDefault="008A468A" w:rsidP="008A468A">
            <w:pPr>
              <w:pStyle w:val="ListParagraph"/>
              <w:numPr>
                <w:ilvl w:val="0"/>
                <w:numId w:val="15"/>
              </w:numPr>
              <w:tabs>
                <w:tab w:val="left" w:pos="540"/>
                <w:tab w:val="left" w:pos="630"/>
              </w:tabs>
              <w:ind w:left="360"/>
              <w:rPr>
                <w:rFonts w:asciiTheme="minorHAnsi" w:hAnsiTheme="minorHAnsi"/>
                <w:sz w:val="20"/>
                <w:szCs w:val="20"/>
              </w:rPr>
            </w:pPr>
            <w:r w:rsidRPr="008A468A">
              <w:rPr>
                <w:rFonts w:asciiTheme="minorHAnsi" w:hAnsiTheme="minorHAnsi"/>
                <w:sz w:val="20"/>
                <w:szCs w:val="20"/>
              </w:rPr>
              <w:t>Other Costs</w:t>
            </w:r>
          </w:p>
        </w:tc>
        <w:tc>
          <w:tcPr>
            <w:tcW w:w="48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Pr="008A468A" w:rsidRDefault="008A468A" w:rsidP="008A468A">
            <w:pPr>
              <w:pStyle w:val="ListParagraph"/>
              <w:numPr>
                <w:ilvl w:val="0"/>
                <w:numId w:val="21"/>
              </w:numPr>
              <w:ind w:left="342" w:hanging="270"/>
              <w:cnfStyle w:val="000000100000"/>
              <w:rPr>
                <w:sz w:val="20"/>
                <w:szCs w:val="20"/>
              </w:rPr>
            </w:pPr>
            <w:r w:rsidRPr="008A468A">
              <w:rPr>
                <w:sz w:val="20"/>
                <w:szCs w:val="20"/>
              </w:rPr>
              <w:t>M</w:t>
            </w:r>
            <w:r w:rsidR="00B13EB9">
              <w:rPr>
                <w:sz w:val="20"/>
                <w:szCs w:val="20"/>
              </w:rPr>
              <w:t>emberships/Subscriptions for</w:t>
            </w:r>
            <w:r w:rsidR="00C91EAE">
              <w:rPr>
                <w:sz w:val="20"/>
                <w:szCs w:val="20"/>
              </w:rPr>
              <w:t xml:space="preserve"> </w:t>
            </w:r>
            <w:r w:rsidR="00DF4F96" w:rsidRPr="00FA34A8">
              <w:rPr>
                <w:sz w:val="20"/>
                <w:szCs w:val="20"/>
              </w:rPr>
              <w:t>HQPD</w:t>
            </w:r>
          </w:p>
          <w:p w:rsidR="008A468A" w:rsidRPr="008A468A" w:rsidRDefault="00B13EB9" w:rsidP="008A468A">
            <w:pPr>
              <w:pStyle w:val="ListParagraph"/>
              <w:numPr>
                <w:ilvl w:val="0"/>
                <w:numId w:val="21"/>
              </w:numPr>
              <w:ind w:left="342" w:hanging="270"/>
              <w:cnfStyle w:val="000000100000"/>
              <w:rPr>
                <w:sz w:val="20"/>
                <w:szCs w:val="20"/>
              </w:rPr>
            </w:pPr>
            <w:r>
              <w:rPr>
                <w:sz w:val="20"/>
                <w:szCs w:val="20"/>
              </w:rPr>
              <w:t xml:space="preserve">Improve </w:t>
            </w:r>
            <w:r w:rsidR="003461A7">
              <w:rPr>
                <w:sz w:val="20"/>
                <w:szCs w:val="20"/>
              </w:rPr>
              <w:t>the recruitment, placement, support, and retention of culturally competent and responsive educators, especially educators from underrepresented minority groups, to meet the needs of diverse student populations</w:t>
            </w:r>
          </w:p>
          <w:p w:rsidR="008A468A" w:rsidRPr="008A468A" w:rsidRDefault="008A468A" w:rsidP="008A468A">
            <w:pPr>
              <w:pStyle w:val="ListParagraph"/>
              <w:numPr>
                <w:ilvl w:val="0"/>
                <w:numId w:val="21"/>
              </w:numPr>
              <w:ind w:left="342" w:hanging="270"/>
              <w:cnfStyle w:val="000000100000"/>
              <w:rPr>
                <w:sz w:val="20"/>
                <w:szCs w:val="20"/>
              </w:rPr>
            </w:pPr>
            <w:r w:rsidRPr="008A468A">
              <w:rPr>
                <w:sz w:val="20"/>
                <w:szCs w:val="20"/>
              </w:rPr>
              <w:t xml:space="preserve">Printing/Copying for </w:t>
            </w:r>
            <w:r w:rsidR="00DF4F96" w:rsidRPr="00FA34A8">
              <w:rPr>
                <w:sz w:val="20"/>
                <w:szCs w:val="20"/>
              </w:rPr>
              <w:t>HQPD</w:t>
            </w:r>
          </w:p>
          <w:p w:rsidR="008A468A" w:rsidRPr="008A468A" w:rsidRDefault="008A468A" w:rsidP="008A468A">
            <w:pPr>
              <w:pStyle w:val="ListParagraph"/>
              <w:numPr>
                <w:ilvl w:val="0"/>
                <w:numId w:val="21"/>
              </w:numPr>
              <w:ind w:left="342" w:hanging="270"/>
              <w:cnfStyle w:val="000000100000"/>
              <w:rPr>
                <w:sz w:val="20"/>
                <w:szCs w:val="20"/>
              </w:rPr>
            </w:pPr>
            <w:r w:rsidRPr="008A468A">
              <w:rPr>
                <w:sz w:val="20"/>
                <w:szCs w:val="20"/>
              </w:rPr>
              <w:t xml:space="preserve">Space rental for </w:t>
            </w:r>
            <w:r w:rsidR="00DF4F96" w:rsidRPr="00FA34A8">
              <w:rPr>
                <w:sz w:val="20"/>
                <w:szCs w:val="20"/>
              </w:rPr>
              <w:t>HQPD</w:t>
            </w:r>
          </w:p>
        </w:tc>
        <w:tc>
          <w:tcPr>
            <w:tcW w:w="37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Pr="008A468A" w:rsidRDefault="008A468A" w:rsidP="00AD5EB7">
            <w:pPr>
              <w:ind w:left="342" w:hanging="270"/>
              <w:cnfStyle w:val="000000100000"/>
              <w:rPr>
                <w:sz w:val="20"/>
                <w:szCs w:val="20"/>
              </w:rPr>
            </w:pPr>
          </w:p>
        </w:tc>
      </w:tr>
      <w:tr w:rsidR="008A468A" w:rsidRPr="008A468A" w:rsidTr="006F2BB5">
        <w:trPr>
          <w:cnfStyle w:val="000000010000"/>
        </w:trPr>
        <w:tc>
          <w:tcPr>
            <w:cnfStyle w:val="001000000000"/>
            <w:tcW w:w="1818" w:type="dxa"/>
            <w:tcBorders>
              <w:top w:val="single" w:sz="4" w:space="0" w:color="auto"/>
              <w:left w:val="single" w:sz="4" w:space="0" w:color="auto"/>
              <w:bottom w:val="single" w:sz="4" w:space="0" w:color="auto"/>
              <w:right w:val="single" w:sz="4" w:space="0" w:color="auto"/>
            </w:tcBorders>
          </w:tcPr>
          <w:p w:rsidR="008A468A" w:rsidRPr="008A468A" w:rsidRDefault="008A468A" w:rsidP="008A468A">
            <w:pPr>
              <w:pStyle w:val="ListParagraph"/>
              <w:numPr>
                <w:ilvl w:val="0"/>
                <w:numId w:val="15"/>
              </w:numPr>
              <w:tabs>
                <w:tab w:val="left" w:pos="540"/>
                <w:tab w:val="left" w:pos="630"/>
              </w:tabs>
              <w:ind w:left="360"/>
              <w:rPr>
                <w:rFonts w:asciiTheme="minorHAnsi" w:hAnsiTheme="minorHAnsi"/>
                <w:sz w:val="20"/>
                <w:szCs w:val="20"/>
              </w:rPr>
            </w:pPr>
            <w:r w:rsidRPr="008A468A">
              <w:rPr>
                <w:rFonts w:asciiTheme="minorHAnsi" w:hAnsiTheme="minorHAnsi"/>
                <w:sz w:val="20"/>
                <w:szCs w:val="20"/>
              </w:rPr>
              <w:t>Indirect</w:t>
            </w:r>
            <w:r w:rsidRPr="008A468A">
              <w:rPr>
                <w:rFonts w:asciiTheme="minorHAnsi" w:hAnsiTheme="minorHAnsi"/>
                <w:sz w:val="20"/>
                <w:szCs w:val="20"/>
              </w:rPr>
              <w:br/>
              <w:t xml:space="preserve">  Costs</w:t>
            </w:r>
          </w:p>
        </w:tc>
        <w:tc>
          <w:tcPr>
            <w:tcW w:w="4860" w:type="dxa"/>
            <w:tcBorders>
              <w:top w:val="single" w:sz="4" w:space="0" w:color="auto"/>
              <w:left w:val="single" w:sz="4" w:space="0" w:color="auto"/>
              <w:bottom w:val="single" w:sz="4" w:space="0" w:color="auto"/>
              <w:right w:val="single" w:sz="4" w:space="0" w:color="auto"/>
            </w:tcBorders>
          </w:tcPr>
          <w:p w:rsidR="008A468A" w:rsidRPr="008A468A" w:rsidRDefault="008A468A" w:rsidP="008A468A">
            <w:pPr>
              <w:pStyle w:val="ListParagraph"/>
              <w:numPr>
                <w:ilvl w:val="0"/>
                <w:numId w:val="23"/>
              </w:numPr>
              <w:ind w:left="342" w:hanging="270"/>
              <w:cnfStyle w:val="000000010000"/>
              <w:rPr>
                <w:sz w:val="20"/>
                <w:szCs w:val="20"/>
              </w:rPr>
            </w:pPr>
            <w:r w:rsidRPr="008A468A">
              <w:rPr>
                <w:sz w:val="20"/>
                <w:szCs w:val="20"/>
              </w:rPr>
              <w:t xml:space="preserve">District indirect cost rates can be found at </w:t>
            </w:r>
            <w:hyperlink r:id="rId12" w:history="1">
              <w:r w:rsidRPr="008A468A">
                <w:rPr>
                  <w:rStyle w:val="Hyperlink"/>
                  <w:sz w:val="20"/>
                  <w:szCs w:val="20"/>
                </w:rPr>
                <w:t>www.doe.mass.edu/Grants/essential.html</w:t>
              </w:r>
            </w:hyperlink>
            <w:r w:rsidRPr="008A468A">
              <w:rPr>
                <w:sz w:val="20"/>
                <w:szCs w:val="20"/>
              </w:rPr>
              <w:t xml:space="preserve"> </w:t>
            </w:r>
          </w:p>
        </w:tc>
        <w:tc>
          <w:tcPr>
            <w:tcW w:w="3780" w:type="dxa"/>
            <w:tcBorders>
              <w:top w:val="single" w:sz="4" w:space="0" w:color="auto"/>
              <w:left w:val="single" w:sz="4" w:space="0" w:color="auto"/>
              <w:bottom w:val="single" w:sz="4" w:space="0" w:color="auto"/>
              <w:right w:val="single" w:sz="4" w:space="0" w:color="auto"/>
            </w:tcBorders>
          </w:tcPr>
          <w:p w:rsidR="008A468A" w:rsidRPr="008A468A" w:rsidRDefault="008A468A" w:rsidP="008A468A">
            <w:pPr>
              <w:pStyle w:val="ListParagraph"/>
              <w:numPr>
                <w:ilvl w:val="0"/>
                <w:numId w:val="23"/>
              </w:numPr>
              <w:ind w:left="342" w:hanging="270"/>
              <w:cnfStyle w:val="000000010000"/>
              <w:rPr>
                <w:sz w:val="20"/>
                <w:szCs w:val="20"/>
              </w:rPr>
            </w:pPr>
            <w:r w:rsidRPr="008A468A">
              <w:rPr>
                <w:sz w:val="20"/>
                <w:szCs w:val="20"/>
              </w:rPr>
              <w:t>Indirect rate greater than the percentage assigned to district</w:t>
            </w:r>
          </w:p>
        </w:tc>
      </w:tr>
      <w:tr w:rsidR="008A468A" w:rsidRPr="008A468A" w:rsidTr="006F2BB5">
        <w:trPr>
          <w:cnfStyle w:val="000000100000"/>
        </w:trPr>
        <w:tc>
          <w:tcPr>
            <w:cnfStyle w:val="001000000000"/>
            <w:tcW w:w="18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Pr="008A468A" w:rsidRDefault="008A468A" w:rsidP="008A468A">
            <w:pPr>
              <w:pStyle w:val="ListParagraph"/>
              <w:numPr>
                <w:ilvl w:val="0"/>
                <w:numId w:val="15"/>
              </w:numPr>
              <w:tabs>
                <w:tab w:val="left" w:pos="540"/>
                <w:tab w:val="left" w:pos="630"/>
              </w:tabs>
              <w:ind w:left="360"/>
              <w:rPr>
                <w:rFonts w:asciiTheme="minorHAnsi" w:hAnsiTheme="minorHAnsi"/>
                <w:sz w:val="20"/>
                <w:szCs w:val="20"/>
              </w:rPr>
            </w:pPr>
            <w:r w:rsidRPr="008A468A">
              <w:rPr>
                <w:rFonts w:asciiTheme="minorHAnsi" w:hAnsiTheme="minorHAnsi"/>
                <w:sz w:val="20"/>
                <w:szCs w:val="20"/>
              </w:rPr>
              <w:t>Equipment</w:t>
            </w:r>
          </w:p>
        </w:tc>
        <w:tc>
          <w:tcPr>
            <w:tcW w:w="48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Pr="008A468A" w:rsidRDefault="008A468A" w:rsidP="00AD5EB7">
            <w:pPr>
              <w:ind w:left="342" w:hanging="270"/>
              <w:cnfStyle w:val="000000100000"/>
              <w:rPr>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468A" w:rsidRPr="008A468A" w:rsidRDefault="008A468A" w:rsidP="008A468A">
            <w:pPr>
              <w:pStyle w:val="ListParagraph"/>
              <w:numPr>
                <w:ilvl w:val="0"/>
                <w:numId w:val="22"/>
              </w:numPr>
              <w:ind w:left="342" w:hanging="270"/>
              <w:cnfStyle w:val="000000100000"/>
              <w:rPr>
                <w:sz w:val="20"/>
                <w:szCs w:val="20"/>
              </w:rPr>
            </w:pPr>
            <w:r w:rsidRPr="008A468A">
              <w:rPr>
                <w:sz w:val="20"/>
                <w:szCs w:val="20"/>
              </w:rPr>
              <w:t>Equipment</w:t>
            </w:r>
          </w:p>
        </w:tc>
      </w:tr>
    </w:tbl>
    <w:p w:rsidR="000A6682" w:rsidRPr="00B12A87" w:rsidRDefault="000A6682" w:rsidP="000A6682">
      <w:pPr>
        <w:jc w:val="center"/>
        <w:rPr>
          <w:i/>
          <w:sz w:val="18"/>
          <w:szCs w:val="18"/>
        </w:rPr>
      </w:pPr>
      <w:r>
        <w:rPr>
          <w:b/>
          <w:i/>
          <w:sz w:val="4"/>
          <w:szCs w:val="4"/>
        </w:rPr>
        <w:br/>
      </w:r>
      <w:r w:rsidRPr="00B12A87">
        <w:rPr>
          <w:b/>
          <w:i/>
          <w:sz w:val="18"/>
          <w:szCs w:val="18"/>
        </w:rPr>
        <w:t xml:space="preserve">*Must be linked to measureable increases in student academic achievement produced by the efforts of that teacher or </w:t>
      </w:r>
      <w:r w:rsidR="003461A7" w:rsidRPr="00B12A87">
        <w:rPr>
          <w:b/>
          <w:i/>
          <w:sz w:val="18"/>
          <w:szCs w:val="18"/>
        </w:rPr>
        <w:t>school leader</w:t>
      </w:r>
    </w:p>
    <w:p w:rsidR="00C91EAE" w:rsidRDefault="00186E2D" w:rsidP="0007624F">
      <w:pPr>
        <w:spacing w:after="0" w:line="240" w:lineRule="auto"/>
        <w:rPr>
          <w:sz w:val="12"/>
          <w:szCs w:val="12"/>
        </w:rPr>
      </w:pPr>
      <w:r w:rsidRPr="00186E2D">
        <w:rPr>
          <w:b/>
          <w:i/>
          <w:noProof/>
          <w:sz w:val="4"/>
          <w:szCs w:val="4"/>
        </w:rPr>
        <w:pict>
          <v:shape id="_x0000_s1043" type="#_x0000_t202" style="position:absolute;margin-left:-3pt;margin-top:6.25pt;width:519.75pt;height:41.25pt;z-index:251665408" strokecolor="#365f91 [2404]" strokeweight="2.25pt">
            <v:shadow opacity=".5" offset="6pt,-6pt"/>
            <v:textbox>
              <w:txbxContent>
                <w:p w:rsidR="00AC17AA" w:rsidRPr="00AC17AA" w:rsidRDefault="00AC17AA">
                  <w:pPr>
                    <w:rPr>
                      <w:b/>
                      <w:color w:val="365F91" w:themeColor="accent1" w:themeShade="BF"/>
                    </w:rPr>
                  </w:pPr>
                  <w:r w:rsidRPr="00AC17AA">
                    <w:rPr>
                      <w:b/>
                      <w:color w:val="365F91" w:themeColor="accent1" w:themeShade="BF"/>
                    </w:rPr>
                    <w:t>High Quality Professional Development activities are sustained (not stand-alone, 1-day, or short term workshops), intensive, collaborative, job-embedded, data-driven, and classroom-focused.</w:t>
                  </w:r>
                </w:p>
              </w:txbxContent>
            </v:textbox>
          </v:shape>
        </w:pict>
      </w:r>
    </w:p>
    <w:p w:rsidR="001513A6" w:rsidRPr="00144928" w:rsidRDefault="001513A6" w:rsidP="0007624F">
      <w:pPr>
        <w:spacing w:after="0" w:line="240" w:lineRule="auto"/>
        <w:rPr>
          <w:sz w:val="12"/>
          <w:szCs w:val="12"/>
        </w:rPr>
      </w:pPr>
    </w:p>
    <w:p w:rsidR="00FD2069" w:rsidRDefault="00FD2069" w:rsidP="00411DA1">
      <w:pPr>
        <w:tabs>
          <w:tab w:val="left" w:pos="3048"/>
        </w:tabs>
        <w:spacing w:after="0" w:line="240" w:lineRule="auto"/>
        <w:rPr>
          <w:imprint/>
          <w:color w:val="0070C0"/>
          <w:sz w:val="36"/>
          <w:szCs w:val="36"/>
        </w:rPr>
      </w:pPr>
    </w:p>
    <w:p w:rsidR="00AC17AA" w:rsidRDefault="00AC17AA" w:rsidP="00411DA1">
      <w:pPr>
        <w:tabs>
          <w:tab w:val="left" w:pos="3048"/>
        </w:tabs>
        <w:spacing w:after="0" w:line="240" w:lineRule="auto"/>
        <w:rPr>
          <w:sz w:val="36"/>
          <w:szCs w:val="36"/>
        </w:rPr>
      </w:pPr>
    </w:p>
    <w:p w:rsidR="00FD2069" w:rsidRPr="00411DA1" w:rsidRDefault="00186E2D" w:rsidP="00411DA1">
      <w:pPr>
        <w:tabs>
          <w:tab w:val="left" w:pos="3048"/>
        </w:tabs>
        <w:spacing w:after="0" w:line="240" w:lineRule="auto"/>
        <w:rPr>
          <w:sz w:val="36"/>
          <w:szCs w:val="36"/>
        </w:rPr>
      </w:pPr>
      <w:r>
        <w:rPr>
          <w:noProof/>
          <w:sz w:val="36"/>
          <w:szCs w:val="36"/>
        </w:rPr>
        <w:pict>
          <v:shape id="_x0000_s1040" type="#_x0000_t202" style="position:absolute;margin-left:-3pt;margin-top:10.65pt;width:259.5pt;height:179.25pt;z-index:251663360" strokecolor="#365f91 [2404]" strokeweight="2.25pt">
            <v:shadow on="t" opacity=".5" offset="6pt,-6pt"/>
            <v:textbox>
              <w:txbxContent>
                <w:p w:rsidR="00DF4F96" w:rsidRPr="000A1148" w:rsidRDefault="00DF4F96" w:rsidP="00FD2069">
                  <w:pPr>
                    <w:jc w:val="center"/>
                    <w:rPr>
                      <w:b/>
                      <w:shadow/>
                      <w:color w:val="365F91" w:themeColor="accent1" w:themeShade="BF"/>
                      <w:sz w:val="28"/>
                      <w:szCs w:val="28"/>
                    </w:rPr>
                  </w:pPr>
                  <w:r w:rsidRPr="000A1148">
                    <w:rPr>
                      <w:b/>
                      <w:shadow/>
                      <w:color w:val="365F91" w:themeColor="accent1" w:themeShade="BF"/>
                      <w:sz w:val="28"/>
                      <w:szCs w:val="28"/>
                    </w:rPr>
                    <w:t>Private Schools</w:t>
                  </w:r>
                </w:p>
                <w:p w:rsidR="00DF4F96" w:rsidRPr="000A1148" w:rsidRDefault="00DF4F96" w:rsidP="00FD2069">
                  <w:pPr>
                    <w:pStyle w:val="ListParagraph"/>
                    <w:numPr>
                      <w:ilvl w:val="0"/>
                      <w:numId w:val="27"/>
                    </w:numPr>
                    <w:rPr>
                      <w:b/>
                      <w:color w:val="365F91" w:themeColor="accent1" w:themeShade="BF"/>
                    </w:rPr>
                  </w:pPr>
                  <w:r w:rsidRPr="000A1148">
                    <w:rPr>
                      <w:b/>
                      <w:color w:val="365F91" w:themeColor="accent1" w:themeShade="BF"/>
                    </w:rPr>
                    <w:t>Must have meaningful consultation</w:t>
                  </w:r>
                </w:p>
                <w:p w:rsidR="00B570C5" w:rsidRDefault="00DF4F96" w:rsidP="00FD2069">
                  <w:pPr>
                    <w:pStyle w:val="ListParagraph"/>
                    <w:numPr>
                      <w:ilvl w:val="0"/>
                      <w:numId w:val="27"/>
                    </w:numPr>
                    <w:rPr>
                      <w:b/>
                      <w:color w:val="365F91" w:themeColor="accent1" w:themeShade="BF"/>
                    </w:rPr>
                  </w:pPr>
                  <w:r w:rsidRPr="000A1148">
                    <w:rPr>
                      <w:b/>
                      <w:color w:val="365F91" w:themeColor="accent1" w:themeShade="BF"/>
                    </w:rPr>
                    <w:t xml:space="preserve">TIIA funds can only be used for </w:t>
                  </w:r>
                  <w:r w:rsidR="00B570C5" w:rsidRPr="00B570C5">
                    <w:rPr>
                      <w:b/>
                      <w:color w:val="365F91" w:themeColor="accent1" w:themeShade="BF"/>
                    </w:rPr>
                    <w:t>HQPD</w:t>
                  </w:r>
                </w:p>
                <w:p w:rsidR="00DF4F96" w:rsidRPr="000A1148" w:rsidRDefault="00B570C5" w:rsidP="00FD2069">
                  <w:pPr>
                    <w:pStyle w:val="ListParagraph"/>
                    <w:numPr>
                      <w:ilvl w:val="0"/>
                      <w:numId w:val="27"/>
                    </w:numPr>
                    <w:rPr>
                      <w:b/>
                      <w:color w:val="365F91" w:themeColor="accent1" w:themeShade="BF"/>
                    </w:rPr>
                  </w:pPr>
                  <w:r w:rsidRPr="00B570C5">
                    <w:rPr>
                      <w:b/>
                      <w:color w:val="365F91" w:themeColor="accent1" w:themeShade="BF"/>
                    </w:rPr>
                    <w:t>Meet the specific needs of students enrolled in a private school, and not the school itself.</w:t>
                  </w:r>
                </w:p>
                <w:p w:rsidR="004727F3" w:rsidRPr="004727F3" w:rsidRDefault="00DF4F96">
                  <w:pPr>
                    <w:pStyle w:val="ListParagraph"/>
                    <w:numPr>
                      <w:ilvl w:val="0"/>
                      <w:numId w:val="27"/>
                    </w:numPr>
                    <w:rPr>
                      <w:b/>
                      <w:color w:val="365F91" w:themeColor="accent1" w:themeShade="BF"/>
                    </w:rPr>
                  </w:pPr>
                  <w:r w:rsidRPr="000A1148">
                    <w:rPr>
                      <w:b/>
                      <w:color w:val="365F91" w:themeColor="accent1" w:themeShade="BF"/>
                    </w:rPr>
                    <w:t>District maintains control of funds</w:t>
                  </w:r>
                  <w:r>
                    <w:rPr>
                      <w:b/>
                      <w:color w:val="365F91" w:themeColor="accent1" w:themeShade="BF"/>
                    </w:rPr>
                    <w:t>:</w:t>
                  </w:r>
                  <w:r w:rsidRPr="000A1148">
                    <w:rPr>
                      <w:b/>
                      <w:color w:val="365F91" w:themeColor="accent1" w:themeShade="BF"/>
                    </w:rPr>
                    <w:t xml:space="preserve"> district </w:t>
                  </w:r>
                  <w:r>
                    <w:rPr>
                      <w:b/>
                      <w:color w:val="365F91" w:themeColor="accent1" w:themeShade="BF"/>
                    </w:rPr>
                    <w:t>pays consultants/registrations or reimburses</w:t>
                  </w:r>
                  <w:r w:rsidRPr="000A1148">
                    <w:rPr>
                      <w:b/>
                      <w:color w:val="365F91" w:themeColor="accent1" w:themeShade="BF"/>
                    </w:rPr>
                    <w:t xml:space="preserve"> individual educators for conference registration</w:t>
                  </w:r>
                  <w:r>
                    <w:rPr>
                      <w:b/>
                      <w:color w:val="365F91" w:themeColor="accent1" w:themeShade="BF"/>
                    </w:rPr>
                    <w:t xml:space="preserve">. </w:t>
                  </w:r>
                  <w:r w:rsidRPr="00CA3513">
                    <w:rPr>
                      <w:b/>
                      <w:color w:val="FF0000"/>
                    </w:rPr>
                    <w:t>Do not pay private schools directly.</w:t>
                  </w:r>
                </w:p>
              </w:txbxContent>
            </v:textbox>
          </v:shape>
        </w:pict>
      </w:r>
      <w:r>
        <w:rPr>
          <w:noProof/>
          <w:sz w:val="36"/>
          <w:szCs w:val="36"/>
        </w:rPr>
        <w:pict>
          <v:shape id="_x0000_s1041" type="#_x0000_t202" style="position:absolute;margin-left:294.75pt;margin-top:10.65pt;width:222pt;height:165.85pt;z-index:251664384" strokecolor="#365f91 [2404]" strokeweight="2.25pt">
            <v:shadow on="t" opacity=".5" offset="6pt,-6pt"/>
            <v:textbox>
              <w:txbxContent>
                <w:p w:rsidR="00DF4F96" w:rsidRDefault="00DF4F96" w:rsidP="000A1148">
                  <w:pPr>
                    <w:jc w:val="center"/>
                    <w:rPr>
                      <w:b/>
                      <w:shadow/>
                      <w:color w:val="365F91" w:themeColor="accent1" w:themeShade="BF"/>
                      <w:sz w:val="28"/>
                      <w:szCs w:val="28"/>
                    </w:rPr>
                  </w:pPr>
                  <w:r w:rsidRPr="000A1148">
                    <w:rPr>
                      <w:b/>
                      <w:shadow/>
                      <w:color w:val="365F91" w:themeColor="accent1" w:themeShade="BF"/>
                      <w:sz w:val="28"/>
                      <w:szCs w:val="28"/>
                    </w:rPr>
                    <w:t>Amendments</w:t>
                  </w:r>
                </w:p>
                <w:p w:rsidR="00DF4F96" w:rsidRPr="000A1148" w:rsidRDefault="00DF4F96" w:rsidP="000A1148">
                  <w:pPr>
                    <w:pStyle w:val="ListParagraph"/>
                    <w:numPr>
                      <w:ilvl w:val="0"/>
                      <w:numId w:val="29"/>
                    </w:numPr>
                    <w:rPr>
                      <w:b/>
                      <w:color w:val="365F91" w:themeColor="accent1" w:themeShade="BF"/>
                    </w:rPr>
                  </w:pPr>
                  <w:r w:rsidRPr="000A1148">
                    <w:rPr>
                      <w:b/>
                      <w:color w:val="365F91" w:themeColor="accent1" w:themeShade="BF"/>
                    </w:rPr>
                    <w:t>Required for line item changes 10% or more</w:t>
                  </w:r>
                </w:p>
                <w:p w:rsidR="00DF4F96" w:rsidRPr="000A1148" w:rsidRDefault="00DF4F96" w:rsidP="000A1148">
                  <w:pPr>
                    <w:pStyle w:val="ListParagraph"/>
                    <w:numPr>
                      <w:ilvl w:val="0"/>
                      <w:numId w:val="29"/>
                    </w:numPr>
                    <w:rPr>
                      <w:b/>
                      <w:color w:val="365F91" w:themeColor="accent1" w:themeShade="BF"/>
                    </w:rPr>
                  </w:pPr>
                  <w:r w:rsidRPr="000A1148">
                    <w:rPr>
                      <w:b/>
                      <w:color w:val="365F91" w:themeColor="accent1" w:themeShade="BF"/>
                    </w:rPr>
                    <w:t>Must be submitted at least 30 days prior to change</w:t>
                  </w:r>
                </w:p>
                <w:p w:rsidR="00DF4F96" w:rsidRPr="000A1148" w:rsidRDefault="00DF4F96" w:rsidP="000A1148">
                  <w:pPr>
                    <w:pStyle w:val="ListParagraph"/>
                    <w:numPr>
                      <w:ilvl w:val="0"/>
                      <w:numId w:val="29"/>
                    </w:numPr>
                    <w:rPr>
                      <w:shadow/>
                      <w:color w:val="365F91" w:themeColor="accent1" w:themeShade="BF"/>
                    </w:rPr>
                  </w:pPr>
                  <w:r w:rsidRPr="000A1148">
                    <w:rPr>
                      <w:b/>
                      <w:color w:val="365F91" w:themeColor="accent1" w:themeShade="BF"/>
                    </w:rPr>
                    <w:t>To request an amendment, email</w:t>
                  </w:r>
                  <w:r w:rsidRPr="000A1148">
                    <w:rPr>
                      <w:color w:val="365F91" w:themeColor="accent1" w:themeShade="BF"/>
                    </w:rPr>
                    <w:t xml:space="preserve"> </w:t>
                  </w:r>
                  <w:hyperlink r:id="rId13" w:history="1">
                    <w:r w:rsidRPr="000A1148">
                      <w:rPr>
                        <w:rStyle w:val="Hyperlink"/>
                        <w:rFonts w:cstheme="minorBidi"/>
                      </w:rPr>
                      <w:t>TitleIIAGrants@doe.mass.edu</w:t>
                    </w:r>
                  </w:hyperlink>
                  <w:r>
                    <w:rPr>
                      <w:shadow/>
                      <w:color w:val="365F91" w:themeColor="accent1" w:themeShade="BF"/>
                    </w:rPr>
                    <w:t xml:space="preserve"> </w:t>
                  </w:r>
                </w:p>
              </w:txbxContent>
            </v:textbox>
          </v:shape>
        </w:pict>
      </w:r>
    </w:p>
    <w:p w:rsidR="00411DA1" w:rsidRDefault="00411DA1" w:rsidP="0007624F">
      <w:pPr>
        <w:spacing w:after="0" w:line="240" w:lineRule="auto"/>
        <w:rPr>
          <w:b/>
          <w:color w:val="E36C0A" w:themeColor="accent6" w:themeShade="BF"/>
          <w:sz w:val="12"/>
          <w:szCs w:val="12"/>
        </w:rPr>
      </w:pPr>
    </w:p>
    <w:p w:rsidR="00411DA1" w:rsidRPr="00144928" w:rsidRDefault="00411DA1" w:rsidP="0007624F">
      <w:pPr>
        <w:spacing w:after="0" w:line="240" w:lineRule="auto"/>
        <w:rPr>
          <w:b/>
          <w:color w:val="E36C0A" w:themeColor="accent6" w:themeShade="BF"/>
          <w:sz w:val="12"/>
          <w:szCs w:val="12"/>
        </w:rPr>
      </w:pPr>
    </w:p>
    <w:p w:rsidR="008A468A" w:rsidRPr="000D4A11" w:rsidRDefault="008A468A" w:rsidP="000D4A11">
      <w:pPr>
        <w:spacing w:after="0" w:line="240" w:lineRule="auto"/>
        <w:rPr>
          <w:sz w:val="8"/>
          <w:szCs w:val="8"/>
        </w:rPr>
      </w:pPr>
    </w:p>
    <w:sectPr w:rsidR="008A468A" w:rsidRPr="000D4A11" w:rsidSect="009F512A">
      <w:headerReference w:type="default" r:id="rId14"/>
      <w:footerReference w:type="default" r:id="rId15"/>
      <w:pgSz w:w="12240" w:h="15840"/>
      <w:pgMar w:top="720" w:right="720" w:bottom="720" w:left="720" w:header="14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A4C" w:rsidRDefault="000A6A4C" w:rsidP="002123C2">
      <w:pPr>
        <w:spacing w:after="0" w:line="240" w:lineRule="auto"/>
      </w:pPr>
      <w:r>
        <w:separator/>
      </w:r>
    </w:p>
  </w:endnote>
  <w:endnote w:type="continuationSeparator" w:id="0">
    <w:p w:rsidR="000A6A4C" w:rsidRDefault="000A6A4C" w:rsidP="00212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DF4F96" w:rsidRDefault="00DF4F96" w:rsidP="00FF7AF9">
        <w:pPr>
          <w:spacing w:before="60" w:after="0"/>
          <w:jc w:val="center"/>
        </w:pPr>
      </w:p>
      <w:p w:rsidR="00DF4F96" w:rsidRDefault="00186E2D" w:rsidP="00FF7AF9">
        <w:pPr>
          <w:spacing w:before="60" w:after="0"/>
          <w:jc w:val="center"/>
        </w:pPr>
      </w:p>
    </w:sdtContent>
  </w:sdt>
  <w:p w:rsidR="00DF4F96" w:rsidRDefault="00DF4F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A4C" w:rsidRDefault="000A6A4C" w:rsidP="002123C2">
      <w:pPr>
        <w:spacing w:after="0" w:line="240" w:lineRule="auto"/>
      </w:pPr>
      <w:r>
        <w:separator/>
      </w:r>
    </w:p>
  </w:footnote>
  <w:footnote w:type="continuationSeparator" w:id="0">
    <w:p w:rsidR="000A6A4C" w:rsidRDefault="000A6A4C" w:rsidP="00212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96" w:rsidRPr="00F71E79" w:rsidRDefault="00DF4F96" w:rsidP="002E041D">
    <w:pPr>
      <w:pStyle w:val="Heading1"/>
      <w:tabs>
        <w:tab w:val="left" w:pos="337"/>
        <w:tab w:val="center" w:pos="5112"/>
      </w:tabs>
      <w:spacing w:before="240" w:after="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37A"/>
    <w:multiLevelType w:val="hybridMultilevel"/>
    <w:tmpl w:val="E69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6A0940"/>
    <w:multiLevelType w:val="hybridMultilevel"/>
    <w:tmpl w:val="DB42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963EFF"/>
    <w:multiLevelType w:val="hybridMultilevel"/>
    <w:tmpl w:val="F218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1E5BAF"/>
    <w:multiLevelType w:val="hybridMultilevel"/>
    <w:tmpl w:val="D9A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882BA6"/>
    <w:multiLevelType w:val="hybridMultilevel"/>
    <w:tmpl w:val="B27A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F14874"/>
    <w:multiLevelType w:val="hybridMultilevel"/>
    <w:tmpl w:val="017A2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6"/>
  </w:num>
  <w:num w:numId="4">
    <w:abstractNumId w:val="18"/>
  </w:num>
  <w:num w:numId="5">
    <w:abstractNumId w:val="9"/>
  </w:num>
  <w:num w:numId="6">
    <w:abstractNumId w:val="14"/>
  </w:num>
  <w:num w:numId="7">
    <w:abstractNumId w:val="16"/>
  </w:num>
  <w:num w:numId="8">
    <w:abstractNumId w:val="15"/>
  </w:num>
  <w:num w:numId="9">
    <w:abstractNumId w:val="8"/>
  </w:num>
  <w:num w:numId="10">
    <w:abstractNumId w:val="20"/>
  </w:num>
  <w:num w:numId="11">
    <w:abstractNumId w:val="21"/>
  </w:num>
  <w:num w:numId="12">
    <w:abstractNumId w:val="25"/>
  </w:num>
  <w:num w:numId="13">
    <w:abstractNumId w:val="2"/>
  </w:num>
  <w:num w:numId="14">
    <w:abstractNumId w:val="5"/>
  </w:num>
  <w:num w:numId="15">
    <w:abstractNumId w:val="28"/>
  </w:num>
  <w:num w:numId="16">
    <w:abstractNumId w:val="26"/>
  </w:num>
  <w:num w:numId="17">
    <w:abstractNumId w:val="10"/>
  </w:num>
  <w:num w:numId="18">
    <w:abstractNumId w:val="24"/>
  </w:num>
  <w:num w:numId="19">
    <w:abstractNumId w:val="17"/>
  </w:num>
  <w:num w:numId="20">
    <w:abstractNumId w:val="13"/>
  </w:num>
  <w:num w:numId="21">
    <w:abstractNumId w:val="1"/>
  </w:num>
  <w:num w:numId="22">
    <w:abstractNumId w:val="23"/>
  </w:num>
  <w:num w:numId="23">
    <w:abstractNumId w:val="27"/>
  </w:num>
  <w:num w:numId="24">
    <w:abstractNumId w:val="12"/>
  </w:num>
  <w:num w:numId="25">
    <w:abstractNumId w:val="4"/>
  </w:num>
  <w:num w:numId="26">
    <w:abstractNumId w:val="22"/>
  </w:num>
  <w:num w:numId="27">
    <w:abstractNumId w:val="0"/>
  </w:num>
  <w:num w:numId="28">
    <w:abstractNumId w:val="3"/>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682">
      <o:colormenu v:ext="edit" fillcolor="none [1311]" strokecolor="none [2404]" shadowcolor="none"/>
    </o:shapedefaults>
  </w:hdrShapeDefaults>
  <w:footnotePr>
    <w:footnote w:id="-1"/>
    <w:footnote w:id="0"/>
  </w:footnotePr>
  <w:endnotePr>
    <w:endnote w:id="-1"/>
    <w:endnote w:id="0"/>
  </w:endnotePr>
  <w:compat/>
  <w:rsids>
    <w:rsidRoot w:val="002123C2"/>
    <w:rsid w:val="00006B02"/>
    <w:rsid w:val="00007BDE"/>
    <w:rsid w:val="000125F3"/>
    <w:rsid w:val="0002190C"/>
    <w:rsid w:val="00032390"/>
    <w:rsid w:val="00043D42"/>
    <w:rsid w:val="00056FFB"/>
    <w:rsid w:val="00076146"/>
    <w:rsid w:val="0007624F"/>
    <w:rsid w:val="0007729A"/>
    <w:rsid w:val="000808F3"/>
    <w:rsid w:val="0008207E"/>
    <w:rsid w:val="00084041"/>
    <w:rsid w:val="00086F4E"/>
    <w:rsid w:val="000A1148"/>
    <w:rsid w:val="000A5D6C"/>
    <w:rsid w:val="000A6682"/>
    <w:rsid w:val="000A6A4C"/>
    <w:rsid w:val="000A74D7"/>
    <w:rsid w:val="000D13F0"/>
    <w:rsid w:val="000D1DAA"/>
    <w:rsid w:val="000D3FCB"/>
    <w:rsid w:val="000D4A11"/>
    <w:rsid w:val="000D4A78"/>
    <w:rsid w:val="000F210C"/>
    <w:rsid w:val="000F6D88"/>
    <w:rsid w:val="0012247C"/>
    <w:rsid w:val="001257AF"/>
    <w:rsid w:val="00142DB2"/>
    <w:rsid w:val="00144928"/>
    <w:rsid w:val="001513A6"/>
    <w:rsid w:val="001574D3"/>
    <w:rsid w:val="00161728"/>
    <w:rsid w:val="00166240"/>
    <w:rsid w:val="00174313"/>
    <w:rsid w:val="00174E70"/>
    <w:rsid w:val="00175467"/>
    <w:rsid w:val="001860A8"/>
    <w:rsid w:val="00186E2D"/>
    <w:rsid w:val="001B111D"/>
    <w:rsid w:val="001C5770"/>
    <w:rsid w:val="001E3706"/>
    <w:rsid w:val="001E4A3B"/>
    <w:rsid w:val="001E7E32"/>
    <w:rsid w:val="001F0C9A"/>
    <w:rsid w:val="001F3EC7"/>
    <w:rsid w:val="00200FAC"/>
    <w:rsid w:val="0020151F"/>
    <w:rsid w:val="00205019"/>
    <w:rsid w:val="0020643D"/>
    <w:rsid w:val="002123C2"/>
    <w:rsid w:val="002251D1"/>
    <w:rsid w:val="002259FC"/>
    <w:rsid w:val="00231D56"/>
    <w:rsid w:val="00231DDF"/>
    <w:rsid w:val="002433E6"/>
    <w:rsid w:val="0024610A"/>
    <w:rsid w:val="00247627"/>
    <w:rsid w:val="002636CA"/>
    <w:rsid w:val="00267B36"/>
    <w:rsid w:val="00270A58"/>
    <w:rsid w:val="00271597"/>
    <w:rsid w:val="0028324E"/>
    <w:rsid w:val="00294558"/>
    <w:rsid w:val="002A0D06"/>
    <w:rsid w:val="002D39D2"/>
    <w:rsid w:val="002E041D"/>
    <w:rsid w:val="002E6CE8"/>
    <w:rsid w:val="002F2AC5"/>
    <w:rsid w:val="00301353"/>
    <w:rsid w:val="003049E7"/>
    <w:rsid w:val="003102F2"/>
    <w:rsid w:val="003135AE"/>
    <w:rsid w:val="003178E1"/>
    <w:rsid w:val="003250D3"/>
    <w:rsid w:val="0033200D"/>
    <w:rsid w:val="00333555"/>
    <w:rsid w:val="0034241C"/>
    <w:rsid w:val="00342FD0"/>
    <w:rsid w:val="003461A7"/>
    <w:rsid w:val="003511BC"/>
    <w:rsid w:val="00356B3D"/>
    <w:rsid w:val="0036578E"/>
    <w:rsid w:val="003660A3"/>
    <w:rsid w:val="00382625"/>
    <w:rsid w:val="00397260"/>
    <w:rsid w:val="003A4FB0"/>
    <w:rsid w:val="003A6BCA"/>
    <w:rsid w:val="003A7938"/>
    <w:rsid w:val="003B2F2B"/>
    <w:rsid w:val="003B6176"/>
    <w:rsid w:val="003D31F2"/>
    <w:rsid w:val="003F66FA"/>
    <w:rsid w:val="004019BB"/>
    <w:rsid w:val="004075DC"/>
    <w:rsid w:val="00407BE0"/>
    <w:rsid w:val="00411DA1"/>
    <w:rsid w:val="0042016C"/>
    <w:rsid w:val="0042470F"/>
    <w:rsid w:val="004305CE"/>
    <w:rsid w:val="0043728A"/>
    <w:rsid w:val="00451061"/>
    <w:rsid w:val="00453C71"/>
    <w:rsid w:val="00454167"/>
    <w:rsid w:val="004727F3"/>
    <w:rsid w:val="00477D32"/>
    <w:rsid w:val="00482610"/>
    <w:rsid w:val="00485676"/>
    <w:rsid w:val="004A3319"/>
    <w:rsid w:val="004A4AB3"/>
    <w:rsid w:val="004B6498"/>
    <w:rsid w:val="004C7ED5"/>
    <w:rsid w:val="004E0E81"/>
    <w:rsid w:val="004E1065"/>
    <w:rsid w:val="004F29A0"/>
    <w:rsid w:val="00510D00"/>
    <w:rsid w:val="005206E9"/>
    <w:rsid w:val="00532791"/>
    <w:rsid w:val="00533551"/>
    <w:rsid w:val="00544235"/>
    <w:rsid w:val="00546B72"/>
    <w:rsid w:val="00547FDF"/>
    <w:rsid w:val="00551669"/>
    <w:rsid w:val="00555745"/>
    <w:rsid w:val="00564973"/>
    <w:rsid w:val="00570588"/>
    <w:rsid w:val="00577430"/>
    <w:rsid w:val="005857BC"/>
    <w:rsid w:val="005863A1"/>
    <w:rsid w:val="00592B55"/>
    <w:rsid w:val="005C23CD"/>
    <w:rsid w:val="005C6C1D"/>
    <w:rsid w:val="005C7CC9"/>
    <w:rsid w:val="005C7D9C"/>
    <w:rsid w:val="005D29B4"/>
    <w:rsid w:val="005D31FE"/>
    <w:rsid w:val="00601532"/>
    <w:rsid w:val="00621434"/>
    <w:rsid w:val="00623E03"/>
    <w:rsid w:val="00624057"/>
    <w:rsid w:val="00631AA7"/>
    <w:rsid w:val="0063603F"/>
    <w:rsid w:val="00643D1F"/>
    <w:rsid w:val="006819E3"/>
    <w:rsid w:val="0068601C"/>
    <w:rsid w:val="006C09C0"/>
    <w:rsid w:val="006E13B5"/>
    <w:rsid w:val="006E781A"/>
    <w:rsid w:val="006F2BB5"/>
    <w:rsid w:val="007025F1"/>
    <w:rsid w:val="00704FE4"/>
    <w:rsid w:val="007131B9"/>
    <w:rsid w:val="00733320"/>
    <w:rsid w:val="007338F6"/>
    <w:rsid w:val="00735A72"/>
    <w:rsid w:val="00743F65"/>
    <w:rsid w:val="00744CE8"/>
    <w:rsid w:val="007470EB"/>
    <w:rsid w:val="00747AF9"/>
    <w:rsid w:val="00774EB2"/>
    <w:rsid w:val="00783E7A"/>
    <w:rsid w:val="007944D2"/>
    <w:rsid w:val="007B2E02"/>
    <w:rsid w:val="007B48A1"/>
    <w:rsid w:val="007C559C"/>
    <w:rsid w:val="007E638A"/>
    <w:rsid w:val="00806391"/>
    <w:rsid w:val="00811F57"/>
    <w:rsid w:val="008135CE"/>
    <w:rsid w:val="00833F0F"/>
    <w:rsid w:val="00844745"/>
    <w:rsid w:val="00845120"/>
    <w:rsid w:val="008530BF"/>
    <w:rsid w:val="00870464"/>
    <w:rsid w:val="0087528C"/>
    <w:rsid w:val="008A197C"/>
    <w:rsid w:val="008A316B"/>
    <w:rsid w:val="008A468A"/>
    <w:rsid w:val="008A4FB9"/>
    <w:rsid w:val="008C0CF9"/>
    <w:rsid w:val="008D1003"/>
    <w:rsid w:val="008D5EF6"/>
    <w:rsid w:val="008D6D24"/>
    <w:rsid w:val="008D7359"/>
    <w:rsid w:val="008E0075"/>
    <w:rsid w:val="00900869"/>
    <w:rsid w:val="00903340"/>
    <w:rsid w:val="00907F9D"/>
    <w:rsid w:val="00910ACA"/>
    <w:rsid w:val="0092051A"/>
    <w:rsid w:val="0093452A"/>
    <w:rsid w:val="009363EF"/>
    <w:rsid w:val="00940535"/>
    <w:rsid w:val="009421C4"/>
    <w:rsid w:val="00965002"/>
    <w:rsid w:val="00966D4C"/>
    <w:rsid w:val="00971A94"/>
    <w:rsid w:val="00972D90"/>
    <w:rsid w:val="0097445C"/>
    <w:rsid w:val="0099059B"/>
    <w:rsid w:val="0099300D"/>
    <w:rsid w:val="0099504F"/>
    <w:rsid w:val="009A0CB7"/>
    <w:rsid w:val="009B741F"/>
    <w:rsid w:val="009D072A"/>
    <w:rsid w:val="009D2D48"/>
    <w:rsid w:val="009D5F80"/>
    <w:rsid w:val="009D7A8A"/>
    <w:rsid w:val="009E493C"/>
    <w:rsid w:val="009F29B9"/>
    <w:rsid w:val="009F4B90"/>
    <w:rsid w:val="009F512A"/>
    <w:rsid w:val="00A16A10"/>
    <w:rsid w:val="00A225A7"/>
    <w:rsid w:val="00A26FCC"/>
    <w:rsid w:val="00A30D9E"/>
    <w:rsid w:val="00A362B4"/>
    <w:rsid w:val="00A366EB"/>
    <w:rsid w:val="00A4263C"/>
    <w:rsid w:val="00A44FFF"/>
    <w:rsid w:val="00A50D93"/>
    <w:rsid w:val="00A51EDC"/>
    <w:rsid w:val="00A759BC"/>
    <w:rsid w:val="00A94E43"/>
    <w:rsid w:val="00AB05E3"/>
    <w:rsid w:val="00AC17AA"/>
    <w:rsid w:val="00AD1C20"/>
    <w:rsid w:val="00AD5EB7"/>
    <w:rsid w:val="00AF11A7"/>
    <w:rsid w:val="00B00277"/>
    <w:rsid w:val="00B12A87"/>
    <w:rsid w:val="00B13EB9"/>
    <w:rsid w:val="00B16149"/>
    <w:rsid w:val="00B230DE"/>
    <w:rsid w:val="00B40191"/>
    <w:rsid w:val="00B4519C"/>
    <w:rsid w:val="00B5042F"/>
    <w:rsid w:val="00B5196C"/>
    <w:rsid w:val="00B554F9"/>
    <w:rsid w:val="00B570C5"/>
    <w:rsid w:val="00B73CEB"/>
    <w:rsid w:val="00B7702D"/>
    <w:rsid w:val="00B77C97"/>
    <w:rsid w:val="00B96B60"/>
    <w:rsid w:val="00BA5EA3"/>
    <w:rsid w:val="00BB2195"/>
    <w:rsid w:val="00BB21A0"/>
    <w:rsid w:val="00BC54D4"/>
    <w:rsid w:val="00BC58CE"/>
    <w:rsid w:val="00BD0357"/>
    <w:rsid w:val="00BD0978"/>
    <w:rsid w:val="00BD6FD3"/>
    <w:rsid w:val="00BE26C7"/>
    <w:rsid w:val="00BF2AFB"/>
    <w:rsid w:val="00BF4166"/>
    <w:rsid w:val="00C02FD1"/>
    <w:rsid w:val="00C11075"/>
    <w:rsid w:val="00C117FB"/>
    <w:rsid w:val="00C2154C"/>
    <w:rsid w:val="00C26AE4"/>
    <w:rsid w:val="00C31011"/>
    <w:rsid w:val="00C56E6F"/>
    <w:rsid w:val="00C64A67"/>
    <w:rsid w:val="00C672AE"/>
    <w:rsid w:val="00C80D4D"/>
    <w:rsid w:val="00C83AE6"/>
    <w:rsid w:val="00C85DEB"/>
    <w:rsid w:val="00C91EAE"/>
    <w:rsid w:val="00C944A9"/>
    <w:rsid w:val="00C94931"/>
    <w:rsid w:val="00CA1899"/>
    <w:rsid w:val="00CA3513"/>
    <w:rsid w:val="00CA4D14"/>
    <w:rsid w:val="00CB2B87"/>
    <w:rsid w:val="00CC71BF"/>
    <w:rsid w:val="00CD049D"/>
    <w:rsid w:val="00CD216B"/>
    <w:rsid w:val="00CE405C"/>
    <w:rsid w:val="00CE6144"/>
    <w:rsid w:val="00CF48CE"/>
    <w:rsid w:val="00CF4C60"/>
    <w:rsid w:val="00CF5678"/>
    <w:rsid w:val="00D0630D"/>
    <w:rsid w:val="00D130A8"/>
    <w:rsid w:val="00D20433"/>
    <w:rsid w:val="00D22302"/>
    <w:rsid w:val="00D279FB"/>
    <w:rsid w:val="00D44A9D"/>
    <w:rsid w:val="00D54287"/>
    <w:rsid w:val="00D659A6"/>
    <w:rsid w:val="00D81055"/>
    <w:rsid w:val="00D86719"/>
    <w:rsid w:val="00DA4E55"/>
    <w:rsid w:val="00DA670D"/>
    <w:rsid w:val="00DB4504"/>
    <w:rsid w:val="00DB4B83"/>
    <w:rsid w:val="00DB72D3"/>
    <w:rsid w:val="00DC63FB"/>
    <w:rsid w:val="00DD1CB5"/>
    <w:rsid w:val="00DD5E81"/>
    <w:rsid w:val="00DD7467"/>
    <w:rsid w:val="00DE2279"/>
    <w:rsid w:val="00DE35E2"/>
    <w:rsid w:val="00DF4F96"/>
    <w:rsid w:val="00DF551B"/>
    <w:rsid w:val="00E02476"/>
    <w:rsid w:val="00E250E1"/>
    <w:rsid w:val="00E26698"/>
    <w:rsid w:val="00E4096A"/>
    <w:rsid w:val="00E47503"/>
    <w:rsid w:val="00E6581A"/>
    <w:rsid w:val="00E703ED"/>
    <w:rsid w:val="00E70C1D"/>
    <w:rsid w:val="00E7306A"/>
    <w:rsid w:val="00E768BF"/>
    <w:rsid w:val="00EB3A99"/>
    <w:rsid w:val="00EC25E8"/>
    <w:rsid w:val="00EC2EAA"/>
    <w:rsid w:val="00EC342F"/>
    <w:rsid w:val="00EC7F66"/>
    <w:rsid w:val="00ED00FB"/>
    <w:rsid w:val="00ED57EC"/>
    <w:rsid w:val="00EE3C17"/>
    <w:rsid w:val="00EF11BB"/>
    <w:rsid w:val="00EF56DE"/>
    <w:rsid w:val="00EF5AA2"/>
    <w:rsid w:val="00F02FD1"/>
    <w:rsid w:val="00F05108"/>
    <w:rsid w:val="00F114D6"/>
    <w:rsid w:val="00F1496E"/>
    <w:rsid w:val="00F2601C"/>
    <w:rsid w:val="00F2754F"/>
    <w:rsid w:val="00F31FB8"/>
    <w:rsid w:val="00F416E7"/>
    <w:rsid w:val="00F53E9D"/>
    <w:rsid w:val="00F71E79"/>
    <w:rsid w:val="00F7421B"/>
    <w:rsid w:val="00F82D1B"/>
    <w:rsid w:val="00F95AB8"/>
    <w:rsid w:val="00FA2E43"/>
    <w:rsid w:val="00FA34A8"/>
    <w:rsid w:val="00FB0D62"/>
    <w:rsid w:val="00FD2069"/>
    <w:rsid w:val="00FE7B57"/>
    <w:rsid w:val="00FF7AF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2">
      <o:colormenu v:ext="edit" fillcolor="none [1311]" strokecolor="none [2404]"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itleIIAGrants@doe.mass.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Grants/essential.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DESE-231-34870</_dlc_DocId>
    <_dlc_DocIdUrl xmlns="733efe1c-5bbe-4968-87dc-d400e65c879f">
      <Url>https://sharepoint.doemass.org/ese/webteam/cps/_layouts/DocIdRedir.aspx?ID=DESE-231-34870</Url>
      <Description>DESE-231-34870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7442160-AC46-4652-90C6-9FEE0491CA2A}">
  <ds:schemaRefs>
    <ds:schemaRef ds:uri="http://schemas.microsoft.com/sharepoint/events"/>
  </ds:schemaRefs>
</ds:datastoreItem>
</file>

<file path=customXml/itemProps3.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4.xml><?xml version="1.0" encoding="utf-8"?>
<ds:datastoreItem xmlns:ds="http://schemas.openxmlformats.org/officeDocument/2006/customXml" ds:itemID="{41E20D6F-0BFF-46C0-9009-946992523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C5B189-9723-43E9-8992-D14BC4AE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573</Words>
  <Characters>3428</Characters>
  <Application>Microsoft Office Word</Application>
  <DocSecurity>0</DocSecurity>
  <Lines>137</Lines>
  <Paragraphs>72</Paragraphs>
  <ScaleCrop>false</ScaleCrop>
  <HeadingPairs>
    <vt:vector size="2" baseType="variant">
      <vt:variant>
        <vt:lpstr>Title</vt:lpstr>
      </vt:variant>
      <vt:variant>
        <vt:i4>1</vt:i4>
      </vt:variant>
    </vt:vector>
  </HeadingPairs>
  <TitlesOfParts>
    <vt:vector size="1" baseType="lpstr">
      <vt:lpstr>FY2018 Fund Code 140 Title IIA Quick Reference Guide Private Schools</vt:lpstr>
    </vt:vector>
  </TitlesOfParts>
  <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140 Title IIA Quick Reference Guide Private Schools</dc:title>
  <dc:creator>ESE</dc:creator>
  <cp:lastModifiedBy>dzou</cp:lastModifiedBy>
  <cp:revision>9</cp:revision>
  <cp:lastPrinted>2015-05-22T13:29:00Z</cp:lastPrinted>
  <dcterms:created xsi:type="dcterms:W3CDTF">2017-07-14T13:40:00Z</dcterms:created>
  <dcterms:modified xsi:type="dcterms:W3CDTF">2017-07-19T16:21:00Z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2017</vt:lpwstr>
  </property>
</Properties>
</file>