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91" w:rsidRPr="00C46AF0" w:rsidRDefault="001C2A91" w:rsidP="001C2A91">
      <w:pPr>
        <w:pStyle w:val="Heading1"/>
        <w:spacing w:before="80"/>
        <w:jc w:val="left"/>
      </w:pPr>
      <w:r w:rsidRPr="00C46AF0">
        <w:t>Network Opportunity - League of Innovative Schools</w:t>
      </w:r>
    </w:p>
    <w:p w:rsidR="001C2A91" w:rsidRPr="00C46AF0" w:rsidRDefault="001C2A91" w:rsidP="001C2A91">
      <w:pPr>
        <w:pStyle w:val="BodyText"/>
        <w:spacing w:before="7"/>
        <w:rPr>
          <w:b/>
          <w:sz w:val="27"/>
        </w:rPr>
      </w:pPr>
    </w:p>
    <w:p w:rsidR="001C2A91" w:rsidRPr="00C46AF0" w:rsidRDefault="001C2A91" w:rsidP="001C2A91">
      <w:pPr>
        <w:pStyle w:val="BodyText"/>
        <w:spacing w:line="256" w:lineRule="auto"/>
        <w:ind w:left="100" w:right="55"/>
      </w:pPr>
      <w:r w:rsidRPr="00C46AF0">
        <w:t xml:space="preserve">Founded in 2011 and coordinated by the nonprofit </w:t>
      </w:r>
      <w:hyperlink r:id="rId9" w:history="1">
        <w:r w:rsidRPr="00C46AF0">
          <w:rPr>
            <w:rStyle w:val="Hyperlink"/>
            <w:color w:val="auto"/>
          </w:rPr>
          <w:t>Great Schools Partnership</w:t>
        </w:r>
      </w:hyperlink>
      <w:r w:rsidRPr="00C46AF0">
        <w:t xml:space="preserve">, the </w:t>
      </w:r>
      <w:hyperlink r:id="rId10" w:history="1">
        <w:r w:rsidRPr="00C46AF0">
          <w:rPr>
            <w:rStyle w:val="Hyperlink"/>
            <w:color w:val="auto"/>
          </w:rPr>
          <w:t>League of Innovative Schools</w:t>
        </w:r>
      </w:hyperlink>
      <w:r w:rsidRPr="00C46AF0">
        <w:t xml:space="preserve"> is a regional professional learning network for schools. Membership is open to any New England secondary school—including charter schools, private schools, and career-and-technical institutions—committed to educational equity, student-centered learning, and ongoing improvement. All participating schools will become part of a growing network of learning institutions working to strengthen their programs, exchange professional expertise, and create better learning opportunities for their students.</w:t>
      </w:r>
    </w:p>
    <w:p w:rsidR="001C2A91" w:rsidRPr="00C46AF0" w:rsidRDefault="001C2A91" w:rsidP="001C2A91">
      <w:pPr>
        <w:pStyle w:val="BodyText"/>
        <w:spacing w:before="1"/>
        <w:rPr>
          <w:sz w:val="23"/>
        </w:rPr>
      </w:pPr>
    </w:p>
    <w:p w:rsidR="001C2A91" w:rsidRPr="00C46AF0" w:rsidRDefault="001C2A91" w:rsidP="001C2A91">
      <w:pPr>
        <w:pStyle w:val="BodyText"/>
        <w:ind w:left="100"/>
        <w:rPr>
          <w:b/>
        </w:rPr>
      </w:pPr>
      <w:r w:rsidRPr="00C46AF0">
        <w:rPr>
          <w:b/>
        </w:rPr>
        <w:t>Massachusetts high schools can leverage the LIS to design language acquisition programs that best fit the needs of English learners, with an emphasis on greater personalization of the student learning experience and parent/guardian engagement.</w:t>
      </w:r>
    </w:p>
    <w:p w:rsidR="001C2A91" w:rsidRPr="00C46AF0" w:rsidRDefault="001C2A91" w:rsidP="001C2A91">
      <w:pPr>
        <w:pStyle w:val="BodyText"/>
        <w:spacing w:before="1"/>
        <w:rPr>
          <w:sz w:val="23"/>
        </w:rPr>
      </w:pPr>
    </w:p>
    <w:p w:rsidR="001C2A91" w:rsidRPr="00C46AF0" w:rsidRDefault="001C2A91" w:rsidP="001C2A91">
      <w:pPr>
        <w:spacing w:line="285" w:lineRule="auto"/>
        <w:ind w:left="100"/>
      </w:pPr>
      <w:r w:rsidRPr="00C46AF0">
        <w:t xml:space="preserve">League of </w:t>
      </w:r>
      <w:proofErr w:type="gramStart"/>
      <w:r w:rsidRPr="00C46AF0">
        <w:t>Innovative Schools</w:t>
      </w:r>
      <w:proofErr w:type="gramEnd"/>
      <w:r w:rsidRPr="00C46AF0">
        <w:t xml:space="preserve"> membership is based on the belief that if </w:t>
      </w:r>
      <w:r w:rsidRPr="00C46AF0">
        <w:rPr>
          <w:b/>
        </w:rPr>
        <w:t xml:space="preserve">educators connect </w:t>
      </w:r>
      <w:r w:rsidRPr="00C46AF0">
        <w:t xml:space="preserve">to </w:t>
      </w:r>
      <w:r w:rsidRPr="00C46AF0">
        <w:rPr>
          <w:b/>
        </w:rPr>
        <w:t>spread good ideas</w:t>
      </w:r>
      <w:r w:rsidRPr="00C46AF0">
        <w:t xml:space="preserve">, they can </w:t>
      </w:r>
      <w:r w:rsidRPr="00C46AF0">
        <w:rPr>
          <w:b/>
        </w:rPr>
        <w:t xml:space="preserve">accelerate improvement </w:t>
      </w:r>
      <w:r w:rsidRPr="00C46AF0">
        <w:t>in their schools. Member schools’ benefits include:</w:t>
      </w:r>
    </w:p>
    <w:p w:rsidR="001C2A91" w:rsidRPr="00C46AF0" w:rsidRDefault="001C2A91" w:rsidP="001C2A91">
      <w:pPr>
        <w:pStyle w:val="BodyText"/>
        <w:spacing w:before="10"/>
        <w:rPr>
          <w:sz w:val="25"/>
        </w:rPr>
      </w:pPr>
    </w:p>
    <w:p w:rsidR="001C2A91" w:rsidRPr="00C46AF0" w:rsidRDefault="001C2A91" w:rsidP="001C2A91">
      <w:pPr>
        <w:pStyle w:val="ListParagraph"/>
        <w:widowControl w:val="0"/>
        <w:numPr>
          <w:ilvl w:val="0"/>
          <w:numId w:val="1"/>
        </w:numPr>
        <w:tabs>
          <w:tab w:val="left" w:pos="819"/>
          <w:tab w:val="left" w:pos="820"/>
        </w:tabs>
        <w:autoSpaceDE w:val="0"/>
        <w:autoSpaceDN w:val="0"/>
        <w:spacing w:before="1"/>
        <w:contextualSpacing w:val="0"/>
      </w:pPr>
      <w:r w:rsidRPr="00C46AF0">
        <w:t>Fall League of Innovative Schools only</w:t>
      </w:r>
      <w:r w:rsidRPr="00C46AF0">
        <w:rPr>
          <w:spacing w:val="-9"/>
        </w:rPr>
        <w:t xml:space="preserve"> </w:t>
      </w:r>
      <w:r w:rsidRPr="00C46AF0">
        <w:t>conference</w:t>
      </w:r>
    </w:p>
    <w:p w:rsidR="001C2A91" w:rsidRPr="00C46AF0" w:rsidRDefault="001C2A91" w:rsidP="001C2A91">
      <w:pPr>
        <w:pStyle w:val="ListParagraph"/>
        <w:widowControl w:val="0"/>
        <w:numPr>
          <w:ilvl w:val="0"/>
          <w:numId w:val="1"/>
        </w:numPr>
        <w:tabs>
          <w:tab w:val="left" w:pos="819"/>
          <w:tab w:val="left" w:pos="820"/>
        </w:tabs>
        <w:autoSpaceDE w:val="0"/>
        <w:autoSpaceDN w:val="0"/>
        <w:spacing w:before="47"/>
        <w:contextualSpacing w:val="0"/>
      </w:pPr>
      <w:r w:rsidRPr="00C46AF0">
        <w:t>Spring School Redesign in Action</w:t>
      </w:r>
      <w:r w:rsidRPr="00C46AF0">
        <w:rPr>
          <w:spacing w:val="-7"/>
        </w:rPr>
        <w:t xml:space="preserve"> </w:t>
      </w:r>
      <w:r w:rsidRPr="00C46AF0">
        <w:t>conference</w:t>
      </w:r>
    </w:p>
    <w:p w:rsidR="001C2A91" w:rsidRPr="00C46AF0" w:rsidRDefault="001C2A91" w:rsidP="001C2A91">
      <w:pPr>
        <w:pStyle w:val="ListParagraph"/>
        <w:widowControl w:val="0"/>
        <w:numPr>
          <w:ilvl w:val="0"/>
          <w:numId w:val="1"/>
        </w:numPr>
        <w:tabs>
          <w:tab w:val="left" w:pos="819"/>
          <w:tab w:val="left" w:pos="820"/>
        </w:tabs>
        <w:autoSpaceDE w:val="0"/>
        <w:autoSpaceDN w:val="0"/>
        <w:spacing w:before="47"/>
        <w:contextualSpacing w:val="0"/>
      </w:pPr>
      <w:r w:rsidRPr="00C46AF0">
        <w:t>In-state League of Innovative Schools meetings (2 or more per</w:t>
      </w:r>
      <w:r w:rsidRPr="00C46AF0">
        <w:rPr>
          <w:spacing w:val="-17"/>
        </w:rPr>
        <w:t xml:space="preserve"> </w:t>
      </w:r>
      <w:r w:rsidRPr="00C46AF0">
        <w:t>year)</w:t>
      </w:r>
      <w:bookmarkStart w:id="0" w:name="_GoBack"/>
      <w:bookmarkEnd w:id="0"/>
    </w:p>
    <w:p w:rsidR="001C2A91" w:rsidRPr="00C46AF0" w:rsidRDefault="001C2A91" w:rsidP="001C2A91">
      <w:pPr>
        <w:pStyle w:val="ListParagraph"/>
        <w:widowControl w:val="0"/>
        <w:numPr>
          <w:ilvl w:val="0"/>
          <w:numId w:val="1"/>
        </w:numPr>
        <w:tabs>
          <w:tab w:val="left" w:pos="819"/>
          <w:tab w:val="left" w:pos="820"/>
        </w:tabs>
        <w:autoSpaceDE w:val="0"/>
        <w:autoSpaceDN w:val="0"/>
        <w:spacing w:before="47"/>
        <w:contextualSpacing w:val="0"/>
      </w:pPr>
      <w:r w:rsidRPr="00C46AF0">
        <w:t>Principals’ Professional Learning</w:t>
      </w:r>
      <w:r w:rsidRPr="00C46AF0">
        <w:rPr>
          <w:spacing w:val="-4"/>
        </w:rPr>
        <w:t xml:space="preserve"> </w:t>
      </w:r>
      <w:r w:rsidRPr="00C46AF0">
        <w:t>Group</w:t>
      </w:r>
    </w:p>
    <w:p w:rsidR="001C2A91" w:rsidRPr="00C46AF0" w:rsidRDefault="001C2A91" w:rsidP="001C2A91">
      <w:pPr>
        <w:pStyle w:val="ListParagraph"/>
        <w:widowControl w:val="0"/>
        <w:numPr>
          <w:ilvl w:val="0"/>
          <w:numId w:val="1"/>
        </w:numPr>
        <w:tabs>
          <w:tab w:val="left" w:pos="819"/>
          <w:tab w:val="left" w:pos="820"/>
        </w:tabs>
        <w:autoSpaceDE w:val="0"/>
        <w:autoSpaceDN w:val="0"/>
        <w:spacing w:before="47"/>
        <w:contextualSpacing w:val="0"/>
      </w:pPr>
      <w:r w:rsidRPr="00C46AF0">
        <w:t>School</w:t>
      </w:r>
      <w:r w:rsidRPr="00C46AF0">
        <w:rPr>
          <w:spacing w:val="-2"/>
        </w:rPr>
        <w:t xml:space="preserve"> </w:t>
      </w:r>
      <w:r w:rsidRPr="00C46AF0">
        <w:t>Visits</w:t>
      </w:r>
    </w:p>
    <w:p w:rsidR="001C2A91" w:rsidRPr="00C46AF0" w:rsidRDefault="001C2A91" w:rsidP="001C2A91">
      <w:pPr>
        <w:pStyle w:val="BodyText"/>
        <w:rPr>
          <w:sz w:val="24"/>
        </w:rPr>
      </w:pPr>
    </w:p>
    <w:p w:rsidR="001C2A91" w:rsidRPr="00C46AF0" w:rsidRDefault="001C2A91" w:rsidP="001C2A91">
      <w:pPr>
        <w:pStyle w:val="BodyText"/>
        <w:rPr>
          <w:sz w:val="27"/>
        </w:rPr>
      </w:pPr>
    </w:p>
    <w:p w:rsidR="001C2A91" w:rsidRPr="00C46AF0" w:rsidRDefault="001C2A91" w:rsidP="001C2A91">
      <w:pPr>
        <w:pStyle w:val="Heading1"/>
      </w:pPr>
      <w:r w:rsidRPr="00C46AF0">
        <w:t>Enrollment Process</w:t>
      </w:r>
    </w:p>
    <w:p w:rsidR="001C2A91" w:rsidRPr="00C46AF0" w:rsidRDefault="001C2A91" w:rsidP="001C2A91">
      <w:pPr>
        <w:pStyle w:val="BodyText"/>
        <w:spacing w:before="17" w:line="256" w:lineRule="auto"/>
        <w:ind w:left="100" w:right="647"/>
      </w:pPr>
      <w:r w:rsidRPr="00C46AF0">
        <w:t>Membership in the League is open to any Massachusetts middle or high school, grades 6-12 – including charter</w:t>
      </w:r>
      <w:r w:rsidRPr="00C46AF0">
        <w:rPr>
          <w:spacing w:val="-8"/>
        </w:rPr>
        <w:t xml:space="preserve"> </w:t>
      </w:r>
      <w:r w:rsidRPr="00C46AF0">
        <w:t>schools,</w:t>
      </w:r>
      <w:r w:rsidRPr="00C46AF0">
        <w:rPr>
          <w:spacing w:val="-8"/>
        </w:rPr>
        <w:t xml:space="preserve"> </w:t>
      </w:r>
      <w:r w:rsidRPr="00C46AF0">
        <w:t>private</w:t>
      </w:r>
      <w:r w:rsidRPr="00C46AF0">
        <w:rPr>
          <w:spacing w:val="-8"/>
        </w:rPr>
        <w:t xml:space="preserve"> </w:t>
      </w:r>
      <w:r w:rsidRPr="00C46AF0">
        <w:t>schools,</w:t>
      </w:r>
      <w:r w:rsidRPr="00C46AF0">
        <w:rPr>
          <w:spacing w:val="-8"/>
        </w:rPr>
        <w:t xml:space="preserve"> </w:t>
      </w:r>
      <w:r w:rsidRPr="00C46AF0">
        <w:t>and</w:t>
      </w:r>
      <w:r w:rsidRPr="00C46AF0">
        <w:rPr>
          <w:spacing w:val="-8"/>
        </w:rPr>
        <w:t xml:space="preserve"> </w:t>
      </w:r>
      <w:r w:rsidRPr="00C46AF0">
        <w:t>career-and-technical</w:t>
      </w:r>
      <w:r w:rsidRPr="00C46AF0">
        <w:rPr>
          <w:spacing w:val="-8"/>
        </w:rPr>
        <w:t xml:space="preserve"> </w:t>
      </w:r>
      <w:r w:rsidRPr="00C46AF0">
        <w:t>institutions</w:t>
      </w:r>
      <w:r w:rsidRPr="00C46AF0">
        <w:rPr>
          <w:spacing w:val="-8"/>
        </w:rPr>
        <w:t xml:space="preserve"> </w:t>
      </w:r>
      <w:r w:rsidRPr="00C46AF0">
        <w:t>–</w:t>
      </w:r>
      <w:r w:rsidRPr="00C46AF0">
        <w:rPr>
          <w:spacing w:val="-8"/>
        </w:rPr>
        <w:t xml:space="preserve"> </w:t>
      </w:r>
      <w:r w:rsidRPr="00C46AF0">
        <w:t>committed</w:t>
      </w:r>
      <w:r w:rsidRPr="00C46AF0">
        <w:rPr>
          <w:spacing w:val="-8"/>
        </w:rPr>
        <w:t xml:space="preserve"> </w:t>
      </w:r>
      <w:r w:rsidRPr="00C46AF0">
        <w:t>to</w:t>
      </w:r>
      <w:r w:rsidRPr="00C46AF0">
        <w:rPr>
          <w:spacing w:val="-8"/>
        </w:rPr>
        <w:t xml:space="preserve"> </w:t>
      </w:r>
      <w:r w:rsidRPr="00C46AF0">
        <w:t>educational</w:t>
      </w:r>
      <w:r w:rsidRPr="00C46AF0">
        <w:rPr>
          <w:spacing w:val="-8"/>
        </w:rPr>
        <w:t xml:space="preserve"> </w:t>
      </w:r>
      <w:r w:rsidRPr="00C46AF0">
        <w:t>equity, student-centered learning, and ongoing</w:t>
      </w:r>
      <w:r w:rsidRPr="00C46AF0">
        <w:rPr>
          <w:spacing w:val="-6"/>
        </w:rPr>
        <w:t xml:space="preserve"> </w:t>
      </w:r>
      <w:r w:rsidRPr="00C46AF0">
        <w:t>improvement.</w:t>
      </w:r>
    </w:p>
    <w:p w:rsidR="001C2A91" w:rsidRPr="00C46AF0" w:rsidRDefault="001C2A91" w:rsidP="001C2A91">
      <w:pPr>
        <w:pStyle w:val="BodyText"/>
        <w:spacing w:before="6"/>
        <w:rPr>
          <w:sz w:val="28"/>
        </w:rPr>
      </w:pPr>
    </w:p>
    <w:p w:rsidR="001C2A91" w:rsidRPr="00C46AF0" w:rsidRDefault="001C2A91" w:rsidP="001C2A91">
      <w:pPr>
        <w:pStyle w:val="BodyText"/>
        <w:spacing w:line="256" w:lineRule="auto"/>
        <w:ind w:left="100" w:right="158"/>
      </w:pPr>
      <w:r w:rsidRPr="00C46AF0">
        <w:t>To</w:t>
      </w:r>
      <w:r w:rsidRPr="00C46AF0">
        <w:rPr>
          <w:spacing w:val="-5"/>
        </w:rPr>
        <w:t xml:space="preserve"> </w:t>
      </w:r>
      <w:r w:rsidRPr="00C46AF0">
        <w:t>become</w:t>
      </w:r>
      <w:r w:rsidRPr="00C46AF0">
        <w:rPr>
          <w:spacing w:val="-5"/>
        </w:rPr>
        <w:t xml:space="preserve"> </w:t>
      </w:r>
      <w:r w:rsidRPr="00C46AF0">
        <w:t>a</w:t>
      </w:r>
      <w:r w:rsidRPr="00C46AF0">
        <w:rPr>
          <w:spacing w:val="-5"/>
        </w:rPr>
        <w:t xml:space="preserve"> </w:t>
      </w:r>
      <w:r w:rsidRPr="00C46AF0">
        <w:t>member</w:t>
      </w:r>
      <w:r w:rsidRPr="00C46AF0">
        <w:rPr>
          <w:spacing w:val="-5"/>
        </w:rPr>
        <w:t xml:space="preserve"> </w:t>
      </w:r>
      <w:r w:rsidRPr="00C46AF0">
        <w:t>of</w:t>
      </w:r>
      <w:r w:rsidRPr="00C46AF0">
        <w:rPr>
          <w:spacing w:val="-5"/>
        </w:rPr>
        <w:t xml:space="preserve"> </w:t>
      </w:r>
      <w:r w:rsidRPr="00C46AF0">
        <w:t>the</w:t>
      </w:r>
      <w:r w:rsidRPr="00C46AF0">
        <w:rPr>
          <w:spacing w:val="-5"/>
        </w:rPr>
        <w:t xml:space="preserve"> </w:t>
      </w:r>
      <w:r w:rsidRPr="00C46AF0">
        <w:t>League</w:t>
      </w:r>
      <w:r w:rsidRPr="00C46AF0">
        <w:rPr>
          <w:spacing w:val="-5"/>
        </w:rPr>
        <w:t xml:space="preserve"> </w:t>
      </w:r>
      <w:r w:rsidRPr="00C46AF0">
        <w:t>of</w:t>
      </w:r>
      <w:r w:rsidRPr="00C46AF0">
        <w:rPr>
          <w:spacing w:val="-5"/>
        </w:rPr>
        <w:t xml:space="preserve"> </w:t>
      </w:r>
      <w:r w:rsidRPr="00C46AF0">
        <w:t>Innovative</w:t>
      </w:r>
      <w:r w:rsidRPr="00C46AF0">
        <w:rPr>
          <w:spacing w:val="-5"/>
        </w:rPr>
        <w:t xml:space="preserve"> </w:t>
      </w:r>
      <w:r w:rsidRPr="00C46AF0">
        <w:t>Schools,</w:t>
      </w:r>
      <w:r w:rsidRPr="00C46AF0">
        <w:rPr>
          <w:spacing w:val="-5"/>
        </w:rPr>
        <w:t xml:space="preserve"> </w:t>
      </w:r>
      <w:r w:rsidRPr="00C46AF0">
        <w:t>complete</w:t>
      </w:r>
      <w:r w:rsidRPr="00C46AF0">
        <w:rPr>
          <w:spacing w:val="-5"/>
        </w:rPr>
        <w:t xml:space="preserve"> </w:t>
      </w:r>
      <w:r w:rsidRPr="00C46AF0">
        <w:t>this</w:t>
      </w:r>
      <w:r w:rsidRPr="00C46AF0">
        <w:rPr>
          <w:spacing w:val="-5"/>
        </w:rPr>
        <w:t xml:space="preserve"> </w:t>
      </w:r>
      <w:r w:rsidRPr="00C46AF0">
        <w:t xml:space="preserve">online </w:t>
      </w:r>
      <w:hyperlink r:id="rId11" w:history="1">
        <w:r w:rsidRPr="00C46AF0">
          <w:rPr>
            <w:rStyle w:val="Hyperlink"/>
            <w:color w:val="auto"/>
          </w:rPr>
          <w:t>Partnership Agreement Form</w:t>
        </w:r>
      </w:hyperlink>
      <w:r w:rsidRPr="00C46AF0">
        <w:t xml:space="preserve">. Schools </w:t>
      </w:r>
      <w:proofErr w:type="gramStart"/>
      <w:r w:rsidRPr="00C46AF0">
        <w:t>will be admitted</w:t>
      </w:r>
      <w:proofErr w:type="gramEnd"/>
      <w:r w:rsidRPr="00C46AF0">
        <w:t xml:space="preserve"> to the LIS immediately upon successful submission of the form. </w:t>
      </w:r>
    </w:p>
    <w:p w:rsidR="001C2A91" w:rsidRPr="00C46AF0" w:rsidRDefault="001C2A91" w:rsidP="001C2A91">
      <w:pPr>
        <w:pStyle w:val="BodyText"/>
        <w:spacing w:line="256" w:lineRule="auto"/>
        <w:ind w:left="100" w:right="158"/>
      </w:pPr>
    </w:p>
    <w:p w:rsidR="001C2A91" w:rsidRPr="00C46AF0" w:rsidRDefault="001C2A91" w:rsidP="001C2A91">
      <w:pPr>
        <w:pStyle w:val="BodyText"/>
        <w:spacing w:line="256" w:lineRule="auto"/>
        <w:ind w:left="100" w:right="158"/>
      </w:pPr>
      <w:r w:rsidRPr="00C46AF0">
        <w:t>If you have further questions, please</w:t>
      </w:r>
      <w:r w:rsidRPr="00C46AF0">
        <w:rPr>
          <w:spacing w:val="-12"/>
        </w:rPr>
        <w:t xml:space="preserve"> </w:t>
      </w:r>
      <w:r w:rsidRPr="00C46AF0">
        <w:t>contact:</w:t>
      </w:r>
    </w:p>
    <w:p w:rsidR="001C2A91" w:rsidRPr="00C46AF0" w:rsidRDefault="001C2A91" w:rsidP="001C2A91">
      <w:pPr>
        <w:pStyle w:val="BodyText"/>
        <w:spacing w:before="6"/>
        <w:rPr>
          <w:sz w:val="28"/>
        </w:rPr>
      </w:pPr>
    </w:p>
    <w:p w:rsidR="001C2A91" w:rsidRPr="00C46AF0" w:rsidRDefault="001C2A91" w:rsidP="001C2A91">
      <w:pPr>
        <w:spacing w:line="256" w:lineRule="auto"/>
        <w:ind w:left="100" w:right="7205"/>
      </w:pPr>
      <w:r w:rsidRPr="00C46AF0">
        <w:rPr>
          <w:b/>
        </w:rPr>
        <w:t xml:space="preserve">Massachusetts State Liaison </w:t>
      </w:r>
      <w:r w:rsidRPr="00C46AF0">
        <w:t>Aaron Townsend, Senior Associate Great Schools Partnership</w:t>
      </w:r>
    </w:p>
    <w:p w:rsidR="001C2A91" w:rsidRPr="00C46AF0" w:rsidRDefault="00CD739B" w:rsidP="001C2A91">
      <w:pPr>
        <w:pStyle w:val="BodyText"/>
        <w:spacing w:line="256" w:lineRule="auto"/>
        <w:ind w:left="100" w:right="5439"/>
      </w:pPr>
      <w:hyperlink r:id="rId12">
        <w:r w:rsidR="001C2A91" w:rsidRPr="00C46AF0">
          <w:t>atownsend@greatschoolspartnership.org</w:t>
        </w:r>
      </w:hyperlink>
      <w:r w:rsidR="001C2A91" w:rsidRPr="00C46AF0">
        <w:t xml:space="preserve"> 207.233.0228</w:t>
      </w:r>
    </w:p>
    <w:p w:rsidR="001C2A91" w:rsidRPr="00C46AF0" w:rsidRDefault="001C2A91" w:rsidP="001C2A91">
      <w:pPr>
        <w:pStyle w:val="EndnoteText"/>
      </w:pPr>
    </w:p>
    <w:p w:rsidR="006E6759" w:rsidRDefault="006E6759" w:rsidP="006E6759">
      <w:pPr>
        <w:pStyle w:val="PlainText"/>
      </w:pPr>
      <w:r>
        <w:t>Here are some suggestion for the Institution of Higher Education with bilingual expertise:</w:t>
      </w:r>
    </w:p>
    <w:p w:rsidR="006E6759" w:rsidRDefault="006E6759" w:rsidP="006E6759">
      <w:pPr>
        <w:pStyle w:val="PlainText"/>
      </w:pPr>
    </w:p>
    <w:p w:rsidR="006E6759" w:rsidRDefault="006E6759" w:rsidP="006E6759">
      <w:pPr>
        <w:pStyle w:val="PlainText"/>
      </w:pPr>
      <w:r>
        <w:lastRenderedPageBreak/>
        <w:t xml:space="preserve">Boston </w:t>
      </w:r>
      <w:proofErr w:type="spellStart"/>
      <w:r>
        <w:t>College</w:t>
      </w:r>
      <w:proofErr w:type="gramStart"/>
      <w:r>
        <w:t>:Office</w:t>
      </w:r>
      <w:proofErr w:type="spellEnd"/>
      <w:proofErr w:type="gramEnd"/>
      <w:r>
        <w:t xml:space="preserve"> of TESOL</w:t>
      </w:r>
    </w:p>
    <w:p w:rsidR="006E6759" w:rsidRDefault="006E6759" w:rsidP="006E6759">
      <w:pPr>
        <w:pStyle w:val="PlainText"/>
      </w:pPr>
      <w:r>
        <w:t>Lesley University: Office of TESOL</w:t>
      </w:r>
    </w:p>
    <w:p w:rsidR="006E6759" w:rsidRDefault="006E6759" w:rsidP="006E6759">
      <w:pPr>
        <w:pStyle w:val="PlainText"/>
      </w:pPr>
      <w:r>
        <w:t>University of Massachusetts, Boston: Office of Bilingual Education Boston University: Office of Language Acquisition Bridgewater College: Office of TESOL</w:t>
      </w:r>
    </w:p>
    <w:p w:rsidR="00533212" w:rsidRDefault="00533212"/>
    <w:sectPr w:rsidR="00533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035CA"/>
    <w:multiLevelType w:val="hybridMultilevel"/>
    <w:tmpl w:val="8CFE4FAE"/>
    <w:lvl w:ilvl="0" w:tplc="20C234FE">
      <w:numFmt w:val="bullet"/>
      <w:lvlText w:val="●"/>
      <w:lvlJc w:val="left"/>
      <w:pPr>
        <w:ind w:left="820" w:hanging="360"/>
      </w:pPr>
      <w:rPr>
        <w:rFonts w:ascii="Arial" w:eastAsia="Arial" w:hAnsi="Arial" w:cs="Arial" w:hint="default"/>
        <w:spacing w:val="-1"/>
        <w:w w:val="100"/>
        <w:sz w:val="22"/>
        <w:szCs w:val="22"/>
      </w:rPr>
    </w:lvl>
    <w:lvl w:ilvl="1" w:tplc="77241D32">
      <w:numFmt w:val="bullet"/>
      <w:lvlText w:val="•"/>
      <w:lvlJc w:val="left"/>
      <w:pPr>
        <w:ind w:left="1826" w:hanging="360"/>
      </w:pPr>
      <w:rPr>
        <w:rFonts w:hint="default"/>
      </w:rPr>
    </w:lvl>
    <w:lvl w:ilvl="2" w:tplc="8AC41CB8">
      <w:numFmt w:val="bullet"/>
      <w:lvlText w:val="•"/>
      <w:lvlJc w:val="left"/>
      <w:pPr>
        <w:ind w:left="2832" w:hanging="360"/>
      </w:pPr>
      <w:rPr>
        <w:rFonts w:hint="default"/>
      </w:rPr>
    </w:lvl>
    <w:lvl w:ilvl="3" w:tplc="34D8A13E">
      <w:numFmt w:val="bullet"/>
      <w:lvlText w:val="•"/>
      <w:lvlJc w:val="left"/>
      <w:pPr>
        <w:ind w:left="3838" w:hanging="360"/>
      </w:pPr>
      <w:rPr>
        <w:rFonts w:hint="default"/>
      </w:rPr>
    </w:lvl>
    <w:lvl w:ilvl="4" w:tplc="43382C2E">
      <w:numFmt w:val="bullet"/>
      <w:lvlText w:val="•"/>
      <w:lvlJc w:val="left"/>
      <w:pPr>
        <w:ind w:left="4844" w:hanging="360"/>
      </w:pPr>
      <w:rPr>
        <w:rFonts w:hint="default"/>
      </w:rPr>
    </w:lvl>
    <w:lvl w:ilvl="5" w:tplc="638C6976">
      <w:numFmt w:val="bullet"/>
      <w:lvlText w:val="•"/>
      <w:lvlJc w:val="left"/>
      <w:pPr>
        <w:ind w:left="5850" w:hanging="360"/>
      </w:pPr>
      <w:rPr>
        <w:rFonts w:hint="default"/>
      </w:rPr>
    </w:lvl>
    <w:lvl w:ilvl="6" w:tplc="59A0C49A">
      <w:numFmt w:val="bullet"/>
      <w:lvlText w:val="•"/>
      <w:lvlJc w:val="left"/>
      <w:pPr>
        <w:ind w:left="6856" w:hanging="360"/>
      </w:pPr>
      <w:rPr>
        <w:rFonts w:hint="default"/>
      </w:rPr>
    </w:lvl>
    <w:lvl w:ilvl="7" w:tplc="E2D6DA66">
      <w:numFmt w:val="bullet"/>
      <w:lvlText w:val="•"/>
      <w:lvlJc w:val="left"/>
      <w:pPr>
        <w:ind w:left="7862" w:hanging="360"/>
      </w:pPr>
      <w:rPr>
        <w:rFonts w:hint="default"/>
      </w:rPr>
    </w:lvl>
    <w:lvl w:ilvl="8" w:tplc="FAD2E9A8">
      <w:numFmt w:val="bullet"/>
      <w:lvlText w:val="•"/>
      <w:lvlJc w:val="left"/>
      <w:pPr>
        <w:ind w:left="886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91"/>
    <w:rsid w:val="001C2A91"/>
    <w:rsid w:val="002D31CA"/>
    <w:rsid w:val="00533212"/>
    <w:rsid w:val="006E6759"/>
    <w:rsid w:val="00CD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BE83-92E2-4BD8-A0CF-C62EB770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A9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2A9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A91"/>
    <w:rPr>
      <w:rFonts w:ascii="Times New Roman" w:eastAsia="Times New Roman" w:hAnsi="Times New Roman" w:cs="Times New Roman"/>
      <w:b/>
      <w:sz w:val="20"/>
      <w:szCs w:val="20"/>
    </w:rPr>
  </w:style>
  <w:style w:type="paragraph" w:styleId="BodyText">
    <w:name w:val="Body Text"/>
    <w:basedOn w:val="Normal"/>
    <w:link w:val="BodyTextChar"/>
    <w:rsid w:val="001C2A91"/>
    <w:pPr>
      <w:spacing w:after="60"/>
      <w:jc w:val="both"/>
    </w:pPr>
    <w:rPr>
      <w:sz w:val="22"/>
    </w:rPr>
  </w:style>
  <w:style w:type="character" w:customStyle="1" w:styleId="BodyTextChar">
    <w:name w:val="Body Text Char"/>
    <w:basedOn w:val="DefaultParagraphFont"/>
    <w:link w:val="BodyText"/>
    <w:rsid w:val="001C2A91"/>
    <w:rPr>
      <w:rFonts w:ascii="Times New Roman" w:eastAsia="Times New Roman" w:hAnsi="Times New Roman" w:cs="Times New Roman"/>
      <w:szCs w:val="20"/>
    </w:rPr>
  </w:style>
  <w:style w:type="character" w:styleId="Hyperlink">
    <w:name w:val="Hyperlink"/>
    <w:uiPriority w:val="99"/>
    <w:unhideWhenUsed/>
    <w:rsid w:val="001C2A91"/>
    <w:rPr>
      <w:color w:val="0000FF"/>
      <w:u w:val="single"/>
    </w:rPr>
  </w:style>
  <w:style w:type="paragraph" w:styleId="ListParagraph">
    <w:name w:val="List Paragraph"/>
    <w:basedOn w:val="Normal"/>
    <w:uiPriority w:val="1"/>
    <w:qFormat/>
    <w:rsid w:val="001C2A91"/>
    <w:pPr>
      <w:ind w:left="720"/>
      <w:contextualSpacing/>
    </w:pPr>
    <w:rPr>
      <w:rFonts w:ascii="Calibri" w:eastAsia="Calibri" w:hAnsi="Calibri"/>
      <w:sz w:val="22"/>
      <w:szCs w:val="22"/>
    </w:rPr>
  </w:style>
  <w:style w:type="paragraph" w:styleId="EndnoteText">
    <w:name w:val="endnote text"/>
    <w:basedOn w:val="Normal"/>
    <w:link w:val="EndnoteTextChar"/>
    <w:rsid w:val="001C2A91"/>
  </w:style>
  <w:style w:type="character" w:customStyle="1" w:styleId="EndnoteTextChar">
    <w:name w:val="Endnote Text Char"/>
    <w:basedOn w:val="DefaultParagraphFont"/>
    <w:link w:val="EndnoteText"/>
    <w:rsid w:val="001C2A91"/>
    <w:rPr>
      <w:rFonts w:ascii="Times New Roman" w:eastAsia="Times New Roman" w:hAnsi="Times New Roman" w:cs="Times New Roman"/>
      <w:sz w:val="20"/>
      <w:szCs w:val="20"/>
    </w:rPr>
  </w:style>
  <w:style w:type="character" w:styleId="EndnoteReference">
    <w:name w:val="endnote reference"/>
    <w:basedOn w:val="DefaultParagraphFont"/>
    <w:rsid w:val="001C2A91"/>
    <w:rPr>
      <w:vertAlign w:val="superscript"/>
    </w:rPr>
  </w:style>
  <w:style w:type="paragraph" w:styleId="PlainText">
    <w:name w:val="Plain Text"/>
    <w:basedOn w:val="Normal"/>
    <w:link w:val="PlainTextChar"/>
    <w:uiPriority w:val="99"/>
    <w:semiHidden/>
    <w:unhideWhenUsed/>
    <w:rsid w:val="006E675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675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38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ownsend@greatschoolspartnershi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19.formsite.com/GSP1/LIS_Agreement/index.html" TargetMode="External"/><Relationship Id="rId5" Type="http://schemas.openxmlformats.org/officeDocument/2006/relationships/numbering" Target="numbering.xml"/><Relationship Id="rId10" Type="http://schemas.openxmlformats.org/officeDocument/2006/relationships/hyperlink" Target="https://www.newenglandssc.org/league/about-the-league/" TargetMode="External"/><Relationship Id="rId4" Type="http://schemas.openxmlformats.org/officeDocument/2006/relationships/customXml" Target="../customXml/item4.xml"/><Relationship Id="rId9" Type="http://schemas.openxmlformats.org/officeDocument/2006/relationships/hyperlink" Target="https://www.greatschoolspartnershi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DESE-231-46555</_dlc_DocId>
    <_dlc_DocIdUrl xmlns="733efe1c-5bbe-4968-87dc-d400e65c879f">
      <Url>https://sharepoint.doemass.org/ese/webteam/cps/_layouts/DocIdRedir.aspx?ID=DESE-231-46555</Url>
      <Description>DESE-231-46555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568B38C-2DA4-40FB-84A8-15336BB4E28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B16530A-BF06-4FFE-9899-8ACC88806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53DD0-F526-410E-8A30-C0CCF9D39210}">
  <ds:schemaRefs>
    <ds:schemaRef ds:uri="http://schemas.microsoft.com/sharepoint/events"/>
  </ds:schemaRefs>
</ds:datastoreItem>
</file>

<file path=customXml/itemProps4.xml><?xml version="1.0" encoding="utf-8"?>
<ds:datastoreItem xmlns:ds="http://schemas.openxmlformats.org/officeDocument/2006/customXml" ds:itemID="{75FDB3DD-4F86-4941-BF7D-30A723A3F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FY19 FC181 Gateway City  Education- Bilingual Edu Program Network Opportunity - League of Innovative Schools</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FC181 Gateway City  Education- Bilingual Edu Program Network Opportunity - League of Innovative Schools</dc:title>
  <dc:subject/>
  <dc:creator>DESE</dc:creator>
  <cp:keywords/>
  <dc:description/>
  <cp:lastModifiedBy>Zou, Dong (EOE)</cp:lastModifiedBy>
  <cp:revision>5</cp:revision>
  <dcterms:created xsi:type="dcterms:W3CDTF">2018-10-22T21:24:00Z</dcterms:created>
  <dcterms:modified xsi:type="dcterms:W3CDTF">2018-11-07T22:04:00Z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2018</vt:lpwstr>
  </property>
</Properties>
</file>