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431F7" w:rsidRPr="002256B1" w:rsidTr="00CA23C0">
        <w:tc>
          <w:tcPr>
            <w:tcW w:w="9576" w:type="dxa"/>
          </w:tcPr>
          <w:p w:rsidR="005431F7" w:rsidRPr="002256B1" w:rsidRDefault="005431F7" w:rsidP="00CA23C0">
            <w:pPr>
              <w:pStyle w:val="Heading1"/>
              <w:spacing w:before="60" w:after="60"/>
              <w:jc w:val="left"/>
              <w:rPr>
                <w:rFonts w:ascii="Arial" w:hAnsi="Arial" w:cs="Arial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Arial" w:hAnsi="Arial" w:cs="Arial"/>
              </w:rPr>
              <w:t xml:space="preserve">Part III - </w:t>
            </w:r>
            <w:r w:rsidRPr="002256B1">
              <w:rPr>
                <w:rFonts w:ascii="Arial" w:hAnsi="Arial" w:cs="Arial"/>
              </w:rPr>
              <w:t>REQUIRED PROGRAM INFORMATION</w:t>
            </w:r>
          </w:p>
        </w:tc>
      </w:tr>
    </w:tbl>
    <w:p w:rsidR="005431F7" w:rsidRPr="00160DDC" w:rsidRDefault="005431F7" w:rsidP="005431F7">
      <w:pPr>
        <w:rPr>
          <w:rFonts w:cs="Arial"/>
          <w:szCs w:val="20"/>
        </w:rPr>
      </w:pPr>
    </w:p>
    <w:p w:rsidR="005431F7" w:rsidRPr="005A66E5" w:rsidRDefault="005431F7" w:rsidP="005431F7">
      <w:pPr>
        <w:rPr>
          <w:rFonts w:cs="Arial"/>
          <w:color w:val="000000" w:themeColor="text1"/>
          <w:szCs w:val="20"/>
        </w:rPr>
      </w:pPr>
      <w:r w:rsidRPr="00160DDC">
        <w:rPr>
          <w:rFonts w:cs="Arial"/>
          <w:szCs w:val="20"/>
        </w:rPr>
        <w:t xml:space="preserve">Applicants must respond to </w:t>
      </w:r>
      <w:r>
        <w:rPr>
          <w:rFonts w:cs="Arial"/>
          <w:szCs w:val="20"/>
        </w:rPr>
        <w:t>all n</w:t>
      </w:r>
      <w:r w:rsidRPr="00160DDC">
        <w:rPr>
          <w:rFonts w:cs="Arial"/>
          <w:szCs w:val="20"/>
        </w:rPr>
        <w:t>arrative response</w:t>
      </w:r>
      <w:r>
        <w:rPr>
          <w:rFonts w:cs="Arial"/>
          <w:szCs w:val="20"/>
        </w:rPr>
        <w:t xml:space="preserve"> prompts.  The narrative response for the basic grant application</w:t>
      </w:r>
      <w:r w:rsidRPr="00160DDC">
        <w:rPr>
          <w:rFonts w:cs="Arial"/>
          <w:szCs w:val="20"/>
        </w:rPr>
        <w:t xml:space="preserve"> may not </w:t>
      </w:r>
      <w:r w:rsidRPr="00834365">
        <w:rPr>
          <w:rFonts w:cs="Arial"/>
          <w:szCs w:val="20"/>
        </w:rPr>
        <w:t>exceed</w:t>
      </w:r>
      <w:r w:rsidR="00DF4F9D">
        <w:rPr>
          <w:rFonts w:cs="Arial"/>
          <w:szCs w:val="20"/>
        </w:rPr>
        <w:t xml:space="preserve"> </w:t>
      </w:r>
      <w:r w:rsidR="00DF4F9D" w:rsidRPr="00643993">
        <w:rPr>
          <w:rFonts w:cs="Arial"/>
          <w:szCs w:val="20"/>
        </w:rPr>
        <w:t>five</w:t>
      </w:r>
      <w:r w:rsidR="005A66E5" w:rsidRPr="00643993">
        <w:rPr>
          <w:rFonts w:cs="Arial"/>
          <w:szCs w:val="20"/>
        </w:rPr>
        <w:t xml:space="preserve"> </w:t>
      </w:r>
      <w:r w:rsidRPr="00643993">
        <w:rPr>
          <w:rFonts w:cs="Arial"/>
          <w:szCs w:val="20"/>
        </w:rPr>
        <w:t>pages</w:t>
      </w:r>
      <w:r w:rsidR="00643993" w:rsidRPr="00643993">
        <w:rPr>
          <w:rFonts w:cs="Arial"/>
          <w:szCs w:val="20"/>
        </w:rPr>
        <w:t>.</w:t>
      </w:r>
      <w:r w:rsidR="00643993">
        <w:rPr>
          <w:rFonts w:cs="Arial"/>
          <w:szCs w:val="20"/>
        </w:rPr>
        <w:t xml:space="preserve"> </w:t>
      </w:r>
    </w:p>
    <w:bookmarkEnd w:id="0"/>
    <w:bookmarkEnd w:id="1"/>
    <w:bookmarkEnd w:id="2"/>
    <w:p w:rsidR="002C0AC5" w:rsidRDefault="002C0AC5" w:rsidP="002C0AC5">
      <w:pPr>
        <w:rPr>
          <w:rFonts w:ascii="Tahoma" w:hAnsi="Tahoma" w:cs="Tahoma"/>
          <w:color w:val="000000"/>
          <w:szCs w:val="20"/>
        </w:rPr>
      </w:pPr>
    </w:p>
    <w:p w:rsidR="0074670C" w:rsidRPr="0074670C" w:rsidRDefault="0074670C">
      <w:pPr>
        <w:rPr>
          <w:b/>
        </w:rPr>
      </w:pPr>
      <w:r w:rsidRPr="0074670C">
        <w:rPr>
          <w:b/>
        </w:rPr>
        <w:t>Program and Services</w:t>
      </w:r>
    </w:p>
    <w:p w:rsidR="00EA7854" w:rsidRPr="0074670C" w:rsidRDefault="00EA7854"/>
    <w:p w:rsidR="00ED5A7E" w:rsidRDefault="0065271D" w:rsidP="00CC641B">
      <w:pPr>
        <w:pStyle w:val="ListParagraph"/>
        <w:numPr>
          <w:ilvl w:val="0"/>
          <w:numId w:val="4"/>
        </w:numPr>
      </w:pPr>
      <w:r w:rsidRPr="0074670C">
        <w:rPr>
          <w:rFonts w:cs="Tahoma"/>
          <w:color w:val="000000"/>
          <w:szCs w:val="20"/>
        </w:rPr>
        <w:t xml:space="preserve">Applicants may propose a duration of instructional services from 6 months to a full year. </w:t>
      </w:r>
      <w:r w:rsidR="005A17A7" w:rsidRPr="0074670C">
        <w:t xml:space="preserve">Identify the </w:t>
      </w:r>
      <w:r>
        <w:t xml:space="preserve">number </w:t>
      </w:r>
      <w:r w:rsidR="005A17A7" w:rsidRPr="0074670C">
        <w:t xml:space="preserve">of </w:t>
      </w:r>
      <w:r>
        <w:t xml:space="preserve">weeks of </w:t>
      </w:r>
      <w:r w:rsidR="005A17A7" w:rsidRPr="0074670C">
        <w:t xml:space="preserve">instructional services. </w:t>
      </w:r>
      <w:r w:rsidR="00245D7A" w:rsidRPr="0074670C">
        <w:t>Describe the overall program design and provide a rationale for this design explaining how the components will advance student outcomes.</w:t>
      </w:r>
      <w:r w:rsidR="00DA3113" w:rsidRPr="0074670C">
        <w:t xml:space="preserve"> </w:t>
      </w:r>
    </w:p>
    <w:p w:rsidR="00ED5A7E" w:rsidRDefault="00ED5A7E" w:rsidP="00ED5A7E">
      <w:pPr>
        <w:pStyle w:val="ListParagraph"/>
      </w:pPr>
    </w:p>
    <w:p w:rsidR="00245D7A" w:rsidRPr="0074670C" w:rsidRDefault="00ED5A7E" w:rsidP="00ED5A7E">
      <w:pPr>
        <w:pStyle w:val="ListParagraph"/>
      </w:pPr>
      <w:r>
        <w:t>Add and c</w:t>
      </w:r>
      <w:r w:rsidR="00DA3113" w:rsidRPr="0074670C">
        <w:rPr>
          <w:rFonts w:cs="Arial"/>
        </w:rPr>
        <w:t xml:space="preserve">omplete </w:t>
      </w:r>
      <w:r>
        <w:rPr>
          <w:rFonts w:cs="Arial"/>
        </w:rPr>
        <w:t xml:space="preserve">a row in the </w:t>
      </w:r>
      <w:r w:rsidR="00DA3113" w:rsidRPr="0074670C">
        <w:rPr>
          <w:rFonts w:cs="Arial"/>
        </w:rPr>
        <w:t>class grid</w:t>
      </w:r>
      <w:r>
        <w:rPr>
          <w:rFonts w:cs="Arial"/>
        </w:rPr>
        <w:t xml:space="preserve"> for each class</w:t>
      </w:r>
      <w:r w:rsidR="005A66E5">
        <w:rPr>
          <w:rFonts w:cs="Arial"/>
        </w:rPr>
        <w:t xml:space="preserve">, provide </w:t>
      </w:r>
      <w:r>
        <w:rPr>
          <w:rFonts w:cs="Arial"/>
        </w:rPr>
        <w:t xml:space="preserve">a </w:t>
      </w:r>
      <w:r w:rsidR="005A66E5">
        <w:rPr>
          <w:rFonts w:cs="Arial"/>
        </w:rPr>
        <w:t>cost per seat</w:t>
      </w:r>
      <w:r w:rsidR="00DA3113" w:rsidRPr="0074670C">
        <w:rPr>
          <w:rFonts w:cs="Arial"/>
        </w:rPr>
        <w:t xml:space="preserve"> </w:t>
      </w:r>
      <w:r w:rsidR="002C29D0">
        <w:rPr>
          <w:rFonts w:cs="Arial"/>
        </w:rPr>
        <w:t xml:space="preserve">that does not exceed $2,300 </w:t>
      </w:r>
      <w:r w:rsidR="00DA3113" w:rsidRPr="0074670C">
        <w:rPr>
          <w:rFonts w:cs="Arial"/>
        </w:rPr>
        <w:t xml:space="preserve">and submit as part of the </w:t>
      </w:r>
      <w:r w:rsidR="00AE6490">
        <w:rPr>
          <w:rFonts w:cs="Arial"/>
        </w:rPr>
        <w:t>narrative response</w:t>
      </w:r>
      <w:r w:rsidR="00DA3113" w:rsidRPr="0074670C">
        <w:rPr>
          <w:rFonts w:cs="Arial"/>
        </w:rPr>
        <w:t>.</w:t>
      </w:r>
    </w:p>
    <w:p w:rsidR="00EA7854" w:rsidRPr="0074670C" w:rsidRDefault="00245D7A" w:rsidP="00EA7854">
      <w:pPr>
        <w:rPr>
          <w:rFonts w:cs="Tahoma"/>
          <w:color w:val="000000"/>
          <w:szCs w:val="20"/>
        </w:rPr>
      </w:pPr>
      <w:r w:rsidRPr="0074670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13"/>
        <w:gridCol w:w="796"/>
        <w:gridCol w:w="824"/>
        <w:gridCol w:w="885"/>
        <w:gridCol w:w="824"/>
        <w:gridCol w:w="1578"/>
        <w:gridCol w:w="1376"/>
        <w:gridCol w:w="896"/>
      </w:tblGrid>
      <w:tr w:rsidR="00F55A0D" w:rsidRPr="0074670C" w:rsidTr="00D57B4B">
        <w:tc>
          <w:tcPr>
            <w:tcW w:w="9576" w:type="dxa"/>
            <w:gridSpan w:val="9"/>
          </w:tcPr>
          <w:p w:rsidR="00F55A0D" w:rsidRPr="0074670C" w:rsidRDefault="00F55A0D" w:rsidP="00D57B4B">
            <w:pPr>
              <w:jc w:val="center"/>
              <w:rPr>
                <w:rFonts w:cs="Arial"/>
              </w:rPr>
            </w:pPr>
            <w:r w:rsidRPr="0074670C">
              <w:rPr>
                <w:rFonts w:cs="Arial"/>
              </w:rPr>
              <w:t>SAMPLE Class Schedule</w:t>
            </w:r>
          </w:p>
        </w:tc>
      </w:tr>
      <w:tr w:rsidR="00F55A0D" w:rsidRPr="002C29D0" w:rsidTr="00D57B4B">
        <w:tc>
          <w:tcPr>
            <w:tcW w:w="468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793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 xml:space="preserve">Class </w:t>
            </w:r>
          </w:p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 xml:space="preserve">Type </w:t>
            </w:r>
          </w:p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(ABE or ESOL)</w:t>
            </w:r>
          </w:p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# Days per Week</w:t>
            </w:r>
          </w:p>
        </w:tc>
        <w:tc>
          <w:tcPr>
            <w:tcW w:w="833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# Hours</w:t>
            </w:r>
          </w:p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Per Class</w:t>
            </w:r>
          </w:p>
        </w:tc>
        <w:tc>
          <w:tcPr>
            <w:tcW w:w="897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# Weeks per Year</w:t>
            </w:r>
          </w:p>
        </w:tc>
        <w:tc>
          <w:tcPr>
            <w:tcW w:w="833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Total Class Hours</w:t>
            </w:r>
          </w:p>
        </w:tc>
        <w:tc>
          <w:tcPr>
            <w:tcW w:w="1652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Class Focus</w:t>
            </w:r>
          </w:p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# Projected Enrollments (minimum of 10)</w:t>
            </w:r>
          </w:p>
        </w:tc>
        <w:tc>
          <w:tcPr>
            <w:tcW w:w="903" w:type="dxa"/>
          </w:tcPr>
          <w:p w:rsidR="00F55A0D" w:rsidRPr="002C29D0" w:rsidRDefault="00F55A0D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Cost</w:t>
            </w:r>
          </w:p>
          <w:p w:rsidR="00173FD8" w:rsidRPr="002C29D0" w:rsidRDefault="00173FD8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Per seat</w:t>
            </w:r>
          </w:p>
          <w:p w:rsidR="002C29D0" w:rsidRPr="002C29D0" w:rsidRDefault="002C29D0" w:rsidP="00D57B4B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2C29D0">
              <w:rPr>
                <w:rFonts w:cs="Arial"/>
                <w:bCs/>
                <w:color w:val="000000"/>
                <w:sz w:val="18"/>
                <w:szCs w:val="18"/>
              </w:rPr>
              <w:t>(do not exceed $2300)</w:t>
            </w:r>
          </w:p>
        </w:tc>
      </w:tr>
      <w:tr w:rsidR="00F55A0D" w:rsidRPr="0074670C" w:rsidTr="00D57B4B">
        <w:tc>
          <w:tcPr>
            <w:tcW w:w="468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  <w:r w:rsidRPr="0074670C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1793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07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3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97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3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90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03" w:type="dxa"/>
          </w:tcPr>
          <w:p w:rsidR="00F55A0D" w:rsidRPr="0074670C" w:rsidRDefault="00F55A0D" w:rsidP="00D57B4B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F55A0D" w:rsidRPr="0074670C" w:rsidTr="00D57B4B">
        <w:tc>
          <w:tcPr>
            <w:tcW w:w="468" w:type="dxa"/>
          </w:tcPr>
          <w:p w:rsidR="00F55A0D" w:rsidRPr="0074670C" w:rsidRDefault="00F55A0D" w:rsidP="00D57B4B">
            <w:pPr>
              <w:rPr>
                <w:rFonts w:cs="Arial"/>
                <w:b/>
              </w:rPr>
            </w:pPr>
          </w:p>
        </w:tc>
        <w:tc>
          <w:tcPr>
            <w:tcW w:w="9108" w:type="dxa"/>
            <w:gridSpan w:val="8"/>
          </w:tcPr>
          <w:p w:rsidR="00F55A0D" w:rsidRPr="0074670C" w:rsidRDefault="00F55A0D" w:rsidP="00E051AB">
            <w:pPr>
              <w:jc w:val="center"/>
              <w:rPr>
                <w:rFonts w:cs="Arial"/>
              </w:rPr>
            </w:pPr>
            <w:r w:rsidRPr="0074670C">
              <w:rPr>
                <w:rFonts w:cs="Arial"/>
              </w:rPr>
              <w:t>Use the SAMPLE row above to create and complete your class plan.</w:t>
            </w:r>
          </w:p>
        </w:tc>
      </w:tr>
    </w:tbl>
    <w:p w:rsidR="00245D7A" w:rsidRPr="0074670C" w:rsidRDefault="00245D7A" w:rsidP="00781459">
      <w:pPr>
        <w:pStyle w:val="ListParagraph"/>
      </w:pPr>
    </w:p>
    <w:p w:rsidR="00362BF1" w:rsidRPr="0074670C" w:rsidRDefault="00362BF1" w:rsidP="00781459">
      <w:pPr>
        <w:pStyle w:val="ListParagraph"/>
      </w:pPr>
    </w:p>
    <w:p w:rsidR="008C63FF" w:rsidRDefault="00362BF1" w:rsidP="00362BF1">
      <w:pPr>
        <w:pStyle w:val="ListParagraph"/>
        <w:numPr>
          <w:ilvl w:val="0"/>
          <w:numId w:val="4"/>
        </w:numPr>
      </w:pPr>
      <w:r w:rsidRPr="0074670C">
        <w:t xml:space="preserve">Describe the strategies to be used to </w:t>
      </w:r>
      <w:r w:rsidR="006E1736">
        <w:t xml:space="preserve">serve </w:t>
      </w:r>
      <w:r w:rsidRPr="0074670C">
        <w:t>students</w:t>
      </w:r>
      <w:r w:rsidR="006E1736">
        <w:t xml:space="preserve"> </w:t>
      </w:r>
      <w:r w:rsidRPr="0074670C">
        <w:t>with disabilities and special needs</w:t>
      </w:r>
      <w:r w:rsidR="006E1736">
        <w:t>.</w:t>
      </w:r>
      <w:r w:rsidR="008145F3">
        <w:t xml:space="preserve"> </w:t>
      </w:r>
    </w:p>
    <w:p w:rsidR="008C63FF" w:rsidRDefault="008C63FF" w:rsidP="008C63FF">
      <w:pPr>
        <w:pStyle w:val="ListParagraph"/>
      </w:pPr>
    </w:p>
    <w:p w:rsidR="006E27FC" w:rsidRDefault="00654BD5" w:rsidP="004E0D98">
      <w:pPr>
        <w:pStyle w:val="ListParagraph"/>
        <w:numPr>
          <w:ilvl w:val="0"/>
          <w:numId w:val="4"/>
        </w:numPr>
      </w:pPr>
      <w:r>
        <w:t xml:space="preserve">Describe </w:t>
      </w:r>
      <w:r w:rsidR="006E27FC">
        <w:t xml:space="preserve">any </w:t>
      </w:r>
      <w:r>
        <w:t xml:space="preserve">transition advising </w:t>
      </w:r>
      <w:r w:rsidR="00F368AC">
        <w:t xml:space="preserve">services that may be needed </w:t>
      </w:r>
      <w:r w:rsidR="008145F3">
        <w:t xml:space="preserve">to </w:t>
      </w:r>
      <w:r w:rsidR="00F368AC">
        <w:t>support student</w:t>
      </w:r>
      <w:r w:rsidR="00D30EBB">
        <w:t>s’</w:t>
      </w:r>
      <w:r w:rsidR="00F368AC">
        <w:t xml:space="preserve"> transition to </w:t>
      </w:r>
      <w:r w:rsidR="008145F3">
        <w:t>other program</w:t>
      </w:r>
      <w:r w:rsidR="00D30EBB">
        <w:t>s</w:t>
      </w:r>
      <w:r w:rsidR="008145F3">
        <w:t xml:space="preserve"> </w:t>
      </w:r>
      <w:r w:rsidR="009C17BF">
        <w:t xml:space="preserve">to </w:t>
      </w:r>
      <w:r w:rsidR="00EA048A">
        <w:t xml:space="preserve">ensure </w:t>
      </w:r>
      <w:r w:rsidR="009C17BF">
        <w:t>their continued A</w:t>
      </w:r>
      <w:r w:rsidR="00EA048A">
        <w:t>B</w:t>
      </w:r>
      <w:r w:rsidR="009C17BF">
        <w:t xml:space="preserve">E or ESOL education. </w:t>
      </w:r>
      <w:r w:rsidR="00EA048A">
        <w:t>If applicable, d</w:t>
      </w:r>
      <w:r w:rsidR="006E27FC">
        <w:t xml:space="preserve">escribe the structure for advising that </w:t>
      </w:r>
      <w:r w:rsidR="00EA048A">
        <w:t xml:space="preserve">supports </w:t>
      </w:r>
      <w:r w:rsidR="006E27FC">
        <w:t>student</w:t>
      </w:r>
      <w:r w:rsidR="00EA048A">
        <w:t>s</w:t>
      </w:r>
      <w:r w:rsidR="006E27FC">
        <w:t xml:space="preserve"> </w:t>
      </w:r>
      <w:r w:rsidR="00EA048A">
        <w:t xml:space="preserve">in their decisions for </w:t>
      </w:r>
      <w:r w:rsidR="006E27FC">
        <w:t xml:space="preserve">appropriate next steps for postsecondary </w:t>
      </w:r>
      <w:r w:rsidR="00EA048A">
        <w:t xml:space="preserve">education </w:t>
      </w:r>
      <w:r w:rsidR="006E27FC">
        <w:t>or employment.</w:t>
      </w:r>
    </w:p>
    <w:p w:rsidR="0074670C" w:rsidRPr="0074670C" w:rsidRDefault="0074670C" w:rsidP="0074670C">
      <w:pPr>
        <w:pStyle w:val="ListParagraph"/>
      </w:pPr>
    </w:p>
    <w:p w:rsidR="0074670C" w:rsidRDefault="00F84F02" w:rsidP="00362BF1">
      <w:pPr>
        <w:pStyle w:val="ListParagraph"/>
        <w:numPr>
          <w:ilvl w:val="0"/>
          <w:numId w:val="4"/>
        </w:numPr>
      </w:pPr>
      <w:r>
        <w:t>Provide a brief example of how the c</w:t>
      </w:r>
      <w:r w:rsidR="0074670C" w:rsidRPr="0074670C">
        <w:t xml:space="preserve">urriculum </w:t>
      </w:r>
      <w:r>
        <w:t xml:space="preserve">is </w:t>
      </w:r>
      <w:r w:rsidR="0074670C" w:rsidRPr="0074670C">
        <w:t xml:space="preserve">aligned with the College and Career Readiness Standards for Adult Education. </w:t>
      </w:r>
      <w:r w:rsidR="00D30EBB">
        <w:t>Describe any technology integrated into the curriculum.</w:t>
      </w:r>
    </w:p>
    <w:p w:rsidR="00E051AB" w:rsidRDefault="00E051AB" w:rsidP="00E051AB">
      <w:pPr>
        <w:pStyle w:val="ListParagraph"/>
      </w:pPr>
    </w:p>
    <w:p w:rsidR="00C161F7" w:rsidRDefault="00C161F7" w:rsidP="005C26C3">
      <w:pPr>
        <w:rPr>
          <w:b/>
        </w:rPr>
      </w:pPr>
    </w:p>
    <w:p w:rsidR="005C26C3" w:rsidRDefault="005C26C3" w:rsidP="005C26C3">
      <w:pPr>
        <w:rPr>
          <w:b/>
        </w:rPr>
      </w:pPr>
      <w:r w:rsidRPr="005C26C3">
        <w:rPr>
          <w:b/>
        </w:rPr>
        <w:t>Organizational Capacity</w:t>
      </w:r>
    </w:p>
    <w:p w:rsidR="005C26C3" w:rsidRDefault="005C26C3" w:rsidP="005C26C3">
      <w:pPr>
        <w:rPr>
          <w:b/>
        </w:rPr>
      </w:pPr>
    </w:p>
    <w:p w:rsidR="005C26C3" w:rsidRDefault="005C26C3" w:rsidP="003512DD">
      <w:pPr>
        <w:pStyle w:val="ListParagraph"/>
        <w:numPr>
          <w:ilvl w:val="0"/>
          <w:numId w:val="6"/>
        </w:numPr>
      </w:pPr>
      <w:r w:rsidRPr="005C26C3">
        <w:t>Describe the education</w:t>
      </w:r>
      <w:r w:rsidR="009F4189">
        <w:t>al</w:t>
      </w:r>
      <w:r w:rsidRPr="005C26C3">
        <w:t xml:space="preserve"> leadership</w:t>
      </w:r>
      <w:r w:rsidR="00CD121D">
        <w:t xml:space="preserve"> that drives program </w:t>
      </w:r>
      <w:r w:rsidR="0094505F">
        <w:t xml:space="preserve">oversight </w:t>
      </w:r>
      <w:r w:rsidR="00B45939">
        <w:t xml:space="preserve">and </w:t>
      </w:r>
      <w:r w:rsidR="00CD121D">
        <w:t>improvement</w:t>
      </w:r>
      <w:r w:rsidR="00EA048A">
        <w:t>.</w:t>
      </w:r>
      <w:r w:rsidR="00CD121D">
        <w:t xml:space="preserve"> </w:t>
      </w:r>
    </w:p>
    <w:p w:rsidR="0094505F" w:rsidRDefault="0094505F" w:rsidP="005C26C3"/>
    <w:p w:rsidR="0094505F" w:rsidRDefault="0094505F" w:rsidP="003512DD">
      <w:pPr>
        <w:pStyle w:val="ListParagraph"/>
        <w:numPr>
          <w:ilvl w:val="0"/>
          <w:numId w:val="6"/>
        </w:numPr>
      </w:pPr>
      <w:r>
        <w:t xml:space="preserve">Describe any other </w:t>
      </w:r>
      <w:r w:rsidR="00362892">
        <w:t xml:space="preserve">funding </w:t>
      </w:r>
      <w:r>
        <w:t xml:space="preserve">resources available to the applicant </w:t>
      </w:r>
      <w:r w:rsidR="00362892">
        <w:t xml:space="preserve">in order that </w:t>
      </w:r>
      <w:r>
        <w:t xml:space="preserve">students </w:t>
      </w:r>
      <w:r w:rsidR="003135D5">
        <w:t>may continue</w:t>
      </w:r>
      <w:r>
        <w:t xml:space="preserve"> their education within the program beyond FY 19.</w:t>
      </w:r>
    </w:p>
    <w:p w:rsidR="0094505F" w:rsidRDefault="0094505F" w:rsidP="005C26C3">
      <w:pPr>
        <w:rPr>
          <w:b/>
        </w:rPr>
      </w:pPr>
    </w:p>
    <w:p w:rsidR="0094505F" w:rsidRDefault="0094505F" w:rsidP="005C26C3">
      <w:pPr>
        <w:rPr>
          <w:b/>
        </w:rPr>
      </w:pPr>
    </w:p>
    <w:p w:rsidR="00486E09" w:rsidRPr="00486E09" w:rsidRDefault="008C63FF" w:rsidP="005C26C3">
      <w:pPr>
        <w:rPr>
          <w:b/>
        </w:rPr>
      </w:pPr>
      <w:r w:rsidRPr="00486E09">
        <w:rPr>
          <w:b/>
        </w:rPr>
        <w:t>Fiscal:</w:t>
      </w:r>
    </w:p>
    <w:p w:rsidR="00486E09" w:rsidRDefault="00486E09" w:rsidP="005C26C3"/>
    <w:p w:rsidR="003B7E89" w:rsidRDefault="005C26C3" w:rsidP="003B7E89">
      <w:pPr>
        <w:pStyle w:val="ListParagraph"/>
        <w:numPr>
          <w:ilvl w:val="0"/>
          <w:numId w:val="7"/>
        </w:numPr>
      </w:pPr>
      <w:r>
        <w:t>Describe the organizations’ capacity to manage the grant for which it is applying</w:t>
      </w:r>
      <w:r w:rsidR="00523CEB">
        <w:t>. Describe</w:t>
      </w:r>
      <w:r w:rsidR="00C10599">
        <w:t xml:space="preserve"> </w:t>
      </w:r>
      <w:r w:rsidR="00BC2E5B">
        <w:t>the accounting</w:t>
      </w:r>
      <w:r w:rsidR="00C10599">
        <w:t xml:space="preserve"> system </w:t>
      </w:r>
      <w:r w:rsidR="00401003">
        <w:t>that</w:t>
      </w:r>
      <w:r w:rsidR="0094505F">
        <w:t xml:space="preserve"> ensures </w:t>
      </w:r>
      <w:r w:rsidR="00362892" w:rsidRPr="007D79B8">
        <w:t>grant funds w</w:t>
      </w:r>
      <w:r w:rsidR="00523CEB">
        <w:t>ill be</w:t>
      </w:r>
      <w:r w:rsidR="00362892" w:rsidRPr="007D79B8">
        <w:t xml:space="preserve"> expended in compliance with grant requirements and </w:t>
      </w:r>
      <w:r w:rsidR="00523CEB">
        <w:t>will be</w:t>
      </w:r>
      <w:r w:rsidR="00362892">
        <w:t xml:space="preserve"> </w:t>
      </w:r>
      <w:r w:rsidR="00362892" w:rsidRPr="007D79B8">
        <w:t>used for their intended purposes</w:t>
      </w:r>
      <w:r w:rsidR="00362892">
        <w:t xml:space="preserve"> and in c</w:t>
      </w:r>
      <w:r w:rsidR="0094505F">
        <w:t xml:space="preserve">ompliance with local and </w:t>
      </w:r>
      <w:r w:rsidR="00401003">
        <w:t>state regulations</w:t>
      </w:r>
      <w:r w:rsidR="0094505F">
        <w:t>.</w:t>
      </w:r>
      <w:bookmarkStart w:id="3" w:name="_GoBack"/>
      <w:bookmarkEnd w:id="3"/>
    </w:p>
    <w:p w:rsidR="005C26C3" w:rsidRDefault="005C26C3" w:rsidP="005C26C3">
      <w:r>
        <w:t xml:space="preserve"> </w:t>
      </w:r>
    </w:p>
    <w:sectPr w:rsidR="005C26C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19" w:rsidRDefault="00195719" w:rsidP="0014592A">
      <w:r>
        <w:separator/>
      </w:r>
    </w:p>
  </w:endnote>
  <w:endnote w:type="continuationSeparator" w:id="0">
    <w:p w:rsidR="00195719" w:rsidRDefault="00195719" w:rsidP="0014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19" w:rsidRDefault="00195719" w:rsidP="0014592A">
      <w:r>
        <w:separator/>
      </w:r>
    </w:p>
  </w:footnote>
  <w:footnote w:type="continuationSeparator" w:id="0">
    <w:p w:rsidR="00195719" w:rsidRDefault="00195719" w:rsidP="0014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  <w:tblDescription w:val="Name of Grant Program: Adult Education Services:   Fund Codes: 345/563 "/>
    </w:tblPr>
    <w:tblGrid>
      <w:gridCol w:w="9350"/>
    </w:tblGrid>
    <w:tr w:rsidR="0014592A" w:rsidTr="003203E5">
      <w:trPr>
        <w:tblHeader/>
      </w:trPr>
      <w:tc>
        <w:tcPr>
          <w:tcW w:w="9350" w:type="dxa"/>
        </w:tcPr>
        <w:p w:rsidR="0014592A" w:rsidRDefault="0014592A" w:rsidP="007F206B">
          <w:pPr>
            <w:pStyle w:val="Header"/>
          </w:pPr>
          <w:r>
            <w:t>Name of Grant Program: Adult Education Services</w:t>
          </w:r>
          <w:r w:rsidR="00517E77">
            <w:t>:</w:t>
          </w:r>
          <w:r w:rsidR="00517E77">
            <w:tab/>
            <w:t xml:space="preserve">  Fund Codes: 345/</w:t>
          </w:r>
          <w:r w:rsidR="00581AB7">
            <w:t>563</w:t>
          </w:r>
          <w:r>
            <w:t xml:space="preserve"> </w:t>
          </w:r>
        </w:p>
      </w:tc>
    </w:tr>
  </w:tbl>
  <w:p w:rsidR="0014592A" w:rsidRDefault="0014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A3F"/>
    <w:multiLevelType w:val="hybridMultilevel"/>
    <w:tmpl w:val="2E2249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7A72151"/>
    <w:multiLevelType w:val="hybridMultilevel"/>
    <w:tmpl w:val="8C7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458"/>
    <w:multiLevelType w:val="hybridMultilevel"/>
    <w:tmpl w:val="EE60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ABA"/>
    <w:multiLevelType w:val="hybridMultilevel"/>
    <w:tmpl w:val="940C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2EFA"/>
    <w:multiLevelType w:val="hybridMultilevel"/>
    <w:tmpl w:val="F5E628A0"/>
    <w:lvl w:ilvl="0" w:tplc="664CFF3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C716F6A"/>
    <w:multiLevelType w:val="hybridMultilevel"/>
    <w:tmpl w:val="0434964C"/>
    <w:lvl w:ilvl="0" w:tplc="04090015">
      <w:start w:val="1"/>
      <w:numFmt w:val="upp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5D472E2F"/>
    <w:multiLevelType w:val="hybridMultilevel"/>
    <w:tmpl w:val="9D36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0"/>
    <w:rsid w:val="00044E89"/>
    <w:rsid w:val="00103453"/>
    <w:rsid w:val="00120D64"/>
    <w:rsid w:val="0014592A"/>
    <w:rsid w:val="00156989"/>
    <w:rsid w:val="0017329A"/>
    <w:rsid w:val="00173FD8"/>
    <w:rsid w:val="001771C3"/>
    <w:rsid w:val="00195719"/>
    <w:rsid w:val="001E6CEA"/>
    <w:rsid w:val="0024502C"/>
    <w:rsid w:val="00245D7A"/>
    <w:rsid w:val="00261D69"/>
    <w:rsid w:val="002C0AC5"/>
    <w:rsid w:val="002C29D0"/>
    <w:rsid w:val="002C339D"/>
    <w:rsid w:val="003135D5"/>
    <w:rsid w:val="003203E5"/>
    <w:rsid w:val="003512DD"/>
    <w:rsid w:val="00362892"/>
    <w:rsid w:val="00362BF1"/>
    <w:rsid w:val="003B7E89"/>
    <w:rsid w:val="00401003"/>
    <w:rsid w:val="00417A5C"/>
    <w:rsid w:val="00457ACB"/>
    <w:rsid w:val="00483B09"/>
    <w:rsid w:val="00486E09"/>
    <w:rsid w:val="00517E77"/>
    <w:rsid w:val="00523CEB"/>
    <w:rsid w:val="005431F7"/>
    <w:rsid w:val="00581AB7"/>
    <w:rsid w:val="00595525"/>
    <w:rsid w:val="005A17A7"/>
    <w:rsid w:val="005A66E5"/>
    <w:rsid w:val="005C26C3"/>
    <w:rsid w:val="005C5720"/>
    <w:rsid w:val="00636242"/>
    <w:rsid w:val="00643993"/>
    <w:rsid w:val="0065271D"/>
    <w:rsid w:val="00654BD5"/>
    <w:rsid w:val="006E1736"/>
    <w:rsid w:val="006E27FC"/>
    <w:rsid w:val="0074670C"/>
    <w:rsid w:val="00781459"/>
    <w:rsid w:val="007C51E0"/>
    <w:rsid w:val="007F206B"/>
    <w:rsid w:val="00805C64"/>
    <w:rsid w:val="008145F3"/>
    <w:rsid w:val="008226D3"/>
    <w:rsid w:val="008C63FF"/>
    <w:rsid w:val="0094505F"/>
    <w:rsid w:val="009954C9"/>
    <w:rsid w:val="009C17BF"/>
    <w:rsid w:val="009C3AE2"/>
    <w:rsid w:val="009C4305"/>
    <w:rsid w:val="009F4189"/>
    <w:rsid w:val="00A1595A"/>
    <w:rsid w:val="00A90643"/>
    <w:rsid w:val="00AE6490"/>
    <w:rsid w:val="00B45939"/>
    <w:rsid w:val="00BC2E5B"/>
    <w:rsid w:val="00BF704D"/>
    <w:rsid w:val="00C10599"/>
    <w:rsid w:val="00C161F7"/>
    <w:rsid w:val="00CC641B"/>
    <w:rsid w:val="00CD121D"/>
    <w:rsid w:val="00CD3312"/>
    <w:rsid w:val="00D30EBB"/>
    <w:rsid w:val="00DA3113"/>
    <w:rsid w:val="00DF4F9D"/>
    <w:rsid w:val="00E051AB"/>
    <w:rsid w:val="00E40BA8"/>
    <w:rsid w:val="00E828C0"/>
    <w:rsid w:val="00EA048A"/>
    <w:rsid w:val="00EA7854"/>
    <w:rsid w:val="00ED5A7E"/>
    <w:rsid w:val="00EF0F57"/>
    <w:rsid w:val="00F2036C"/>
    <w:rsid w:val="00F368AC"/>
    <w:rsid w:val="00F55A0D"/>
    <w:rsid w:val="00F706C4"/>
    <w:rsid w:val="00F84F0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D222"/>
  <w15:chartTrackingRefBased/>
  <w15:docId w15:val="{07C2F858-6824-450A-8072-75775B81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F7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431F7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431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1F7"/>
    <w:rPr>
      <w:rFonts w:ascii="Georgia" w:eastAsia="Times New Roman" w:hAnsi="Georgi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31F7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431F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31F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31F7"/>
    <w:rPr>
      <w:rFonts w:ascii="Georgia" w:eastAsia="Times New Roman" w:hAnsi="Georgia" w:cs="Times New Roman"/>
      <w:sz w:val="20"/>
      <w:szCs w:val="24"/>
    </w:rPr>
  </w:style>
  <w:style w:type="paragraph" w:styleId="NoSpacing">
    <w:name w:val="No Spacing"/>
    <w:uiPriority w:val="1"/>
    <w:qFormat/>
    <w:rsid w:val="00781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A3113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A311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45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92A"/>
    <w:rPr>
      <w:rFonts w:ascii="Georgia" w:eastAsia="Times New Roman" w:hAnsi="Georg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92A"/>
    <w:rPr>
      <w:rFonts w:ascii="Georgia" w:eastAsia="Times New Roman" w:hAnsi="Georgia" w:cs="Times New Roman"/>
      <w:sz w:val="20"/>
      <w:szCs w:val="24"/>
    </w:rPr>
  </w:style>
  <w:style w:type="table" w:styleId="TableGrid">
    <w:name w:val="Table Grid"/>
    <w:basedOn w:val="TableNormal"/>
    <w:uiPriority w:val="39"/>
    <w:rsid w:val="0014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DESE-231-41943</_dlc_DocId>
    <_dlc_DocIdUrl xmlns="733efe1c-5bbe-4968-87dc-d400e65c879f">
      <Url>https://sharepoint.doemass.org/ese/webteam/cps/_layouts/DocIdRedir.aspx?ID=DESE-231-41943</Url>
      <Description>DESE-231-41943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FF02FC-91E0-47A0-801E-A5AA11691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3951-AAD3-496F-9D04-EA6297E89F7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F76EE84-4771-437E-9142-22A29851E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8521B-D70D-4DFF-91D9-3ADA0B2B6B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FC345 563 ABE Transitional Year Part III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FC345 563 ABE Transitional Year Part III</dc:title>
  <dc:subject/>
  <dc:creator>DESE</dc:creator>
  <cp:keywords/>
  <dc:description/>
  <cp:lastModifiedBy>Zou, Dong</cp:lastModifiedBy>
  <cp:revision>7</cp:revision>
  <cp:lastPrinted>2018-05-10T15:35:00Z</cp:lastPrinted>
  <dcterms:created xsi:type="dcterms:W3CDTF">2018-05-11T16:48:00Z</dcterms:created>
  <dcterms:modified xsi:type="dcterms:W3CDTF">2018-05-15T16:47:00Z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15 2018</vt:lpwstr>
  </property>
</Properties>
</file>