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81" w:rsidRDefault="00156A81" w:rsidP="00156A81">
      <w:pPr>
        <w:pStyle w:val="Normal1"/>
        <w:rPr>
          <w:sz w:val="22"/>
          <w:szCs w:val="22"/>
        </w:rPr>
      </w:pPr>
      <w:r>
        <w:rPr>
          <w:b/>
          <w:sz w:val="22"/>
          <w:szCs w:val="22"/>
        </w:rPr>
        <w:t>District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&lt;Insert District Name&gt;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School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&lt;Insert School Name&gt;</w:t>
      </w:r>
    </w:p>
    <w:p w:rsidR="00156A81" w:rsidRDefault="00156A81" w:rsidP="00156A81">
      <w:pPr>
        <w:pStyle w:val="Normal1"/>
        <w:jc w:val="center"/>
        <w:rPr>
          <w:sz w:val="22"/>
          <w:szCs w:val="22"/>
        </w:rPr>
      </w:pPr>
    </w:p>
    <w:p w:rsidR="00156A81" w:rsidRDefault="00156A81" w:rsidP="00156A81">
      <w:pPr>
        <w:pStyle w:val="Normal1"/>
        <w:rPr>
          <w:sz w:val="22"/>
          <w:szCs w:val="22"/>
        </w:rPr>
      </w:pPr>
      <w:r>
        <w:rPr>
          <w:b/>
          <w:sz w:val="22"/>
          <w:szCs w:val="22"/>
        </w:rPr>
        <w:t>Renewal Year:</w:t>
      </w:r>
      <w:r>
        <w:rPr>
          <w:sz w:val="22"/>
          <w:szCs w:val="22"/>
        </w:rPr>
        <w:t xml:space="preserve"> (circle one)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Three</w:t>
      </w:r>
      <w:r w:rsidR="007711A9">
        <w:rPr>
          <w:sz w:val="22"/>
          <w:szCs w:val="22"/>
        </w:rPr>
        <w:tab/>
      </w:r>
      <w:r w:rsidR="007711A9">
        <w:rPr>
          <w:sz w:val="22"/>
          <w:szCs w:val="22"/>
        </w:rPr>
        <w:tab/>
        <w:t>Four</w:t>
      </w:r>
    </w:p>
    <w:p w:rsidR="00156A81" w:rsidRDefault="00156A81" w:rsidP="00156A81">
      <w:pPr>
        <w:pStyle w:val="Normal1"/>
        <w:spacing w:before="40" w:after="40"/>
      </w:pPr>
    </w:p>
    <w:p w:rsidR="00156A81" w:rsidRPr="00156A81" w:rsidRDefault="00156A81" w:rsidP="00156A81">
      <w:pPr>
        <w:pStyle w:val="Normal1"/>
        <w:spacing w:before="40" w:after="40"/>
        <w:rPr>
          <w:b/>
          <w:sz w:val="22"/>
          <w:szCs w:val="22"/>
        </w:rPr>
      </w:pPr>
      <w:r w:rsidRPr="00156A81">
        <w:rPr>
          <w:b/>
          <w:sz w:val="22"/>
          <w:szCs w:val="22"/>
        </w:rPr>
        <w:t>SRG/L3 School Turnaround Grant Renewal Objectives</w:t>
      </w:r>
    </w:p>
    <w:p w:rsidR="00156A81" w:rsidRPr="00156A81" w:rsidRDefault="00156A81" w:rsidP="00156A81">
      <w:pPr>
        <w:pStyle w:val="Normal1"/>
        <w:rPr>
          <w:sz w:val="22"/>
          <w:szCs w:val="22"/>
        </w:rPr>
      </w:pPr>
      <w:proofErr w:type="gramStart"/>
      <w:r w:rsidRPr="00156A81">
        <w:rPr>
          <w:sz w:val="22"/>
          <w:szCs w:val="22"/>
        </w:rPr>
        <w:t xml:space="preserve">The School Redesign Grant (SRG) and Level 3 School Turnaround (L3) Renewal Application </w:t>
      </w:r>
      <w:r w:rsidR="004A79D5">
        <w:rPr>
          <w:sz w:val="22"/>
          <w:szCs w:val="22"/>
        </w:rPr>
        <w:t>is designed</w:t>
      </w:r>
      <w:r w:rsidRPr="00156A81">
        <w:rPr>
          <w:sz w:val="22"/>
          <w:szCs w:val="22"/>
        </w:rPr>
        <w:t xml:space="preserve"> to provide an opportunity for districts and schools to</w:t>
      </w:r>
      <w:r w:rsidR="004A79D5">
        <w:rPr>
          <w:sz w:val="22"/>
          <w:szCs w:val="22"/>
        </w:rPr>
        <w:t>:</w:t>
      </w:r>
      <w:r w:rsidRPr="00156A81">
        <w:rPr>
          <w:sz w:val="22"/>
          <w:szCs w:val="22"/>
        </w:rPr>
        <w:t xml:space="preserve"> (1) </w:t>
      </w:r>
      <w:r w:rsidRPr="004A79D5">
        <w:rPr>
          <w:sz w:val="22"/>
          <w:szCs w:val="22"/>
        </w:rPr>
        <w:t>reflect upon successes and challenges of the past year, within the context of the school’s turnaround plan and the turnaround practices</w:t>
      </w:r>
      <w:r w:rsidR="004A79D5" w:rsidRPr="004A79D5">
        <w:rPr>
          <w:sz w:val="22"/>
          <w:szCs w:val="22"/>
        </w:rPr>
        <w:t>;</w:t>
      </w:r>
      <w:r w:rsidRPr="004A79D5">
        <w:rPr>
          <w:sz w:val="22"/>
          <w:szCs w:val="22"/>
        </w:rPr>
        <w:t xml:space="preserve"> (2) describe key strategies or modifications to strategies that</w:t>
      </w:r>
      <w:r w:rsidR="004A79D5">
        <w:rPr>
          <w:sz w:val="22"/>
          <w:szCs w:val="22"/>
        </w:rPr>
        <w:t xml:space="preserve"> build</w:t>
      </w:r>
      <w:r w:rsidR="004A79D5" w:rsidRPr="008F0863">
        <w:rPr>
          <w:sz w:val="22"/>
          <w:szCs w:val="22"/>
        </w:rPr>
        <w:t xml:space="preserve"> upon successes and challenge</w:t>
      </w:r>
      <w:r w:rsidR="004A79D5">
        <w:rPr>
          <w:sz w:val="22"/>
          <w:szCs w:val="22"/>
        </w:rPr>
        <w:t xml:space="preserve">s and that </w:t>
      </w:r>
      <w:r w:rsidRPr="004A79D5">
        <w:rPr>
          <w:sz w:val="22"/>
          <w:szCs w:val="22"/>
        </w:rPr>
        <w:t>will serve as the focus in the coming year</w:t>
      </w:r>
      <w:r w:rsidR="004A79D5" w:rsidRPr="004A79D5">
        <w:rPr>
          <w:sz w:val="22"/>
          <w:szCs w:val="22"/>
        </w:rPr>
        <w:t>;</w:t>
      </w:r>
      <w:r w:rsidRPr="004A79D5">
        <w:rPr>
          <w:sz w:val="22"/>
          <w:szCs w:val="22"/>
        </w:rPr>
        <w:t xml:space="preserve"> and (3) provide a budget update and justification for the coming school year.</w:t>
      </w:r>
      <w:proofErr w:type="gramEnd"/>
      <w:r w:rsidRPr="00156A81">
        <w:rPr>
          <w:sz w:val="22"/>
          <w:szCs w:val="22"/>
        </w:rPr>
        <w:t xml:space="preserve"> </w:t>
      </w:r>
    </w:p>
    <w:p w:rsidR="00156A81" w:rsidRDefault="00156A81" w:rsidP="00156A81">
      <w:pPr>
        <w:pStyle w:val="Normal1"/>
        <w:rPr>
          <w:b/>
          <w:sz w:val="22"/>
          <w:szCs w:val="22"/>
        </w:rPr>
      </w:pPr>
    </w:p>
    <w:p w:rsidR="00156A81" w:rsidRDefault="004A79D5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use the following tables and narrative text boxes to provide your responses to the questions and prompts in each section. </w:t>
      </w:r>
    </w:p>
    <w:p w:rsidR="004A79D5" w:rsidRDefault="004A79D5">
      <w:pPr>
        <w:pStyle w:val="Normal1"/>
        <w:rPr>
          <w:b/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</w:rPr>
      </w:pPr>
      <w:r>
        <w:rPr>
          <w:b/>
          <w:sz w:val="22"/>
          <w:szCs w:val="22"/>
        </w:rPr>
        <w:t>Section I: School Redesign and Turnaround Planning Renewal</w:t>
      </w:r>
    </w:p>
    <w:p w:rsidR="00C51CAC" w:rsidRDefault="00275B21">
      <w:pPr>
        <w:pStyle w:val="Normal1"/>
        <w:ind w:left="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provide a </w:t>
      </w:r>
      <w:r>
        <w:rPr>
          <w:i/>
          <w:sz w:val="22"/>
          <w:szCs w:val="22"/>
          <w:u w:val="single"/>
        </w:rPr>
        <w:t>bulleted summary</w:t>
      </w:r>
      <w:r>
        <w:rPr>
          <w:i/>
          <w:sz w:val="22"/>
          <w:szCs w:val="22"/>
        </w:rPr>
        <w:t xml:space="preserve"> of key strategies/initiatives by turnaround practice (</w:t>
      </w:r>
      <w:r w:rsidR="004A79D5">
        <w:rPr>
          <w:i/>
          <w:sz w:val="22"/>
          <w:szCs w:val="22"/>
        </w:rPr>
        <w:t>you will have an opportunity to provide a</w:t>
      </w:r>
      <w:r>
        <w:rPr>
          <w:i/>
          <w:sz w:val="22"/>
          <w:szCs w:val="22"/>
        </w:rPr>
        <w:t xml:space="preserve"> more detailed explanation </w:t>
      </w:r>
      <w:r w:rsidR="004A79D5">
        <w:rPr>
          <w:i/>
          <w:sz w:val="22"/>
          <w:szCs w:val="22"/>
        </w:rPr>
        <w:t>of your strategies</w:t>
      </w:r>
      <w:r>
        <w:rPr>
          <w:i/>
          <w:sz w:val="22"/>
          <w:szCs w:val="22"/>
        </w:rPr>
        <w:t xml:space="preserve"> in Section II), modifications or new strategies, and key implementation benchmarks for 2018-19.</w:t>
      </w:r>
    </w:p>
    <w:p w:rsidR="00C51CAC" w:rsidRDefault="00C51CAC">
      <w:pPr>
        <w:pStyle w:val="Normal1"/>
        <w:ind w:left="180"/>
      </w:pP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Turnaround Practice 1:&#10;Leadership, Shared Responsibility, and Professional Collaboration&#10;&#10;Leadership and teacher teams are established and being actively used to (a) improve teaching and learning and (b) monitor the effectiveness of turnaround strategies.&#10;&#10;Summary of Current Strategies and Actions&#10;&#10;Intended Modifications or New Strategies&#10;&#10;Key Benchmarks for 2018-19&#10;For students:&#10;For educators:&#10;"/>
      </w:tblPr>
      <w:tblGrid>
        <w:gridCol w:w="2605"/>
        <w:gridCol w:w="3240"/>
        <w:gridCol w:w="3867"/>
        <w:gridCol w:w="3238"/>
      </w:tblGrid>
      <w:tr w:rsidR="00C51CAC" w:rsidTr="002668D6">
        <w:trPr>
          <w:tblHeader/>
        </w:trPr>
        <w:tc>
          <w:tcPr>
            <w:tcW w:w="2605" w:type="dxa"/>
            <w:vMerge w:val="restart"/>
          </w:tcPr>
          <w:p w:rsidR="00C51CAC" w:rsidRDefault="00275B2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Turnaround Practice 1:</w:t>
            </w:r>
          </w:p>
          <w:p w:rsidR="00C51CAC" w:rsidRDefault="00275B2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Leadership, Shared Responsibility, and Professional Collaboration</w:t>
            </w: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Leadership and teacher teams are established and </w:t>
            </w:r>
            <w:proofErr w:type="gramStart"/>
            <w:r>
              <w:rPr>
                <w:sz w:val="22"/>
                <w:szCs w:val="22"/>
              </w:rPr>
              <w:t>being actively used</w:t>
            </w:r>
            <w:proofErr w:type="gramEnd"/>
            <w:r>
              <w:rPr>
                <w:sz w:val="22"/>
                <w:szCs w:val="22"/>
              </w:rPr>
              <w:t xml:space="preserve"> to (a) improve teaching and learning and (b) monitor the effectiveness of turnaround strategies.</w:t>
            </w: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Current Strategies and Actions</w:t>
            </w:r>
          </w:p>
        </w:tc>
        <w:tc>
          <w:tcPr>
            <w:tcW w:w="3867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Modifications or New Strategies</w:t>
            </w:r>
          </w:p>
        </w:tc>
        <w:tc>
          <w:tcPr>
            <w:tcW w:w="3238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Benchmarks for 2018-19</w:t>
            </w:r>
          </w:p>
        </w:tc>
      </w:tr>
      <w:tr w:rsidR="00C51CAC" w:rsidTr="002668D6">
        <w:trPr>
          <w:trHeight w:val="4130"/>
          <w:tblHeader/>
        </w:trPr>
        <w:tc>
          <w:tcPr>
            <w:tcW w:w="2605" w:type="dxa"/>
            <w:vMerge/>
          </w:tcPr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students:</w:t>
            </w: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C51CAC">
            <w:pPr>
              <w:pStyle w:val="Normal1"/>
            </w:pPr>
          </w:p>
          <w:p w:rsidR="00C51CAC" w:rsidRDefault="00C51CAC">
            <w:pPr>
              <w:pStyle w:val="Normal1"/>
            </w:pP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educators:</w:t>
            </w:r>
          </w:p>
        </w:tc>
      </w:tr>
    </w:tbl>
    <w:p w:rsidR="00C51CAC" w:rsidRDefault="00C51CAC">
      <w:pPr>
        <w:pStyle w:val="Normal1"/>
        <w:rPr>
          <w:sz w:val="22"/>
          <w:szCs w:val="22"/>
        </w:rPr>
      </w:pPr>
    </w:p>
    <w:p w:rsidR="00C51CAC" w:rsidRDefault="00C51CAC">
      <w:pPr>
        <w:pStyle w:val="Normal1"/>
        <w:rPr>
          <w:sz w:val="22"/>
          <w:szCs w:val="22"/>
        </w:rPr>
      </w:pPr>
    </w:p>
    <w:p w:rsidR="00156A81" w:rsidRDefault="00156A81">
      <w:pPr>
        <w:pStyle w:val="Normal1"/>
        <w:rPr>
          <w:sz w:val="22"/>
          <w:szCs w:val="22"/>
        </w:rPr>
      </w:pPr>
    </w:p>
    <w:p w:rsidR="00156A81" w:rsidRDefault="00156A81">
      <w:pPr>
        <w:pStyle w:val="Normal1"/>
        <w:rPr>
          <w:sz w:val="22"/>
          <w:szCs w:val="22"/>
        </w:rPr>
      </w:pP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Turnaround Practice 2:&#10;Intentional Practices for Improving Instruction&#10;&#10;The school has set clear expectations for high quality instruction and instructional practices, reinforced through a system for monitoring and supporting teachers in improving classroom instruction.&#10;&#10;Summary of Current Strategies and Actions&#10;&#10;Intended Modifications or New Strategies&#10;&#10;Key Benchmarks for 2018-19&#10;For students:&#10;For educators:&#10;&#10;MAGs Targets for 2018-19"/>
      </w:tblPr>
      <w:tblGrid>
        <w:gridCol w:w="2605"/>
        <w:gridCol w:w="3240"/>
        <w:gridCol w:w="3867"/>
        <w:gridCol w:w="3238"/>
      </w:tblGrid>
      <w:tr w:rsidR="00902E75" w:rsidTr="002668D6">
        <w:trPr>
          <w:tblHeader/>
        </w:trPr>
        <w:tc>
          <w:tcPr>
            <w:tcW w:w="2605" w:type="dxa"/>
            <w:vMerge w:val="restart"/>
          </w:tcPr>
          <w:p w:rsidR="00902E75" w:rsidRDefault="00902E75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Turnaround Practice 2:</w:t>
            </w:r>
          </w:p>
          <w:p w:rsidR="00902E75" w:rsidRDefault="00902E75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Intentional Practices for Improving Instruction</w:t>
            </w: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has set clear expectations for high quality instruction and instructional practices, reinforced through a system for monitoring and supporting teachers in improving classroom instruction. </w:t>
            </w:r>
          </w:p>
        </w:tc>
        <w:tc>
          <w:tcPr>
            <w:tcW w:w="3240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Current Strategies and Actions</w:t>
            </w:r>
          </w:p>
        </w:tc>
        <w:tc>
          <w:tcPr>
            <w:tcW w:w="3867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Modifications or New Strategies</w:t>
            </w:r>
          </w:p>
        </w:tc>
        <w:tc>
          <w:tcPr>
            <w:tcW w:w="3238" w:type="dxa"/>
          </w:tcPr>
          <w:p w:rsidR="00902E75" w:rsidRDefault="00902E75" w:rsidP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Benchmarks for 2018-19</w:t>
            </w:r>
          </w:p>
        </w:tc>
      </w:tr>
      <w:tr w:rsidR="00902E75" w:rsidTr="002668D6">
        <w:trPr>
          <w:trHeight w:val="1793"/>
          <w:tblHeader/>
        </w:trPr>
        <w:tc>
          <w:tcPr>
            <w:tcW w:w="2605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67" w:type="dxa"/>
            <w:vMerge w:val="restart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students:</w:t>
            </w: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educators:</w:t>
            </w:r>
          </w:p>
        </w:tc>
      </w:tr>
      <w:tr w:rsidR="00902E75" w:rsidTr="002668D6">
        <w:trPr>
          <w:trHeight w:val="350"/>
          <w:tblHeader/>
        </w:trPr>
        <w:tc>
          <w:tcPr>
            <w:tcW w:w="2605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67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MAGs Targets for 2018-19</w:t>
            </w:r>
          </w:p>
        </w:tc>
      </w:tr>
      <w:tr w:rsidR="00902E75" w:rsidTr="002668D6">
        <w:trPr>
          <w:trHeight w:val="1790"/>
          <w:tblHeader/>
        </w:trPr>
        <w:tc>
          <w:tcPr>
            <w:tcW w:w="2605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67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902E75" w:rsidRDefault="00902E75" w:rsidP="00902E75">
            <w:pPr>
              <w:pStyle w:val="Normal1"/>
              <w:rPr>
                <w:sz w:val="22"/>
                <w:szCs w:val="22"/>
              </w:rPr>
            </w:pPr>
          </w:p>
        </w:tc>
      </w:tr>
    </w:tbl>
    <w:p w:rsidR="00C51CAC" w:rsidRDefault="00C51CAC">
      <w:pPr>
        <w:pStyle w:val="Normal1"/>
        <w:rPr>
          <w:sz w:val="22"/>
          <w:szCs w:val="22"/>
        </w:rPr>
      </w:pPr>
    </w:p>
    <w:p w:rsidR="00C51CAC" w:rsidRDefault="00C51CAC">
      <w:pPr>
        <w:pStyle w:val="Normal1"/>
        <w:rPr>
          <w:sz w:val="22"/>
          <w:szCs w:val="22"/>
        </w:rPr>
      </w:pPr>
    </w:p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Turnaround Practice 3:&#10;Providing Student-Specific Supports and Instruction to All Students&#10;&#10;The school and teachers use a variety of ongoing assessments to identify student-specific needs, and a system to provide targeted, student-specific instructional interventions and supports to students.&#10;&#10;Summary of Current Strategies and Actions&#10;&#10;Intended Modifications or New Strategies&#10;&#10;Key Benchmarks for 2018-19&#10;For students: &#10;For educators:"/>
      </w:tblPr>
      <w:tblGrid>
        <w:gridCol w:w="2605"/>
        <w:gridCol w:w="3256"/>
        <w:gridCol w:w="3851"/>
        <w:gridCol w:w="3238"/>
      </w:tblGrid>
      <w:tr w:rsidR="00C51CAC" w:rsidTr="002668D6">
        <w:trPr>
          <w:tblHeader/>
        </w:trPr>
        <w:tc>
          <w:tcPr>
            <w:tcW w:w="2605" w:type="dxa"/>
            <w:vMerge w:val="restart"/>
          </w:tcPr>
          <w:p w:rsidR="00C51CAC" w:rsidRDefault="00275B2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Turnaround Practice 3:</w:t>
            </w:r>
          </w:p>
          <w:p w:rsidR="00C51CAC" w:rsidRDefault="00275B2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Providing Student-Specific Supports and Instruction to All Students</w:t>
            </w: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and teachers use a variety of ongoing assessments to identify student-specific needs, and a system to provide targeted, student-specific instructional interventions and supports to students. </w:t>
            </w:r>
          </w:p>
        </w:tc>
        <w:tc>
          <w:tcPr>
            <w:tcW w:w="3256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Current Strategies and Actions</w:t>
            </w:r>
          </w:p>
        </w:tc>
        <w:tc>
          <w:tcPr>
            <w:tcW w:w="3851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Modifications or New Strategies</w:t>
            </w:r>
          </w:p>
        </w:tc>
        <w:tc>
          <w:tcPr>
            <w:tcW w:w="3238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Benchmarks for 2018-19</w:t>
            </w:r>
          </w:p>
        </w:tc>
      </w:tr>
      <w:tr w:rsidR="00C51CAC" w:rsidTr="002668D6">
        <w:trPr>
          <w:trHeight w:val="3725"/>
          <w:tblHeader/>
        </w:trPr>
        <w:tc>
          <w:tcPr>
            <w:tcW w:w="2605" w:type="dxa"/>
            <w:vMerge/>
          </w:tcPr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56" w:type="dxa"/>
          </w:tcPr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students:</w:t>
            </w:r>
            <w:r>
              <w:rPr>
                <w:rFonts w:ascii="Palatino" w:eastAsia="Palatino" w:hAnsi="Palatino" w:cs="Palatino"/>
                <w:b/>
              </w:rPr>
              <w:t xml:space="preserve"> </w:t>
            </w: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C51CAC">
            <w:pPr>
              <w:pStyle w:val="Normal1"/>
              <w:rPr>
                <w:sz w:val="22"/>
                <w:szCs w:val="22"/>
              </w:rPr>
            </w:pPr>
          </w:p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educators:</w:t>
            </w:r>
          </w:p>
        </w:tc>
      </w:tr>
    </w:tbl>
    <w:p w:rsidR="00C51CAC" w:rsidRDefault="00C51CAC">
      <w:pPr>
        <w:pStyle w:val="Normal1"/>
        <w:rPr>
          <w:sz w:val="22"/>
          <w:szCs w:val="22"/>
        </w:rPr>
      </w:pPr>
    </w:p>
    <w:p w:rsidR="00C51CAC" w:rsidRDefault="00C51CAC">
      <w:pPr>
        <w:pStyle w:val="Normal1"/>
        <w:rPr>
          <w:sz w:val="22"/>
          <w:szCs w:val="22"/>
        </w:rPr>
      </w:pPr>
    </w:p>
    <w:p w:rsidR="00156A81" w:rsidRDefault="00156A81">
      <w:pPr>
        <w:pStyle w:val="Normal1"/>
        <w:rPr>
          <w:sz w:val="22"/>
          <w:szCs w:val="22"/>
        </w:rPr>
      </w:pPr>
    </w:p>
    <w:tbl>
      <w:tblPr>
        <w:tblStyle w:val="a2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Turnaround Practice 4:  School Climate and Culture&#10;&#10;The school has established a positive culture and climate for teachers, students, and families that includes shared behavioral expectations and practices, meaningful social-emotional supports for students, and strategies for engaging families that are culturally relevant and responsive.&#10;&#10;Summary of Current Strategies and Actions&#10;&#10;Intended Modifications or New Strategies&#10;&#10;Key Benchmarks for 2018-19&#10;For students:&#10;For educators:&#10;&#10;MAGs Targets for 2018-19"/>
      </w:tblPr>
      <w:tblGrid>
        <w:gridCol w:w="2605"/>
        <w:gridCol w:w="3248"/>
        <w:gridCol w:w="3859"/>
        <w:gridCol w:w="3238"/>
      </w:tblGrid>
      <w:tr w:rsidR="00902E75" w:rsidTr="002668D6">
        <w:trPr>
          <w:tblHeader/>
        </w:trPr>
        <w:tc>
          <w:tcPr>
            <w:tcW w:w="2605" w:type="dxa"/>
            <w:vMerge w:val="restart"/>
          </w:tcPr>
          <w:p w:rsidR="00902E75" w:rsidRDefault="00902E75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Turnaround Practice 4:  School Climate and Culture</w:t>
            </w: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has established a positive culture and climate for teachers, students, and families that includes shared behavioral expectations and practices, meaningful social-emotional supports for students, and strategies for engaging families that are culturally relevant and responsive. </w:t>
            </w:r>
          </w:p>
        </w:tc>
        <w:tc>
          <w:tcPr>
            <w:tcW w:w="3248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Current Strategies and Actions</w:t>
            </w:r>
          </w:p>
        </w:tc>
        <w:tc>
          <w:tcPr>
            <w:tcW w:w="3859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Modifications or New Strategies</w:t>
            </w:r>
          </w:p>
        </w:tc>
        <w:tc>
          <w:tcPr>
            <w:tcW w:w="3238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Benchmarks for 2018-19</w:t>
            </w:r>
          </w:p>
        </w:tc>
      </w:tr>
      <w:tr w:rsidR="00902E75" w:rsidTr="002668D6">
        <w:trPr>
          <w:trHeight w:val="1435"/>
          <w:tblHeader/>
        </w:trPr>
        <w:tc>
          <w:tcPr>
            <w:tcW w:w="2605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8" w:type="dxa"/>
            <w:vMerge w:val="restart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59" w:type="dxa"/>
            <w:vMerge w:val="restart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students:</w:t>
            </w: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educators:</w:t>
            </w: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</w:tr>
      <w:tr w:rsidR="00902E75" w:rsidTr="002668D6">
        <w:trPr>
          <w:trHeight w:val="494"/>
          <w:tblHeader/>
        </w:trPr>
        <w:tc>
          <w:tcPr>
            <w:tcW w:w="2605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8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59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MAGs Targets for 2018-19</w:t>
            </w:r>
          </w:p>
        </w:tc>
      </w:tr>
      <w:tr w:rsidR="00902E75" w:rsidTr="002668D6">
        <w:trPr>
          <w:trHeight w:val="1799"/>
          <w:tblHeader/>
        </w:trPr>
        <w:tc>
          <w:tcPr>
            <w:tcW w:w="2605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48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859" w:type="dxa"/>
            <w:vMerge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902E75" w:rsidRDefault="00902E75">
            <w:pPr>
              <w:pStyle w:val="Normal1"/>
              <w:rPr>
                <w:sz w:val="22"/>
                <w:szCs w:val="22"/>
              </w:rPr>
            </w:pPr>
          </w:p>
        </w:tc>
      </w:tr>
    </w:tbl>
    <w:p w:rsidR="00C51CAC" w:rsidRDefault="00C51CAC">
      <w:pPr>
        <w:pStyle w:val="Normal1"/>
      </w:pPr>
    </w:p>
    <w:p w:rsidR="00C51CAC" w:rsidRDefault="00C51CAC">
      <w:pPr>
        <w:pStyle w:val="Normal1"/>
        <w:widowControl w:val="0"/>
        <w:spacing w:line="276" w:lineRule="auto"/>
        <w:sectPr w:rsidR="00C51CAC" w:rsidSect="00156A81">
          <w:headerReference w:type="default" r:id="rId11"/>
          <w:footerReference w:type="default" r:id="rId12"/>
          <w:pgSz w:w="15840" w:h="12240" w:orient="landscape"/>
          <w:pgMar w:top="1152" w:right="1152" w:bottom="1152" w:left="1152" w:header="720" w:footer="720" w:gutter="0"/>
          <w:cols w:space="720"/>
        </w:sectPr>
      </w:pPr>
    </w:p>
    <w:p w:rsidR="00C51CAC" w:rsidRDefault="00275B21">
      <w:pPr>
        <w:pStyle w:val="Normal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Section II: Reflecting on </w:t>
      </w:r>
      <w:r w:rsidR="00156A81">
        <w:rPr>
          <w:b/>
          <w:sz w:val="22"/>
          <w:szCs w:val="22"/>
          <w:u w:val="single"/>
        </w:rPr>
        <w:t xml:space="preserve">Turnaround Plan </w:t>
      </w:r>
      <w:r>
        <w:rPr>
          <w:b/>
          <w:sz w:val="22"/>
          <w:szCs w:val="22"/>
          <w:u w:val="single"/>
        </w:rPr>
        <w:t>Implementation</w:t>
      </w:r>
    </w:p>
    <w:p w:rsidR="00C51CAC" w:rsidRDefault="00C51CAC">
      <w:pPr>
        <w:pStyle w:val="Normal1"/>
        <w:jc w:val="center"/>
        <w:rPr>
          <w:b/>
        </w:rPr>
      </w:pPr>
    </w:p>
    <w:p w:rsidR="00C51CAC" w:rsidRDefault="00275B21">
      <w:pPr>
        <w:pStyle w:val="Normal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Using the narrative boxes below, please describe how each turnaround practice is being incorporated into the overall school redesign effort. A 2-4 paragraph explanation for each practice is sufficient.  </w:t>
      </w:r>
    </w:p>
    <w:p w:rsidR="00C51CAC" w:rsidRDefault="00C51CAC">
      <w:pPr>
        <w:pStyle w:val="Normal1"/>
      </w:pPr>
    </w:p>
    <w:p w:rsidR="00C51CAC" w:rsidRDefault="00275B21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Turnaround Practice 1: Leadership, shared responsibility, and professional collaboration</w:t>
      </w:r>
    </w:p>
    <w:p w:rsidR="00C51CAC" w:rsidRDefault="00C51CAC">
      <w:pPr>
        <w:pStyle w:val="Normal1"/>
        <w:rPr>
          <w:b/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Prompts: </w:t>
      </w:r>
    </w:p>
    <w:p w:rsidR="00C51CAC" w:rsidRDefault="00275B21">
      <w:pPr>
        <w:pStyle w:val="Normal1"/>
        <w:numPr>
          <w:ilvl w:val="0"/>
          <w:numId w:val="6"/>
        </w:numPr>
        <w:spacing w:before="40"/>
        <w:ind w:left="792"/>
        <w:contextualSpacing/>
      </w:pPr>
      <w:r>
        <w:t xml:space="preserve">Specific to </w:t>
      </w:r>
      <w:r w:rsidR="004A79D5">
        <w:t xml:space="preserve">your current </w:t>
      </w:r>
      <w:r>
        <w:t>strategies in this turnaround practice, what worked and what did not work</w:t>
      </w:r>
      <w:r w:rsidR="004805A2">
        <w:t xml:space="preserve">, </w:t>
      </w:r>
      <w:r>
        <w:t xml:space="preserve">and how do you know? </w:t>
      </w:r>
      <w:r w:rsidR="004805A2">
        <w:t>Please provide evidence and data to support your response.</w:t>
      </w:r>
    </w:p>
    <w:p w:rsidR="00C51CAC" w:rsidRDefault="00275B21">
      <w:pPr>
        <w:pStyle w:val="Normal1"/>
        <w:numPr>
          <w:ilvl w:val="0"/>
          <w:numId w:val="6"/>
        </w:numPr>
        <w:ind w:left="792"/>
        <w:contextualSpacing/>
      </w:pPr>
      <w:r>
        <w:t xml:space="preserve">Given this analysis, what changes </w:t>
      </w:r>
      <w:proofErr w:type="gramStart"/>
      <w:r>
        <w:t>will be implemented</w:t>
      </w:r>
      <w:proofErr w:type="gramEnd"/>
      <w:r>
        <w:t xml:space="preserve"> or successes leveraged for the coming year?</w:t>
      </w:r>
    </w:p>
    <w:p w:rsidR="00C51CAC" w:rsidRDefault="00C51CAC">
      <w:pPr>
        <w:pStyle w:val="Normal1"/>
        <w:spacing w:after="40"/>
        <w:ind w:left="432"/>
      </w:pPr>
    </w:p>
    <w:tbl>
      <w:tblPr>
        <w:tblStyle w:val="a3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tabs>
          <w:tab w:val="left" w:pos="1469"/>
        </w:tabs>
        <w:rPr>
          <w:sz w:val="22"/>
          <w:szCs w:val="22"/>
        </w:rPr>
      </w:pPr>
    </w:p>
    <w:p w:rsidR="00C51CAC" w:rsidRDefault="00275B21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Turnaround Practice 2: Intentional practices for improving instruction</w:t>
      </w:r>
    </w:p>
    <w:p w:rsidR="00C51CAC" w:rsidRDefault="00C51CAC">
      <w:pPr>
        <w:pStyle w:val="Normal1"/>
        <w:rPr>
          <w:b/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Prompts: </w:t>
      </w:r>
    </w:p>
    <w:p w:rsidR="00C51CAC" w:rsidRDefault="00275B21" w:rsidP="004805A2">
      <w:pPr>
        <w:pStyle w:val="Normal1"/>
        <w:numPr>
          <w:ilvl w:val="0"/>
          <w:numId w:val="6"/>
        </w:numPr>
        <w:spacing w:before="40"/>
        <w:ind w:left="792"/>
        <w:contextualSpacing/>
      </w:pPr>
      <w:r>
        <w:t>Specific to</w:t>
      </w:r>
      <w:r w:rsidR="004805A2">
        <w:t xml:space="preserve"> your current</w:t>
      </w:r>
      <w:r>
        <w:t xml:space="preserve"> strategies in this turnaround practice, what worked</w:t>
      </w:r>
      <w:r w:rsidR="00152759">
        <w:t>,</w:t>
      </w:r>
      <w:r>
        <w:t xml:space="preserve"> what did not work</w:t>
      </w:r>
      <w:r w:rsidR="00152759">
        <w:t>,</w:t>
      </w:r>
      <w:r>
        <w:t xml:space="preserve"> and how do you know?  </w:t>
      </w:r>
      <w:r w:rsidR="004805A2">
        <w:t>Please provide evidence and data to support your response.</w:t>
      </w:r>
    </w:p>
    <w:p w:rsidR="00C51CAC" w:rsidRDefault="00275B21">
      <w:pPr>
        <w:pStyle w:val="Normal1"/>
        <w:numPr>
          <w:ilvl w:val="0"/>
          <w:numId w:val="6"/>
        </w:numPr>
        <w:spacing w:after="40"/>
        <w:ind w:left="792"/>
        <w:contextualSpacing/>
      </w:pPr>
      <w:r>
        <w:t xml:space="preserve">Given this analysis, what changes </w:t>
      </w:r>
      <w:proofErr w:type="gramStart"/>
      <w:r>
        <w:t>will be implemented</w:t>
      </w:r>
      <w:proofErr w:type="gramEnd"/>
      <w:r>
        <w:t xml:space="preserve"> or successes leveraged for the coming year?</w:t>
      </w:r>
    </w:p>
    <w:p w:rsidR="00C51CAC" w:rsidRDefault="00C51CAC">
      <w:pPr>
        <w:pStyle w:val="Normal1"/>
        <w:rPr>
          <w:b/>
          <w:sz w:val="22"/>
          <w:szCs w:val="22"/>
        </w:rPr>
      </w:pPr>
    </w:p>
    <w:tbl>
      <w:tblPr>
        <w:tblStyle w:val="a4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rHeight w:val="360"/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rPr>
          <w:b/>
          <w:sz w:val="22"/>
          <w:szCs w:val="22"/>
        </w:rPr>
      </w:pPr>
    </w:p>
    <w:p w:rsidR="00C51CAC" w:rsidRDefault="00275B21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Turnaround Practice 3: Providing student-specific supports and instruction to all students</w:t>
      </w:r>
    </w:p>
    <w:p w:rsidR="00C51CAC" w:rsidRDefault="00C51CAC">
      <w:pPr>
        <w:pStyle w:val="Normal1"/>
        <w:rPr>
          <w:sz w:val="22"/>
          <w:szCs w:val="22"/>
          <w:u w:val="single"/>
        </w:rPr>
      </w:pPr>
    </w:p>
    <w:p w:rsidR="00C51CAC" w:rsidRDefault="00275B21">
      <w:pPr>
        <w:pStyle w:val="Normal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Prompts: </w:t>
      </w:r>
    </w:p>
    <w:p w:rsidR="00C51CAC" w:rsidRDefault="00275B21" w:rsidP="004805A2">
      <w:pPr>
        <w:pStyle w:val="Normal1"/>
        <w:numPr>
          <w:ilvl w:val="0"/>
          <w:numId w:val="6"/>
        </w:numPr>
        <w:spacing w:before="40"/>
        <w:ind w:left="792"/>
        <w:contextualSpacing/>
      </w:pPr>
      <w:r>
        <w:t xml:space="preserve">Specific to </w:t>
      </w:r>
      <w:r w:rsidR="004805A2">
        <w:t xml:space="preserve">your current </w:t>
      </w:r>
      <w:r>
        <w:t>strategies in this turnaround practice, what worked</w:t>
      </w:r>
      <w:r w:rsidR="00152759">
        <w:t>,</w:t>
      </w:r>
      <w:r>
        <w:t xml:space="preserve"> what did not work</w:t>
      </w:r>
      <w:r w:rsidR="00152759">
        <w:t>,</w:t>
      </w:r>
      <w:r>
        <w:t xml:space="preserve"> and how do you know?  </w:t>
      </w:r>
      <w:r w:rsidR="004805A2">
        <w:t>Please provide evidence and data to support your response.</w:t>
      </w:r>
    </w:p>
    <w:p w:rsidR="00C51CAC" w:rsidRDefault="00275B21">
      <w:pPr>
        <w:pStyle w:val="Normal1"/>
        <w:numPr>
          <w:ilvl w:val="0"/>
          <w:numId w:val="6"/>
        </w:numPr>
        <w:spacing w:after="40"/>
        <w:ind w:left="792"/>
        <w:contextualSpacing/>
      </w:pPr>
      <w:r>
        <w:t xml:space="preserve">Given this analysis, what changes </w:t>
      </w:r>
      <w:proofErr w:type="gramStart"/>
      <w:r>
        <w:t>will be implemented</w:t>
      </w:r>
      <w:proofErr w:type="gramEnd"/>
      <w:r>
        <w:t xml:space="preserve"> or successes leveraged for the coming year?</w:t>
      </w:r>
    </w:p>
    <w:p w:rsidR="00C51CAC" w:rsidRDefault="00C51CAC">
      <w:pPr>
        <w:pStyle w:val="Normal1"/>
        <w:rPr>
          <w:sz w:val="22"/>
          <w:szCs w:val="22"/>
        </w:rPr>
      </w:pPr>
    </w:p>
    <w:tbl>
      <w:tblPr>
        <w:tblStyle w:val="a5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rPr>
          <w:sz w:val="22"/>
          <w:szCs w:val="22"/>
        </w:rPr>
      </w:pPr>
    </w:p>
    <w:p w:rsidR="00C51CAC" w:rsidRDefault="00275B21">
      <w:pPr>
        <w:pStyle w:val="Normal1"/>
        <w:ind w:left="245" w:hanging="245"/>
        <w:rPr>
          <w:b/>
          <w:sz w:val="22"/>
          <w:szCs w:val="22"/>
        </w:rPr>
      </w:pPr>
      <w:r>
        <w:rPr>
          <w:b/>
          <w:sz w:val="22"/>
          <w:szCs w:val="22"/>
        </w:rPr>
        <w:t>Turnaround Practice 4: School climate and culture</w:t>
      </w:r>
    </w:p>
    <w:p w:rsidR="00C51CAC" w:rsidRDefault="00C51CAC">
      <w:pPr>
        <w:pStyle w:val="Normal1"/>
        <w:rPr>
          <w:sz w:val="22"/>
          <w:szCs w:val="22"/>
          <w:u w:val="single"/>
        </w:rPr>
      </w:pPr>
    </w:p>
    <w:p w:rsidR="00C51CAC" w:rsidRDefault="00275B21">
      <w:pPr>
        <w:pStyle w:val="Normal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Prompts: </w:t>
      </w:r>
    </w:p>
    <w:p w:rsidR="00C51CAC" w:rsidRDefault="00275B21" w:rsidP="004805A2">
      <w:pPr>
        <w:pStyle w:val="Normal1"/>
        <w:numPr>
          <w:ilvl w:val="0"/>
          <w:numId w:val="6"/>
        </w:numPr>
        <w:spacing w:before="40"/>
        <w:ind w:left="792"/>
        <w:contextualSpacing/>
      </w:pPr>
      <w:r>
        <w:t xml:space="preserve">Specific to </w:t>
      </w:r>
      <w:r w:rsidR="004805A2">
        <w:t xml:space="preserve">your current </w:t>
      </w:r>
      <w:r>
        <w:t>strategies in this turnaround practice, what worked</w:t>
      </w:r>
      <w:r w:rsidR="00152759">
        <w:t xml:space="preserve">, </w:t>
      </w:r>
      <w:r>
        <w:t>what did not work</w:t>
      </w:r>
      <w:r w:rsidR="00152759">
        <w:t>,</w:t>
      </w:r>
      <w:r>
        <w:t xml:space="preserve"> </w:t>
      </w:r>
      <w:proofErr w:type="gramStart"/>
      <w:r>
        <w:t>and</w:t>
      </w:r>
      <w:proofErr w:type="gramEnd"/>
      <w:r>
        <w:t xml:space="preserve"> how do you know?  </w:t>
      </w:r>
      <w:r w:rsidR="004805A2">
        <w:t>Please provide evidence and data to support your response.</w:t>
      </w:r>
    </w:p>
    <w:p w:rsidR="00C51CAC" w:rsidRDefault="00275B21">
      <w:pPr>
        <w:pStyle w:val="Normal1"/>
        <w:numPr>
          <w:ilvl w:val="0"/>
          <w:numId w:val="6"/>
        </w:numPr>
        <w:spacing w:after="40"/>
        <w:ind w:left="792"/>
        <w:contextualSpacing/>
      </w:pPr>
      <w:r>
        <w:t xml:space="preserve">Given this analysis, what changes </w:t>
      </w:r>
      <w:proofErr w:type="gramStart"/>
      <w:r>
        <w:t>will be implemented</w:t>
      </w:r>
      <w:proofErr w:type="gramEnd"/>
      <w:r>
        <w:t xml:space="preserve"> or successes leveraged for the coming year?</w:t>
      </w:r>
    </w:p>
    <w:p w:rsidR="00C51CAC" w:rsidRDefault="00C51CAC">
      <w:pPr>
        <w:pStyle w:val="Normal1"/>
        <w:ind w:left="245" w:hanging="245"/>
        <w:rPr>
          <w:b/>
          <w:sz w:val="22"/>
          <w:szCs w:val="22"/>
        </w:rPr>
      </w:pPr>
    </w:p>
    <w:tbl>
      <w:tblPr>
        <w:tblStyle w:val="a6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rPr>
          <w:b/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>District Systems of Support and Assistance</w:t>
      </w:r>
    </w:p>
    <w:p w:rsidR="00C51CAC" w:rsidRDefault="00C51CAC">
      <w:pPr>
        <w:pStyle w:val="Normal1"/>
        <w:rPr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Prompts: </w:t>
      </w:r>
    </w:p>
    <w:p w:rsidR="00C51CAC" w:rsidRDefault="00275B21">
      <w:pPr>
        <w:pStyle w:val="Normal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Please provide one (1) example of a district system that is positively </w:t>
      </w:r>
      <w:proofErr w:type="gramStart"/>
      <w:r>
        <w:rPr>
          <w:sz w:val="22"/>
          <w:szCs w:val="22"/>
        </w:rPr>
        <w:t>impacting</w:t>
      </w:r>
      <w:proofErr w:type="gramEnd"/>
      <w:r>
        <w:rPr>
          <w:sz w:val="22"/>
          <w:szCs w:val="22"/>
        </w:rPr>
        <w:t xml:space="preserve"> the school’s turnaround work, providing evidence/data to support the claim.  </w:t>
      </w:r>
    </w:p>
    <w:p w:rsidR="00C51CAC" w:rsidRDefault="00275B21">
      <w:pPr>
        <w:pStyle w:val="Normal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Also, provide one (1) example of a district system that has yet to fully impact the school’s turnaround work, and how district and school leaders are working together to resolve it.</w:t>
      </w:r>
    </w:p>
    <w:p w:rsidR="00C51CAC" w:rsidRDefault="00C51CAC">
      <w:pPr>
        <w:pStyle w:val="Normal1"/>
        <w:ind w:left="720"/>
        <w:rPr>
          <w:b/>
          <w:sz w:val="22"/>
          <w:szCs w:val="22"/>
        </w:rPr>
      </w:pPr>
    </w:p>
    <w:tbl>
      <w:tblPr>
        <w:tblStyle w:val="a7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ind w:left="720"/>
        <w:rPr>
          <w:b/>
          <w:sz w:val="22"/>
          <w:szCs w:val="22"/>
        </w:rPr>
      </w:pPr>
    </w:p>
    <w:p w:rsidR="00C51CAC" w:rsidRDefault="00275B21">
      <w:pPr>
        <w:pStyle w:val="Normal1"/>
        <w:rPr>
          <w:b/>
        </w:rPr>
      </w:pPr>
      <w:r>
        <w:rPr>
          <w:b/>
        </w:rPr>
        <w:t xml:space="preserve">Additional Strategies that </w:t>
      </w:r>
      <w:proofErr w:type="gramStart"/>
      <w:r>
        <w:rPr>
          <w:b/>
        </w:rPr>
        <w:t>Impacted</w:t>
      </w:r>
      <w:proofErr w:type="gramEnd"/>
      <w:r>
        <w:rPr>
          <w:b/>
        </w:rPr>
        <w:t xml:space="preserve"> Implementation - OPTIONAL</w:t>
      </w:r>
    </w:p>
    <w:p w:rsidR="00C51CAC" w:rsidRDefault="00C51CAC">
      <w:pPr>
        <w:pStyle w:val="Normal1"/>
        <w:rPr>
          <w:b/>
        </w:rPr>
      </w:pPr>
    </w:p>
    <w:p w:rsidR="00C51CAC" w:rsidRDefault="00275B21">
      <w:pPr>
        <w:pStyle w:val="Normal1"/>
      </w:pPr>
      <w:r>
        <w:t>Prompt:</w:t>
      </w:r>
    </w:p>
    <w:p w:rsidR="00C51CAC" w:rsidRDefault="00275B21">
      <w:pPr>
        <w:pStyle w:val="Normal1"/>
        <w:numPr>
          <w:ilvl w:val="0"/>
          <w:numId w:val="7"/>
        </w:numPr>
        <w:contextualSpacing/>
      </w:pPr>
      <w:r>
        <w:t xml:space="preserve">If applicable, please provide any other context regarding implementation of the turnaround plan that does not fit in the questions above.  </w:t>
      </w:r>
    </w:p>
    <w:p w:rsidR="00C51CAC" w:rsidRDefault="00275B21">
      <w:pPr>
        <w:pStyle w:val="Normal1"/>
        <w:rPr>
          <w:b/>
          <w:sz w:val="22"/>
          <w:szCs w:val="22"/>
        </w:rPr>
      </w:pPr>
      <w:r>
        <w:rPr>
          <w:b/>
        </w:rPr>
        <w:t xml:space="preserve"> </w:t>
      </w:r>
    </w:p>
    <w:tbl>
      <w:tblPr>
        <w:tblStyle w:val="a8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ind w:left="720"/>
        <w:rPr>
          <w:b/>
          <w:sz w:val="22"/>
          <w:szCs w:val="22"/>
        </w:rPr>
      </w:pPr>
    </w:p>
    <w:p w:rsidR="00C51CAC" w:rsidRDefault="00C51CAC">
      <w:pPr>
        <w:pStyle w:val="Normal1"/>
        <w:rPr>
          <w:b/>
        </w:rPr>
      </w:pPr>
    </w:p>
    <w:p w:rsidR="00C51CAC" w:rsidRDefault="00275B21">
      <w:pPr>
        <w:pStyle w:val="Normal1"/>
        <w:rPr>
          <w:b/>
        </w:rPr>
      </w:pPr>
      <w:r>
        <w:rPr>
          <w:b/>
        </w:rPr>
        <w:t>Strategies for Students of Color</w:t>
      </w:r>
    </w:p>
    <w:p w:rsidR="00C51CAC" w:rsidRDefault="00C51CAC">
      <w:pPr>
        <w:pStyle w:val="Normal1"/>
        <w:rPr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</w:rPr>
      </w:pPr>
      <w:r>
        <w:rPr>
          <w:sz w:val="22"/>
          <w:szCs w:val="22"/>
        </w:rPr>
        <w:t>Prompts:</w:t>
      </w:r>
    </w:p>
    <w:p w:rsidR="00C51CAC" w:rsidRDefault="00275B21">
      <w:pPr>
        <w:pStyle w:val="Normal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Based on an analysis of student academic and non-academic performance for all the racial subgroups at your school, what patterns do you see for your students of </w:t>
      </w:r>
      <w:proofErr w:type="gramStart"/>
      <w:r>
        <w:rPr>
          <w:sz w:val="22"/>
          <w:szCs w:val="22"/>
        </w:rPr>
        <w:t>color?</w:t>
      </w:r>
      <w:proofErr w:type="gramEnd"/>
      <w:r>
        <w:rPr>
          <w:sz w:val="22"/>
          <w:szCs w:val="22"/>
        </w:rPr>
        <w:t xml:space="preserve"> How do your students of color compare to the district and/or state?  </w:t>
      </w:r>
    </w:p>
    <w:p w:rsidR="00C51CAC" w:rsidRDefault="00275B21">
      <w:pPr>
        <w:pStyle w:val="Normal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What strategies (</w:t>
      </w:r>
      <w:proofErr w:type="gramStart"/>
      <w:r>
        <w:rPr>
          <w:sz w:val="22"/>
          <w:szCs w:val="22"/>
        </w:rPr>
        <w:t>either previously mentioned</w:t>
      </w:r>
      <w:proofErr w:type="gramEnd"/>
      <w:r>
        <w:rPr>
          <w:sz w:val="22"/>
          <w:szCs w:val="22"/>
        </w:rPr>
        <w:t xml:space="preserve"> above or new) will be taken by the district/school in the upcoming year that will </w:t>
      </w:r>
      <w:r>
        <w:rPr>
          <w:i/>
          <w:sz w:val="22"/>
          <w:szCs w:val="22"/>
        </w:rPr>
        <w:t>specifically</w:t>
      </w:r>
      <w:r>
        <w:rPr>
          <w:sz w:val="22"/>
          <w:szCs w:val="22"/>
        </w:rPr>
        <w:t xml:space="preserve"> address the needs of your students of color? </w:t>
      </w:r>
    </w:p>
    <w:p w:rsidR="00C51CAC" w:rsidRDefault="00275B21">
      <w:pPr>
        <w:pStyle w:val="Normal1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Examples could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analysis of discipline data and policies; analysis of curriculum for cultural relevance; professional development for educators; or recruitment and retention strategies for educators of color.</w:t>
      </w:r>
    </w:p>
    <w:p w:rsidR="00C51CAC" w:rsidRDefault="00275B21">
      <w:pPr>
        <w:pStyle w:val="Normal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What efforts </w:t>
      </w:r>
      <w:proofErr w:type="gramStart"/>
      <w:r>
        <w:rPr>
          <w:sz w:val="22"/>
          <w:szCs w:val="22"/>
        </w:rPr>
        <w:t>will be taken</w:t>
      </w:r>
      <w:proofErr w:type="gramEnd"/>
      <w:r>
        <w:rPr>
          <w:sz w:val="22"/>
          <w:szCs w:val="22"/>
        </w:rPr>
        <w:t xml:space="preserve"> in the upcoming year to help meet the needs of educators of color in your district/school?</w:t>
      </w:r>
    </w:p>
    <w:p w:rsidR="00C51CAC" w:rsidRDefault="00C51CAC">
      <w:pPr>
        <w:pStyle w:val="Normal1"/>
        <w:ind w:left="720"/>
        <w:rPr>
          <w:b/>
          <w:sz w:val="22"/>
          <w:szCs w:val="22"/>
        </w:rPr>
      </w:pPr>
    </w:p>
    <w:tbl>
      <w:tblPr>
        <w:tblStyle w:val="a9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ind w:left="720"/>
        <w:rPr>
          <w:b/>
          <w:sz w:val="22"/>
          <w:szCs w:val="22"/>
        </w:rPr>
      </w:pPr>
    </w:p>
    <w:p w:rsidR="00C51CAC" w:rsidRPr="00156A81" w:rsidRDefault="00C51CAC">
      <w:pPr>
        <w:pStyle w:val="Normal1"/>
        <w:rPr>
          <w:b/>
          <w:sz w:val="22"/>
          <w:szCs w:val="22"/>
          <w:u w:val="single"/>
        </w:rPr>
      </w:pPr>
    </w:p>
    <w:p w:rsidR="00C51CAC" w:rsidRPr="00156A81" w:rsidRDefault="00275B21">
      <w:pPr>
        <w:pStyle w:val="Normal1"/>
        <w:rPr>
          <w:sz w:val="22"/>
          <w:szCs w:val="22"/>
        </w:rPr>
        <w:sectPr w:rsidR="00C51CAC" w:rsidRPr="00156A81" w:rsidSect="00156A81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  <w:r w:rsidRPr="00156A81">
        <w:rPr>
          <w:b/>
          <w:sz w:val="22"/>
          <w:szCs w:val="22"/>
          <w:u w:val="single"/>
        </w:rPr>
        <w:t>Section III: Budget and Sustainability</w:t>
      </w:r>
    </w:p>
    <w:p w:rsidR="00C51CAC" w:rsidRPr="00156A81" w:rsidRDefault="00C51CAC">
      <w:pPr>
        <w:pStyle w:val="Normal1"/>
        <w:rPr>
          <w:sz w:val="22"/>
          <w:szCs w:val="22"/>
        </w:rPr>
      </w:pPr>
    </w:p>
    <w:p w:rsidR="00C51CAC" w:rsidRDefault="00275B21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t>Academic Return on Investment Analysis</w:t>
      </w:r>
    </w:p>
    <w:p w:rsidR="00C51CAC" w:rsidRDefault="00C51CAC">
      <w:pPr>
        <w:pStyle w:val="Normal1"/>
        <w:rPr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Prompts: </w:t>
      </w:r>
    </w:p>
    <w:p w:rsidR="00C51CAC" w:rsidRDefault="00275B21">
      <w:pPr>
        <w:pStyle w:val="Normal1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Based on an Academic Return on Investment (AROI) analysis, what strategies/interventions do you expect to continue to fund after the grant? (Please include evidence of academic impact that supports your justifications of continuing specific programs over others).</w:t>
      </w:r>
    </w:p>
    <w:p w:rsidR="00C51CAC" w:rsidRDefault="00275B21">
      <w:pPr>
        <w:pStyle w:val="Normal1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How do you plan on sustaining turnaround efforts after the expiration of School Redesign and Level 3 School Turnaround Grant funding?  </w:t>
      </w:r>
    </w:p>
    <w:p w:rsidR="00C51CAC" w:rsidRDefault="00C51CAC">
      <w:pPr>
        <w:pStyle w:val="Normal1"/>
        <w:ind w:left="360"/>
        <w:rPr>
          <w:sz w:val="22"/>
          <w:szCs w:val="22"/>
        </w:rPr>
      </w:pPr>
    </w:p>
    <w:p w:rsidR="00C51CAC" w:rsidRDefault="00275B21">
      <w:pPr>
        <w:pStyle w:val="Normal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For more support in conducting a quality AROI analysis, please reference the Turnaround Sustainability Toolkit zip file (especially the Framework and Handouts files) on the ESE website. </w:t>
      </w:r>
      <w:r>
        <w:rPr>
          <w:sz w:val="22"/>
          <w:szCs w:val="22"/>
          <w:vertAlign w:val="superscript"/>
        </w:rPr>
        <w:footnoteReference w:id="1"/>
      </w:r>
    </w:p>
    <w:p w:rsidR="00C51CAC" w:rsidRDefault="00C51CAC">
      <w:pPr>
        <w:pStyle w:val="Normal1"/>
        <w:rPr>
          <w:b/>
          <w:sz w:val="22"/>
          <w:szCs w:val="22"/>
        </w:rPr>
      </w:pPr>
    </w:p>
    <w:tbl>
      <w:tblPr>
        <w:tblStyle w:val="aa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</w:p>
        </w:tc>
      </w:tr>
    </w:tbl>
    <w:p w:rsidR="00C51CAC" w:rsidRDefault="00C51CAC">
      <w:pPr>
        <w:pStyle w:val="Normal1"/>
        <w:rPr>
          <w:b/>
          <w:sz w:val="20"/>
          <w:szCs w:val="20"/>
        </w:rPr>
      </w:pPr>
    </w:p>
    <w:p w:rsidR="00156A81" w:rsidRDefault="00156A81">
      <w:pPr>
        <w:pStyle w:val="Normal1"/>
        <w:rPr>
          <w:b/>
          <w:sz w:val="22"/>
          <w:szCs w:val="22"/>
        </w:rPr>
      </w:pPr>
    </w:p>
    <w:p w:rsidR="00156A81" w:rsidRDefault="00156A81">
      <w:pPr>
        <w:pStyle w:val="Normal1"/>
        <w:rPr>
          <w:b/>
          <w:sz w:val="22"/>
          <w:szCs w:val="22"/>
        </w:rPr>
      </w:pPr>
    </w:p>
    <w:p w:rsidR="00C51CAC" w:rsidRDefault="00275B21">
      <w:pPr>
        <w:pStyle w:val="Normal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FY19 Budget Justification</w:t>
      </w:r>
    </w:p>
    <w:p w:rsidR="00C51CAC" w:rsidRDefault="00C51CAC">
      <w:pPr>
        <w:pStyle w:val="Normal1"/>
        <w:rPr>
          <w:sz w:val="22"/>
          <w:szCs w:val="22"/>
        </w:rPr>
      </w:pPr>
    </w:p>
    <w:p w:rsidR="00C51CAC" w:rsidRDefault="00275B21">
      <w:pPr>
        <w:pStyle w:val="Normal1"/>
        <w:rPr>
          <w:sz w:val="22"/>
          <w:szCs w:val="22"/>
        </w:rPr>
      </w:pPr>
      <w:r>
        <w:rPr>
          <w:sz w:val="22"/>
          <w:szCs w:val="22"/>
        </w:rPr>
        <w:t>Prompt:</w:t>
      </w:r>
    </w:p>
    <w:p w:rsidR="00C51CAC" w:rsidRDefault="00275B21">
      <w:pPr>
        <w:pStyle w:val="Normal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Please provide a justification for all proposed grant expenditures in </w:t>
      </w:r>
      <w:proofErr w:type="gramStart"/>
      <w:r>
        <w:rPr>
          <w:sz w:val="22"/>
          <w:szCs w:val="22"/>
        </w:rPr>
        <w:t>FY19,</w:t>
      </w:r>
      <w:proofErr w:type="gramEnd"/>
      <w:r>
        <w:rPr>
          <w:sz w:val="22"/>
          <w:szCs w:val="22"/>
        </w:rPr>
        <w:t xml:space="preserve"> including how each expenditure is aligned to effective implementation of the turnaround plan.  </w:t>
      </w:r>
    </w:p>
    <w:p w:rsidR="00C51CAC" w:rsidRDefault="00275B21">
      <w:pPr>
        <w:pStyle w:val="Normal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Please provide justification for any changes that </w:t>
      </w:r>
      <w:proofErr w:type="gramStart"/>
      <w:r>
        <w:rPr>
          <w:sz w:val="22"/>
          <w:szCs w:val="22"/>
        </w:rPr>
        <w:t>were made</w:t>
      </w:r>
      <w:proofErr w:type="gramEnd"/>
      <w:r>
        <w:rPr>
          <w:sz w:val="22"/>
          <w:szCs w:val="22"/>
        </w:rPr>
        <w:t xml:space="preserve"> from the original budget projections in FY18. </w:t>
      </w:r>
    </w:p>
    <w:p w:rsidR="00C51CAC" w:rsidRDefault="00C51CAC">
      <w:pPr>
        <w:pStyle w:val="Normal1"/>
        <w:ind w:left="360"/>
        <w:rPr>
          <w:sz w:val="22"/>
          <w:szCs w:val="22"/>
        </w:rPr>
      </w:pPr>
    </w:p>
    <w:tbl>
      <w:tblPr>
        <w:tblStyle w:val="ab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&lt;Insert Narrative&gt;"/>
      </w:tblPr>
      <w:tblGrid>
        <w:gridCol w:w="10152"/>
      </w:tblGrid>
      <w:tr w:rsidR="00C51CAC" w:rsidTr="002668D6">
        <w:trPr>
          <w:tblHeader/>
        </w:trPr>
        <w:tc>
          <w:tcPr>
            <w:tcW w:w="101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C51CAC" w:rsidRDefault="00275B2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&lt;Insert Narrative&gt;</w:t>
            </w:r>
            <w:bookmarkStart w:id="1" w:name="_GoBack"/>
            <w:bookmarkEnd w:id="1"/>
          </w:p>
        </w:tc>
      </w:tr>
    </w:tbl>
    <w:p w:rsidR="00C51CAC" w:rsidRDefault="00C51CAC">
      <w:pPr>
        <w:pStyle w:val="Normal1"/>
        <w:ind w:left="360"/>
        <w:rPr>
          <w:sz w:val="22"/>
          <w:szCs w:val="22"/>
        </w:rPr>
      </w:pPr>
    </w:p>
    <w:p w:rsidR="00C51CAC" w:rsidRDefault="00C51CAC">
      <w:pPr>
        <w:pStyle w:val="Normal1"/>
        <w:ind w:left="360"/>
        <w:rPr>
          <w:sz w:val="22"/>
          <w:szCs w:val="22"/>
        </w:rPr>
      </w:pPr>
    </w:p>
    <w:p w:rsidR="00C51CAC" w:rsidRDefault="00C51CAC">
      <w:pPr>
        <w:pStyle w:val="Normal1"/>
        <w:rPr>
          <w:sz w:val="22"/>
          <w:szCs w:val="22"/>
        </w:rPr>
      </w:pPr>
    </w:p>
    <w:p w:rsidR="00C51CAC" w:rsidRDefault="00C51CAC">
      <w:pPr>
        <w:pStyle w:val="Normal1"/>
      </w:pPr>
    </w:p>
    <w:sectPr w:rsidR="00C51CAC" w:rsidSect="00156A81">
      <w:type w:val="continuous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C6" w:rsidRDefault="004648C6" w:rsidP="00C51CAC">
      <w:r>
        <w:separator/>
      </w:r>
    </w:p>
  </w:endnote>
  <w:endnote w:type="continuationSeparator" w:id="0">
    <w:p w:rsidR="004648C6" w:rsidRDefault="004648C6" w:rsidP="00C5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AC" w:rsidRDefault="00275B21">
    <w:pPr>
      <w:pStyle w:val="Normal1"/>
      <w:tabs>
        <w:tab w:val="center" w:pos="4320"/>
        <w:tab w:val="right" w:pos="8640"/>
      </w:tabs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-531494</wp:posOffset>
          </wp:positionH>
          <wp:positionV relativeFrom="paragraph">
            <wp:posOffset>8477250</wp:posOffset>
          </wp:positionV>
          <wp:extent cx="1038225" cy="428625"/>
          <wp:effectExtent l="0" t="0" r="0" b="0"/>
          <wp:wrapSquare wrapText="bothSides" distT="0" distB="0" distL="114300" distR="114300"/>
          <wp:docPr id="1" name="image2.png" descr="Massachusetts Department of Elementary and Secondary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ssachusetts Department of Elementary and Secondary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C6" w:rsidRDefault="004648C6" w:rsidP="00C51CAC">
      <w:r>
        <w:separator/>
      </w:r>
    </w:p>
  </w:footnote>
  <w:footnote w:type="continuationSeparator" w:id="0">
    <w:p w:rsidR="004648C6" w:rsidRDefault="004648C6" w:rsidP="00C51CAC">
      <w:r>
        <w:continuationSeparator/>
      </w:r>
    </w:p>
  </w:footnote>
  <w:footnote w:id="1">
    <w:p w:rsidR="00C51CAC" w:rsidRDefault="00275B21">
      <w:pPr>
        <w:pStyle w:val="Normal1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http://www.doe.mass.edu/turnaround/redesign/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AC" w:rsidRDefault="00275B21" w:rsidP="00156A81">
    <w:pPr>
      <w:pStyle w:val="Normal1"/>
      <w:tabs>
        <w:tab w:val="center" w:pos="4320"/>
        <w:tab w:val="right" w:pos="8640"/>
      </w:tabs>
      <w:jc w:val="center"/>
      <w:rPr>
        <w:b/>
      </w:rPr>
    </w:pPr>
    <w:r>
      <w:rPr>
        <w:b/>
      </w:rPr>
      <w:t>School Redesign (SRG) and Level 3 School Turnaround (L3) Grant: FY19 Renewal Application</w:t>
    </w:r>
  </w:p>
  <w:p w:rsidR="00C51CAC" w:rsidRDefault="00C51CAC">
    <w:pPr>
      <w:pStyle w:val="Normal1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42"/>
    <w:multiLevelType w:val="multilevel"/>
    <w:tmpl w:val="2F88D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D2C87"/>
    <w:multiLevelType w:val="multilevel"/>
    <w:tmpl w:val="F9EC6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002109"/>
    <w:multiLevelType w:val="multilevel"/>
    <w:tmpl w:val="3816F1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BD5C6B"/>
    <w:multiLevelType w:val="multilevel"/>
    <w:tmpl w:val="5DD42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AB0CB6"/>
    <w:multiLevelType w:val="multilevel"/>
    <w:tmpl w:val="9572C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55797A"/>
    <w:multiLevelType w:val="hybridMultilevel"/>
    <w:tmpl w:val="27EC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05BA2"/>
    <w:multiLevelType w:val="multilevel"/>
    <w:tmpl w:val="4AF64F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6A2A8A"/>
    <w:multiLevelType w:val="hybridMultilevel"/>
    <w:tmpl w:val="4608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4F47"/>
    <w:multiLevelType w:val="multilevel"/>
    <w:tmpl w:val="24FC5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C"/>
    <w:rsid w:val="00086005"/>
    <w:rsid w:val="00104A0D"/>
    <w:rsid w:val="00152759"/>
    <w:rsid w:val="00156A81"/>
    <w:rsid w:val="002668D6"/>
    <w:rsid w:val="00275B21"/>
    <w:rsid w:val="004648C6"/>
    <w:rsid w:val="004805A2"/>
    <w:rsid w:val="004A79D5"/>
    <w:rsid w:val="004C6AFD"/>
    <w:rsid w:val="0060014D"/>
    <w:rsid w:val="00654CB4"/>
    <w:rsid w:val="007711A9"/>
    <w:rsid w:val="0079342B"/>
    <w:rsid w:val="008D7E16"/>
    <w:rsid w:val="00902E75"/>
    <w:rsid w:val="00957308"/>
    <w:rsid w:val="00A11D16"/>
    <w:rsid w:val="00A257CB"/>
    <w:rsid w:val="00BC74EB"/>
    <w:rsid w:val="00C51CAC"/>
    <w:rsid w:val="00CB292B"/>
    <w:rsid w:val="00DF7637"/>
    <w:rsid w:val="00E47682"/>
    <w:rsid w:val="00F5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58178-B240-420F-8734-C234919C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0D"/>
  </w:style>
  <w:style w:type="paragraph" w:styleId="Heading1">
    <w:name w:val="heading 1"/>
    <w:basedOn w:val="Normal1"/>
    <w:next w:val="Normal1"/>
    <w:rsid w:val="00C51C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51C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51C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51CA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51C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51C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51CAC"/>
  </w:style>
  <w:style w:type="paragraph" w:styleId="Title">
    <w:name w:val="Title"/>
    <w:basedOn w:val="Normal1"/>
    <w:next w:val="Normal1"/>
    <w:rsid w:val="00C51CA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51C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1CAC"/>
    <w:tblPr>
      <w:tblStyleRowBandSize w:val="1"/>
      <w:tblStyleColBandSize w:val="1"/>
    </w:tblPr>
  </w:style>
  <w:style w:type="table" w:customStyle="1" w:styleId="a0">
    <w:basedOn w:val="TableNormal"/>
    <w:rsid w:val="00C51CAC"/>
    <w:tblPr>
      <w:tblStyleRowBandSize w:val="1"/>
      <w:tblStyleColBandSize w:val="1"/>
    </w:tblPr>
  </w:style>
  <w:style w:type="table" w:customStyle="1" w:styleId="a1">
    <w:basedOn w:val="TableNormal"/>
    <w:rsid w:val="00C51CAC"/>
    <w:tblPr>
      <w:tblStyleRowBandSize w:val="1"/>
      <w:tblStyleColBandSize w:val="1"/>
    </w:tblPr>
  </w:style>
  <w:style w:type="table" w:customStyle="1" w:styleId="a2">
    <w:basedOn w:val="TableNormal"/>
    <w:rsid w:val="00C51CAC"/>
    <w:tblPr>
      <w:tblStyleRowBandSize w:val="1"/>
      <w:tblStyleColBandSize w:val="1"/>
    </w:tblPr>
  </w:style>
  <w:style w:type="table" w:customStyle="1" w:styleId="a3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51C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6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A81"/>
  </w:style>
  <w:style w:type="paragraph" w:styleId="Footer">
    <w:name w:val="footer"/>
    <w:basedOn w:val="Normal"/>
    <w:link w:val="FooterChar"/>
    <w:uiPriority w:val="99"/>
    <w:semiHidden/>
    <w:unhideWhenUsed/>
    <w:rsid w:val="00156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A81"/>
  </w:style>
  <w:style w:type="paragraph" w:styleId="BalloonText">
    <w:name w:val="Balloon Text"/>
    <w:basedOn w:val="Normal"/>
    <w:link w:val="BalloonTextChar"/>
    <w:uiPriority w:val="99"/>
    <w:semiHidden/>
    <w:unhideWhenUsed/>
    <w:rsid w:val="00156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DESE-231-40983</_dlc_DocId>
    <_dlc_DocIdUrl xmlns="733efe1c-5bbe-4968-87dc-d400e65c879f">
      <Url>https://sharepoint.doemass.org/ese/webteam/cps/_layouts/DocIdRedir.aspx?ID=DESE-231-40983</Url>
      <Description>DESE-231-40983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BE0124-87AB-4C3E-851C-DADE4C85BF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0A3101D-FC18-4C51-B669-7FAA1C1EE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B0A2F-D25A-476B-B9A4-7ED1BAED3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E59F4-99C8-4F81-8DDC-0B014EDFF9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511 539 School Redesign and Level 3 School Turnaround Renewal Application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511 539 School Redesign and Level 3 School Turnaround Renewal Application</dc:title>
  <dc:creator>DESE</dc:creator>
  <cp:lastModifiedBy>Zou, Dong</cp:lastModifiedBy>
  <cp:revision>5</cp:revision>
  <dcterms:created xsi:type="dcterms:W3CDTF">2018-03-27T20:52:00Z</dcterms:created>
  <dcterms:modified xsi:type="dcterms:W3CDTF">2018-03-27T20:59:00Z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2018</vt:lpwstr>
  </property>
</Properties>
</file>