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980"/>
      </w:tblGrid>
      <w:tr w:rsidR="00DC0873" w:rsidRPr="0073343C" w:rsidTr="005E3778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C0873" w:rsidRPr="0073343C" w:rsidRDefault="00FC71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C0873" w:rsidRPr="0073343C" w:rsidRDefault="00DC0873" w:rsidP="00CC18D4">
            <w:pPr>
              <w:tabs>
                <w:tab w:val="left" w:pos="27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Name of Grant Program: </w:t>
            </w:r>
            <w:bookmarkStart w:id="0" w:name="OLE_LINK4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Charter School </w:t>
            </w:r>
            <w:r w:rsidR="00CC18D4">
              <w:rPr>
                <w:rFonts w:ascii="Calibri" w:hAnsi="Calibri" w:cs="Calibri"/>
                <w:sz w:val="22"/>
                <w:szCs w:val="22"/>
              </w:rPr>
              <w:t>Significant Expansion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 Program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End w:id="0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C719B" w:rsidRDefault="00FC719B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0873" w:rsidRPr="0073343C" w:rsidRDefault="00DC087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Fund Code:  </w:t>
            </w:r>
            <w:r w:rsidR="00CC18D4">
              <w:rPr>
                <w:rFonts w:ascii="Calibri" w:hAnsi="Calibri" w:cs="Calibri"/>
                <w:sz w:val="22"/>
                <w:szCs w:val="22"/>
              </w:rPr>
              <w:t>532</w:t>
            </w:r>
            <w:r w:rsidR="00FC71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0873" w:rsidRPr="0073343C" w:rsidRDefault="00DC0873" w:rsidP="005E3778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DC0873" w:rsidRPr="0073343C" w:rsidTr="005E3778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DC0873" w:rsidRPr="0073343C" w:rsidRDefault="002B4E3D" w:rsidP="00897923">
            <w:pPr>
              <w:pStyle w:val="Heading1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sz w:val="22"/>
                <w:szCs w:val="22"/>
              </w:rPr>
              <w:t>PART I</w:t>
            </w:r>
            <w:r w:rsidR="00AF2EAB" w:rsidRPr="0073343C">
              <w:rPr>
                <w:rFonts w:ascii="Calibri" w:hAnsi="Calibri" w:cs="Calibri"/>
                <w:sz w:val="22"/>
                <w:szCs w:val="22"/>
              </w:rPr>
              <w:t>I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I</w:t>
            </w:r>
            <w:r w:rsidR="00DC0873" w:rsidRPr="0073343C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 xml:space="preserve">Information on applying for the new flexibilities allowed by the USED under ESSA </w:t>
            </w:r>
            <w:r w:rsidR="00CF314E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minor facility repairs, necessary renovations, and one</w:t>
            </w:r>
            <w:r w:rsidR="00CF314E">
              <w:rPr>
                <w:rFonts w:ascii="Calibri" w:hAnsi="Calibri" w:cs="Calibri"/>
                <w:sz w:val="22"/>
                <w:szCs w:val="22"/>
              </w:rPr>
              <w:t>-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time transportation cost.</w:t>
            </w:r>
          </w:p>
        </w:tc>
      </w:tr>
    </w:tbl>
    <w:p w:rsidR="00DC0873" w:rsidRPr="0073343C" w:rsidRDefault="00DC0873">
      <w:pPr>
        <w:pStyle w:val="BodyText3"/>
        <w:ind w:right="0"/>
        <w:rPr>
          <w:rFonts w:ascii="Calibri" w:hAnsi="Calibri" w:cs="Calibri"/>
          <w:szCs w:val="22"/>
        </w:rPr>
      </w:pPr>
      <w:r w:rsidRPr="0073343C">
        <w:rPr>
          <w:rFonts w:ascii="Calibri" w:hAnsi="Calibri" w:cs="Calibri"/>
          <w:szCs w:val="22"/>
        </w:rPr>
        <w:t xml:space="preserve"> </w:t>
      </w:r>
    </w:p>
    <w:p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51F2" w:rsidRPr="0073343C" w:rsidRDefault="00D051F2" w:rsidP="00AD6D88">
      <w:pPr>
        <w:pStyle w:val="ListParagraph"/>
        <w:rPr>
          <w:rFonts w:ascii="Calibri" w:hAnsi="Calibri" w:cs="Calibri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>Please note: a</w:t>
      </w:r>
      <w:r w:rsidR="00A2792B" w:rsidRPr="0073343C">
        <w:rPr>
          <w:rFonts w:ascii="Calibri" w:hAnsi="Calibri" w:cs="Calibri"/>
          <w:sz w:val="22"/>
          <w:szCs w:val="22"/>
        </w:rPr>
        <w:t xml:space="preserve">s with all grant expenditures, minor repairs, renovation and transportation costs, must be necessary, reasonable, and allocable to the grant in accordance with the cost principles in </w:t>
      </w:r>
      <w:hyperlink r:id="rId10" w:history="1">
        <w:proofErr w:type="gramStart"/>
        <w:r w:rsidR="00A2792B" w:rsidRPr="00E063B6">
          <w:rPr>
            <w:rStyle w:val="Hyperlink"/>
            <w:rFonts w:ascii="Calibri" w:hAnsi="Calibri" w:cs="Calibri"/>
            <w:sz w:val="22"/>
            <w:szCs w:val="22"/>
          </w:rPr>
          <w:t>2</w:t>
        </w:r>
        <w:proofErr w:type="gramEnd"/>
        <w:r w:rsidR="00A2792B" w:rsidRPr="00E063B6">
          <w:rPr>
            <w:rStyle w:val="Hyperlink"/>
            <w:rFonts w:ascii="Calibri" w:hAnsi="Calibri" w:cs="Calibri"/>
            <w:sz w:val="22"/>
            <w:szCs w:val="22"/>
          </w:rPr>
          <w:t xml:space="preserve"> C.F.R. part 200, subpart E;</w:t>
        </w:r>
      </w:hyperlink>
      <w:r w:rsidRPr="0073343C">
        <w:rPr>
          <w:rFonts w:ascii="Calibri" w:hAnsi="Calibri" w:cs="Calibri"/>
          <w:sz w:val="22"/>
          <w:szCs w:val="22"/>
        </w:rPr>
        <w:t xml:space="preserve"> </w:t>
      </w:r>
    </w:p>
    <w:p w:rsidR="00D051F2" w:rsidRPr="0073343C" w:rsidRDefault="00D051F2" w:rsidP="00D051F2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D051F2" w:rsidRPr="0073343C" w:rsidRDefault="00D051F2" w:rsidP="00D051F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 xml:space="preserve">The new flexibilities will require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revisions to the </w:t>
      </w:r>
      <w:hyperlink r:id="rId11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audit guide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including changes to the CSP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Agreed </w:t>
      </w:r>
      <w:proofErr w:type="gramStart"/>
      <w:r w:rsidRPr="0073343C">
        <w:rPr>
          <w:rFonts w:ascii="Calibri" w:hAnsi="Calibri" w:cs="Calibri"/>
          <w:color w:val="000000"/>
          <w:sz w:val="22"/>
          <w:szCs w:val="22"/>
        </w:rPr>
        <w:t>Upon</w:t>
      </w:r>
      <w:proofErr w:type="gramEnd"/>
      <w:r w:rsidRPr="0073343C">
        <w:rPr>
          <w:rFonts w:ascii="Calibri" w:hAnsi="Calibri" w:cs="Calibri"/>
          <w:color w:val="000000"/>
          <w:sz w:val="22"/>
          <w:szCs w:val="22"/>
        </w:rPr>
        <w:t xml:space="preserve"> Procedures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.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It will also require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changes to the </w:t>
      </w:r>
      <w:hyperlink r:id="rId12" w:history="1">
        <w:r w:rsidRPr="0073343C">
          <w:rPr>
            <w:rStyle w:val="Hyperlink"/>
            <w:rFonts w:ascii="Calibri" w:hAnsi="Calibri" w:cs="Calibri"/>
            <w:bCs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AD6D88" w:rsidRPr="0073343C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. We will inform all schools of these changes as they occur.</w:t>
      </w:r>
    </w:p>
    <w:p w:rsidR="00A2792B" w:rsidRPr="0073343C" w:rsidRDefault="00A2792B" w:rsidP="00A2792B">
      <w:pPr>
        <w:pStyle w:val="PlainText"/>
        <w:rPr>
          <w:rFonts w:cs="Calibri"/>
          <w:i/>
          <w:szCs w:val="22"/>
        </w:rPr>
      </w:pPr>
    </w:p>
    <w:p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Minor Facilities Repairs (excluding construction) (ESEA § 4303(h)(3)):</w:t>
      </w:r>
      <w:bookmarkStart w:id="1" w:name="_GoBack"/>
      <w:bookmarkEnd w:id="1"/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D051F2" w:rsidP="00576B35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Definition 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based on Uniform Guidance, 2 C.F.R. 200.452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:</w:t>
      </w:r>
      <w:r w:rsidR="00576B35"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i/>
          <w:color w:val="000000"/>
          <w:sz w:val="22"/>
          <w:szCs w:val="22"/>
        </w:rPr>
        <w:t>M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inor facilities repairs neither add to the permanent value of the property nor appreciably prolong its intended life, but rather, keep it in efficient operating condition.” 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review minor repair proposals on a case-by-case basis as the size of the repair </w:t>
      </w:r>
      <w:proofErr w:type="gramStart"/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>will be measured</w:t>
      </w:r>
      <w:proofErr w:type="gramEnd"/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relative to the property being repaired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. The Department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 scrutinize more closely any proposed expenditure that exceeds $5,000, which is the threshold for capital expenditures for charter schools.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minor repairs are necessary, reasonable and allocable to the CSP subgrant (assuming they have passed review for “minor”), </w:t>
      </w:r>
      <w:r w:rsidR="00CF314E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factors: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repair is needed to carry out the </w:t>
      </w: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subgrantee’s</w:t>
      </w:r>
      <w:proofErr w:type="spellEnd"/>
      <w:r w:rsidRPr="0073343C">
        <w:rPr>
          <w:rFonts w:ascii="Calibri" w:hAnsi="Calibri" w:cs="Calibri"/>
          <w:color w:val="000000"/>
          <w:sz w:val="22"/>
          <w:szCs w:val="22"/>
        </w:rPr>
        <w:t xml:space="preserve">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repair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The relative cost of the repair as both a percentage of the </w:t>
      </w: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subgrantee’s</w:t>
      </w:r>
      <w:proofErr w:type="spellEnd"/>
      <w:r w:rsidRPr="0073343C">
        <w:rPr>
          <w:rFonts w:ascii="Calibri" w:hAnsi="Calibri" w:cs="Calibri"/>
          <w:color w:val="000000"/>
          <w:sz w:val="22"/>
          <w:szCs w:val="22"/>
        </w:rPr>
        <w:t xml:space="preserve"> CSP grant and the cost basis of the underlying property;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 will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ask the subgrantee to assure that it followed its internal practices and policies associated with the cost.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Necessary Renovations to Ensure Compliance with Applicable Statute and Regulation (ESEA § 4303(h)(3)):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renovations are required to comply with applicable statutes and regulations and are necessary, reasonable and allocable to the CSP subgrant, </w:t>
      </w:r>
      <w:r w:rsidR="00C3744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the following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for each subgrant applicant: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required to comply with statutory or regulatory requirements (including identification of the statute or regulation, particularly those included in Massachusetts’ </w:t>
      </w:r>
      <w:hyperlink r:id="rId13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Opening Procedures Handbook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>);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needed to carry out </w:t>
      </w: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subgrantee’s</w:t>
      </w:r>
      <w:proofErr w:type="spellEnd"/>
      <w:r w:rsidRPr="0073343C">
        <w:rPr>
          <w:rFonts w:ascii="Calibri" w:hAnsi="Calibri" w:cs="Calibri"/>
          <w:color w:val="000000"/>
          <w:sz w:val="22"/>
          <w:szCs w:val="22"/>
        </w:rPr>
        <w:t xml:space="preserve">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renovation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lastRenderedPageBreak/>
        <w:t xml:space="preserve">The relative cost of the renovation as both a percentage of the </w:t>
      </w: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subgrantee’s</w:t>
      </w:r>
      <w:proofErr w:type="spellEnd"/>
      <w:r w:rsidRPr="0073343C">
        <w:rPr>
          <w:rFonts w:ascii="Calibri" w:hAnsi="Calibri" w:cs="Calibri"/>
          <w:color w:val="000000"/>
          <w:sz w:val="22"/>
          <w:szCs w:val="22"/>
        </w:rPr>
        <w:t xml:space="preserve"> CSP grant and the cost basis of the underlying property;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one-time versus continuing (such as a non-recurring cost associated with the start-up or expansion of the charter school).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252E12" w:rsidRPr="005D4790" w:rsidRDefault="00AD6D88" w:rsidP="00252E12">
      <w:pPr>
        <w:pStyle w:val="CommentText"/>
        <w:rPr>
          <w:rFonts w:ascii="Calibri" w:hAnsi="Calibri" w:cs="Calibri"/>
          <w:i/>
          <w:sz w:val="22"/>
          <w:szCs w:val="22"/>
        </w:rPr>
      </w:pP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>ask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s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the 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>school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to assure that it followed its internal practices and policies associated with the cost.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gramStart"/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 xml:space="preserve">For those proposed renovations determined to be capital expenditures (one costing greater than $5,000 or lasting more than one year, see </w:t>
      </w:r>
      <w:hyperlink r:id="rId14" w:history="1">
        <w:r w:rsidR="00252E12" w:rsidRPr="005D4790">
          <w:rPr>
            <w:rStyle w:val="Hyperlink"/>
            <w:rFonts w:ascii="Calibri" w:hAnsi="Calibri" w:cs="Calibri"/>
            <w:bCs/>
            <w:i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252E12" w:rsidRPr="005D4790">
        <w:rPr>
          <w:rFonts w:ascii="Calibri" w:hAnsi="Calibri" w:cs="Calibri"/>
          <w:bCs/>
          <w:i/>
          <w:color w:val="000000"/>
          <w:sz w:val="22"/>
          <w:szCs w:val="22"/>
          <w:shd w:val="clear" w:color="auto" w:fill="FFFFFF"/>
        </w:rPr>
        <w:t>, pp. 20; 49-53 for recommended procedures for capital assets)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>, written approval from DESE will be required prior to expending funds and sufficient information to allow Massachusetts to comply with its federal reporting requirements will be required annually.</w:t>
      </w:r>
      <w:proofErr w:type="gramEnd"/>
    </w:p>
    <w:p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One-Time Startup Costs Associated with Transporting Students to and from a Charter School (ESEA § 4303(h)(4)):</w:t>
      </w:r>
    </w:p>
    <w:p w:rsidR="00A2792B" w:rsidRPr="0073343C" w:rsidRDefault="00A2792B" w:rsidP="00A2792B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D6D88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bgrantees</w:t>
      </w:r>
      <w:proofErr w:type="spellEnd"/>
      <w:r w:rsidR="00A2792B" w:rsidRPr="0073343C">
        <w:rPr>
          <w:rFonts w:ascii="Calibri" w:hAnsi="Calibri" w:cs="Calibri"/>
          <w:color w:val="000000"/>
          <w:sz w:val="22"/>
          <w:szCs w:val="22"/>
        </w:rPr>
        <w:t xml:space="preserve"> may only use CSP funds for initia</w:t>
      </w:r>
      <w:r w:rsidRPr="0073343C">
        <w:rPr>
          <w:rFonts w:ascii="Calibri" w:hAnsi="Calibri" w:cs="Calibri"/>
          <w:color w:val="000000"/>
          <w:sz w:val="22"/>
          <w:szCs w:val="22"/>
        </w:rPr>
        <w:t>l start-up transportation costs.</w:t>
      </w:r>
    </w:p>
    <w:p w:rsidR="008A171F" w:rsidRPr="0073343C" w:rsidRDefault="008A171F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initial start-up transportation costs are necessary, reasonable (per </w:t>
      </w:r>
      <w:proofErr w:type="gramStart"/>
      <w:r w:rsidRPr="0073343C">
        <w:rPr>
          <w:rFonts w:ascii="Calibri" w:hAnsi="Calibri" w:cs="Calibri"/>
          <w:color w:val="000000"/>
          <w:sz w:val="22"/>
          <w:szCs w:val="22"/>
        </w:rPr>
        <w:t>2</w:t>
      </w:r>
      <w:proofErr w:type="gramEnd"/>
      <w:r w:rsidRPr="0073343C">
        <w:rPr>
          <w:rFonts w:ascii="Calibri" w:hAnsi="Calibri" w:cs="Calibri"/>
          <w:color w:val="000000"/>
          <w:sz w:val="22"/>
          <w:szCs w:val="22"/>
        </w:rPr>
        <w:t xml:space="preserve"> C.F.R. § 200.404) and allocable to the CSP subgrant, </w:t>
      </w:r>
      <w:r w:rsidR="00B660A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>: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is needed to carry out </w:t>
      </w: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subgrantee’s</w:t>
      </w:r>
      <w:proofErr w:type="spellEnd"/>
      <w:r w:rsidRPr="0073343C">
        <w:rPr>
          <w:rFonts w:ascii="Calibri" w:hAnsi="Calibri" w:cs="Calibri"/>
          <w:color w:val="000000"/>
          <w:sz w:val="22"/>
          <w:szCs w:val="22"/>
        </w:rPr>
        <w:t xml:space="preserve">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The relative cost as both a percentage of the </w:t>
      </w:r>
      <w:proofErr w:type="spellStart"/>
      <w:r w:rsidRPr="0073343C">
        <w:rPr>
          <w:rFonts w:ascii="Calibri" w:hAnsi="Calibri" w:cs="Calibri"/>
          <w:color w:val="000000"/>
          <w:sz w:val="22"/>
          <w:szCs w:val="22"/>
        </w:rPr>
        <w:t>subgrantee’s</w:t>
      </w:r>
      <w:proofErr w:type="spellEnd"/>
      <w:r w:rsidRPr="0073343C">
        <w:rPr>
          <w:rFonts w:ascii="Calibri" w:hAnsi="Calibri" w:cs="Calibri"/>
          <w:color w:val="000000"/>
          <w:sz w:val="22"/>
          <w:szCs w:val="22"/>
        </w:rPr>
        <w:t xml:space="preserve"> CSP grant;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In addition, we would ask the subgrantee to assure that it followed its internal practices and policies associated with the cost.</w:t>
      </w:r>
    </w:p>
    <w:p w:rsidR="00B038C0" w:rsidRPr="00897923" w:rsidRDefault="00B038C0" w:rsidP="00897923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sectPr w:rsidR="00B038C0" w:rsidRPr="00897923" w:rsidSect="005E3778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3F1"/>
    <w:multiLevelType w:val="hybridMultilevel"/>
    <w:tmpl w:val="6B3A068E"/>
    <w:lvl w:ilvl="0" w:tplc="86D4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14F9"/>
    <w:multiLevelType w:val="hybridMultilevel"/>
    <w:tmpl w:val="C94E684C"/>
    <w:lvl w:ilvl="0" w:tplc="67247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61E7"/>
    <w:multiLevelType w:val="hybridMultilevel"/>
    <w:tmpl w:val="3934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4EC"/>
    <w:multiLevelType w:val="hybridMultilevel"/>
    <w:tmpl w:val="CD98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91241"/>
    <w:multiLevelType w:val="hybridMultilevel"/>
    <w:tmpl w:val="DF9C0178"/>
    <w:lvl w:ilvl="0" w:tplc="58DECB1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7A77AF"/>
    <w:multiLevelType w:val="hybridMultilevel"/>
    <w:tmpl w:val="999C8B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31528A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047583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38336D"/>
    <w:multiLevelType w:val="hybridMultilevel"/>
    <w:tmpl w:val="0FE08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C34C52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C923E0"/>
    <w:multiLevelType w:val="hybridMultilevel"/>
    <w:tmpl w:val="502AF22A"/>
    <w:lvl w:ilvl="0" w:tplc="51521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0CEB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B6BD9"/>
    <w:multiLevelType w:val="hybridMultilevel"/>
    <w:tmpl w:val="1EDC348E"/>
    <w:lvl w:ilvl="0" w:tplc="CBC01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0020A"/>
    <w:multiLevelType w:val="hybridMultilevel"/>
    <w:tmpl w:val="BA3C0434"/>
    <w:lvl w:ilvl="0" w:tplc="E868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F5F4C"/>
    <w:multiLevelType w:val="hybridMultilevel"/>
    <w:tmpl w:val="4EA0D1D4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1F3CE3"/>
    <w:multiLevelType w:val="hybridMultilevel"/>
    <w:tmpl w:val="7DC45A5C"/>
    <w:lvl w:ilvl="0" w:tplc="BEFEA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A06B4"/>
    <w:multiLevelType w:val="hybridMultilevel"/>
    <w:tmpl w:val="7024B6E6"/>
    <w:lvl w:ilvl="0" w:tplc="516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72ACB"/>
    <w:multiLevelType w:val="hybridMultilevel"/>
    <w:tmpl w:val="F57E7BD0"/>
    <w:lvl w:ilvl="0" w:tplc="FFFFFFFF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6A4A69EA"/>
    <w:multiLevelType w:val="hybridMultilevel"/>
    <w:tmpl w:val="0B004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068A1"/>
    <w:multiLevelType w:val="hybridMultilevel"/>
    <w:tmpl w:val="8B085C8E"/>
    <w:lvl w:ilvl="0" w:tplc="299CBE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9782E"/>
    <w:multiLevelType w:val="hybridMultilevel"/>
    <w:tmpl w:val="8D9E90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973FFD"/>
    <w:multiLevelType w:val="hybridMultilevel"/>
    <w:tmpl w:val="FFD2A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200C4"/>
    <w:multiLevelType w:val="hybridMultilevel"/>
    <w:tmpl w:val="C0A4D83C"/>
    <w:lvl w:ilvl="0" w:tplc="5B8687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74A98"/>
    <w:multiLevelType w:val="hybridMultilevel"/>
    <w:tmpl w:val="FA3C5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BB007E"/>
    <w:multiLevelType w:val="hybridMultilevel"/>
    <w:tmpl w:val="6F28AA5A"/>
    <w:lvl w:ilvl="0" w:tplc="B4B2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3"/>
  </w:num>
  <w:num w:numId="10">
    <w:abstractNumId w:val="20"/>
  </w:num>
  <w:num w:numId="11">
    <w:abstractNumId w:val="10"/>
  </w:num>
  <w:num w:numId="12">
    <w:abstractNumId w:val="18"/>
  </w:num>
  <w:num w:numId="13">
    <w:abstractNumId w:val="12"/>
  </w:num>
  <w:num w:numId="14">
    <w:abstractNumId w:val="22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  <w:num w:numId="19">
    <w:abstractNumId w:val="15"/>
  </w:num>
  <w:num w:numId="20">
    <w:abstractNumId w:val="11"/>
  </w:num>
  <w:num w:numId="21">
    <w:abstractNumId w:val="14"/>
  </w:num>
  <w:num w:numId="22">
    <w:abstractNumId w:val="21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2B"/>
    <w:rsid w:val="00023B97"/>
    <w:rsid w:val="00044153"/>
    <w:rsid w:val="00046CD1"/>
    <w:rsid w:val="0005652B"/>
    <w:rsid w:val="00092CDE"/>
    <w:rsid w:val="000B0CFB"/>
    <w:rsid w:val="000E4782"/>
    <w:rsid w:val="000F2540"/>
    <w:rsid w:val="00137B07"/>
    <w:rsid w:val="00142714"/>
    <w:rsid w:val="00181140"/>
    <w:rsid w:val="001D179B"/>
    <w:rsid w:val="001E16A8"/>
    <w:rsid w:val="00252E12"/>
    <w:rsid w:val="002958A5"/>
    <w:rsid w:val="002B4E3D"/>
    <w:rsid w:val="002B7559"/>
    <w:rsid w:val="002C0B4A"/>
    <w:rsid w:val="002D1A31"/>
    <w:rsid w:val="002E262A"/>
    <w:rsid w:val="00301A74"/>
    <w:rsid w:val="00301B78"/>
    <w:rsid w:val="00330A6F"/>
    <w:rsid w:val="003400A0"/>
    <w:rsid w:val="00352627"/>
    <w:rsid w:val="00386FF0"/>
    <w:rsid w:val="003E693E"/>
    <w:rsid w:val="00477D89"/>
    <w:rsid w:val="004824EA"/>
    <w:rsid w:val="004A2D67"/>
    <w:rsid w:val="004A453C"/>
    <w:rsid w:val="004B0969"/>
    <w:rsid w:val="004B7BA8"/>
    <w:rsid w:val="004E66EA"/>
    <w:rsid w:val="00513577"/>
    <w:rsid w:val="00554BAD"/>
    <w:rsid w:val="00570689"/>
    <w:rsid w:val="00576B35"/>
    <w:rsid w:val="005C0E6C"/>
    <w:rsid w:val="005D31D5"/>
    <w:rsid w:val="005D4790"/>
    <w:rsid w:val="005E3778"/>
    <w:rsid w:val="006316DB"/>
    <w:rsid w:val="006B0AF7"/>
    <w:rsid w:val="006B33C9"/>
    <w:rsid w:val="006F4C01"/>
    <w:rsid w:val="00710581"/>
    <w:rsid w:val="00727B3A"/>
    <w:rsid w:val="0073343C"/>
    <w:rsid w:val="0074496A"/>
    <w:rsid w:val="0077386D"/>
    <w:rsid w:val="007C0CA7"/>
    <w:rsid w:val="007C5D2C"/>
    <w:rsid w:val="008358C4"/>
    <w:rsid w:val="00897923"/>
    <w:rsid w:val="008A171F"/>
    <w:rsid w:val="008B3C98"/>
    <w:rsid w:val="00914657"/>
    <w:rsid w:val="00933475"/>
    <w:rsid w:val="009430C1"/>
    <w:rsid w:val="00972946"/>
    <w:rsid w:val="00990846"/>
    <w:rsid w:val="00A2792B"/>
    <w:rsid w:val="00AD6D88"/>
    <w:rsid w:val="00AE6464"/>
    <w:rsid w:val="00AF2EAB"/>
    <w:rsid w:val="00B038C0"/>
    <w:rsid w:val="00B32CE2"/>
    <w:rsid w:val="00B660AB"/>
    <w:rsid w:val="00BB06A7"/>
    <w:rsid w:val="00C2321C"/>
    <w:rsid w:val="00C3744B"/>
    <w:rsid w:val="00C4238B"/>
    <w:rsid w:val="00CA39D1"/>
    <w:rsid w:val="00CC18D4"/>
    <w:rsid w:val="00CF314E"/>
    <w:rsid w:val="00D051F2"/>
    <w:rsid w:val="00D15197"/>
    <w:rsid w:val="00D7611E"/>
    <w:rsid w:val="00DB05D0"/>
    <w:rsid w:val="00DC0873"/>
    <w:rsid w:val="00DF07D7"/>
    <w:rsid w:val="00E037C6"/>
    <w:rsid w:val="00E063B6"/>
    <w:rsid w:val="00E12B2A"/>
    <w:rsid w:val="00E15469"/>
    <w:rsid w:val="00E266E8"/>
    <w:rsid w:val="00E314BD"/>
    <w:rsid w:val="00EB17B9"/>
    <w:rsid w:val="00F134B9"/>
    <w:rsid w:val="00F93269"/>
    <w:rsid w:val="00FA0437"/>
    <w:rsid w:val="00FC719B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1290A"/>
  <w15:chartTrackingRefBased/>
  <w15:docId w15:val="{E5BE8791-4B80-44FC-9C47-085194E1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360" w:right="-270" w:hanging="36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odyTextIndent">
    <w:name w:val="Body Text Indent"/>
    <w:basedOn w:val="Normal"/>
    <w:pPr>
      <w:ind w:left="360"/>
    </w:pPr>
    <w:rPr>
      <w:rFonts w:ascii="AGaramond" w:hAnsi="AGaramond"/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2">
    <w:name w:val="Body Text 2"/>
    <w:basedOn w:val="Normal"/>
    <w:pPr>
      <w:ind w:right="-270"/>
      <w:jc w:val="both"/>
    </w:pPr>
    <w:rPr>
      <w:sz w:val="22"/>
    </w:rPr>
  </w:style>
  <w:style w:type="paragraph" w:styleId="BlockText">
    <w:name w:val="Block Text"/>
    <w:basedOn w:val="Normal"/>
    <w:pPr>
      <w:ind w:left="360" w:right="-270"/>
      <w:jc w:val="both"/>
    </w:pPr>
    <w:rPr>
      <w:sz w:val="22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ind w:right="-450"/>
      <w:jc w:val="both"/>
    </w:pPr>
    <w:rPr>
      <w:sz w:val="22"/>
    </w:rPr>
  </w:style>
  <w:style w:type="paragraph" w:styleId="BodyTextIndent3">
    <w:name w:val="Body Text Indent 3"/>
    <w:basedOn w:val="Normal"/>
    <w:pPr>
      <w:spacing w:after="120"/>
      <w:ind w:left="702" w:hanging="342"/>
    </w:pPr>
    <w:rPr>
      <w:rFonts w:ascii="Arial" w:eastAsia="Batang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65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57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74496A"/>
    <w:pPr>
      <w:ind w:left="720"/>
    </w:pPr>
  </w:style>
  <w:style w:type="character" w:customStyle="1" w:styleId="FooterChar">
    <w:name w:val="Footer Char"/>
    <w:link w:val="Footer"/>
    <w:uiPriority w:val="99"/>
    <w:locked/>
    <w:rsid w:val="00181140"/>
    <w:rPr>
      <w:sz w:val="24"/>
      <w:szCs w:val="24"/>
    </w:rPr>
  </w:style>
  <w:style w:type="character" w:styleId="CommentReference">
    <w:name w:val="annotation reference"/>
    <w:uiPriority w:val="99"/>
    <w:rsid w:val="0018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1140"/>
  </w:style>
  <w:style w:type="character" w:customStyle="1" w:styleId="CommentTextChar">
    <w:name w:val="Comment Text Char"/>
    <w:basedOn w:val="DefaultParagraphFont"/>
    <w:link w:val="CommentText"/>
    <w:uiPriority w:val="99"/>
    <w:rsid w:val="00181140"/>
  </w:style>
  <w:style w:type="paragraph" w:styleId="CommentSubject">
    <w:name w:val="annotation subject"/>
    <w:basedOn w:val="CommentText"/>
    <w:next w:val="CommentText"/>
    <w:link w:val="CommentSubjectChar"/>
    <w:rsid w:val="00181140"/>
    <w:rPr>
      <w:b/>
      <w:bCs/>
    </w:rPr>
  </w:style>
  <w:style w:type="character" w:customStyle="1" w:styleId="CommentSubjectChar">
    <w:name w:val="Comment Subject Char"/>
    <w:link w:val="CommentSubject"/>
    <w:rsid w:val="0018114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266E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66E8"/>
    <w:rPr>
      <w:rFonts w:ascii="Calibri" w:eastAsia="Calibri" w:hAnsi="Calibri"/>
      <w:sz w:val="22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A2792B"/>
  </w:style>
  <w:style w:type="character" w:customStyle="1" w:styleId="BalloonTextChar">
    <w:name w:val="Balloon Text Char"/>
    <w:link w:val="BalloonText"/>
    <w:uiPriority w:val="99"/>
    <w:semiHidden/>
    <w:rsid w:val="009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harter/new/?section=handboo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charter/finance/auditing/FPP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charter/finance/auditing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gi-bin/retrieveECFR?gp=&amp;SID=ee4cc10f11140076f7017b96dcc6a171&amp;mc=true&amp;n=pt2.1.200&amp;r=PART&amp;ty=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harter/finance/auditing/FPP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0F04E0F-1048-4A23-998E-9C1EED546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0F3CD-60E2-46E3-8DF2-6AC2607447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259EDF-A44B-4447-96EB-13D77D229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8C0FB-462E-43D8-BCF3-4B44554DE84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EAD3B80-F95C-4A82-B2A9-FB8A08290F7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FC532 Charter School Significant Expansion Program Part III</vt:lpstr>
    </vt:vector>
  </TitlesOfParts>
  <Company/>
  <LinksUpToDate>false</LinksUpToDate>
  <CharactersWithSpaces>5098</CharactersWithSpaces>
  <SharedDoc>false</SharedDoc>
  <HLinks>
    <vt:vector size="30" baseType="variant"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http://www.doe.mass.edu/charter/new/?section=handbook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http://www.doe.mass.edu/charter/finance/auditing/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https://www.ecfr.gov/cgi-bin/retrieveECFR?gp=&amp;SID=ee4cc10f11140076f7017b96dcc6a171&amp;mc=true&amp;n=pt2.1.200&amp;r=PART&amp;ty=HTML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FC532 Charter School Significant Expansion Program Part III</dc:title>
  <dc:subject/>
  <dc:creator>DESE</dc:creator>
  <cp:keywords/>
  <cp:lastModifiedBy>Zou, Dong (EOE)</cp:lastModifiedBy>
  <cp:revision>3</cp:revision>
  <cp:lastPrinted>2008-06-20T15:16:00Z</cp:lastPrinted>
  <dcterms:created xsi:type="dcterms:W3CDTF">2018-08-17T15:35:00Z</dcterms:created>
  <dcterms:modified xsi:type="dcterms:W3CDTF">2018-08-17T15:35:00Z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2018</vt:lpwstr>
  </property>
</Properties>
</file>