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2" w:rsidRPr="00742BEA" w:rsidRDefault="00F30B92" w:rsidP="00F30B92">
      <w:pPr>
        <w:pStyle w:val="Heading3"/>
        <w:numPr>
          <w:ilvl w:val="0"/>
          <w:numId w:val="0"/>
        </w:numPr>
        <w:jc w:val="center"/>
        <w:rPr>
          <w:b/>
          <w:i w:val="0"/>
          <w:color w:val="2F5496" w:themeColor="accent1" w:themeShade="BF"/>
        </w:rPr>
      </w:pPr>
      <w:bookmarkStart w:id="0" w:name="LWDB"/>
      <w:bookmarkStart w:id="1" w:name="PASTPERFORMANCE"/>
      <w:bookmarkEnd w:id="0"/>
      <w:r w:rsidRPr="00742BEA">
        <w:rPr>
          <w:b/>
          <w:i w:val="0"/>
          <w:color w:val="2F5496" w:themeColor="accent1" w:themeShade="BF"/>
        </w:rPr>
        <w:t>Past Performance Overview</w:t>
      </w:r>
    </w:p>
    <w:bookmarkEnd w:id="1"/>
    <w:p w:rsidR="009C5292" w:rsidRDefault="00F30B92" w:rsidP="005203F3">
      <w:pPr>
        <w:pStyle w:val="Header"/>
      </w:pPr>
      <w:r w:rsidRPr="009B7604">
        <w:t xml:space="preserve">To </w:t>
      </w:r>
      <w:r w:rsidR="00C87F50">
        <w:t>be eligible for ESE funding, all</w:t>
      </w:r>
      <w:r w:rsidRPr="009B7604">
        <w:t xml:space="preserve"> </w:t>
      </w:r>
      <w:r w:rsidR="009C5292" w:rsidRPr="009B7604">
        <w:t>applicant</w:t>
      </w:r>
      <w:r w:rsidR="009C5292">
        <w:t xml:space="preserve">s </w:t>
      </w:r>
      <w:r w:rsidR="009E0A57">
        <w:t>(i.e.</w:t>
      </w:r>
      <w:r w:rsidR="00017E82">
        <w:t>,</w:t>
      </w:r>
      <w:r w:rsidR="009E0A57">
        <w:t xml:space="preserve"> both current and new eligible providers) </w:t>
      </w:r>
      <w:r w:rsidRPr="009B7604">
        <w:t xml:space="preserve">must provide </w:t>
      </w:r>
      <w:r w:rsidR="00017E82">
        <w:t>two</w:t>
      </w:r>
      <w:r w:rsidRPr="009B7604">
        <w:t xml:space="preserve"> years’ performance dat</w:t>
      </w:r>
      <w:r>
        <w:t>a</w:t>
      </w:r>
      <w:r w:rsidR="009C5292">
        <w:t>,</w:t>
      </w:r>
      <w:r w:rsidRPr="009B7604">
        <w:t xml:space="preserve"> </w:t>
      </w:r>
      <w:r w:rsidR="009C5292">
        <w:t>using</w:t>
      </w:r>
      <w:r>
        <w:t xml:space="preserve"> the table below</w:t>
      </w:r>
      <w:r w:rsidR="009C5292">
        <w:t xml:space="preserve">, which demonstrates that they </w:t>
      </w:r>
      <w:r w:rsidR="009C5292" w:rsidRPr="009C5292">
        <w:rPr>
          <w:b/>
        </w:rPr>
        <w:t xml:space="preserve">have </w:t>
      </w:r>
      <w:r w:rsidRPr="009C5292">
        <w:rPr>
          <w:b/>
        </w:rPr>
        <w:t>served a</w:t>
      </w:r>
      <w:r w:rsidRPr="009B7604">
        <w:t xml:space="preserve"> </w:t>
      </w:r>
      <w:r w:rsidRPr="009C5292">
        <w:rPr>
          <w:b/>
        </w:rPr>
        <w:t>minimum of 50 students</w:t>
      </w:r>
      <w:r w:rsidR="009C5292">
        <w:rPr>
          <w:b/>
        </w:rPr>
        <w:t xml:space="preserve"> annually</w:t>
      </w:r>
      <w:r w:rsidRPr="009B7604">
        <w:t>.</w:t>
      </w:r>
      <w:r w:rsidR="00603173">
        <w:t xml:space="preserve"> </w:t>
      </w:r>
    </w:p>
    <w:p w:rsidR="009C5292" w:rsidRDefault="009C5292" w:rsidP="005203F3">
      <w:pPr>
        <w:pStyle w:val="Header"/>
      </w:pPr>
    </w:p>
    <w:p w:rsidR="00F30B92" w:rsidRDefault="009C5292" w:rsidP="005203F3">
      <w:pPr>
        <w:pStyle w:val="Header"/>
        <w:rPr>
          <w:color w:val="FF0000"/>
        </w:rPr>
      </w:pPr>
      <w:r w:rsidRPr="009C5292">
        <w:rPr>
          <w:b/>
          <w:color w:val="FF0000"/>
        </w:rPr>
        <w:t>IMPORTANT</w:t>
      </w:r>
      <w:r>
        <w:t xml:space="preserve">: </w:t>
      </w:r>
      <w:r w:rsidR="00603173">
        <w:t xml:space="preserve">Applicants can only apply </w:t>
      </w:r>
      <w:r>
        <w:t xml:space="preserve">to propose adult education </w:t>
      </w:r>
      <w:r w:rsidR="00603173">
        <w:t>service</w:t>
      </w:r>
      <w:r>
        <w:t>s</w:t>
      </w:r>
      <w:r w:rsidR="00603173">
        <w:t xml:space="preserve"> if they have past performance data </w:t>
      </w:r>
      <w:r w:rsidR="00A15B34">
        <w:t xml:space="preserve">in that service area </w:t>
      </w:r>
      <w:r w:rsidR="00603173">
        <w:t>(e.g.</w:t>
      </w:r>
      <w:r w:rsidR="00017E82">
        <w:t>,</w:t>
      </w:r>
      <w:r w:rsidR="00603173">
        <w:t xml:space="preserve"> </w:t>
      </w:r>
      <w:r w:rsidR="00603173" w:rsidRPr="00603173">
        <w:t>an applicant with past performance data in</w:t>
      </w:r>
      <w:r w:rsidR="00603173">
        <w:t xml:space="preserve"> only</w:t>
      </w:r>
      <w:r w:rsidR="00603173" w:rsidRPr="00603173">
        <w:t xml:space="preserve"> ABE cannot propose ESOL services)</w:t>
      </w:r>
      <w:r w:rsidR="00603173">
        <w:t>.</w:t>
      </w:r>
      <w:r w:rsidR="00F30B92" w:rsidRPr="009B7604">
        <w:t xml:space="preserve"> </w:t>
      </w:r>
      <w:r w:rsidRPr="009C5292">
        <w:rPr>
          <w:b/>
        </w:rPr>
        <w:t>NOTE</w:t>
      </w:r>
      <w:r>
        <w:t xml:space="preserve">: </w:t>
      </w:r>
      <w:r w:rsidR="00F30B92" w:rsidRPr="009C5292">
        <w:t>A</w:t>
      </w:r>
      <w:r>
        <w:t xml:space="preserve">dult and </w:t>
      </w:r>
      <w:r w:rsidR="00F30B92" w:rsidRPr="009C5292">
        <w:t>C</w:t>
      </w:r>
      <w:r>
        <w:t xml:space="preserve">ommunity </w:t>
      </w:r>
      <w:r w:rsidR="00F30B92" w:rsidRPr="009C5292">
        <w:t>L</w:t>
      </w:r>
      <w:r>
        <w:t xml:space="preserve">earning </w:t>
      </w:r>
      <w:r w:rsidR="00F30B92" w:rsidRPr="009C5292">
        <w:t>S</w:t>
      </w:r>
      <w:r>
        <w:t>ervices (</w:t>
      </w:r>
      <w:r w:rsidRPr="00017E82">
        <w:t>ACLS</w:t>
      </w:r>
      <w:r>
        <w:t>)</w:t>
      </w:r>
      <w:r w:rsidR="00F30B92" w:rsidRPr="009C5292">
        <w:t xml:space="preserve"> reserves the right to verify data before awarding a grant.  </w:t>
      </w:r>
    </w:p>
    <w:tbl>
      <w:tblPr>
        <w:tblpPr w:leftFromText="180" w:rightFromText="180" w:vertAnchor="text" w:horzAnchor="margin" w:tblpY="201"/>
        <w:tblOverlap w:val="never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4"/>
        <w:gridCol w:w="972"/>
        <w:gridCol w:w="1107"/>
        <w:gridCol w:w="1080"/>
        <w:gridCol w:w="1080"/>
        <w:gridCol w:w="1080"/>
        <w:gridCol w:w="1080"/>
        <w:gridCol w:w="3735"/>
      </w:tblGrid>
      <w:tr w:rsidR="00A15B34" w:rsidRPr="00586886" w:rsidTr="00711803">
        <w:trPr>
          <w:trHeight w:val="540"/>
        </w:trPr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Adult Education Service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 xml:space="preserve">Number of  Enrolled Students 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Number and Percentage Completing Level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Number and Percentage Obtaining a HS Diploma or Equivalency Credential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Data source and additional notes</w:t>
            </w:r>
          </w:p>
        </w:tc>
      </w:tr>
      <w:tr w:rsidR="00A15B34" w:rsidRPr="00586886" w:rsidTr="00711803">
        <w:trPr>
          <w:trHeight w:val="591"/>
        </w:trPr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 xml:space="preserve">Student Performance Level </w:t>
            </w:r>
            <w:r w:rsidR="00017E82">
              <w:rPr>
                <w:rFonts w:asciiTheme="minorHAnsi" w:hAnsiTheme="minorHAnsi"/>
                <w:b/>
                <w:sz w:val="20"/>
                <w:szCs w:val="20"/>
              </w:rPr>
              <w:t xml:space="preserve">(SPL) </w:t>
            </w: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or Grade Level Equivalent</w:t>
            </w:r>
            <w:r w:rsidR="00017E82"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2015–16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2016–17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2015–16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2016–17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2015–16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2016–17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15B34" w:rsidRPr="009C5292" w:rsidRDefault="00A15B34" w:rsidP="00711803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Indicate the assessment(s) used in determining performance data. Provide additional information as necessary.  </w:t>
            </w:r>
          </w:p>
        </w:tc>
      </w:tr>
      <w:tr w:rsidR="00A15B34" w:rsidRPr="00586886" w:rsidTr="00711803">
        <w:trPr>
          <w:trHeight w:val="576"/>
        </w:trPr>
        <w:tc>
          <w:tcPr>
            <w:tcW w:w="36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3F3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ESOL Beginners (SPL 0-3)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576"/>
        </w:trPr>
        <w:tc>
          <w:tcPr>
            <w:tcW w:w="3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D11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ESOL Intermediate (SPL 4-5)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576"/>
        </w:trPr>
        <w:tc>
          <w:tcPr>
            <w:tcW w:w="3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D11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ESOL Advanced (SPL 6-7)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576"/>
        </w:trPr>
        <w:tc>
          <w:tcPr>
            <w:tcW w:w="3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D11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Basic Skills (GLE 0–3)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360"/>
        </w:trPr>
        <w:tc>
          <w:tcPr>
            <w:tcW w:w="3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D11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Pre-Adult Secondary Education (GLE 4–8)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5B34" w:rsidRPr="00586886" w:rsidRDefault="00A15B34" w:rsidP="007118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360"/>
        </w:trPr>
        <w:tc>
          <w:tcPr>
            <w:tcW w:w="3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>Adult Secondary Education/High School Equivalency/Adult Diploma Program (GLE 9-12)</w:t>
            </w:r>
          </w:p>
        </w:tc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B34" w:rsidRPr="00586886" w:rsidTr="00711803">
        <w:trPr>
          <w:trHeight w:val="360"/>
        </w:trPr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9C5292" w:rsidRDefault="00A15B34" w:rsidP="007118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C5292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B34" w:rsidRPr="00586886" w:rsidRDefault="00A15B34" w:rsidP="007118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F525D" w:rsidRPr="00F30B92" w:rsidRDefault="00EF525D" w:rsidP="00711803">
      <w:pPr>
        <w:tabs>
          <w:tab w:val="left" w:pos="4100"/>
        </w:tabs>
      </w:pPr>
    </w:p>
    <w:sectPr w:rsidR="00EF525D" w:rsidRPr="00F30B92" w:rsidSect="00711803">
      <w:headerReference w:type="first" r:id="rId12"/>
      <w:pgSz w:w="15840" w:h="12240" w:orient="landscape"/>
      <w:pgMar w:top="1440" w:right="1440" w:bottom="1080" w:left="1440" w:header="432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5DB7C8" w15:done="0"/>
  <w15:commentEx w15:paraId="13868C53" w15:done="0"/>
  <w15:commentEx w15:paraId="2BC210F0" w15:done="0"/>
  <w15:commentEx w15:paraId="4F109749" w15:done="0"/>
  <w15:commentEx w15:paraId="4D3E3484" w15:done="0"/>
  <w15:commentEx w15:paraId="4A88AC07" w15:done="0"/>
  <w15:commentEx w15:paraId="783C6095" w15:done="0"/>
  <w15:commentEx w15:paraId="3F521E61" w15:done="0"/>
  <w15:commentEx w15:paraId="4C643898" w15:done="0"/>
  <w15:commentEx w15:paraId="3BDBF264" w15:done="0"/>
  <w15:commentEx w15:paraId="31E1EED9" w15:done="0"/>
  <w15:commentEx w15:paraId="4394CD1B" w15:done="0"/>
  <w15:commentEx w15:paraId="3E8D6039" w15:done="0"/>
  <w15:commentEx w15:paraId="50B13543" w15:done="0"/>
  <w15:commentEx w15:paraId="39551AEA" w15:done="0"/>
  <w15:commentEx w15:paraId="10F6591B" w15:done="0"/>
  <w15:commentEx w15:paraId="55C508F8" w15:done="0"/>
  <w15:commentEx w15:paraId="38228D41" w15:done="0"/>
  <w15:commentEx w15:paraId="2091D925" w15:done="0"/>
  <w15:commentEx w15:paraId="22114564" w15:done="0"/>
  <w15:commentEx w15:paraId="5519B57D" w15:done="0"/>
  <w15:commentEx w15:paraId="08AAA478" w15:done="0"/>
  <w15:commentEx w15:paraId="15743B22" w15:done="0"/>
  <w15:commentEx w15:paraId="270D3694" w15:done="0"/>
  <w15:commentEx w15:paraId="40F38807" w15:done="0"/>
  <w15:commentEx w15:paraId="59B64803" w15:done="0"/>
  <w15:commentEx w15:paraId="40F58244" w15:done="0"/>
  <w15:commentEx w15:paraId="2593491D" w15:done="0"/>
  <w15:commentEx w15:paraId="1E68B248" w15:done="0"/>
  <w15:commentEx w15:paraId="015682B1" w15:done="0"/>
  <w15:commentEx w15:paraId="6EE06EFB" w15:done="0"/>
  <w15:commentEx w15:paraId="330E733E" w15:done="0"/>
  <w15:commentEx w15:paraId="4C67F1A8" w15:done="0"/>
  <w15:commentEx w15:paraId="4AAE95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47" w:rsidRDefault="008B2C47" w:rsidP="005D4831">
      <w:pPr>
        <w:spacing w:after="0" w:line="240" w:lineRule="auto"/>
      </w:pPr>
      <w:r>
        <w:separator/>
      </w:r>
    </w:p>
  </w:endnote>
  <w:endnote w:type="continuationSeparator" w:id="0">
    <w:p w:rsidR="008B2C47" w:rsidRDefault="008B2C47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MKDND+Book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47" w:rsidRDefault="008B2C47" w:rsidP="005D4831">
      <w:pPr>
        <w:spacing w:after="0" w:line="240" w:lineRule="auto"/>
      </w:pPr>
      <w:r>
        <w:separator/>
      </w:r>
    </w:p>
  </w:footnote>
  <w:footnote w:type="continuationSeparator" w:id="0">
    <w:p w:rsidR="008B2C47" w:rsidRDefault="008B2C47" w:rsidP="005D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92" w:rsidRDefault="00F30B92" w:rsidP="00711803">
    <w:pPr>
      <w:pStyle w:val="Header"/>
      <w:jc w:val="right"/>
      <w:rPr>
        <w:rFonts w:ascii="Georgia" w:hAnsi="Georgia"/>
      </w:rPr>
    </w:pPr>
    <w:r w:rsidRPr="00F30B92">
      <w:rPr>
        <w:rFonts w:ascii="Georgia" w:hAnsi="Georgia"/>
      </w:rPr>
      <w:t>Appendix A</w:t>
    </w:r>
  </w:p>
  <w:p w:rsidR="00711803" w:rsidRDefault="00711803" w:rsidP="00711803">
    <w:pPr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Massachusetts Department of Elementary and Secondary Education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>FY2019</w:t>
    </w:r>
  </w:p>
  <w:tbl>
    <w:tblPr>
      <w:tblW w:w="1215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270"/>
      <w:gridCol w:w="2880"/>
    </w:tblGrid>
    <w:tr w:rsidR="00711803" w:rsidTr="00711803">
      <w:trPr>
        <w:trHeight w:val="492"/>
      </w:trPr>
      <w:tc>
        <w:tcPr>
          <w:tcW w:w="92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711803" w:rsidRDefault="0071180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 Adult Education Services</w:t>
          </w:r>
        </w:p>
      </w:tc>
      <w:tc>
        <w:tcPr>
          <w:tcW w:w="288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711803" w:rsidRPr="00711803" w:rsidRDefault="00711803" w:rsidP="00711803">
          <w:pPr>
            <w:tabs>
              <w:tab w:val="left" w:pos="1332"/>
            </w:tabs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Fund Codes:</w:t>
          </w:r>
          <w:r>
            <w:rPr>
              <w:rFonts w:ascii="Arial" w:hAnsi="Arial" w:cs="Arial"/>
              <w:sz w:val="20"/>
              <w:szCs w:val="20"/>
            </w:rPr>
            <w:t xml:space="preserve">    340/345/359/285/563</w:t>
          </w:r>
        </w:p>
      </w:tc>
    </w:tr>
  </w:tbl>
  <w:p w:rsidR="00711803" w:rsidRDefault="007118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iff Chuang">
    <w15:presenceInfo w15:providerId="Windows Live" w15:userId="d4ac8bfdbf1504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10488"/>
    <w:rsid w:val="000005BB"/>
    <w:rsid w:val="0000225B"/>
    <w:rsid w:val="00002C3C"/>
    <w:rsid w:val="00004FA8"/>
    <w:rsid w:val="00005D50"/>
    <w:rsid w:val="000064A7"/>
    <w:rsid w:val="0001260F"/>
    <w:rsid w:val="0001341A"/>
    <w:rsid w:val="0001456C"/>
    <w:rsid w:val="00014ABA"/>
    <w:rsid w:val="00015DF4"/>
    <w:rsid w:val="00017E82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B0160"/>
    <w:rsid w:val="000B1DCA"/>
    <w:rsid w:val="000B246D"/>
    <w:rsid w:val="000B3B1A"/>
    <w:rsid w:val="000B4FD5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6CC"/>
    <w:rsid w:val="001527FF"/>
    <w:rsid w:val="001534B3"/>
    <w:rsid w:val="0015541B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5C81"/>
    <w:rsid w:val="001E69C7"/>
    <w:rsid w:val="001F14E9"/>
    <w:rsid w:val="001F156F"/>
    <w:rsid w:val="001F27DB"/>
    <w:rsid w:val="001F3F2F"/>
    <w:rsid w:val="001F6FC0"/>
    <w:rsid w:val="0020113A"/>
    <w:rsid w:val="0020677E"/>
    <w:rsid w:val="00210CE9"/>
    <w:rsid w:val="00210F7D"/>
    <w:rsid w:val="002113A2"/>
    <w:rsid w:val="002139F4"/>
    <w:rsid w:val="002158AA"/>
    <w:rsid w:val="00216575"/>
    <w:rsid w:val="00217988"/>
    <w:rsid w:val="002209DF"/>
    <w:rsid w:val="00224BF3"/>
    <w:rsid w:val="00224C64"/>
    <w:rsid w:val="00226FB8"/>
    <w:rsid w:val="00227DC0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346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859"/>
    <w:rsid w:val="002F3117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6EF5"/>
    <w:rsid w:val="00380627"/>
    <w:rsid w:val="00383B11"/>
    <w:rsid w:val="00383B18"/>
    <w:rsid w:val="00386147"/>
    <w:rsid w:val="00386E96"/>
    <w:rsid w:val="00391BD1"/>
    <w:rsid w:val="003923FC"/>
    <w:rsid w:val="00396144"/>
    <w:rsid w:val="00397B70"/>
    <w:rsid w:val="003A29EF"/>
    <w:rsid w:val="003A2CC6"/>
    <w:rsid w:val="003A3D1D"/>
    <w:rsid w:val="003A4F86"/>
    <w:rsid w:val="003A58FD"/>
    <w:rsid w:val="003A5F3A"/>
    <w:rsid w:val="003A5F52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36BFF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57BE8"/>
    <w:rsid w:val="00463F12"/>
    <w:rsid w:val="004642ED"/>
    <w:rsid w:val="00465FEA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1D11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6DEB"/>
    <w:rsid w:val="005173C4"/>
    <w:rsid w:val="005203F3"/>
    <w:rsid w:val="00520FC1"/>
    <w:rsid w:val="0052113A"/>
    <w:rsid w:val="00522A27"/>
    <w:rsid w:val="0052405E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173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57971"/>
    <w:rsid w:val="00663A5F"/>
    <w:rsid w:val="00663A7C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667D"/>
    <w:rsid w:val="0071019B"/>
    <w:rsid w:val="00710F14"/>
    <w:rsid w:val="00711803"/>
    <w:rsid w:val="007132C8"/>
    <w:rsid w:val="007175BB"/>
    <w:rsid w:val="00720F81"/>
    <w:rsid w:val="00721201"/>
    <w:rsid w:val="00722E7E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6CB3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404"/>
    <w:rsid w:val="007D5AAC"/>
    <w:rsid w:val="007E0299"/>
    <w:rsid w:val="007E1314"/>
    <w:rsid w:val="007E3F1E"/>
    <w:rsid w:val="007E55F7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20774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2C47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8F2"/>
    <w:rsid w:val="00937C29"/>
    <w:rsid w:val="00945789"/>
    <w:rsid w:val="00946FB8"/>
    <w:rsid w:val="00950FA2"/>
    <w:rsid w:val="00951F63"/>
    <w:rsid w:val="00954809"/>
    <w:rsid w:val="00956E7D"/>
    <w:rsid w:val="009573F1"/>
    <w:rsid w:val="00957C13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5292"/>
    <w:rsid w:val="009C6A2E"/>
    <w:rsid w:val="009C7012"/>
    <w:rsid w:val="009D046D"/>
    <w:rsid w:val="009D1574"/>
    <w:rsid w:val="009D2049"/>
    <w:rsid w:val="009D345B"/>
    <w:rsid w:val="009E0A57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5B34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3A35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4CC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3D2"/>
    <w:rsid w:val="00AF6E77"/>
    <w:rsid w:val="00B002F4"/>
    <w:rsid w:val="00B004AB"/>
    <w:rsid w:val="00B0099F"/>
    <w:rsid w:val="00B00B65"/>
    <w:rsid w:val="00B0260D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4C4A"/>
    <w:rsid w:val="00BC50D6"/>
    <w:rsid w:val="00BC602D"/>
    <w:rsid w:val="00BD07E4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50B92"/>
    <w:rsid w:val="00C50BD3"/>
    <w:rsid w:val="00C51069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87F50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7E0E"/>
    <w:rsid w:val="00D727E4"/>
    <w:rsid w:val="00D749AC"/>
    <w:rsid w:val="00D76B34"/>
    <w:rsid w:val="00D82C4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6B07"/>
    <w:rsid w:val="00EF0F42"/>
    <w:rsid w:val="00EF2A5F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B92"/>
    <w:rsid w:val="00F30DBE"/>
    <w:rsid w:val="00F30E74"/>
    <w:rsid w:val="00F33516"/>
    <w:rsid w:val="00F33B81"/>
    <w:rsid w:val="00F351C9"/>
    <w:rsid w:val="00F3561D"/>
    <w:rsid w:val="00F377C6"/>
    <w:rsid w:val="00F37F90"/>
    <w:rsid w:val="00F40EC5"/>
    <w:rsid w:val="00F424A1"/>
    <w:rsid w:val="00F44AD9"/>
    <w:rsid w:val="00F462BB"/>
    <w:rsid w:val="00F50F4C"/>
    <w:rsid w:val="00F51743"/>
    <w:rsid w:val="00F5226A"/>
    <w:rsid w:val="00F557A0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17CC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4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DESE-231-34757</_dlc_DocId>
    <_dlc_DocIdUrl xmlns="733efe1c-5bbe-4968-87dc-d400e65c879f">
      <Url>https://sharepoint.doemass.org/ese/webteam/cps/_layouts/DocIdRedir.aspx?ID=DESE-231-34757</Url>
      <Description>DESE-231-34757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FB7A-B048-4649-952F-BECF645619F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8DF5FA0-6969-42B5-991E-C145D9499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B80F6C-BC69-4559-A122-5D6CF4E1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0C0F5-9BAF-437E-A620-66AB8E9717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2DC9DA-FB71-4AA8-9731-6AD6E218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Appendix A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Appendix A</dc:title>
  <dc:subject/>
  <dc:creator>ESE</dc:creator>
  <cp:lastModifiedBy>dzou</cp:lastModifiedBy>
  <cp:revision>7</cp:revision>
  <cp:lastPrinted>2017-06-06T18:51:00Z</cp:lastPrinted>
  <dcterms:created xsi:type="dcterms:W3CDTF">2017-06-23T15:38:00Z</dcterms:created>
  <dcterms:modified xsi:type="dcterms:W3CDTF">2017-07-17T18:06:00Z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