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0B" w:rsidRDefault="0091580B" w:rsidP="0091580B">
      <w:pPr>
        <w:pStyle w:val="Heading2"/>
        <w:spacing w:after="120"/>
        <w:rPr>
          <w:i w:val="0"/>
          <w:u w:val="none"/>
        </w:rPr>
      </w:pPr>
      <w:bookmarkStart w:id="0" w:name="_Toc369868801"/>
      <w:bookmarkStart w:id="1" w:name="_Toc369869472"/>
      <w:bookmarkStart w:id="2" w:name="_Toc372187762"/>
      <w:bookmarkStart w:id="3" w:name="_Toc477111781"/>
      <w:bookmarkStart w:id="4" w:name="_Toc477112090"/>
      <w:bookmarkStart w:id="5" w:name="_Toc477112587"/>
      <w:bookmarkStart w:id="6" w:name="_Toc477260556"/>
      <w:bookmarkStart w:id="7" w:name="_GoBack"/>
      <w:bookmarkEnd w:id="7"/>
      <w:r w:rsidRPr="0043257B">
        <w:rPr>
          <w:i w:val="0"/>
          <w:u w:val="none"/>
        </w:rPr>
        <w:t>CRITICAL DATES FOR THE REQUEST FOR APPLICATIONS</w:t>
      </w:r>
      <w:bookmarkEnd w:id="0"/>
      <w:bookmarkEnd w:id="1"/>
      <w:bookmarkEnd w:id="2"/>
      <w:bookmarkEnd w:id="3"/>
      <w:bookmarkEnd w:id="4"/>
      <w:bookmarkEnd w:id="5"/>
      <w:bookmarkEnd w:id="6"/>
    </w:p>
    <w:p w:rsidR="0091580B" w:rsidRPr="0091580B" w:rsidRDefault="0091580B" w:rsidP="0091580B"/>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85"/>
        <w:gridCol w:w="5625"/>
      </w:tblGrid>
      <w:tr w:rsidR="0091580B" w:rsidRPr="0043257B" w:rsidTr="00FB7B5E">
        <w:trPr>
          <w:trHeight w:val="431"/>
        </w:trPr>
        <w:tc>
          <w:tcPr>
            <w:tcW w:w="1413" w:type="dxa"/>
            <w:vMerge w:val="restart"/>
            <w:tcBorders>
              <w:top w:val="single" w:sz="4" w:space="0" w:color="auto"/>
              <w:left w:val="single" w:sz="4" w:space="0" w:color="auto"/>
              <w:right w:val="single" w:sz="4" w:space="0" w:color="auto"/>
            </w:tcBorders>
            <w:shd w:val="clear" w:color="auto" w:fill="1F4E79"/>
            <w:textDirection w:val="btLr"/>
          </w:tcPr>
          <w:p w:rsidR="0091580B" w:rsidRPr="0043257B" w:rsidRDefault="0091580B" w:rsidP="00AF768B">
            <w:pPr>
              <w:ind w:left="113" w:right="113"/>
              <w:jc w:val="center"/>
              <w:rPr>
                <w:rFonts w:eastAsia="Batang"/>
                <w:b/>
                <w:color w:val="FFFFFF"/>
              </w:rPr>
            </w:pPr>
            <w:r w:rsidRPr="0043257B">
              <w:rPr>
                <w:rFonts w:eastAsia="Batang"/>
                <w:b/>
                <w:color w:val="FFFFFF"/>
              </w:rPr>
              <w:t>July—December</w:t>
            </w:r>
          </w:p>
          <w:p w:rsidR="0091580B" w:rsidRPr="0043257B" w:rsidRDefault="0091580B" w:rsidP="00AF768B">
            <w:pPr>
              <w:ind w:left="113" w:right="113"/>
              <w:jc w:val="center"/>
              <w:rPr>
                <w:rFonts w:eastAsia="Batang"/>
                <w:b/>
                <w:color w:val="FFFFFF"/>
              </w:rPr>
            </w:pPr>
          </w:p>
          <w:p w:rsidR="0091580B" w:rsidRPr="0043257B" w:rsidRDefault="0091580B" w:rsidP="00043EAA">
            <w:pPr>
              <w:ind w:left="113" w:right="113"/>
              <w:jc w:val="center"/>
              <w:rPr>
                <w:rFonts w:eastAsia="Batang"/>
                <w:color w:val="FFFFFF"/>
              </w:rPr>
            </w:pPr>
            <w:r w:rsidRPr="0043257B">
              <w:rPr>
                <w:color w:val="FFFFFF"/>
              </w:rPr>
              <w:t xml:space="preserve">Applicants </w:t>
            </w:r>
            <w:r w:rsidRPr="0067042C">
              <w:rPr>
                <w:color w:val="FFFFFF" w:themeColor="background1"/>
              </w:rPr>
              <w:t>should visit</w:t>
            </w:r>
            <w:r>
              <w:rPr>
                <w:color w:val="FF0000"/>
              </w:rPr>
              <w:t xml:space="preserve"> </w:t>
            </w:r>
            <w:r w:rsidRPr="0067042C">
              <w:rPr>
                <w:color w:val="FF0000"/>
              </w:rPr>
              <w:t>http://www.mass.gov/massworkforce/wioa/acls</w:t>
            </w:r>
            <w:r>
              <w:rPr>
                <w:color w:val="FFFFFF"/>
              </w:rPr>
              <w:t xml:space="preserve"> </w:t>
            </w:r>
            <w:r w:rsidRPr="0043257B">
              <w:rPr>
                <w:color w:val="FFFFFF"/>
              </w:rPr>
              <w:t xml:space="preserve">to review the </w:t>
            </w:r>
            <w:r w:rsidRPr="0043257B">
              <w:rPr>
                <w:i/>
                <w:color w:val="FFFFFF"/>
              </w:rPr>
              <w:t xml:space="preserve"> local plan</w:t>
            </w:r>
            <w:r w:rsidRPr="0043257B">
              <w:rPr>
                <w:color w:val="FFFFFF"/>
              </w:rPr>
              <w:t xml:space="preserve"> </w:t>
            </w:r>
            <w:r w:rsidR="00043EAA">
              <w:rPr>
                <w:color w:val="FFFFFF"/>
              </w:rPr>
              <w:t xml:space="preserve"> </w:t>
            </w:r>
            <w:r w:rsidRPr="00043EAA">
              <w:rPr>
                <w:i/>
                <w:color w:val="FFFFFF"/>
              </w:rPr>
              <w:t>package</w:t>
            </w:r>
            <w:r>
              <w:rPr>
                <w:color w:val="FFFFFF"/>
              </w:rPr>
              <w:t xml:space="preserve"> </w:t>
            </w:r>
            <w:r w:rsidRPr="0043257B">
              <w:rPr>
                <w:color w:val="FFFFFF"/>
              </w:rPr>
              <w:t xml:space="preserve">for their </w:t>
            </w:r>
            <w:hyperlink w:anchor="LWDB" w:history="1">
              <w:r w:rsidRPr="0043257B">
                <w:rPr>
                  <w:rStyle w:val="Hyperlink"/>
                  <w:color w:val="FFFFFF"/>
                </w:rPr>
                <w:t>local workforce development area</w:t>
              </w:r>
            </w:hyperlink>
            <w:r w:rsidRPr="003D6443">
              <w:t xml:space="preserve"> </w:t>
            </w:r>
            <w:r w:rsidRPr="0043257B">
              <w:rPr>
                <w:color w:val="FFFFFF"/>
              </w:rPr>
              <w:t xml:space="preserve">and </w:t>
            </w:r>
            <w:r w:rsidRPr="0043257B">
              <w:rPr>
                <w:rFonts w:eastAsia="Batang"/>
                <w:color w:val="FFFFFF"/>
              </w:rPr>
              <w:t xml:space="preserve">consult as needed with </w:t>
            </w:r>
            <w:r w:rsidR="00043EAA">
              <w:rPr>
                <w:rFonts w:eastAsia="Batang"/>
                <w:color w:val="FFFFFF"/>
              </w:rPr>
              <w:t xml:space="preserve">local </w:t>
            </w:r>
            <w:hyperlink w:anchor="wioapartners" w:history="1">
              <w:r w:rsidRPr="00043EAA">
                <w:rPr>
                  <w:rStyle w:val="Hyperlink"/>
                  <w:color w:val="FFFFFF"/>
                  <w:u w:val="none"/>
                </w:rPr>
                <w:t>WIOA partners</w:t>
              </w:r>
            </w:hyperlink>
            <w:r w:rsidRPr="00043EAA">
              <w:rPr>
                <w:color w:val="FFFFFF" w:themeColor="background1"/>
              </w:rPr>
              <w:t>.</w:t>
            </w:r>
          </w:p>
        </w:tc>
        <w:tc>
          <w:tcPr>
            <w:tcW w:w="3285" w:type="dxa"/>
            <w:tcBorders>
              <w:top w:val="single" w:sz="4" w:space="0" w:color="auto"/>
              <w:left w:val="single" w:sz="4" w:space="0" w:color="auto"/>
              <w:bottom w:val="single" w:sz="4" w:space="0" w:color="auto"/>
              <w:right w:val="single" w:sz="4" w:space="0" w:color="auto"/>
            </w:tcBorders>
            <w:shd w:val="clear" w:color="auto" w:fill="1F4E79"/>
            <w:vAlign w:val="center"/>
          </w:tcPr>
          <w:p w:rsidR="0091580B" w:rsidRPr="0043257B" w:rsidRDefault="0091580B" w:rsidP="00AF768B">
            <w:pPr>
              <w:jc w:val="center"/>
              <w:rPr>
                <w:rFonts w:eastAsia="Batang"/>
                <w:b/>
                <w:color w:val="FFFFFF"/>
              </w:rPr>
            </w:pPr>
            <w:r w:rsidRPr="0043257B">
              <w:rPr>
                <w:rFonts w:eastAsia="Batang"/>
                <w:b/>
                <w:color w:val="FFFFFF"/>
              </w:rPr>
              <w:t>Dates</w:t>
            </w:r>
          </w:p>
        </w:tc>
        <w:tc>
          <w:tcPr>
            <w:tcW w:w="5625" w:type="dxa"/>
            <w:tcBorders>
              <w:top w:val="single" w:sz="4" w:space="0" w:color="auto"/>
              <w:left w:val="single" w:sz="4" w:space="0" w:color="auto"/>
              <w:bottom w:val="single" w:sz="4" w:space="0" w:color="auto"/>
              <w:right w:val="single" w:sz="4" w:space="0" w:color="auto"/>
            </w:tcBorders>
            <w:shd w:val="clear" w:color="auto" w:fill="1F4E79"/>
            <w:vAlign w:val="center"/>
          </w:tcPr>
          <w:p w:rsidR="0091580B" w:rsidRPr="0043257B" w:rsidRDefault="0091580B" w:rsidP="00AF768B">
            <w:pPr>
              <w:jc w:val="center"/>
              <w:rPr>
                <w:b/>
                <w:color w:val="FFFFFF"/>
              </w:rPr>
            </w:pPr>
            <w:r w:rsidRPr="0043257B">
              <w:rPr>
                <w:b/>
                <w:color w:val="FFFFFF"/>
              </w:rPr>
              <w:t>Events</w:t>
            </w:r>
          </w:p>
        </w:tc>
      </w:tr>
      <w:tr w:rsidR="0091580B" w:rsidRPr="003D6443" w:rsidTr="00FB7B5E">
        <w:trPr>
          <w:trHeight w:val="512"/>
        </w:trPr>
        <w:tc>
          <w:tcPr>
            <w:tcW w:w="1413" w:type="dxa"/>
            <w:vMerge/>
            <w:tcBorders>
              <w:left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hideMark/>
          </w:tcPr>
          <w:p w:rsidR="0091580B" w:rsidRPr="003D6443" w:rsidRDefault="0091580B" w:rsidP="00AF768B">
            <w:pPr>
              <w:spacing w:before="120" w:after="120"/>
              <w:rPr>
                <w:rFonts w:eastAsia="Batang"/>
                <w:b/>
              </w:rPr>
            </w:pPr>
            <w:r w:rsidRPr="003D6443">
              <w:rPr>
                <w:rFonts w:eastAsia="Batang"/>
                <w:b/>
              </w:rPr>
              <w:t>July 2017</w:t>
            </w:r>
          </w:p>
        </w:tc>
        <w:tc>
          <w:tcPr>
            <w:tcW w:w="5625" w:type="dxa"/>
            <w:tcBorders>
              <w:top w:val="single" w:sz="4" w:space="0" w:color="auto"/>
              <w:left w:val="single" w:sz="4" w:space="0" w:color="auto"/>
              <w:bottom w:val="single" w:sz="4" w:space="0" w:color="auto"/>
              <w:right w:val="single" w:sz="4" w:space="0" w:color="auto"/>
            </w:tcBorders>
          </w:tcPr>
          <w:p w:rsidR="0091580B" w:rsidRPr="003D6443" w:rsidRDefault="0091580B" w:rsidP="00AF768B">
            <w:pPr>
              <w:spacing w:before="120" w:after="120"/>
            </w:pPr>
            <w:r w:rsidRPr="003D6443">
              <w:t>RFP is posted at http://www.doe.mass.edu/Grants</w:t>
            </w:r>
            <w:r w:rsidR="00FB7B5E">
              <w:t>.</w:t>
            </w:r>
          </w:p>
        </w:tc>
      </w:tr>
      <w:tr w:rsidR="0091580B" w:rsidRPr="003D6443" w:rsidTr="00FB7B5E">
        <w:trPr>
          <w:trHeight w:val="557"/>
        </w:trPr>
        <w:tc>
          <w:tcPr>
            <w:tcW w:w="1413" w:type="dxa"/>
            <w:vMerge/>
            <w:tcBorders>
              <w:left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tcPr>
          <w:p w:rsidR="0091580B" w:rsidRPr="0067042C" w:rsidRDefault="0091580B" w:rsidP="00AF768B">
            <w:pPr>
              <w:spacing w:before="120" w:after="120"/>
              <w:rPr>
                <w:rFonts w:eastAsia="Batang"/>
                <w:b/>
              </w:rPr>
            </w:pPr>
            <w:r w:rsidRPr="0067042C">
              <w:rPr>
                <w:rFonts w:eastAsia="Batang"/>
                <w:b/>
              </w:rPr>
              <w:t>September</w:t>
            </w:r>
            <w:r w:rsidR="007C0CB9">
              <w:rPr>
                <w:rFonts w:eastAsia="Batang"/>
                <w:b/>
              </w:rPr>
              <w:t xml:space="preserve"> - October</w:t>
            </w:r>
            <w:r w:rsidRPr="0067042C">
              <w:rPr>
                <w:rFonts w:eastAsia="Batang"/>
                <w:b/>
              </w:rPr>
              <w:t xml:space="preserve"> 2017</w:t>
            </w:r>
          </w:p>
        </w:tc>
        <w:tc>
          <w:tcPr>
            <w:tcW w:w="5625" w:type="dxa"/>
            <w:tcBorders>
              <w:top w:val="single" w:sz="4" w:space="0" w:color="auto"/>
              <w:left w:val="single" w:sz="4" w:space="0" w:color="auto"/>
              <w:bottom w:val="single" w:sz="4" w:space="0" w:color="auto"/>
              <w:right w:val="single" w:sz="4" w:space="0" w:color="auto"/>
            </w:tcBorders>
          </w:tcPr>
          <w:p w:rsidR="00F01B1B" w:rsidRPr="00487FA1" w:rsidRDefault="00AC71BA" w:rsidP="00AF768B">
            <w:r w:rsidRPr="00487FA1">
              <w:t>Submit an optional</w:t>
            </w:r>
            <w:r w:rsidR="00F01B1B" w:rsidRPr="00487FA1">
              <w:t xml:space="preserve"> </w:t>
            </w:r>
            <w:r w:rsidR="00813445" w:rsidRPr="00487FA1">
              <w:t>Letter of Intent</w:t>
            </w:r>
            <w:r w:rsidRPr="00487FA1">
              <w:t xml:space="preserve"> (for planning purposes</w:t>
            </w:r>
            <w:r w:rsidR="00487FA1" w:rsidRPr="00487FA1">
              <w:t xml:space="preserve"> only</w:t>
            </w:r>
            <w:r w:rsidR="00ED53F4">
              <w:t>, but strongly encouraged</w:t>
            </w:r>
            <w:r w:rsidRPr="00487FA1">
              <w:t xml:space="preserve">) </w:t>
            </w:r>
            <w:r w:rsidR="00813445" w:rsidRPr="00487FA1">
              <w:t xml:space="preserve">in the online portal found on the </w:t>
            </w:r>
            <w:hyperlink r:id="rId12" w:history="1">
              <w:r w:rsidR="00813445" w:rsidRPr="00487FA1">
                <w:rPr>
                  <w:rStyle w:val="Hyperlink"/>
                </w:rPr>
                <w:t>ACLS website</w:t>
              </w:r>
            </w:hyperlink>
            <w:r w:rsidR="00813445" w:rsidRPr="00487FA1">
              <w:t xml:space="preserve"> by October 6, 2017. </w:t>
            </w:r>
          </w:p>
          <w:p w:rsidR="00813445" w:rsidRDefault="00813445" w:rsidP="00AF768B"/>
          <w:p w:rsidR="0091580B" w:rsidRPr="00F01B1B" w:rsidRDefault="00FB7B5E" w:rsidP="00AF768B">
            <w:pPr>
              <w:rPr>
                <w:i/>
              </w:rPr>
            </w:pPr>
            <w:r w:rsidRPr="00813445">
              <w:rPr>
                <w:b/>
              </w:rPr>
              <w:t>Bidder</w:t>
            </w:r>
            <w:r w:rsidR="00813445" w:rsidRPr="00813445">
              <w:rPr>
                <w:b/>
              </w:rPr>
              <w:t>s</w:t>
            </w:r>
            <w:r w:rsidRPr="00813445">
              <w:rPr>
                <w:b/>
              </w:rPr>
              <w:t xml:space="preserve"> conferences</w:t>
            </w:r>
            <w:r w:rsidR="00813445">
              <w:rPr>
                <w:b/>
              </w:rPr>
              <w:t>/</w:t>
            </w:r>
            <w:r w:rsidRPr="00813445">
              <w:rPr>
                <w:b/>
              </w:rPr>
              <w:t>webinars</w:t>
            </w:r>
            <w:r w:rsidR="00813445">
              <w:t xml:space="preserve"> (</w:t>
            </w:r>
            <w:r w:rsidR="00813445" w:rsidRPr="00F01B1B">
              <w:rPr>
                <w:i/>
              </w:rPr>
              <w:t>sch</w:t>
            </w:r>
            <w:r w:rsidR="00F57FA6">
              <w:rPr>
                <w:i/>
              </w:rPr>
              <w:t>eduled from 10-12, excep</w:t>
            </w:r>
            <w:r w:rsidR="00813445" w:rsidRPr="00F01B1B">
              <w:rPr>
                <w:i/>
              </w:rPr>
              <w:t>t as noted):</w:t>
            </w:r>
          </w:p>
          <w:p w:rsidR="00813445" w:rsidRPr="0067042C" w:rsidRDefault="00813445" w:rsidP="00AF768B">
            <w:pPr>
              <w:rPr>
                <w:color w:val="1F497D"/>
              </w:rPr>
            </w:pPr>
          </w:p>
          <w:p w:rsidR="0091580B" w:rsidRPr="00791791" w:rsidRDefault="00791791" w:rsidP="00791791">
            <w:pPr>
              <w:rPr>
                <w:color w:val="000000" w:themeColor="text1"/>
              </w:rPr>
            </w:pPr>
            <w:r w:rsidRPr="00791791">
              <w:rPr>
                <w:b/>
                <w:color w:val="000000" w:themeColor="text1"/>
              </w:rPr>
              <w:t>9/19</w:t>
            </w:r>
            <w:r>
              <w:rPr>
                <w:color w:val="000000" w:themeColor="text1"/>
              </w:rPr>
              <w:t xml:space="preserve"> </w:t>
            </w:r>
            <w:r w:rsidR="0091580B" w:rsidRPr="00791791">
              <w:rPr>
                <w:color w:val="000000" w:themeColor="text1"/>
              </w:rPr>
              <w:t xml:space="preserve">Webinar </w:t>
            </w:r>
          </w:p>
          <w:p w:rsidR="0091580B" w:rsidRPr="00791791" w:rsidRDefault="00791791" w:rsidP="00791791">
            <w:pPr>
              <w:rPr>
                <w:color w:val="000000" w:themeColor="text1"/>
              </w:rPr>
            </w:pPr>
            <w:r w:rsidRPr="00791791">
              <w:rPr>
                <w:b/>
                <w:color w:val="000000" w:themeColor="text1"/>
              </w:rPr>
              <w:t>9/20</w:t>
            </w:r>
            <w:r>
              <w:rPr>
                <w:color w:val="000000" w:themeColor="text1"/>
              </w:rPr>
              <w:t xml:space="preserve"> </w:t>
            </w:r>
            <w:r w:rsidR="0091580B" w:rsidRPr="00791791">
              <w:rPr>
                <w:color w:val="000000" w:themeColor="text1"/>
              </w:rPr>
              <w:t>Central Mass</w:t>
            </w:r>
            <w:r w:rsidRPr="00791791">
              <w:rPr>
                <w:color w:val="000000" w:themeColor="text1"/>
              </w:rPr>
              <w:t xml:space="preserve"> Workforce Investment Board</w:t>
            </w:r>
            <w:r w:rsidR="0071087E">
              <w:rPr>
                <w:color w:val="000000" w:themeColor="text1"/>
              </w:rPr>
              <w:t xml:space="preserve"> </w:t>
            </w:r>
            <w:r w:rsidR="00813445" w:rsidRPr="0071087E">
              <w:rPr>
                <w:rStyle w:val="FootnoteReference"/>
                <w:b/>
                <w:color w:val="FF0000"/>
              </w:rPr>
              <w:footnoteReference w:id="1"/>
            </w:r>
            <w:r w:rsidRPr="0071087E">
              <w:rPr>
                <w:b/>
                <w:color w:val="000000" w:themeColor="text1"/>
              </w:rPr>
              <w:t xml:space="preserve"> </w:t>
            </w:r>
            <w:r w:rsidR="0091580B" w:rsidRPr="00791791">
              <w:rPr>
                <w:color w:val="000000" w:themeColor="text1"/>
              </w:rPr>
              <w:t xml:space="preserve"> </w:t>
            </w:r>
          </w:p>
          <w:p w:rsidR="00791791" w:rsidRDefault="00996964" w:rsidP="00791791">
            <w:pPr>
              <w:rPr>
                <w:color w:val="000000" w:themeColor="text1"/>
              </w:rPr>
            </w:pPr>
            <w:r w:rsidRPr="00996964">
              <w:rPr>
                <w:b/>
                <w:color w:val="000000" w:themeColor="text1"/>
              </w:rPr>
              <w:t>9/22</w:t>
            </w:r>
            <w:r>
              <w:rPr>
                <w:color w:val="000000" w:themeColor="text1"/>
              </w:rPr>
              <w:t xml:space="preserve"> </w:t>
            </w:r>
            <w:r w:rsidR="0091580B" w:rsidRPr="00791791">
              <w:rPr>
                <w:color w:val="000000" w:themeColor="text1"/>
              </w:rPr>
              <w:t>Holyoke C</w:t>
            </w:r>
            <w:r>
              <w:rPr>
                <w:color w:val="000000" w:themeColor="text1"/>
              </w:rPr>
              <w:t xml:space="preserve">ommunity </w:t>
            </w:r>
            <w:r w:rsidR="0091580B" w:rsidRPr="00791791">
              <w:rPr>
                <w:color w:val="000000" w:themeColor="text1"/>
              </w:rPr>
              <w:t>C</w:t>
            </w:r>
            <w:r>
              <w:rPr>
                <w:color w:val="000000" w:themeColor="text1"/>
              </w:rPr>
              <w:t>ollege</w:t>
            </w:r>
            <w:r w:rsidR="0091580B" w:rsidRPr="00791791">
              <w:rPr>
                <w:color w:val="000000" w:themeColor="text1"/>
              </w:rPr>
              <w:t xml:space="preserve"> </w:t>
            </w:r>
            <w:r w:rsidR="00791791" w:rsidRPr="00791791">
              <w:rPr>
                <w:color w:val="000000" w:themeColor="text1"/>
              </w:rPr>
              <w:t xml:space="preserve"> </w:t>
            </w:r>
          </w:p>
          <w:p w:rsidR="00791791" w:rsidRPr="00791791" w:rsidRDefault="00996964" w:rsidP="00791791">
            <w:pPr>
              <w:rPr>
                <w:color w:val="000000" w:themeColor="text1"/>
              </w:rPr>
            </w:pPr>
            <w:r w:rsidRPr="00996964">
              <w:rPr>
                <w:b/>
                <w:color w:val="000000" w:themeColor="text1"/>
              </w:rPr>
              <w:t>9/26</w:t>
            </w:r>
            <w:r>
              <w:rPr>
                <w:color w:val="000000" w:themeColor="text1"/>
              </w:rPr>
              <w:t xml:space="preserve"> 1 </w:t>
            </w:r>
            <w:proofErr w:type="spellStart"/>
            <w:r>
              <w:rPr>
                <w:color w:val="000000" w:themeColor="text1"/>
              </w:rPr>
              <w:t>Ashburton</w:t>
            </w:r>
            <w:proofErr w:type="spellEnd"/>
            <w:r>
              <w:rPr>
                <w:color w:val="000000" w:themeColor="text1"/>
              </w:rPr>
              <w:t xml:space="preserve"> Place, 21</w:t>
            </w:r>
            <w:r w:rsidRPr="00996964">
              <w:rPr>
                <w:color w:val="000000" w:themeColor="text1"/>
                <w:vertAlign w:val="superscript"/>
              </w:rPr>
              <w:t>st</w:t>
            </w:r>
            <w:r>
              <w:rPr>
                <w:color w:val="000000" w:themeColor="text1"/>
              </w:rPr>
              <w:t xml:space="preserve"> floor</w:t>
            </w:r>
            <w:r w:rsidR="0071087E">
              <w:rPr>
                <w:color w:val="000000" w:themeColor="text1"/>
              </w:rPr>
              <w:t xml:space="preserve"> </w:t>
            </w:r>
            <w:r w:rsidR="00F01B1B" w:rsidRPr="0071087E">
              <w:rPr>
                <w:rStyle w:val="FootnoteReference"/>
                <w:b/>
                <w:color w:val="FF0000"/>
              </w:rPr>
              <w:footnoteReference w:id="2"/>
            </w:r>
          </w:p>
          <w:p w:rsidR="0091580B" w:rsidRPr="00791791" w:rsidRDefault="00791791" w:rsidP="00791791">
            <w:pPr>
              <w:rPr>
                <w:color w:val="000000" w:themeColor="text1"/>
              </w:rPr>
            </w:pPr>
            <w:r w:rsidRPr="00012A45">
              <w:rPr>
                <w:b/>
                <w:color w:val="000000" w:themeColor="text1"/>
              </w:rPr>
              <w:t>9/28</w:t>
            </w:r>
            <w:r w:rsidRPr="00012A45">
              <w:rPr>
                <w:color w:val="000000" w:themeColor="text1"/>
              </w:rPr>
              <w:t xml:space="preserve"> </w:t>
            </w:r>
            <w:proofErr w:type="gramStart"/>
            <w:r w:rsidR="0091580B" w:rsidRPr="00012A45">
              <w:rPr>
                <w:color w:val="000000" w:themeColor="text1"/>
              </w:rPr>
              <w:t xml:space="preserve">Massasoit  </w:t>
            </w:r>
            <w:r w:rsidR="00996964" w:rsidRPr="00012A45">
              <w:rPr>
                <w:color w:val="000000" w:themeColor="text1"/>
              </w:rPr>
              <w:t>Community</w:t>
            </w:r>
            <w:proofErr w:type="gramEnd"/>
            <w:r w:rsidR="00996964" w:rsidRPr="00012A45">
              <w:rPr>
                <w:color w:val="000000" w:themeColor="text1"/>
              </w:rPr>
              <w:t xml:space="preserve"> College</w:t>
            </w:r>
            <w:r w:rsidR="00996964" w:rsidRPr="00791791">
              <w:rPr>
                <w:color w:val="000000" w:themeColor="text1"/>
              </w:rPr>
              <w:t xml:space="preserve">  </w:t>
            </w:r>
          </w:p>
          <w:p w:rsidR="00791791" w:rsidRDefault="00791791" w:rsidP="00791791">
            <w:pPr>
              <w:rPr>
                <w:color w:val="000000" w:themeColor="text1"/>
              </w:rPr>
            </w:pPr>
            <w:r w:rsidRPr="00791791">
              <w:rPr>
                <w:b/>
                <w:color w:val="000000" w:themeColor="text1"/>
              </w:rPr>
              <w:t>10/5</w:t>
            </w:r>
            <w:r>
              <w:rPr>
                <w:color w:val="000000" w:themeColor="text1"/>
              </w:rPr>
              <w:t xml:space="preserve"> </w:t>
            </w:r>
            <w:r w:rsidR="0091580B" w:rsidRPr="00791791">
              <w:rPr>
                <w:color w:val="000000" w:themeColor="text1"/>
              </w:rPr>
              <w:t xml:space="preserve">Webinar </w:t>
            </w:r>
          </w:p>
          <w:p w:rsidR="00791791" w:rsidRDefault="00791791" w:rsidP="00791791">
            <w:pPr>
              <w:rPr>
                <w:color w:val="000000" w:themeColor="text1"/>
              </w:rPr>
            </w:pPr>
          </w:p>
          <w:p w:rsidR="0091580B" w:rsidRPr="00B13BAD" w:rsidRDefault="0091580B" w:rsidP="00E423E2">
            <w:pPr>
              <w:rPr>
                <w:color w:val="FF0000"/>
              </w:rPr>
            </w:pPr>
          </w:p>
        </w:tc>
      </w:tr>
      <w:tr w:rsidR="0091580B" w:rsidRPr="003D6443" w:rsidTr="00FB7B5E">
        <w:trPr>
          <w:trHeight w:val="1430"/>
        </w:trPr>
        <w:tc>
          <w:tcPr>
            <w:tcW w:w="1413" w:type="dxa"/>
            <w:vMerge/>
            <w:tcBorders>
              <w:left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tcPr>
          <w:p w:rsidR="0091580B" w:rsidRPr="003D6443" w:rsidRDefault="0091580B" w:rsidP="00D513C4">
            <w:pPr>
              <w:spacing w:before="120" w:after="120"/>
              <w:rPr>
                <w:rFonts w:eastAsia="Batang"/>
                <w:b/>
              </w:rPr>
            </w:pPr>
            <w:r w:rsidRPr="003D6443">
              <w:rPr>
                <w:rFonts w:eastAsia="Batang"/>
                <w:b/>
              </w:rPr>
              <w:t>July -</w:t>
            </w:r>
            <w:r w:rsidR="00187835">
              <w:rPr>
                <w:rFonts w:eastAsia="Batang"/>
                <w:b/>
              </w:rPr>
              <w:t xml:space="preserve"> </w:t>
            </w:r>
            <w:r w:rsidR="00D513C4">
              <w:rPr>
                <w:rFonts w:eastAsia="Batang"/>
                <w:b/>
              </w:rPr>
              <w:t>November</w:t>
            </w:r>
            <w:r w:rsidRPr="003D6443">
              <w:rPr>
                <w:rFonts w:eastAsia="Batang"/>
                <w:b/>
              </w:rPr>
              <w:t>, 2017</w:t>
            </w:r>
          </w:p>
        </w:tc>
        <w:tc>
          <w:tcPr>
            <w:tcW w:w="5625" w:type="dxa"/>
            <w:tcBorders>
              <w:top w:val="single" w:sz="4" w:space="0" w:color="auto"/>
              <w:left w:val="single" w:sz="4" w:space="0" w:color="auto"/>
              <w:bottom w:val="single" w:sz="4" w:space="0" w:color="auto"/>
              <w:right w:val="single" w:sz="4" w:space="0" w:color="auto"/>
            </w:tcBorders>
          </w:tcPr>
          <w:p w:rsidR="0091580B" w:rsidRPr="00D513C4" w:rsidRDefault="00D513C4" w:rsidP="00EB06E6">
            <w:pPr>
              <w:spacing w:before="120" w:after="120"/>
            </w:pPr>
            <w:r w:rsidRPr="00D513C4">
              <w:t xml:space="preserve">All inquiries must be submitted in writing to </w:t>
            </w:r>
            <w:hyperlink r:id="rId13" w:history="1">
              <w:r w:rsidRPr="00D513C4">
                <w:rPr>
                  <w:rStyle w:val="Hyperlink"/>
                </w:rPr>
                <w:t>ABERFP@doe.mass.edu</w:t>
              </w:r>
            </w:hyperlink>
            <w:r w:rsidRPr="00D513C4">
              <w:t xml:space="preserve"> by November 17; all answers will be posted to the </w:t>
            </w:r>
            <w:hyperlink r:id="rId14" w:history="1">
              <w:r w:rsidRPr="00D513C4">
                <w:rPr>
                  <w:rStyle w:val="Hyperlink"/>
                </w:rPr>
                <w:t>Adult and Community Services webpage</w:t>
              </w:r>
            </w:hyperlink>
            <w:r w:rsidRPr="00D513C4">
              <w:t>.</w:t>
            </w:r>
            <w:r w:rsidRPr="00D513C4">
              <w:br/>
            </w:r>
            <w:r w:rsidRPr="00D513C4">
              <w:br/>
              <w:t xml:space="preserve">Phone inquiries for assistance utilizing the </w:t>
            </w:r>
            <w:r w:rsidR="00EB06E6">
              <w:t>Q&amp;A</w:t>
            </w:r>
            <w:r w:rsidRPr="00D513C4">
              <w:t xml:space="preserve"> mailbox may be directed to the ACLS receptionist at (781) 338-3850.</w:t>
            </w:r>
            <w:r w:rsidR="0091580B" w:rsidRPr="00D513C4">
              <w:t xml:space="preserve"> </w:t>
            </w:r>
          </w:p>
        </w:tc>
      </w:tr>
      <w:tr w:rsidR="0091580B" w:rsidRPr="003D6443" w:rsidTr="00FB7B5E">
        <w:trPr>
          <w:trHeight w:val="827"/>
        </w:trPr>
        <w:tc>
          <w:tcPr>
            <w:tcW w:w="1413" w:type="dxa"/>
            <w:vMerge/>
            <w:tcBorders>
              <w:left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hideMark/>
          </w:tcPr>
          <w:p w:rsidR="0091580B" w:rsidRPr="003D6443" w:rsidRDefault="0091580B" w:rsidP="00AF768B">
            <w:pPr>
              <w:spacing w:before="120" w:after="120"/>
              <w:rPr>
                <w:rFonts w:eastAsia="Batang"/>
                <w:b/>
              </w:rPr>
            </w:pPr>
            <w:r w:rsidRPr="003D6443">
              <w:rPr>
                <w:rFonts w:eastAsia="Batang"/>
                <w:b/>
              </w:rPr>
              <w:t xml:space="preserve">December 2017 </w:t>
            </w:r>
          </w:p>
        </w:tc>
        <w:tc>
          <w:tcPr>
            <w:tcW w:w="5625" w:type="dxa"/>
            <w:tcBorders>
              <w:top w:val="single" w:sz="4" w:space="0" w:color="auto"/>
              <w:left w:val="single" w:sz="4" w:space="0" w:color="auto"/>
              <w:bottom w:val="single" w:sz="4" w:space="0" w:color="auto"/>
              <w:right w:val="single" w:sz="4" w:space="0" w:color="auto"/>
            </w:tcBorders>
            <w:hideMark/>
          </w:tcPr>
          <w:p w:rsidR="0091580B" w:rsidRPr="003D6443" w:rsidRDefault="0091580B" w:rsidP="00FB7B5E">
            <w:pPr>
              <w:widowControl w:val="0"/>
              <w:adjustRightInd w:val="0"/>
              <w:spacing w:before="120" w:after="120"/>
              <w:ind w:right="58"/>
              <w:textAlignment w:val="baseline"/>
              <w:rPr>
                <w:bCs/>
                <w:iCs/>
              </w:rPr>
            </w:pPr>
            <w:r w:rsidRPr="003D6443">
              <w:t>Grant application must be submitted</w:t>
            </w:r>
            <w:r w:rsidRPr="003D6443">
              <w:rPr>
                <w:b/>
              </w:rPr>
              <w:t xml:space="preserve"> </w:t>
            </w:r>
            <w:r w:rsidRPr="003D6443">
              <w:t>before or on December 22.</w:t>
            </w:r>
            <w:r w:rsidRPr="003D6443">
              <w:rPr>
                <w:bCs/>
                <w:iCs/>
              </w:rPr>
              <w:t xml:space="preserve"> </w:t>
            </w:r>
          </w:p>
        </w:tc>
      </w:tr>
      <w:tr w:rsidR="0091580B" w:rsidRPr="003D6443" w:rsidTr="00FB7B5E">
        <w:tc>
          <w:tcPr>
            <w:tcW w:w="1413" w:type="dxa"/>
            <w:vMerge/>
            <w:tcBorders>
              <w:left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hideMark/>
          </w:tcPr>
          <w:p w:rsidR="0091580B" w:rsidRPr="003D6443" w:rsidRDefault="0091580B" w:rsidP="00AF768B">
            <w:pPr>
              <w:spacing w:before="120" w:after="120"/>
              <w:rPr>
                <w:rFonts w:eastAsia="Batang"/>
                <w:b/>
              </w:rPr>
            </w:pPr>
            <w:r w:rsidRPr="003D6443">
              <w:rPr>
                <w:rFonts w:eastAsia="Batang"/>
                <w:b/>
              </w:rPr>
              <w:t>Winter - Spring 2018</w:t>
            </w:r>
          </w:p>
        </w:tc>
        <w:tc>
          <w:tcPr>
            <w:tcW w:w="5625" w:type="dxa"/>
            <w:tcBorders>
              <w:top w:val="single" w:sz="4" w:space="0" w:color="auto"/>
              <w:left w:val="single" w:sz="4" w:space="0" w:color="auto"/>
              <w:bottom w:val="single" w:sz="4" w:space="0" w:color="auto"/>
              <w:right w:val="single" w:sz="4" w:space="0" w:color="auto"/>
            </w:tcBorders>
          </w:tcPr>
          <w:p w:rsidR="0091580B" w:rsidRPr="003D6443" w:rsidRDefault="0091580B" w:rsidP="0012318C">
            <w:pPr>
              <w:spacing w:before="120" w:after="120"/>
              <w:rPr>
                <w:rFonts w:eastAsia="Batang"/>
              </w:rPr>
            </w:pPr>
            <w:r w:rsidRPr="003D6443">
              <w:rPr>
                <w:rFonts w:eastAsia="Batang"/>
              </w:rPr>
              <w:t xml:space="preserve">Applications </w:t>
            </w:r>
            <w:r w:rsidR="0012318C">
              <w:rPr>
                <w:rFonts w:eastAsia="Batang"/>
              </w:rPr>
              <w:t xml:space="preserve">will be </w:t>
            </w:r>
            <w:r w:rsidRPr="003D6443">
              <w:rPr>
                <w:rFonts w:eastAsia="Batang"/>
              </w:rPr>
              <w:t>reviewed</w:t>
            </w:r>
            <w:r w:rsidR="0012318C">
              <w:rPr>
                <w:rFonts w:eastAsia="Batang"/>
              </w:rPr>
              <w:t xml:space="preserve">, </w:t>
            </w:r>
            <w:r w:rsidRPr="003D6443">
              <w:rPr>
                <w:rFonts w:eastAsia="Batang"/>
              </w:rPr>
              <w:t xml:space="preserve">including </w:t>
            </w:r>
            <w:r w:rsidR="0012318C">
              <w:rPr>
                <w:rFonts w:eastAsia="Batang"/>
              </w:rPr>
              <w:t xml:space="preserve">a review by local </w:t>
            </w:r>
            <w:r w:rsidRPr="003D6443">
              <w:rPr>
                <w:rFonts w:eastAsia="Batang"/>
              </w:rPr>
              <w:t xml:space="preserve">workforce development boards for alignment with </w:t>
            </w:r>
            <w:r w:rsidRPr="00043EAA">
              <w:rPr>
                <w:rFonts w:eastAsia="Batang"/>
                <w:i/>
              </w:rPr>
              <w:t>local plan packages</w:t>
            </w:r>
            <w:r w:rsidRPr="003D6443">
              <w:rPr>
                <w:rFonts w:eastAsia="Batang"/>
              </w:rPr>
              <w:t xml:space="preserve">. </w:t>
            </w:r>
          </w:p>
        </w:tc>
      </w:tr>
      <w:tr w:rsidR="0091580B" w:rsidRPr="003D6443" w:rsidTr="00FB7B5E">
        <w:trPr>
          <w:trHeight w:val="530"/>
        </w:trPr>
        <w:tc>
          <w:tcPr>
            <w:tcW w:w="1413" w:type="dxa"/>
            <w:vMerge/>
            <w:tcBorders>
              <w:left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hideMark/>
          </w:tcPr>
          <w:p w:rsidR="0091580B" w:rsidRPr="003D6443" w:rsidRDefault="0091580B" w:rsidP="00AF768B">
            <w:pPr>
              <w:spacing w:before="120" w:after="120"/>
              <w:rPr>
                <w:rFonts w:eastAsia="Batang"/>
                <w:b/>
              </w:rPr>
            </w:pPr>
            <w:r w:rsidRPr="003D6443">
              <w:rPr>
                <w:rFonts w:eastAsia="Batang"/>
                <w:b/>
              </w:rPr>
              <w:t>March/April</w:t>
            </w:r>
          </w:p>
        </w:tc>
        <w:tc>
          <w:tcPr>
            <w:tcW w:w="5625" w:type="dxa"/>
            <w:tcBorders>
              <w:top w:val="single" w:sz="4" w:space="0" w:color="auto"/>
              <w:left w:val="single" w:sz="4" w:space="0" w:color="auto"/>
              <w:right w:val="single" w:sz="4" w:space="0" w:color="auto"/>
            </w:tcBorders>
          </w:tcPr>
          <w:p w:rsidR="0091580B" w:rsidRPr="003D6443" w:rsidRDefault="0091580B" w:rsidP="00AF768B">
            <w:pPr>
              <w:spacing w:before="120" w:after="120"/>
              <w:rPr>
                <w:rFonts w:eastAsia="Batang"/>
                <w:b/>
              </w:rPr>
            </w:pPr>
            <w:r w:rsidRPr="0012318C">
              <w:rPr>
                <w:rFonts w:eastAsia="Batang"/>
                <w:b/>
              </w:rPr>
              <w:t>Notice of Intent to Award</w:t>
            </w:r>
            <w:r w:rsidRPr="003D6443">
              <w:rPr>
                <w:rFonts w:eastAsia="Batang"/>
              </w:rPr>
              <w:t xml:space="preserve"> </w:t>
            </w:r>
            <w:r w:rsidR="0012318C">
              <w:rPr>
                <w:rFonts w:eastAsia="Batang"/>
              </w:rPr>
              <w:t>(</w:t>
            </w:r>
            <w:r w:rsidRPr="003D6443">
              <w:rPr>
                <w:rFonts w:eastAsia="Batang"/>
              </w:rPr>
              <w:t>the initial posting of successful applicants</w:t>
            </w:r>
            <w:r w:rsidRPr="003D6443">
              <w:rPr>
                <w:rStyle w:val="FootnoteReference"/>
                <w:rFonts w:eastAsia="Batang"/>
              </w:rPr>
              <w:footnoteReference w:id="3"/>
            </w:r>
            <w:r w:rsidR="0012318C">
              <w:rPr>
                <w:rFonts w:eastAsia="Batang"/>
              </w:rPr>
              <w:t>)</w:t>
            </w:r>
            <w:r w:rsidRPr="003D6443">
              <w:rPr>
                <w:rFonts w:eastAsia="Batang"/>
              </w:rPr>
              <w:t xml:space="preserve"> </w:t>
            </w:r>
            <w:r w:rsidR="0012318C" w:rsidRPr="003D6443">
              <w:rPr>
                <w:rFonts w:eastAsia="Batang"/>
              </w:rPr>
              <w:t xml:space="preserve">is </w:t>
            </w:r>
            <w:r w:rsidR="0012318C">
              <w:rPr>
                <w:rFonts w:eastAsia="Batang"/>
              </w:rPr>
              <w:t xml:space="preserve">posted. </w:t>
            </w:r>
            <w:r w:rsidRPr="003D6443">
              <w:rPr>
                <w:rFonts w:eastAsia="Batang"/>
              </w:rPr>
              <w:t xml:space="preserve">This notification is not the final list of grantees. The final list will be posted to the ACLS and Grants websites when all data is verified and appeals are decided. </w:t>
            </w:r>
            <w:r w:rsidRPr="003D6443">
              <w:rPr>
                <w:rFonts w:eastAsia="Batang"/>
                <w:b/>
              </w:rPr>
              <w:t xml:space="preserve">Applicants should not obligate funds based on this list. </w:t>
            </w:r>
          </w:p>
          <w:p w:rsidR="0091580B" w:rsidRPr="003D6443" w:rsidRDefault="00F01B1B" w:rsidP="00F01B1B">
            <w:pPr>
              <w:spacing w:before="120" w:after="120"/>
            </w:pPr>
            <w:r>
              <w:t>Agency review of award decisions must be submitted within 30 days of the Notice of Intent to Award issued by ACLS.  Requests for appeals should be submitted in writing to the Commissioner’s Office.</w:t>
            </w:r>
          </w:p>
        </w:tc>
      </w:tr>
      <w:tr w:rsidR="0091580B" w:rsidRPr="003D6443" w:rsidTr="00FB7B5E">
        <w:tc>
          <w:tcPr>
            <w:tcW w:w="1413" w:type="dxa"/>
            <w:vMerge/>
            <w:tcBorders>
              <w:left w:val="single" w:sz="4" w:space="0" w:color="auto"/>
              <w:bottom w:val="single" w:sz="4" w:space="0" w:color="auto"/>
              <w:right w:val="single" w:sz="4" w:space="0" w:color="auto"/>
            </w:tcBorders>
          </w:tcPr>
          <w:p w:rsidR="0091580B" w:rsidRPr="003D6443" w:rsidRDefault="0091580B" w:rsidP="00AF768B">
            <w:pPr>
              <w:spacing w:before="120" w:after="120"/>
              <w:rPr>
                <w:rFonts w:eastAsia="Batang"/>
                <w:b/>
              </w:rPr>
            </w:pPr>
          </w:p>
        </w:tc>
        <w:tc>
          <w:tcPr>
            <w:tcW w:w="3285" w:type="dxa"/>
            <w:tcBorders>
              <w:top w:val="single" w:sz="4" w:space="0" w:color="auto"/>
              <w:left w:val="single" w:sz="4" w:space="0" w:color="auto"/>
              <w:bottom w:val="single" w:sz="4" w:space="0" w:color="auto"/>
              <w:right w:val="single" w:sz="4" w:space="0" w:color="auto"/>
            </w:tcBorders>
          </w:tcPr>
          <w:p w:rsidR="0091580B" w:rsidRPr="003D6443" w:rsidRDefault="0091580B" w:rsidP="00AF768B">
            <w:pPr>
              <w:spacing w:before="120" w:after="120"/>
              <w:rPr>
                <w:rFonts w:eastAsia="Batang"/>
                <w:b/>
              </w:rPr>
            </w:pPr>
            <w:r w:rsidRPr="003D6443">
              <w:rPr>
                <w:rFonts w:eastAsia="Batang"/>
                <w:b/>
              </w:rPr>
              <w:t>June 2018</w:t>
            </w:r>
          </w:p>
        </w:tc>
        <w:tc>
          <w:tcPr>
            <w:tcW w:w="5625" w:type="dxa"/>
            <w:tcBorders>
              <w:top w:val="single" w:sz="4" w:space="0" w:color="auto"/>
              <w:left w:val="single" w:sz="4" w:space="0" w:color="auto"/>
              <w:bottom w:val="single" w:sz="4" w:space="0" w:color="auto"/>
              <w:right w:val="single" w:sz="4" w:space="0" w:color="auto"/>
            </w:tcBorders>
          </w:tcPr>
          <w:p w:rsidR="0091580B" w:rsidRPr="003D6443" w:rsidRDefault="0091580B" w:rsidP="00AF768B">
            <w:pPr>
              <w:spacing w:before="120" w:after="120"/>
              <w:rPr>
                <w:rFonts w:eastAsia="Batang"/>
                <w:b/>
              </w:rPr>
            </w:pPr>
            <w:r w:rsidRPr="003D6443">
              <w:rPr>
                <w:rFonts w:eastAsia="Batang"/>
              </w:rPr>
              <w:t>Final list of grantees posted.</w:t>
            </w:r>
          </w:p>
        </w:tc>
      </w:tr>
    </w:tbl>
    <w:p w:rsidR="0091580B" w:rsidRDefault="0091580B" w:rsidP="0091580B">
      <w:pPr>
        <w:ind w:left="270"/>
        <w:jc w:val="both"/>
        <w:rPr>
          <w:rFonts w:ascii="Arial" w:hAnsi="Arial" w:cs="Arial"/>
        </w:rPr>
      </w:pPr>
    </w:p>
    <w:p w:rsidR="0064154A" w:rsidRDefault="0064154A"/>
    <w:sectPr w:rsidR="0064154A" w:rsidSect="00AF768B">
      <w:headerReference w:type="default" r:id="rId15"/>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0B" w:rsidRDefault="00E5390B" w:rsidP="0091580B">
      <w:r>
        <w:separator/>
      </w:r>
    </w:p>
  </w:endnote>
  <w:endnote w:type="continuationSeparator" w:id="0">
    <w:p w:rsidR="00E5390B" w:rsidRDefault="00E5390B" w:rsidP="0091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0B" w:rsidRDefault="00E5390B" w:rsidP="0091580B">
      <w:r>
        <w:separator/>
      </w:r>
    </w:p>
  </w:footnote>
  <w:footnote w:type="continuationSeparator" w:id="0">
    <w:p w:rsidR="00E5390B" w:rsidRDefault="00E5390B" w:rsidP="0091580B">
      <w:r>
        <w:continuationSeparator/>
      </w:r>
    </w:p>
  </w:footnote>
  <w:footnote w:id="1">
    <w:p w:rsidR="006D067B" w:rsidRPr="00F01B1B" w:rsidRDefault="006D067B">
      <w:pPr>
        <w:pStyle w:val="FootnoteText"/>
        <w:rPr>
          <w:rFonts w:ascii="Georgia" w:hAnsi="Georgia"/>
          <w:sz w:val="18"/>
          <w:szCs w:val="18"/>
        </w:rPr>
      </w:pPr>
      <w:r>
        <w:rPr>
          <w:rStyle w:val="FootnoteReference"/>
        </w:rPr>
        <w:footnoteRef/>
      </w:r>
      <w:r>
        <w:t xml:space="preserve"> </w:t>
      </w:r>
      <w:r w:rsidRPr="00F01B1B">
        <w:rPr>
          <w:rFonts w:ascii="Georgia" w:hAnsi="Georgia"/>
          <w:b/>
          <w:sz w:val="18"/>
          <w:szCs w:val="18"/>
        </w:rPr>
        <w:t>Distance Learning Hub</w:t>
      </w:r>
      <w:r w:rsidRPr="00F01B1B">
        <w:rPr>
          <w:rFonts w:ascii="Georgia" w:hAnsi="Georgia"/>
          <w:sz w:val="18"/>
          <w:szCs w:val="18"/>
        </w:rPr>
        <w:t xml:space="preserve"> applicants will meet from 12:30-1:30</w:t>
      </w:r>
    </w:p>
  </w:footnote>
  <w:footnote w:id="2">
    <w:p w:rsidR="006D067B" w:rsidRDefault="006D067B" w:rsidP="00F01B1B">
      <w:pPr>
        <w:pStyle w:val="FootnoteText"/>
      </w:pPr>
      <w:r>
        <w:rPr>
          <w:rStyle w:val="FootnoteReference"/>
        </w:rPr>
        <w:footnoteRef/>
      </w:r>
      <w:r>
        <w:t xml:space="preserve"> </w:t>
      </w:r>
      <w:r w:rsidRPr="00F01B1B">
        <w:rPr>
          <w:rFonts w:ascii="Georgia" w:hAnsi="Georgia"/>
          <w:b/>
          <w:sz w:val="18"/>
          <w:szCs w:val="18"/>
        </w:rPr>
        <w:t>Primary Instruction by Volunteers</w:t>
      </w:r>
      <w:r w:rsidRPr="00F01B1B">
        <w:rPr>
          <w:rFonts w:ascii="Georgia" w:hAnsi="Georgia"/>
          <w:sz w:val="18"/>
          <w:szCs w:val="18"/>
        </w:rPr>
        <w:t xml:space="preserve"> applicants will meet from 12:30-1:30</w:t>
      </w:r>
    </w:p>
  </w:footnote>
  <w:footnote w:id="3">
    <w:p w:rsidR="006D067B" w:rsidRDefault="006D067B" w:rsidP="00F01B1B">
      <w:pPr>
        <w:ind w:left="90"/>
      </w:pPr>
      <w:r>
        <w:rPr>
          <w:rStyle w:val="FootnoteReference"/>
        </w:rPr>
        <w:footnoteRef/>
      </w:r>
      <w:r>
        <w:t xml:space="preserve"> </w:t>
      </w:r>
      <w:r w:rsidRPr="002A6388">
        <w:rPr>
          <w:sz w:val="18"/>
          <w:szCs w:val="18"/>
        </w:rPr>
        <w:t>Applicants must be legally constituted and qualified to conduct business in Massachusetts. ESE reserves the right to evaluate applicants through a site visit prior to issuing a Grant Award Notification (GAN)</w:t>
      </w:r>
      <w:r w:rsidRPr="002A6388">
        <w:rPr>
          <w:bCs/>
          <w:sz w:val="18"/>
          <w:szCs w:val="18"/>
        </w:rPr>
        <w:t>.</w:t>
      </w:r>
    </w:p>
    <w:p w:rsidR="006D067B" w:rsidRDefault="006D067B" w:rsidP="0091580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7B" w:rsidRDefault="006D067B" w:rsidP="00AA37C9">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r>
    <w:r>
      <w:rPr>
        <w:rFonts w:ascii="Arial" w:hAnsi="Arial" w:cs="Arial"/>
        <w:b/>
        <w:i/>
      </w:rPr>
      <w:tab/>
      <w:t>FY2019</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6D067B" w:rsidTr="00AA37C9">
      <w:trPr>
        <w:trHeight w:val="396"/>
      </w:trPr>
      <w:tc>
        <w:tcPr>
          <w:tcW w:w="7621" w:type="dxa"/>
          <w:tcBorders>
            <w:top w:val="double" w:sz="4" w:space="0" w:color="auto"/>
            <w:left w:val="double" w:sz="4" w:space="0" w:color="auto"/>
            <w:bottom w:val="double" w:sz="4" w:space="0" w:color="auto"/>
            <w:right w:val="nil"/>
          </w:tcBorders>
          <w:hideMark/>
        </w:tcPr>
        <w:p w:rsidR="006D067B" w:rsidRDefault="006D067B">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Adult Education Services</w:t>
          </w:r>
        </w:p>
      </w:tc>
      <w:tc>
        <w:tcPr>
          <w:tcW w:w="2368" w:type="dxa"/>
          <w:tcBorders>
            <w:top w:val="double" w:sz="4" w:space="0" w:color="auto"/>
            <w:left w:val="nil"/>
            <w:bottom w:val="double" w:sz="4" w:space="0" w:color="auto"/>
            <w:right w:val="double" w:sz="4" w:space="0" w:color="auto"/>
          </w:tcBorders>
          <w:hideMark/>
        </w:tcPr>
        <w:p w:rsidR="006D067B" w:rsidRDefault="006D067B">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340/345/359/285/563</w:t>
          </w:r>
        </w:p>
      </w:tc>
    </w:tr>
  </w:tbl>
  <w:p w:rsidR="006D067B" w:rsidRDefault="006D06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314F50"/>
    <w:multiLevelType w:val="hybridMultilevel"/>
    <w:tmpl w:val="F66C2980"/>
    <w:lvl w:ilvl="0" w:tplc="82BE52B6">
      <w:start w:val="3"/>
      <w:numFmt w:val="upperRoman"/>
      <w:lvlText w:val="%1."/>
      <w:lvlJc w:val="left"/>
      <w:pPr>
        <w:ind w:left="990" w:hanging="72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D45FFA"/>
    <w:multiLevelType w:val="hybridMultilevel"/>
    <w:tmpl w:val="49D6FB8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580B"/>
    <w:rsid w:val="00012A45"/>
    <w:rsid w:val="00043EAA"/>
    <w:rsid w:val="00065FCB"/>
    <w:rsid w:val="00075435"/>
    <w:rsid w:val="000A4968"/>
    <w:rsid w:val="000C1BE6"/>
    <w:rsid w:val="000D4CD2"/>
    <w:rsid w:val="000D6470"/>
    <w:rsid w:val="000F52E2"/>
    <w:rsid w:val="00121046"/>
    <w:rsid w:val="0012318C"/>
    <w:rsid w:val="00150F24"/>
    <w:rsid w:val="00187835"/>
    <w:rsid w:val="001C3A43"/>
    <w:rsid w:val="002122B7"/>
    <w:rsid w:val="00217D02"/>
    <w:rsid w:val="002259ED"/>
    <w:rsid w:val="002379E9"/>
    <w:rsid w:val="002C65FA"/>
    <w:rsid w:val="00301FE8"/>
    <w:rsid w:val="00313E07"/>
    <w:rsid w:val="00357E43"/>
    <w:rsid w:val="003F25D2"/>
    <w:rsid w:val="00400AD3"/>
    <w:rsid w:val="00402FE5"/>
    <w:rsid w:val="0041067F"/>
    <w:rsid w:val="00464858"/>
    <w:rsid w:val="00487FA1"/>
    <w:rsid w:val="004C5514"/>
    <w:rsid w:val="00513B0F"/>
    <w:rsid w:val="00562689"/>
    <w:rsid w:val="005A2A1D"/>
    <w:rsid w:val="0064154A"/>
    <w:rsid w:val="006C7616"/>
    <w:rsid w:val="006D067B"/>
    <w:rsid w:val="006F39A5"/>
    <w:rsid w:val="0071087E"/>
    <w:rsid w:val="00753911"/>
    <w:rsid w:val="00791791"/>
    <w:rsid w:val="007C0CB9"/>
    <w:rsid w:val="007F4541"/>
    <w:rsid w:val="00813445"/>
    <w:rsid w:val="0084259E"/>
    <w:rsid w:val="008E0682"/>
    <w:rsid w:val="008F6052"/>
    <w:rsid w:val="0091580B"/>
    <w:rsid w:val="009264F2"/>
    <w:rsid w:val="009563BA"/>
    <w:rsid w:val="00996964"/>
    <w:rsid w:val="00A24319"/>
    <w:rsid w:val="00A94E6A"/>
    <w:rsid w:val="00AA37C9"/>
    <w:rsid w:val="00AC71BA"/>
    <w:rsid w:val="00AF768B"/>
    <w:rsid w:val="00B11181"/>
    <w:rsid w:val="00B340F6"/>
    <w:rsid w:val="00B35F9E"/>
    <w:rsid w:val="00B57A68"/>
    <w:rsid w:val="00BC1795"/>
    <w:rsid w:val="00C35C07"/>
    <w:rsid w:val="00C7632F"/>
    <w:rsid w:val="00CB0C99"/>
    <w:rsid w:val="00CD05CC"/>
    <w:rsid w:val="00CD5A1B"/>
    <w:rsid w:val="00D34546"/>
    <w:rsid w:val="00D513C4"/>
    <w:rsid w:val="00E01A78"/>
    <w:rsid w:val="00E423E2"/>
    <w:rsid w:val="00E5390B"/>
    <w:rsid w:val="00E928EF"/>
    <w:rsid w:val="00EB06E6"/>
    <w:rsid w:val="00ED53F4"/>
    <w:rsid w:val="00F01B1B"/>
    <w:rsid w:val="00F12F1B"/>
    <w:rsid w:val="00F57FA6"/>
    <w:rsid w:val="00F730A0"/>
    <w:rsid w:val="00FB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46C6B8-AA7F-4BCA-970B-C75F9020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80B"/>
    <w:pPr>
      <w:spacing w:after="0" w:line="240" w:lineRule="auto"/>
    </w:pPr>
    <w:rPr>
      <w:rFonts w:ascii="Georgia" w:eastAsia="Times New Roman" w:hAnsi="Georgia" w:cs="Times New Roman"/>
      <w:sz w:val="20"/>
      <w:szCs w:val="20"/>
    </w:rPr>
  </w:style>
  <w:style w:type="paragraph" w:styleId="Heading2">
    <w:name w:val="heading 2"/>
    <w:basedOn w:val="Normal"/>
    <w:next w:val="Normal"/>
    <w:link w:val="Heading2Char"/>
    <w:qFormat/>
    <w:rsid w:val="0091580B"/>
    <w:pPr>
      <w:keepNext/>
      <w:outlineLvl w:val="1"/>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80B"/>
    <w:rPr>
      <w:rFonts w:ascii="Georgia" w:eastAsia="Times New Roman" w:hAnsi="Georgia" w:cs="Times New Roman"/>
      <w:b/>
      <w:i/>
      <w:sz w:val="20"/>
      <w:szCs w:val="20"/>
      <w:u w:val="single"/>
    </w:rPr>
  </w:style>
  <w:style w:type="paragraph" w:styleId="FootnoteText">
    <w:name w:val="footnote text"/>
    <w:basedOn w:val="Normal"/>
    <w:link w:val="FootnoteTextChar"/>
    <w:uiPriority w:val="99"/>
    <w:unhideWhenUsed/>
    <w:rsid w:val="0091580B"/>
    <w:rPr>
      <w:rFonts w:ascii="Arial" w:hAnsi="Arial"/>
    </w:rPr>
  </w:style>
  <w:style w:type="character" w:customStyle="1" w:styleId="FootnoteTextChar">
    <w:name w:val="Footnote Text Char"/>
    <w:basedOn w:val="DefaultParagraphFont"/>
    <w:link w:val="FootnoteText"/>
    <w:uiPriority w:val="99"/>
    <w:rsid w:val="0091580B"/>
    <w:rPr>
      <w:rFonts w:ascii="Arial" w:eastAsia="Times New Roman" w:hAnsi="Arial" w:cs="Times New Roman"/>
      <w:sz w:val="20"/>
      <w:szCs w:val="20"/>
    </w:rPr>
  </w:style>
  <w:style w:type="character" w:styleId="FootnoteReference">
    <w:name w:val="footnote reference"/>
    <w:uiPriority w:val="99"/>
    <w:unhideWhenUsed/>
    <w:rsid w:val="0091580B"/>
    <w:rPr>
      <w:vertAlign w:val="superscript"/>
    </w:rPr>
  </w:style>
  <w:style w:type="paragraph" w:styleId="ListParagraph">
    <w:name w:val="List Paragraph"/>
    <w:basedOn w:val="Normal"/>
    <w:link w:val="ListParagraphChar"/>
    <w:uiPriority w:val="34"/>
    <w:qFormat/>
    <w:rsid w:val="0091580B"/>
    <w:pPr>
      <w:numPr>
        <w:numId w:val="1"/>
      </w:numPr>
    </w:pPr>
  </w:style>
  <w:style w:type="character" w:customStyle="1" w:styleId="ListParagraphChar">
    <w:name w:val="List Paragraph Char"/>
    <w:link w:val="ListParagraph"/>
    <w:uiPriority w:val="34"/>
    <w:locked/>
    <w:rsid w:val="0091580B"/>
    <w:rPr>
      <w:rFonts w:ascii="Georgia" w:eastAsia="Times New Roman" w:hAnsi="Georgia" w:cs="Times New Roman"/>
      <w:sz w:val="20"/>
      <w:szCs w:val="20"/>
    </w:rPr>
  </w:style>
  <w:style w:type="character" w:styleId="Hyperlink">
    <w:name w:val="Hyperlink"/>
    <w:uiPriority w:val="99"/>
    <w:unhideWhenUsed/>
    <w:rsid w:val="0091580B"/>
    <w:rPr>
      <w:color w:val="0000FF"/>
      <w:u w:val="single"/>
    </w:rPr>
  </w:style>
  <w:style w:type="paragraph" w:styleId="Header">
    <w:name w:val="header"/>
    <w:basedOn w:val="Normal"/>
    <w:link w:val="HeaderChar"/>
    <w:uiPriority w:val="99"/>
    <w:unhideWhenUsed/>
    <w:rsid w:val="00B35F9E"/>
    <w:pPr>
      <w:tabs>
        <w:tab w:val="center" w:pos="4680"/>
        <w:tab w:val="right" w:pos="9360"/>
      </w:tabs>
    </w:pPr>
  </w:style>
  <w:style w:type="character" w:customStyle="1" w:styleId="HeaderChar">
    <w:name w:val="Header Char"/>
    <w:basedOn w:val="DefaultParagraphFont"/>
    <w:link w:val="Header"/>
    <w:uiPriority w:val="99"/>
    <w:rsid w:val="00B35F9E"/>
    <w:rPr>
      <w:rFonts w:ascii="Georgia" w:eastAsia="Times New Roman" w:hAnsi="Georgia" w:cs="Times New Roman"/>
      <w:sz w:val="20"/>
      <w:szCs w:val="20"/>
    </w:rPr>
  </w:style>
  <w:style w:type="paragraph" w:styleId="Footer">
    <w:name w:val="footer"/>
    <w:basedOn w:val="Normal"/>
    <w:link w:val="FooterChar"/>
    <w:uiPriority w:val="99"/>
    <w:semiHidden/>
    <w:unhideWhenUsed/>
    <w:rsid w:val="00B35F9E"/>
    <w:pPr>
      <w:tabs>
        <w:tab w:val="center" w:pos="4680"/>
        <w:tab w:val="right" w:pos="9360"/>
      </w:tabs>
    </w:pPr>
  </w:style>
  <w:style w:type="character" w:customStyle="1" w:styleId="FooterChar">
    <w:name w:val="Footer Char"/>
    <w:basedOn w:val="DefaultParagraphFont"/>
    <w:link w:val="Footer"/>
    <w:uiPriority w:val="99"/>
    <w:semiHidden/>
    <w:rsid w:val="00B35F9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rsid w:val="00F01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ERFP@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rf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DESE-231-35878</_dlc_DocId>
    <_dlc_DocIdUrl xmlns="733efe1c-5bbe-4968-87dc-d400e65c879f">
      <Url>https://sharepoint.doemass.org/ese/webteam/cps/_layouts/DocIdRedir.aspx?ID=DESE-231-35878</Url>
      <Description>DESE-231-35878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DA16-DC72-4E58-B8D6-F7FED338C2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9DFF414-C381-43BC-BD88-BE246E5B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BC21C-3F9C-45E1-A500-8462E841F4E6}">
  <ds:schemaRefs>
    <ds:schemaRef ds:uri="http://schemas.microsoft.com/sharepoint/events"/>
  </ds:schemaRefs>
</ds:datastoreItem>
</file>

<file path=customXml/itemProps4.xml><?xml version="1.0" encoding="utf-8"?>
<ds:datastoreItem xmlns:ds="http://schemas.openxmlformats.org/officeDocument/2006/customXml" ds:itemID="{DB671932-32F0-4E8B-91A9-C983625895A6}">
  <ds:schemaRefs>
    <ds:schemaRef ds:uri="http://schemas.microsoft.com/sharepoint/v3/contenttype/forms"/>
  </ds:schemaRefs>
</ds:datastoreItem>
</file>

<file path=customXml/itemProps5.xml><?xml version="1.0" encoding="utf-8"?>
<ds:datastoreItem xmlns:ds="http://schemas.openxmlformats.org/officeDocument/2006/customXml" ds:itemID="{C607DA66-CE2F-45AD-8FDB-AEDD20C6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FY2019 Fund Code ABE Competitive Adult Education Services Critical Dates</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ABE Competitive Adult Education Services Critical Dates</dc:title>
  <dc:creator>ESE</dc:creator>
  <cp:lastModifiedBy>Zou, Dong</cp:lastModifiedBy>
  <cp:revision>12</cp:revision>
  <cp:lastPrinted>2017-06-13T17:39:00Z</cp:lastPrinted>
  <dcterms:created xsi:type="dcterms:W3CDTF">2017-06-23T21:13:00Z</dcterms:created>
  <dcterms:modified xsi:type="dcterms:W3CDTF">2017-08-28T21:55:00Z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2017</vt:lpwstr>
  </property>
</Properties>
</file>