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E5E" w:rsidRPr="0036078E" w:rsidRDefault="00886E5E" w:rsidP="002812D2">
      <w:pPr>
        <w:spacing w:after="0" w:line="240" w:lineRule="auto"/>
        <w:ind w:firstLine="720"/>
        <w:jc w:val="center"/>
        <w:rPr>
          <w:rFonts w:ascii="Aparajita" w:hAnsi="Aparajita" w:cs="Aparajita"/>
          <w:b/>
          <w:sz w:val="20"/>
          <w:szCs w:val="20"/>
        </w:rPr>
      </w:pPr>
      <w:bookmarkStart w:id="0" w:name="_GoBack"/>
      <w:bookmarkEnd w:id="0"/>
      <w:r w:rsidRPr="0036078E">
        <w:rPr>
          <w:rFonts w:ascii="Aparajita" w:hAnsi="Aparajita" w:cs="Aparajita"/>
          <w:b/>
          <w:sz w:val="20"/>
          <w:szCs w:val="20"/>
        </w:rPr>
        <w:t xml:space="preserve">ESE/ACLS RFP for Adult </w:t>
      </w:r>
      <w:r w:rsidR="00824FF6" w:rsidRPr="0036078E">
        <w:rPr>
          <w:rFonts w:ascii="Aparajita" w:hAnsi="Aparajita" w:cs="Aparajita"/>
          <w:b/>
          <w:sz w:val="20"/>
          <w:szCs w:val="20"/>
        </w:rPr>
        <w:t>Education</w:t>
      </w:r>
    </w:p>
    <w:p w:rsidR="003E325E" w:rsidRPr="0036078E" w:rsidRDefault="00886E5E" w:rsidP="00824FF6">
      <w:pPr>
        <w:spacing w:after="0" w:line="240" w:lineRule="auto"/>
        <w:jc w:val="center"/>
        <w:rPr>
          <w:rFonts w:ascii="Aparajita" w:hAnsi="Aparajita" w:cs="Aparajita"/>
          <w:b/>
          <w:sz w:val="20"/>
          <w:szCs w:val="20"/>
        </w:rPr>
      </w:pPr>
      <w:r w:rsidRPr="0036078E">
        <w:rPr>
          <w:rFonts w:ascii="Aparajita" w:hAnsi="Aparajita" w:cs="Aparajita"/>
          <w:b/>
          <w:sz w:val="20"/>
          <w:szCs w:val="20"/>
        </w:rPr>
        <w:t xml:space="preserve">Table 1: </w:t>
      </w:r>
      <w:r w:rsidR="00A529BD" w:rsidRPr="0036078E">
        <w:rPr>
          <w:rFonts w:ascii="Aparajita" w:hAnsi="Aparajita" w:cs="Aparajita"/>
          <w:b/>
          <w:sz w:val="20"/>
          <w:szCs w:val="20"/>
        </w:rPr>
        <w:t xml:space="preserve">FY2019 </w:t>
      </w:r>
      <w:r w:rsidRPr="0036078E">
        <w:rPr>
          <w:rFonts w:ascii="Aparajita" w:hAnsi="Aparajita" w:cs="Aparajita"/>
          <w:b/>
          <w:sz w:val="20"/>
          <w:szCs w:val="20"/>
        </w:rPr>
        <w:t xml:space="preserve">Funding </w:t>
      </w:r>
      <w:r w:rsidR="003E344C" w:rsidRPr="0036078E">
        <w:rPr>
          <w:rFonts w:ascii="Aparajita" w:hAnsi="Aparajita" w:cs="Aparajita"/>
          <w:b/>
          <w:sz w:val="20"/>
          <w:szCs w:val="20"/>
        </w:rPr>
        <w:t xml:space="preserve">Projections </w:t>
      </w:r>
    </w:p>
    <w:p w:rsidR="00824FF6" w:rsidRPr="0036078E" w:rsidRDefault="00824FF6" w:rsidP="00824FF6">
      <w:pPr>
        <w:spacing w:after="0"/>
        <w:jc w:val="center"/>
        <w:rPr>
          <w:rFonts w:ascii="Aparajita" w:hAnsi="Aparajita" w:cs="Aparajita"/>
          <w:b/>
          <w:sz w:val="20"/>
          <w:szCs w:val="20"/>
        </w:rPr>
      </w:pPr>
    </w:p>
    <w:p w:rsidR="00743242" w:rsidRPr="0036078E" w:rsidRDefault="00824FF6">
      <w:pPr>
        <w:pBdr>
          <w:top w:val="single" w:sz="4" w:space="1" w:color="auto"/>
          <w:left w:val="single" w:sz="4" w:space="4" w:color="auto"/>
          <w:bottom w:val="single" w:sz="4" w:space="0" w:color="auto"/>
          <w:right w:val="single" w:sz="4" w:space="4" w:color="auto"/>
        </w:pBdr>
        <w:spacing w:after="0" w:line="240" w:lineRule="auto"/>
        <w:rPr>
          <w:rFonts w:ascii="Aparajita" w:hAnsi="Aparajita" w:cs="Aparajita"/>
          <w:b/>
          <w:sz w:val="20"/>
          <w:szCs w:val="20"/>
        </w:rPr>
      </w:pPr>
      <w:r w:rsidRPr="0036078E">
        <w:rPr>
          <w:rFonts w:ascii="Aparajita" w:hAnsi="Aparajita" w:cs="Aparajita"/>
          <w:b/>
          <w:sz w:val="20"/>
          <w:szCs w:val="20"/>
        </w:rPr>
        <w:t>Competition by Local Workforce Area</w:t>
      </w:r>
      <w:r w:rsidR="00C00719" w:rsidRPr="0036078E">
        <w:rPr>
          <w:rFonts w:ascii="Aparajita" w:hAnsi="Aparajita" w:cs="Aparajita"/>
          <w:b/>
          <w:sz w:val="20"/>
          <w:szCs w:val="20"/>
        </w:rPr>
        <w:t xml:space="preserve"> </w:t>
      </w:r>
      <w:r w:rsidR="00C00719" w:rsidRPr="0036078E">
        <w:rPr>
          <w:rFonts w:ascii="Aparajita" w:hAnsi="Aparajita" w:cs="Aparajita"/>
          <w:b/>
          <w:sz w:val="20"/>
          <w:szCs w:val="20"/>
        </w:rPr>
        <w:tab/>
      </w:r>
      <w:r w:rsidR="00C00719" w:rsidRPr="0036078E">
        <w:rPr>
          <w:rFonts w:ascii="Aparajita" w:hAnsi="Aparajita" w:cs="Aparajita"/>
          <w:b/>
          <w:sz w:val="20"/>
          <w:szCs w:val="20"/>
        </w:rPr>
        <w:tab/>
      </w:r>
      <w:r w:rsidR="00C00719" w:rsidRPr="0036078E">
        <w:rPr>
          <w:rFonts w:ascii="Aparajita" w:hAnsi="Aparajita" w:cs="Aparajita"/>
          <w:b/>
          <w:sz w:val="20"/>
          <w:szCs w:val="20"/>
        </w:rPr>
        <w:tab/>
      </w:r>
      <w:r w:rsidR="00C00719" w:rsidRPr="0036078E">
        <w:rPr>
          <w:rFonts w:ascii="Aparajita" w:hAnsi="Aparajita" w:cs="Aparajita"/>
          <w:b/>
          <w:sz w:val="20"/>
          <w:szCs w:val="20"/>
        </w:rPr>
        <w:tab/>
      </w:r>
      <w:r w:rsidR="00C00719" w:rsidRPr="0036078E">
        <w:rPr>
          <w:rFonts w:ascii="Aparajita" w:hAnsi="Aparajita" w:cs="Aparajita"/>
          <w:b/>
          <w:sz w:val="20"/>
          <w:szCs w:val="20"/>
        </w:rPr>
        <w:tab/>
      </w:r>
      <w:r w:rsidR="00C00719" w:rsidRPr="0036078E">
        <w:rPr>
          <w:rFonts w:ascii="Aparajita" w:hAnsi="Aparajita" w:cs="Aparajita"/>
          <w:b/>
          <w:sz w:val="20"/>
          <w:szCs w:val="20"/>
        </w:rPr>
        <w:tab/>
      </w:r>
      <w:r w:rsidR="00C00719" w:rsidRPr="0036078E">
        <w:rPr>
          <w:rFonts w:ascii="Aparajita" w:hAnsi="Aparajita" w:cs="Aparajita"/>
          <w:b/>
          <w:sz w:val="20"/>
          <w:szCs w:val="20"/>
        </w:rPr>
        <w:tab/>
        <w:t xml:space="preserve">          Fund codes: 340, 345, 359</w:t>
      </w:r>
    </w:p>
    <w:p w:rsidR="00D22E08" w:rsidRPr="0036078E" w:rsidRDefault="00D22E08" w:rsidP="00824FF6">
      <w:pPr>
        <w:spacing w:after="0"/>
        <w:rPr>
          <w:rFonts w:ascii="Aparajita" w:hAnsi="Aparajita" w:cs="Aparajita"/>
          <w:sz w:val="20"/>
          <w:szCs w:val="20"/>
        </w:rPr>
      </w:pPr>
    </w:p>
    <w:p w:rsidR="003E344C" w:rsidRPr="002910C6" w:rsidRDefault="00F65329" w:rsidP="00824FF6">
      <w:pPr>
        <w:spacing w:after="0"/>
        <w:rPr>
          <w:rFonts w:ascii="Aparajita" w:hAnsi="Aparajita" w:cs="Aparajita"/>
        </w:rPr>
      </w:pPr>
      <w:r w:rsidRPr="002910C6">
        <w:rPr>
          <w:rFonts w:ascii="Aparajita" w:hAnsi="Aparajita" w:cs="Aparajita"/>
          <w:b/>
        </w:rPr>
        <w:t>Important context for these projections</w:t>
      </w:r>
      <w:r w:rsidR="003E344C" w:rsidRPr="002910C6">
        <w:rPr>
          <w:rFonts w:ascii="Aparajita" w:hAnsi="Aparajita" w:cs="Aparajita"/>
        </w:rPr>
        <w:t xml:space="preserve"> </w:t>
      </w:r>
    </w:p>
    <w:p w:rsidR="00A67C85" w:rsidRPr="002910C6" w:rsidRDefault="003E344C" w:rsidP="002910C6">
      <w:pPr>
        <w:spacing w:after="120"/>
        <w:rPr>
          <w:rFonts w:ascii="Aparajita" w:hAnsi="Aparajita" w:cs="Aparajita"/>
        </w:rPr>
      </w:pPr>
      <w:r w:rsidRPr="002910C6">
        <w:rPr>
          <w:rFonts w:ascii="Aparajita" w:hAnsi="Aparajita" w:cs="Aparajita"/>
        </w:rPr>
        <w:t xml:space="preserve">The </w:t>
      </w:r>
      <w:r w:rsidR="00DA3844" w:rsidRPr="002910C6">
        <w:rPr>
          <w:rFonts w:ascii="Aparajita" w:hAnsi="Aparajita" w:cs="Aparajita"/>
        </w:rPr>
        <w:t xml:space="preserve">estimates </w:t>
      </w:r>
      <w:r w:rsidRPr="002910C6">
        <w:rPr>
          <w:rFonts w:ascii="Aparajita" w:hAnsi="Aparajita" w:cs="Aparajita"/>
        </w:rPr>
        <w:t xml:space="preserve">below are based on a projected annual amount of </w:t>
      </w:r>
      <w:r w:rsidR="00DA3844" w:rsidRPr="002910C6">
        <w:rPr>
          <w:rFonts w:ascii="Aparajita" w:hAnsi="Aparajita" w:cs="Aparajita"/>
        </w:rPr>
        <w:t>$28,000,000</w:t>
      </w:r>
      <w:r w:rsidR="00116420" w:rsidRPr="002910C6">
        <w:rPr>
          <w:rFonts w:ascii="Aparajita" w:hAnsi="Aparajita" w:cs="Aparajita"/>
        </w:rPr>
        <w:t xml:space="preserve"> for Community Adult Learning Center</w:t>
      </w:r>
      <w:r w:rsidR="00DF0BD0" w:rsidRPr="002910C6">
        <w:rPr>
          <w:rFonts w:ascii="Aparajita" w:hAnsi="Aparajita" w:cs="Aparajita"/>
        </w:rPr>
        <w:t xml:space="preserve"> </w:t>
      </w:r>
      <w:r w:rsidR="00824FF6" w:rsidRPr="002910C6">
        <w:rPr>
          <w:rFonts w:ascii="Aparajita" w:hAnsi="Aparajita" w:cs="Aparajita"/>
        </w:rPr>
        <w:t xml:space="preserve">(CALC) </w:t>
      </w:r>
      <w:r w:rsidR="00DF0BD0" w:rsidRPr="002910C6">
        <w:rPr>
          <w:rFonts w:ascii="Aparajita" w:hAnsi="Aparajita" w:cs="Aparajita"/>
        </w:rPr>
        <w:t>programs including</w:t>
      </w:r>
      <w:r w:rsidR="00F46801" w:rsidRPr="002910C6">
        <w:rPr>
          <w:rFonts w:ascii="Aparajita" w:hAnsi="Aparajita" w:cs="Aparajita"/>
        </w:rPr>
        <w:t xml:space="preserve"> </w:t>
      </w:r>
      <w:r w:rsidR="00BE0FCD" w:rsidRPr="002910C6">
        <w:rPr>
          <w:rFonts w:ascii="Aparajita" w:hAnsi="Aparajita" w:cs="Aparajita"/>
        </w:rPr>
        <w:t>Integrated Education and Training (</w:t>
      </w:r>
      <w:r w:rsidR="00F46801" w:rsidRPr="002910C6">
        <w:rPr>
          <w:rFonts w:ascii="Aparajita" w:hAnsi="Aparajita" w:cs="Aparajita"/>
        </w:rPr>
        <w:t>IET</w:t>
      </w:r>
      <w:r w:rsidR="00BE0FCD" w:rsidRPr="002910C6">
        <w:rPr>
          <w:rFonts w:ascii="Aparajita" w:hAnsi="Aparajita" w:cs="Aparajita"/>
        </w:rPr>
        <w:t>)</w:t>
      </w:r>
      <w:r w:rsidR="00A67C85" w:rsidRPr="002910C6">
        <w:rPr>
          <w:rFonts w:ascii="Aparajita" w:hAnsi="Aparajita" w:cs="Aparajita"/>
        </w:rPr>
        <w:t xml:space="preserve"> and</w:t>
      </w:r>
      <w:r w:rsidR="00BE0FCD" w:rsidRPr="002910C6">
        <w:rPr>
          <w:rFonts w:ascii="Aparajita" w:hAnsi="Aparajita" w:cs="Aparajita"/>
        </w:rPr>
        <w:t xml:space="preserve"> Integrated English Literacy and Civics Education (</w:t>
      </w:r>
      <w:r w:rsidR="00116420" w:rsidRPr="002910C6">
        <w:rPr>
          <w:rFonts w:ascii="Aparajita" w:hAnsi="Aparajita" w:cs="Aparajita"/>
        </w:rPr>
        <w:t>IELCE</w:t>
      </w:r>
      <w:r w:rsidR="00BE0FCD" w:rsidRPr="002910C6">
        <w:rPr>
          <w:rFonts w:ascii="Aparajita" w:hAnsi="Aparajita" w:cs="Aparajita"/>
        </w:rPr>
        <w:t>)</w:t>
      </w:r>
      <w:r w:rsidR="00DF0BD0" w:rsidRPr="002910C6">
        <w:rPr>
          <w:rFonts w:ascii="Aparajita" w:hAnsi="Aparajita" w:cs="Aparajita"/>
        </w:rPr>
        <w:t xml:space="preserve"> service options</w:t>
      </w:r>
      <w:r w:rsidR="00116420" w:rsidRPr="002910C6">
        <w:rPr>
          <w:rFonts w:ascii="Aparajita" w:hAnsi="Aparajita" w:cs="Aparajita"/>
        </w:rPr>
        <w:t xml:space="preserve">, and Outstationing. </w:t>
      </w:r>
      <w:r w:rsidR="00685920" w:rsidRPr="002910C6">
        <w:rPr>
          <w:rFonts w:ascii="Aparajita" w:hAnsi="Aparajita" w:cs="Aparajita"/>
        </w:rPr>
        <w:t xml:space="preserve">Funding for IET and IELCE service options will be available in each local workforce area. The number of IELCEs and/or IETs and amounts are provided below as guidance. </w:t>
      </w:r>
      <w:r w:rsidRPr="002910C6">
        <w:rPr>
          <w:rFonts w:ascii="Aparajita" w:hAnsi="Aparajita" w:cs="Aparajita"/>
        </w:rPr>
        <w:t>All values in this table are estimates for planning purpose</w:t>
      </w:r>
      <w:r w:rsidR="00A67C85" w:rsidRPr="002910C6">
        <w:rPr>
          <w:rFonts w:ascii="Aparajita" w:hAnsi="Aparajita" w:cs="Aparajita"/>
        </w:rPr>
        <w:t>s</w:t>
      </w:r>
      <w:r w:rsidRPr="002910C6">
        <w:rPr>
          <w:rFonts w:ascii="Aparajita" w:hAnsi="Aparajita" w:cs="Aparajita"/>
        </w:rPr>
        <w:t xml:space="preserve"> only and are provided as guidance. </w:t>
      </w:r>
      <w:r w:rsidR="00A67C85" w:rsidRPr="002910C6">
        <w:rPr>
          <w:rFonts w:ascii="Aparajita" w:hAnsi="Aparajita" w:cs="Aparajita"/>
        </w:rPr>
        <w:t>Because t</w:t>
      </w:r>
      <w:r w:rsidRPr="002910C6">
        <w:rPr>
          <w:rFonts w:ascii="Aparajita" w:hAnsi="Aparajita" w:cs="Aparajita"/>
        </w:rPr>
        <w:t xml:space="preserve">hese figures are </w:t>
      </w:r>
      <w:r w:rsidR="00A67C85" w:rsidRPr="002910C6">
        <w:rPr>
          <w:rFonts w:ascii="Aparajita" w:hAnsi="Aparajita" w:cs="Aparajita"/>
        </w:rPr>
        <w:t xml:space="preserve">subject to annual federal and state appropriations, they are </w:t>
      </w:r>
      <w:r w:rsidRPr="002910C6">
        <w:rPr>
          <w:rFonts w:ascii="Aparajita" w:hAnsi="Aparajita" w:cs="Aparajita"/>
        </w:rPr>
        <w:t xml:space="preserve">not binding. </w:t>
      </w:r>
    </w:p>
    <w:p w:rsidR="00277BA2" w:rsidRPr="002910C6" w:rsidRDefault="00A67C85" w:rsidP="002910C6">
      <w:pPr>
        <w:spacing w:after="120"/>
        <w:rPr>
          <w:rFonts w:ascii="Aparajita" w:hAnsi="Aparajita" w:cs="Aparajita"/>
        </w:rPr>
      </w:pPr>
      <w:r w:rsidRPr="002910C6">
        <w:rPr>
          <w:rFonts w:ascii="Aparajita" w:hAnsi="Aparajita" w:cs="Aparajita"/>
        </w:rPr>
        <w:t xml:space="preserve">The </w:t>
      </w:r>
      <w:r w:rsidR="00685920" w:rsidRPr="002910C6">
        <w:rPr>
          <w:rFonts w:ascii="Aparajita" w:hAnsi="Aparajita" w:cs="Aparajita"/>
        </w:rPr>
        <w:t>allocation estimates</w:t>
      </w:r>
      <w:r w:rsidRPr="002910C6">
        <w:rPr>
          <w:rFonts w:ascii="Aparajita" w:hAnsi="Aparajita" w:cs="Aparajita"/>
        </w:rPr>
        <w:t xml:space="preserve"> listed below are based on three considerations: adult educational need determined by the American Community Survey (40%), demand for adult education derived from enrollment and waitlist data (10%), and historical funding levels (50%). In addition, ESE will endeavor to prevent any local workforce area from losing more than 15% of its funding, assuming level funding across the system.</w:t>
      </w:r>
    </w:p>
    <w:p w:rsidR="007A36E6" w:rsidRPr="002910C6" w:rsidRDefault="000E251E" w:rsidP="00C230B1">
      <w:pPr>
        <w:pStyle w:val="ListParagraph"/>
        <w:numPr>
          <w:ilvl w:val="0"/>
          <w:numId w:val="0"/>
        </w:numPr>
        <w:ind w:left="4"/>
        <w:rPr>
          <w:rFonts w:ascii="Aparajita" w:eastAsiaTheme="minorHAnsi" w:hAnsi="Aparajita" w:cs="Aparajita"/>
          <w:sz w:val="22"/>
          <w:szCs w:val="22"/>
        </w:rPr>
      </w:pPr>
      <w:r w:rsidRPr="002910C6">
        <w:rPr>
          <w:rFonts w:ascii="Aparajita" w:hAnsi="Aparajita" w:cs="Aparajita"/>
          <w:iCs/>
          <w:color w:val="000000"/>
          <w:sz w:val="22"/>
          <w:szCs w:val="22"/>
        </w:rPr>
        <w:t>ESE reserves the right to adjust local workforce area allocations within the seven workforce planning regions based on local area needs and provider capacity, and to adjust allocations within individual workforce areas based on the communities’ needs for ABE and ESOL services.</w:t>
      </w:r>
      <w:r w:rsidR="005B6931" w:rsidRPr="002910C6">
        <w:rPr>
          <w:rFonts w:ascii="Aparajita" w:eastAsiaTheme="minorHAnsi" w:hAnsi="Aparajita" w:cs="Aparajita"/>
          <w:sz w:val="22"/>
          <w:szCs w:val="22"/>
        </w:rPr>
        <w:t xml:space="preserve"> The </w:t>
      </w:r>
      <w:proofErr w:type="gramStart"/>
      <w:r w:rsidR="005B6931" w:rsidRPr="002910C6">
        <w:rPr>
          <w:rFonts w:ascii="Aparajita" w:eastAsiaTheme="minorHAnsi" w:hAnsi="Aparajita" w:cs="Aparajita"/>
          <w:sz w:val="22"/>
          <w:szCs w:val="22"/>
        </w:rPr>
        <w:t>ABE</w:t>
      </w:r>
      <w:r w:rsidRPr="002910C6">
        <w:rPr>
          <w:rFonts w:ascii="Aparajita" w:eastAsiaTheme="minorHAnsi" w:hAnsi="Aparajita" w:cs="Aparajita"/>
          <w:sz w:val="22"/>
          <w:szCs w:val="22"/>
        </w:rPr>
        <w:t xml:space="preserve"> </w:t>
      </w:r>
      <w:r w:rsidR="005B6931" w:rsidRPr="002910C6">
        <w:rPr>
          <w:rFonts w:ascii="Aparajita" w:eastAsiaTheme="minorHAnsi" w:hAnsi="Aparajita" w:cs="Aparajita"/>
          <w:sz w:val="22"/>
          <w:szCs w:val="22"/>
        </w:rPr>
        <w:t>:</w:t>
      </w:r>
      <w:proofErr w:type="gramEnd"/>
      <w:r w:rsidRPr="002910C6">
        <w:rPr>
          <w:rFonts w:ascii="Aparajita" w:eastAsiaTheme="minorHAnsi" w:hAnsi="Aparajita" w:cs="Aparajita"/>
          <w:sz w:val="22"/>
          <w:szCs w:val="22"/>
        </w:rPr>
        <w:t xml:space="preserve"> </w:t>
      </w:r>
      <w:r w:rsidR="005B6931" w:rsidRPr="002910C6">
        <w:rPr>
          <w:rFonts w:ascii="Aparajita" w:eastAsiaTheme="minorHAnsi" w:hAnsi="Aparajita" w:cs="Aparajita"/>
          <w:sz w:val="22"/>
          <w:szCs w:val="22"/>
        </w:rPr>
        <w:t>ESOL percentages are intended as guidance to ensure reasonable equitable services to address area need, and are not intended to be used a precise targets.</w:t>
      </w:r>
    </w:p>
    <w:tbl>
      <w:tblPr>
        <w:tblW w:w="11131" w:type="dxa"/>
        <w:jc w:val="center"/>
        <w:tblLayout w:type="fixed"/>
        <w:tblLook w:val="04A0" w:firstRow="1" w:lastRow="0" w:firstColumn="1" w:lastColumn="0" w:noHBand="0" w:noVBand="1"/>
      </w:tblPr>
      <w:tblGrid>
        <w:gridCol w:w="1391"/>
        <w:gridCol w:w="1391"/>
        <w:gridCol w:w="1392"/>
        <w:gridCol w:w="695"/>
        <w:gridCol w:w="696"/>
        <w:gridCol w:w="1391"/>
        <w:gridCol w:w="1392"/>
        <w:gridCol w:w="1268"/>
        <w:gridCol w:w="1515"/>
      </w:tblGrid>
      <w:tr w:rsidR="002A41CA" w:rsidRPr="005851CB" w:rsidTr="0036078E">
        <w:trPr>
          <w:trHeight w:val="952"/>
          <w:jc w:val="center"/>
        </w:trPr>
        <w:tc>
          <w:tcPr>
            <w:tcW w:w="1391"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bottom"/>
            <w:hideMark/>
          </w:tcPr>
          <w:p w:rsidR="002A41CA" w:rsidRPr="005851CB" w:rsidRDefault="002A41CA" w:rsidP="00277BA2">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Planning Region</w:t>
            </w:r>
          </w:p>
        </w:tc>
        <w:tc>
          <w:tcPr>
            <w:tcW w:w="1391" w:type="dxa"/>
            <w:tcBorders>
              <w:top w:val="single" w:sz="8" w:space="0" w:color="auto"/>
              <w:left w:val="nil"/>
              <w:bottom w:val="single" w:sz="8" w:space="0" w:color="auto"/>
              <w:right w:val="single" w:sz="4" w:space="0" w:color="auto"/>
            </w:tcBorders>
            <w:shd w:val="clear" w:color="auto" w:fill="D9D9D9" w:themeFill="background1" w:themeFillShade="D9"/>
            <w:vAlign w:val="bottom"/>
            <w:hideMark/>
          </w:tcPr>
          <w:p w:rsidR="002A41CA" w:rsidRPr="005851CB" w:rsidRDefault="002A41CA" w:rsidP="00277BA2">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Estimated Regional Weighted FY19 Allocation (Rounded)</w:t>
            </w:r>
          </w:p>
        </w:tc>
        <w:tc>
          <w:tcPr>
            <w:tcW w:w="1392" w:type="dxa"/>
            <w:tcBorders>
              <w:top w:val="single" w:sz="8" w:space="0" w:color="auto"/>
              <w:left w:val="nil"/>
              <w:bottom w:val="single" w:sz="8" w:space="0" w:color="auto"/>
              <w:right w:val="single" w:sz="4" w:space="0" w:color="auto"/>
            </w:tcBorders>
            <w:shd w:val="clear" w:color="auto" w:fill="D9D9D9" w:themeFill="background1" w:themeFillShade="D9"/>
            <w:vAlign w:val="bottom"/>
            <w:hideMark/>
          </w:tcPr>
          <w:p w:rsidR="002A41CA" w:rsidRPr="005851CB" w:rsidRDefault="002A41CA" w:rsidP="00277BA2">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Local Workforce Area</w:t>
            </w:r>
          </w:p>
        </w:tc>
        <w:tc>
          <w:tcPr>
            <w:tcW w:w="1391" w:type="dxa"/>
            <w:gridSpan w:val="2"/>
            <w:tcBorders>
              <w:top w:val="single" w:sz="8" w:space="0" w:color="auto"/>
              <w:left w:val="nil"/>
              <w:bottom w:val="single" w:sz="8" w:space="0" w:color="auto"/>
              <w:right w:val="single" w:sz="4" w:space="0" w:color="auto"/>
            </w:tcBorders>
            <w:shd w:val="clear" w:color="auto" w:fill="D9D9D9" w:themeFill="background1" w:themeFillShade="D9"/>
            <w:vAlign w:val="bottom"/>
          </w:tcPr>
          <w:p w:rsidR="002A41CA" w:rsidRPr="005851CB" w:rsidRDefault="002A41CA" w:rsidP="00E67ABB">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 xml:space="preserve">ABE : ESOL     </w:t>
            </w:r>
            <w:r w:rsidR="00E67ABB" w:rsidRPr="005851CB">
              <w:rPr>
                <w:rFonts w:ascii="Aparajita" w:eastAsia="Times New Roman" w:hAnsi="Aparajita" w:cs="Aparajita"/>
                <w:color w:val="000000"/>
                <w:sz w:val="18"/>
                <w:szCs w:val="18"/>
              </w:rPr>
              <w:t xml:space="preserve">Minimum </w:t>
            </w:r>
            <w:r w:rsidRPr="005851CB">
              <w:rPr>
                <w:rFonts w:ascii="Aparajita" w:eastAsia="Times New Roman" w:hAnsi="Aparajita" w:cs="Aparajita"/>
                <w:color w:val="000000"/>
                <w:sz w:val="18"/>
                <w:szCs w:val="18"/>
              </w:rPr>
              <w:t xml:space="preserve">Percentage </w:t>
            </w:r>
            <w:r w:rsidR="00E67ABB" w:rsidRPr="005851CB">
              <w:rPr>
                <w:rFonts w:ascii="Aparajita" w:eastAsia="Times New Roman" w:hAnsi="Aparajita" w:cs="Aparajita"/>
                <w:color w:val="000000"/>
                <w:sz w:val="18"/>
                <w:szCs w:val="18"/>
              </w:rPr>
              <w:t>Service Ratios</w:t>
            </w:r>
            <w:r w:rsidR="00E67ABB" w:rsidRPr="005851CB">
              <w:rPr>
                <w:rStyle w:val="FootnoteReference"/>
                <w:rFonts w:ascii="Aparajita" w:eastAsia="Times New Roman" w:hAnsi="Aparajita" w:cs="Aparajita"/>
                <w:color w:val="000000"/>
                <w:sz w:val="18"/>
                <w:szCs w:val="18"/>
              </w:rPr>
              <w:footnoteReference w:id="1"/>
            </w:r>
          </w:p>
        </w:tc>
        <w:tc>
          <w:tcPr>
            <w:tcW w:w="1391"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bottom"/>
            <w:hideMark/>
          </w:tcPr>
          <w:p w:rsidR="002A41CA" w:rsidRPr="005851CB" w:rsidRDefault="002A41CA" w:rsidP="00277BA2">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Estimated Area Weighted FY19 Allocation (Rounded)</w:t>
            </w:r>
          </w:p>
        </w:tc>
        <w:tc>
          <w:tcPr>
            <w:tcW w:w="1392" w:type="dxa"/>
            <w:tcBorders>
              <w:top w:val="single" w:sz="8" w:space="0" w:color="auto"/>
              <w:left w:val="nil"/>
              <w:bottom w:val="single" w:sz="8" w:space="0" w:color="auto"/>
              <w:right w:val="single" w:sz="4" w:space="0" w:color="auto"/>
            </w:tcBorders>
            <w:shd w:val="clear" w:color="auto" w:fill="D9D9D9" w:themeFill="background1" w:themeFillShade="D9"/>
            <w:vAlign w:val="bottom"/>
            <w:hideMark/>
          </w:tcPr>
          <w:p w:rsidR="002A41CA" w:rsidRPr="005851CB" w:rsidRDefault="002A41CA" w:rsidP="00277BA2">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Outstationing (Included in the estimated allocation)</w:t>
            </w:r>
          </w:p>
        </w:tc>
        <w:tc>
          <w:tcPr>
            <w:tcW w:w="1268" w:type="dxa"/>
            <w:tcBorders>
              <w:top w:val="single" w:sz="8" w:space="0" w:color="auto"/>
              <w:left w:val="nil"/>
              <w:bottom w:val="single" w:sz="8" w:space="0" w:color="auto"/>
              <w:right w:val="single" w:sz="4" w:space="0" w:color="auto"/>
            </w:tcBorders>
            <w:shd w:val="clear" w:color="auto" w:fill="D9D9D9" w:themeFill="background1" w:themeFillShade="D9"/>
            <w:vAlign w:val="bottom"/>
            <w:hideMark/>
          </w:tcPr>
          <w:p w:rsidR="002A41CA" w:rsidRPr="005851CB" w:rsidRDefault="002A41CA" w:rsidP="00277BA2">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Anticipated # of IET &amp; IELCE</w:t>
            </w:r>
          </w:p>
        </w:tc>
        <w:tc>
          <w:tcPr>
            <w:tcW w:w="1515" w:type="dxa"/>
            <w:tcBorders>
              <w:top w:val="single" w:sz="8" w:space="0" w:color="auto"/>
              <w:left w:val="nil"/>
              <w:bottom w:val="single" w:sz="8" w:space="0" w:color="auto"/>
              <w:right w:val="single" w:sz="8" w:space="0" w:color="auto"/>
            </w:tcBorders>
            <w:shd w:val="clear" w:color="auto" w:fill="D9D9D9" w:themeFill="background1" w:themeFillShade="D9"/>
            <w:vAlign w:val="bottom"/>
            <w:hideMark/>
          </w:tcPr>
          <w:p w:rsidR="002A41CA" w:rsidRPr="005851CB" w:rsidRDefault="002A41CA" w:rsidP="00277BA2">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Projected IET &amp; IELCE Costs (Included in the estimated allocation)</w:t>
            </w:r>
          </w:p>
        </w:tc>
      </w:tr>
      <w:tr w:rsidR="000038EF" w:rsidRPr="005851CB" w:rsidTr="0036078E">
        <w:trPr>
          <w:trHeight w:val="286"/>
          <w:jc w:val="center"/>
        </w:trPr>
        <w:tc>
          <w:tcPr>
            <w:tcW w:w="1391" w:type="dxa"/>
            <w:tcBorders>
              <w:top w:val="nil"/>
              <w:left w:val="single" w:sz="8" w:space="0" w:color="auto"/>
              <w:bottom w:val="single" w:sz="8" w:space="0" w:color="auto"/>
              <w:right w:val="single" w:sz="4" w:space="0" w:color="auto"/>
            </w:tcBorders>
            <w:shd w:val="clear" w:color="auto" w:fill="auto"/>
            <w:vAlign w:val="bottom"/>
            <w:hideMark/>
          </w:tcPr>
          <w:p w:rsidR="000038EF" w:rsidRPr="005851CB" w:rsidRDefault="000038EF" w:rsidP="00277BA2">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Berkshire</w:t>
            </w:r>
          </w:p>
        </w:tc>
        <w:tc>
          <w:tcPr>
            <w:tcW w:w="1391" w:type="dxa"/>
            <w:tcBorders>
              <w:top w:val="nil"/>
              <w:left w:val="nil"/>
              <w:bottom w:val="single" w:sz="8"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$636,000</w:t>
            </w:r>
          </w:p>
        </w:tc>
        <w:tc>
          <w:tcPr>
            <w:tcW w:w="1392" w:type="dxa"/>
            <w:tcBorders>
              <w:top w:val="nil"/>
              <w:left w:val="nil"/>
              <w:bottom w:val="single" w:sz="8" w:space="0" w:color="auto"/>
              <w:right w:val="single" w:sz="4" w:space="0" w:color="auto"/>
            </w:tcBorders>
            <w:shd w:val="clear" w:color="auto" w:fill="auto"/>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Berkshire</w:t>
            </w:r>
          </w:p>
        </w:tc>
        <w:tc>
          <w:tcPr>
            <w:tcW w:w="695" w:type="dxa"/>
            <w:tcBorders>
              <w:top w:val="nil"/>
              <w:left w:val="nil"/>
              <w:bottom w:val="single" w:sz="8" w:space="0" w:color="auto"/>
              <w:right w:val="nil"/>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60%</w:t>
            </w:r>
          </w:p>
        </w:tc>
        <w:tc>
          <w:tcPr>
            <w:tcW w:w="696" w:type="dxa"/>
            <w:tcBorders>
              <w:top w:val="nil"/>
              <w:left w:val="nil"/>
              <w:bottom w:val="single" w:sz="8" w:space="0" w:color="auto"/>
              <w:right w:val="single" w:sz="4" w:space="0" w:color="auto"/>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20%</w:t>
            </w:r>
          </w:p>
        </w:tc>
        <w:tc>
          <w:tcPr>
            <w:tcW w:w="1391" w:type="dxa"/>
            <w:tcBorders>
              <w:top w:val="nil"/>
              <w:left w:val="single" w:sz="4" w:space="0" w:color="auto"/>
              <w:bottom w:val="single" w:sz="8"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$636,000</w:t>
            </w:r>
          </w:p>
        </w:tc>
        <w:tc>
          <w:tcPr>
            <w:tcW w:w="1392" w:type="dxa"/>
            <w:tcBorders>
              <w:top w:val="nil"/>
              <w:left w:val="nil"/>
              <w:bottom w:val="single" w:sz="8"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$15,000</w:t>
            </w:r>
          </w:p>
        </w:tc>
        <w:tc>
          <w:tcPr>
            <w:tcW w:w="1268" w:type="dxa"/>
            <w:tcBorders>
              <w:top w:val="nil"/>
              <w:left w:val="nil"/>
              <w:bottom w:val="single" w:sz="8"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1 - 2</w:t>
            </w:r>
          </w:p>
        </w:tc>
        <w:tc>
          <w:tcPr>
            <w:tcW w:w="1515" w:type="dxa"/>
            <w:tcBorders>
              <w:top w:val="nil"/>
              <w:left w:val="nil"/>
              <w:bottom w:val="single" w:sz="8" w:space="0" w:color="auto"/>
              <w:right w:val="single" w:sz="8" w:space="0" w:color="auto"/>
            </w:tcBorders>
            <w:shd w:val="clear" w:color="auto" w:fill="auto"/>
            <w:noWrap/>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$40,000 - $80,000</w:t>
            </w:r>
          </w:p>
        </w:tc>
      </w:tr>
      <w:tr w:rsidR="000038EF" w:rsidRPr="005851CB" w:rsidTr="0036078E">
        <w:trPr>
          <w:trHeight w:val="340"/>
          <w:jc w:val="center"/>
        </w:trPr>
        <w:tc>
          <w:tcPr>
            <w:tcW w:w="1391" w:type="dxa"/>
            <w:tcBorders>
              <w:top w:val="nil"/>
              <w:left w:val="single" w:sz="8" w:space="0" w:color="auto"/>
              <w:bottom w:val="single" w:sz="8" w:space="0" w:color="auto"/>
              <w:right w:val="single" w:sz="4" w:space="0" w:color="auto"/>
            </w:tcBorders>
            <w:shd w:val="clear" w:color="auto" w:fill="auto"/>
            <w:vAlign w:val="bottom"/>
            <w:hideMark/>
          </w:tcPr>
          <w:p w:rsidR="000038EF" w:rsidRPr="005851CB" w:rsidRDefault="000038EF" w:rsidP="00277BA2">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Cape Cod and Islands</w:t>
            </w:r>
          </w:p>
        </w:tc>
        <w:tc>
          <w:tcPr>
            <w:tcW w:w="1391" w:type="dxa"/>
            <w:tcBorders>
              <w:top w:val="nil"/>
              <w:left w:val="nil"/>
              <w:bottom w:val="single" w:sz="8" w:space="0" w:color="auto"/>
              <w:right w:val="single" w:sz="4" w:space="0" w:color="auto"/>
            </w:tcBorders>
            <w:shd w:val="clear" w:color="auto" w:fill="auto"/>
            <w:noWrap/>
            <w:vAlign w:val="bottom"/>
            <w:hideMark/>
          </w:tcPr>
          <w:p w:rsidR="00D504B5" w:rsidRPr="005851CB" w:rsidRDefault="00D504B5"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$666,000</w:t>
            </w:r>
          </w:p>
        </w:tc>
        <w:tc>
          <w:tcPr>
            <w:tcW w:w="1392" w:type="dxa"/>
            <w:tcBorders>
              <w:top w:val="nil"/>
              <w:left w:val="nil"/>
              <w:bottom w:val="single" w:sz="8" w:space="0" w:color="auto"/>
              <w:right w:val="single" w:sz="4" w:space="0" w:color="auto"/>
            </w:tcBorders>
            <w:shd w:val="clear" w:color="auto" w:fill="auto"/>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Cape Cod and Islands</w:t>
            </w:r>
          </w:p>
        </w:tc>
        <w:tc>
          <w:tcPr>
            <w:tcW w:w="695" w:type="dxa"/>
            <w:tcBorders>
              <w:top w:val="nil"/>
              <w:left w:val="nil"/>
              <w:bottom w:val="single" w:sz="8" w:space="0" w:color="auto"/>
              <w:right w:val="nil"/>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50%</w:t>
            </w:r>
          </w:p>
        </w:tc>
        <w:tc>
          <w:tcPr>
            <w:tcW w:w="696" w:type="dxa"/>
            <w:tcBorders>
              <w:top w:val="nil"/>
              <w:left w:val="nil"/>
              <w:bottom w:val="single" w:sz="8" w:space="0" w:color="auto"/>
              <w:right w:val="single" w:sz="4" w:space="0" w:color="auto"/>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30%</w:t>
            </w:r>
          </w:p>
        </w:tc>
        <w:tc>
          <w:tcPr>
            <w:tcW w:w="1391" w:type="dxa"/>
            <w:tcBorders>
              <w:top w:val="nil"/>
              <w:left w:val="single" w:sz="4" w:space="0" w:color="auto"/>
              <w:bottom w:val="single" w:sz="8" w:space="0" w:color="auto"/>
              <w:right w:val="single" w:sz="4" w:space="0" w:color="auto"/>
            </w:tcBorders>
            <w:shd w:val="clear" w:color="auto" w:fill="auto"/>
            <w:noWrap/>
            <w:vAlign w:val="bottom"/>
            <w:hideMark/>
          </w:tcPr>
          <w:p w:rsidR="00137C4F" w:rsidRPr="005851CB" w:rsidRDefault="00137C4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$666,000</w:t>
            </w:r>
          </w:p>
        </w:tc>
        <w:tc>
          <w:tcPr>
            <w:tcW w:w="1392" w:type="dxa"/>
            <w:tcBorders>
              <w:top w:val="nil"/>
              <w:left w:val="nil"/>
              <w:bottom w:val="single" w:sz="8"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$15,000</w:t>
            </w:r>
          </w:p>
        </w:tc>
        <w:tc>
          <w:tcPr>
            <w:tcW w:w="1268" w:type="dxa"/>
            <w:tcBorders>
              <w:top w:val="nil"/>
              <w:left w:val="nil"/>
              <w:bottom w:val="single" w:sz="8"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1 - 2</w:t>
            </w:r>
          </w:p>
        </w:tc>
        <w:tc>
          <w:tcPr>
            <w:tcW w:w="1515" w:type="dxa"/>
            <w:tcBorders>
              <w:top w:val="nil"/>
              <w:left w:val="nil"/>
              <w:bottom w:val="single" w:sz="8" w:space="0" w:color="auto"/>
              <w:right w:val="single" w:sz="8" w:space="0" w:color="auto"/>
            </w:tcBorders>
            <w:shd w:val="clear" w:color="auto" w:fill="auto"/>
            <w:noWrap/>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$40,000 - $80,000</w:t>
            </w:r>
          </w:p>
        </w:tc>
      </w:tr>
      <w:tr w:rsidR="000038EF" w:rsidRPr="005851CB" w:rsidTr="0036078E">
        <w:trPr>
          <w:trHeight w:val="241"/>
          <w:jc w:val="center"/>
        </w:trPr>
        <w:tc>
          <w:tcPr>
            <w:tcW w:w="1391" w:type="dxa"/>
            <w:vMerge w:val="restart"/>
            <w:tcBorders>
              <w:top w:val="nil"/>
              <w:left w:val="single" w:sz="8" w:space="0" w:color="auto"/>
              <w:bottom w:val="single" w:sz="8" w:space="0" w:color="000000"/>
              <w:right w:val="nil"/>
            </w:tcBorders>
            <w:shd w:val="clear" w:color="auto" w:fill="auto"/>
            <w:vAlign w:val="center"/>
            <w:hideMark/>
          </w:tcPr>
          <w:p w:rsidR="000038EF" w:rsidRPr="005851CB" w:rsidRDefault="000038EF" w:rsidP="00277BA2">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Central Mass</w:t>
            </w:r>
          </w:p>
        </w:tc>
        <w:tc>
          <w:tcPr>
            <w:tcW w:w="1391" w:type="dxa"/>
            <w:vMerge w:val="restart"/>
            <w:tcBorders>
              <w:top w:val="nil"/>
              <w:left w:val="single" w:sz="4" w:space="0" w:color="auto"/>
              <w:bottom w:val="single" w:sz="8" w:space="0" w:color="000000"/>
              <w:right w:val="single" w:sz="4" w:space="0" w:color="auto"/>
            </w:tcBorders>
            <w:shd w:val="clear" w:color="auto" w:fill="auto"/>
            <w:vAlign w:val="center"/>
            <w:hideMark/>
          </w:tcPr>
          <w:p w:rsidR="0066502C" w:rsidRPr="005851CB" w:rsidRDefault="0066502C"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$2,848,000</w:t>
            </w:r>
          </w:p>
        </w:tc>
        <w:tc>
          <w:tcPr>
            <w:tcW w:w="1392" w:type="dxa"/>
            <w:tcBorders>
              <w:top w:val="nil"/>
              <w:left w:val="nil"/>
              <w:bottom w:val="single" w:sz="4" w:space="0" w:color="auto"/>
              <w:right w:val="single" w:sz="4" w:space="0" w:color="auto"/>
            </w:tcBorders>
            <w:shd w:val="clear" w:color="auto" w:fill="auto"/>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Central</w:t>
            </w:r>
          </w:p>
        </w:tc>
        <w:tc>
          <w:tcPr>
            <w:tcW w:w="695" w:type="dxa"/>
            <w:tcBorders>
              <w:top w:val="nil"/>
              <w:left w:val="nil"/>
              <w:bottom w:val="single" w:sz="4" w:space="0" w:color="auto"/>
              <w:right w:val="nil"/>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40%</w:t>
            </w:r>
          </w:p>
        </w:tc>
        <w:tc>
          <w:tcPr>
            <w:tcW w:w="696" w:type="dxa"/>
            <w:tcBorders>
              <w:top w:val="nil"/>
              <w:left w:val="nil"/>
              <w:bottom w:val="single" w:sz="4" w:space="0" w:color="auto"/>
              <w:right w:val="single" w:sz="4" w:space="0" w:color="auto"/>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40%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137C4F" w:rsidRPr="005851CB" w:rsidRDefault="00137C4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$1,978,000</w:t>
            </w:r>
          </w:p>
        </w:tc>
        <w:tc>
          <w:tcPr>
            <w:tcW w:w="1392" w:type="dxa"/>
            <w:tcBorders>
              <w:top w:val="nil"/>
              <w:left w:val="nil"/>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$15,000</w:t>
            </w:r>
          </w:p>
        </w:tc>
        <w:tc>
          <w:tcPr>
            <w:tcW w:w="1268" w:type="dxa"/>
            <w:tcBorders>
              <w:top w:val="nil"/>
              <w:left w:val="nil"/>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2 - 4</w:t>
            </w:r>
          </w:p>
        </w:tc>
        <w:tc>
          <w:tcPr>
            <w:tcW w:w="1515" w:type="dxa"/>
            <w:tcBorders>
              <w:top w:val="nil"/>
              <w:left w:val="nil"/>
              <w:bottom w:val="single" w:sz="4" w:space="0" w:color="auto"/>
              <w:right w:val="single" w:sz="8" w:space="0" w:color="auto"/>
            </w:tcBorders>
            <w:shd w:val="clear" w:color="auto" w:fill="auto"/>
            <w:noWrap/>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$80,000 - $160,000</w:t>
            </w:r>
          </w:p>
        </w:tc>
      </w:tr>
      <w:tr w:rsidR="000038EF" w:rsidRPr="005851CB" w:rsidTr="0036078E">
        <w:trPr>
          <w:trHeight w:val="232"/>
          <w:jc w:val="center"/>
        </w:trPr>
        <w:tc>
          <w:tcPr>
            <w:tcW w:w="1391" w:type="dxa"/>
            <w:vMerge/>
            <w:tcBorders>
              <w:top w:val="nil"/>
              <w:left w:val="single" w:sz="8" w:space="0" w:color="auto"/>
              <w:bottom w:val="single" w:sz="8" w:space="0" w:color="000000"/>
              <w:right w:val="nil"/>
            </w:tcBorders>
            <w:vAlign w:val="center"/>
            <w:hideMark/>
          </w:tcPr>
          <w:p w:rsidR="000038EF" w:rsidRPr="005851CB" w:rsidRDefault="000038EF" w:rsidP="00277BA2">
            <w:pPr>
              <w:spacing w:after="0" w:line="240" w:lineRule="auto"/>
              <w:rPr>
                <w:rFonts w:ascii="Aparajita" w:eastAsia="Times New Roman" w:hAnsi="Aparajita" w:cs="Aparajita"/>
                <w:color w:val="000000"/>
                <w:sz w:val="18"/>
                <w:szCs w:val="18"/>
              </w:rPr>
            </w:pPr>
          </w:p>
        </w:tc>
        <w:tc>
          <w:tcPr>
            <w:tcW w:w="1391" w:type="dxa"/>
            <w:vMerge/>
            <w:tcBorders>
              <w:top w:val="nil"/>
              <w:left w:val="single" w:sz="4" w:space="0" w:color="auto"/>
              <w:bottom w:val="single" w:sz="8" w:space="0" w:color="000000"/>
              <w:right w:val="single" w:sz="4" w:space="0" w:color="auto"/>
            </w:tcBorders>
            <w:vAlign w:val="center"/>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p>
        </w:tc>
        <w:tc>
          <w:tcPr>
            <w:tcW w:w="1392" w:type="dxa"/>
            <w:tcBorders>
              <w:top w:val="nil"/>
              <w:left w:val="nil"/>
              <w:bottom w:val="single" w:sz="8" w:space="0" w:color="auto"/>
              <w:right w:val="single" w:sz="4" w:space="0" w:color="auto"/>
            </w:tcBorders>
            <w:shd w:val="clear" w:color="auto" w:fill="auto"/>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North Central</w:t>
            </w:r>
          </w:p>
        </w:tc>
        <w:tc>
          <w:tcPr>
            <w:tcW w:w="695" w:type="dxa"/>
            <w:tcBorders>
              <w:top w:val="nil"/>
              <w:left w:val="nil"/>
              <w:bottom w:val="single" w:sz="8" w:space="0" w:color="auto"/>
              <w:right w:val="nil"/>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50%</w:t>
            </w:r>
          </w:p>
        </w:tc>
        <w:tc>
          <w:tcPr>
            <w:tcW w:w="696" w:type="dxa"/>
            <w:tcBorders>
              <w:top w:val="nil"/>
              <w:left w:val="nil"/>
              <w:bottom w:val="single" w:sz="8" w:space="0" w:color="auto"/>
              <w:right w:val="single" w:sz="4" w:space="0" w:color="auto"/>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30%</w:t>
            </w:r>
          </w:p>
        </w:tc>
        <w:tc>
          <w:tcPr>
            <w:tcW w:w="1391" w:type="dxa"/>
            <w:tcBorders>
              <w:top w:val="nil"/>
              <w:left w:val="single" w:sz="4" w:space="0" w:color="auto"/>
              <w:bottom w:val="single" w:sz="8" w:space="0" w:color="auto"/>
              <w:right w:val="single" w:sz="4" w:space="0" w:color="auto"/>
            </w:tcBorders>
            <w:shd w:val="clear" w:color="auto" w:fill="auto"/>
            <w:noWrap/>
            <w:vAlign w:val="bottom"/>
            <w:hideMark/>
          </w:tcPr>
          <w:p w:rsidR="00137C4F" w:rsidRPr="005851CB" w:rsidRDefault="00137C4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$870,000</w:t>
            </w:r>
          </w:p>
        </w:tc>
        <w:tc>
          <w:tcPr>
            <w:tcW w:w="1392" w:type="dxa"/>
            <w:tcBorders>
              <w:top w:val="nil"/>
              <w:left w:val="nil"/>
              <w:bottom w:val="single" w:sz="8"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$15,000</w:t>
            </w:r>
          </w:p>
        </w:tc>
        <w:tc>
          <w:tcPr>
            <w:tcW w:w="1268" w:type="dxa"/>
            <w:tcBorders>
              <w:top w:val="nil"/>
              <w:left w:val="nil"/>
              <w:bottom w:val="single" w:sz="8"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1 - 2</w:t>
            </w:r>
          </w:p>
        </w:tc>
        <w:tc>
          <w:tcPr>
            <w:tcW w:w="1515" w:type="dxa"/>
            <w:tcBorders>
              <w:top w:val="nil"/>
              <w:left w:val="nil"/>
              <w:bottom w:val="single" w:sz="8" w:space="0" w:color="auto"/>
              <w:right w:val="single" w:sz="8" w:space="0" w:color="auto"/>
            </w:tcBorders>
            <w:shd w:val="clear" w:color="auto" w:fill="auto"/>
            <w:noWrap/>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$40,000 - $80,000</w:t>
            </w:r>
          </w:p>
        </w:tc>
      </w:tr>
      <w:tr w:rsidR="000038EF" w:rsidRPr="005851CB" w:rsidTr="0036078E">
        <w:trPr>
          <w:trHeight w:val="133"/>
          <w:jc w:val="center"/>
        </w:trPr>
        <w:tc>
          <w:tcPr>
            <w:tcW w:w="1391" w:type="dxa"/>
            <w:vMerge w:val="restart"/>
            <w:tcBorders>
              <w:top w:val="nil"/>
              <w:left w:val="single" w:sz="8" w:space="0" w:color="auto"/>
              <w:bottom w:val="single" w:sz="8" w:space="0" w:color="000000"/>
              <w:right w:val="nil"/>
            </w:tcBorders>
            <w:shd w:val="clear" w:color="auto" w:fill="auto"/>
            <w:vAlign w:val="center"/>
            <w:hideMark/>
          </w:tcPr>
          <w:p w:rsidR="000038EF" w:rsidRPr="005851CB" w:rsidRDefault="000038EF" w:rsidP="00277BA2">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Greater Boston Metropolitan</w:t>
            </w:r>
          </w:p>
        </w:tc>
        <w:tc>
          <w:tcPr>
            <w:tcW w:w="1391" w:type="dxa"/>
            <w:vMerge w:val="restart"/>
            <w:tcBorders>
              <w:top w:val="nil"/>
              <w:left w:val="single" w:sz="4" w:space="0" w:color="auto"/>
              <w:bottom w:val="single" w:sz="8" w:space="0" w:color="000000"/>
              <w:right w:val="single" w:sz="4" w:space="0" w:color="auto"/>
            </w:tcBorders>
            <w:shd w:val="clear" w:color="auto" w:fill="auto"/>
            <w:vAlign w:val="center"/>
            <w:hideMark/>
          </w:tcPr>
          <w:p w:rsidR="00D504B5" w:rsidRPr="005851CB" w:rsidRDefault="00D504B5"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$11,063,000</w:t>
            </w:r>
          </w:p>
        </w:tc>
        <w:tc>
          <w:tcPr>
            <w:tcW w:w="1392" w:type="dxa"/>
            <w:tcBorders>
              <w:top w:val="nil"/>
              <w:left w:val="nil"/>
              <w:bottom w:val="single" w:sz="4" w:space="0" w:color="auto"/>
              <w:right w:val="single" w:sz="4" w:space="0" w:color="auto"/>
            </w:tcBorders>
            <w:shd w:val="clear" w:color="auto" w:fill="auto"/>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Boston</w:t>
            </w:r>
          </w:p>
        </w:tc>
        <w:tc>
          <w:tcPr>
            <w:tcW w:w="695" w:type="dxa"/>
            <w:tcBorders>
              <w:top w:val="nil"/>
              <w:left w:val="nil"/>
              <w:bottom w:val="single" w:sz="4" w:space="0" w:color="auto"/>
              <w:right w:val="nil"/>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30%</w:t>
            </w:r>
          </w:p>
        </w:tc>
        <w:tc>
          <w:tcPr>
            <w:tcW w:w="696" w:type="dxa"/>
            <w:tcBorders>
              <w:top w:val="nil"/>
              <w:left w:val="nil"/>
              <w:bottom w:val="single" w:sz="4" w:space="0" w:color="auto"/>
              <w:right w:val="single" w:sz="4" w:space="0" w:color="auto"/>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50%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137C4F" w:rsidRPr="005851CB" w:rsidRDefault="00137C4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$5,366,000</w:t>
            </w:r>
          </w:p>
        </w:tc>
        <w:tc>
          <w:tcPr>
            <w:tcW w:w="1392" w:type="dxa"/>
            <w:tcBorders>
              <w:top w:val="nil"/>
              <w:left w:val="nil"/>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$60,300</w:t>
            </w:r>
          </w:p>
        </w:tc>
        <w:tc>
          <w:tcPr>
            <w:tcW w:w="1268" w:type="dxa"/>
            <w:tcBorders>
              <w:top w:val="nil"/>
              <w:left w:val="nil"/>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5 - 8</w:t>
            </w:r>
          </w:p>
        </w:tc>
        <w:tc>
          <w:tcPr>
            <w:tcW w:w="1515" w:type="dxa"/>
            <w:tcBorders>
              <w:top w:val="nil"/>
              <w:left w:val="nil"/>
              <w:bottom w:val="single" w:sz="4" w:space="0" w:color="auto"/>
              <w:right w:val="single" w:sz="8" w:space="0" w:color="auto"/>
            </w:tcBorders>
            <w:shd w:val="clear" w:color="auto" w:fill="auto"/>
            <w:noWrap/>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$200,000 - $400,000</w:t>
            </w:r>
          </w:p>
        </w:tc>
      </w:tr>
      <w:tr w:rsidR="000038EF" w:rsidRPr="005851CB" w:rsidTr="0036078E">
        <w:trPr>
          <w:trHeight w:val="205"/>
          <w:jc w:val="center"/>
        </w:trPr>
        <w:tc>
          <w:tcPr>
            <w:tcW w:w="1391" w:type="dxa"/>
            <w:vMerge/>
            <w:tcBorders>
              <w:top w:val="nil"/>
              <w:left w:val="single" w:sz="8" w:space="0" w:color="auto"/>
              <w:bottom w:val="single" w:sz="8" w:space="0" w:color="000000"/>
              <w:right w:val="nil"/>
            </w:tcBorders>
            <w:vAlign w:val="center"/>
            <w:hideMark/>
          </w:tcPr>
          <w:p w:rsidR="000038EF" w:rsidRPr="005851CB" w:rsidRDefault="000038EF" w:rsidP="00277BA2">
            <w:pPr>
              <w:spacing w:after="0" w:line="240" w:lineRule="auto"/>
              <w:rPr>
                <w:rFonts w:ascii="Aparajita" w:eastAsia="Times New Roman" w:hAnsi="Aparajita" w:cs="Aparajita"/>
                <w:color w:val="000000"/>
                <w:sz w:val="18"/>
                <w:szCs w:val="18"/>
              </w:rPr>
            </w:pPr>
          </w:p>
        </w:tc>
        <w:tc>
          <w:tcPr>
            <w:tcW w:w="1391" w:type="dxa"/>
            <w:vMerge/>
            <w:tcBorders>
              <w:top w:val="nil"/>
              <w:left w:val="single" w:sz="4" w:space="0" w:color="auto"/>
              <w:bottom w:val="single" w:sz="8" w:space="0" w:color="000000"/>
              <w:right w:val="single" w:sz="4" w:space="0" w:color="auto"/>
            </w:tcBorders>
            <w:vAlign w:val="center"/>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p>
        </w:tc>
        <w:tc>
          <w:tcPr>
            <w:tcW w:w="1392" w:type="dxa"/>
            <w:tcBorders>
              <w:top w:val="nil"/>
              <w:left w:val="nil"/>
              <w:bottom w:val="single" w:sz="4" w:space="0" w:color="auto"/>
              <w:right w:val="single" w:sz="4" w:space="0" w:color="auto"/>
            </w:tcBorders>
            <w:shd w:val="clear" w:color="auto" w:fill="auto"/>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Metro North</w:t>
            </w:r>
          </w:p>
        </w:tc>
        <w:tc>
          <w:tcPr>
            <w:tcW w:w="695" w:type="dxa"/>
            <w:tcBorders>
              <w:top w:val="nil"/>
              <w:left w:val="nil"/>
              <w:bottom w:val="single" w:sz="4" w:space="0" w:color="auto"/>
              <w:right w:val="nil"/>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30%</w:t>
            </w:r>
          </w:p>
        </w:tc>
        <w:tc>
          <w:tcPr>
            <w:tcW w:w="696" w:type="dxa"/>
            <w:tcBorders>
              <w:top w:val="nil"/>
              <w:left w:val="nil"/>
              <w:bottom w:val="single" w:sz="4" w:space="0" w:color="auto"/>
              <w:right w:val="single" w:sz="4" w:space="0" w:color="auto"/>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50%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137C4F" w:rsidRPr="005851CB" w:rsidRDefault="00137C4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$3,653,000</w:t>
            </w:r>
          </w:p>
        </w:tc>
        <w:tc>
          <w:tcPr>
            <w:tcW w:w="1392" w:type="dxa"/>
            <w:tcBorders>
              <w:top w:val="nil"/>
              <w:left w:val="nil"/>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$15,000</w:t>
            </w:r>
          </w:p>
        </w:tc>
        <w:tc>
          <w:tcPr>
            <w:tcW w:w="1268" w:type="dxa"/>
            <w:tcBorders>
              <w:top w:val="nil"/>
              <w:left w:val="nil"/>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3 - 7</w:t>
            </w:r>
          </w:p>
        </w:tc>
        <w:tc>
          <w:tcPr>
            <w:tcW w:w="1515" w:type="dxa"/>
            <w:tcBorders>
              <w:top w:val="nil"/>
              <w:left w:val="nil"/>
              <w:bottom w:val="single" w:sz="4" w:space="0" w:color="auto"/>
              <w:right w:val="single" w:sz="8" w:space="0" w:color="auto"/>
            </w:tcBorders>
            <w:shd w:val="clear" w:color="auto" w:fill="auto"/>
            <w:noWrap/>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$120,000 - $280,000</w:t>
            </w:r>
          </w:p>
        </w:tc>
      </w:tr>
      <w:tr w:rsidR="000038EF" w:rsidRPr="005851CB" w:rsidTr="0036078E">
        <w:trPr>
          <w:trHeight w:val="196"/>
          <w:jc w:val="center"/>
        </w:trPr>
        <w:tc>
          <w:tcPr>
            <w:tcW w:w="1391" w:type="dxa"/>
            <w:vMerge/>
            <w:tcBorders>
              <w:top w:val="nil"/>
              <w:left w:val="single" w:sz="8" w:space="0" w:color="auto"/>
              <w:bottom w:val="single" w:sz="8" w:space="0" w:color="000000"/>
              <w:right w:val="nil"/>
            </w:tcBorders>
            <w:vAlign w:val="center"/>
            <w:hideMark/>
          </w:tcPr>
          <w:p w:rsidR="000038EF" w:rsidRPr="005851CB" w:rsidRDefault="000038EF" w:rsidP="00277BA2">
            <w:pPr>
              <w:spacing w:after="0" w:line="240" w:lineRule="auto"/>
              <w:rPr>
                <w:rFonts w:ascii="Aparajita" w:eastAsia="Times New Roman" w:hAnsi="Aparajita" w:cs="Aparajita"/>
                <w:color w:val="000000"/>
                <w:sz w:val="18"/>
                <w:szCs w:val="18"/>
              </w:rPr>
            </w:pPr>
          </w:p>
        </w:tc>
        <w:tc>
          <w:tcPr>
            <w:tcW w:w="1391" w:type="dxa"/>
            <w:vMerge/>
            <w:tcBorders>
              <w:top w:val="nil"/>
              <w:left w:val="single" w:sz="4" w:space="0" w:color="auto"/>
              <w:bottom w:val="single" w:sz="8" w:space="0" w:color="000000"/>
              <w:right w:val="single" w:sz="4" w:space="0" w:color="auto"/>
            </w:tcBorders>
            <w:vAlign w:val="center"/>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p>
        </w:tc>
        <w:tc>
          <w:tcPr>
            <w:tcW w:w="1392" w:type="dxa"/>
            <w:tcBorders>
              <w:top w:val="nil"/>
              <w:left w:val="nil"/>
              <w:bottom w:val="single" w:sz="8" w:space="0" w:color="auto"/>
              <w:right w:val="single" w:sz="4" w:space="0" w:color="auto"/>
            </w:tcBorders>
            <w:shd w:val="clear" w:color="auto" w:fill="auto"/>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Metro South/West</w:t>
            </w:r>
          </w:p>
        </w:tc>
        <w:tc>
          <w:tcPr>
            <w:tcW w:w="695" w:type="dxa"/>
            <w:tcBorders>
              <w:top w:val="nil"/>
              <w:left w:val="nil"/>
              <w:bottom w:val="single" w:sz="8" w:space="0" w:color="auto"/>
              <w:right w:val="nil"/>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30%</w:t>
            </w:r>
          </w:p>
        </w:tc>
        <w:tc>
          <w:tcPr>
            <w:tcW w:w="696" w:type="dxa"/>
            <w:tcBorders>
              <w:top w:val="nil"/>
              <w:left w:val="nil"/>
              <w:bottom w:val="single" w:sz="8" w:space="0" w:color="auto"/>
              <w:right w:val="single" w:sz="4" w:space="0" w:color="auto"/>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50%</w:t>
            </w:r>
          </w:p>
        </w:tc>
        <w:tc>
          <w:tcPr>
            <w:tcW w:w="1391" w:type="dxa"/>
            <w:tcBorders>
              <w:top w:val="nil"/>
              <w:left w:val="single" w:sz="4" w:space="0" w:color="auto"/>
              <w:bottom w:val="single" w:sz="8" w:space="0" w:color="auto"/>
              <w:right w:val="single" w:sz="4" w:space="0" w:color="auto"/>
            </w:tcBorders>
            <w:shd w:val="clear" w:color="auto" w:fill="auto"/>
            <w:noWrap/>
            <w:vAlign w:val="bottom"/>
            <w:hideMark/>
          </w:tcPr>
          <w:p w:rsidR="009359E0" w:rsidRPr="005851CB" w:rsidRDefault="009359E0"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$2,044,000</w:t>
            </w:r>
          </w:p>
        </w:tc>
        <w:tc>
          <w:tcPr>
            <w:tcW w:w="1392" w:type="dxa"/>
            <w:tcBorders>
              <w:top w:val="nil"/>
              <w:left w:val="nil"/>
              <w:bottom w:val="single" w:sz="8"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$15,000</w:t>
            </w:r>
          </w:p>
        </w:tc>
        <w:tc>
          <w:tcPr>
            <w:tcW w:w="1268" w:type="dxa"/>
            <w:tcBorders>
              <w:top w:val="nil"/>
              <w:left w:val="nil"/>
              <w:bottom w:val="single" w:sz="8"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2 - 4</w:t>
            </w:r>
          </w:p>
        </w:tc>
        <w:tc>
          <w:tcPr>
            <w:tcW w:w="1515" w:type="dxa"/>
            <w:tcBorders>
              <w:top w:val="nil"/>
              <w:left w:val="nil"/>
              <w:bottom w:val="single" w:sz="8" w:space="0" w:color="auto"/>
              <w:right w:val="single" w:sz="8" w:space="0" w:color="auto"/>
            </w:tcBorders>
            <w:shd w:val="clear" w:color="auto" w:fill="auto"/>
            <w:noWrap/>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$80,000 - $160,000</w:t>
            </w:r>
          </w:p>
        </w:tc>
      </w:tr>
      <w:tr w:rsidR="000038EF" w:rsidRPr="005851CB" w:rsidTr="0036078E">
        <w:trPr>
          <w:trHeight w:val="277"/>
          <w:jc w:val="center"/>
        </w:trPr>
        <w:tc>
          <w:tcPr>
            <w:tcW w:w="1391" w:type="dxa"/>
            <w:vMerge w:val="restart"/>
            <w:tcBorders>
              <w:top w:val="nil"/>
              <w:left w:val="single" w:sz="8" w:space="0" w:color="auto"/>
              <w:bottom w:val="single" w:sz="8" w:space="0" w:color="000000"/>
              <w:right w:val="nil"/>
            </w:tcBorders>
            <w:shd w:val="clear" w:color="auto" w:fill="auto"/>
            <w:vAlign w:val="center"/>
            <w:hideMark/>
          </w:tcPr>
          <w:p w:rsidR="000038EF" w:rsidRPr="005851CB" w:rsidRDefault="000038EF" w:rsidP="00277BA2">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Northeast</w:t>
            </w:r>
          </w:p>
        </w:tc>
        <w:tc>
          <w:tcPr>
            <w:tcW w:w="1391" w:type="dxa"/>
            <w:vMerge w:val="restart"/>
            <w:tcBorders>
              <w:top w:val="nil"/>
              <w:left w:val="single" w:sz="4" w:space="0" w:color="auto"/>
              <w:bottom w:val="single" w:sz="8" w:space="0" w:color="000000"/>
              <w:right w:val="single" w:sz="4" w:space="0" w:color="auto"/>
            </w:tcBorders>
            <w:shd w:val="clear" w:color="auto" w:fill="auto"/>
            <w:vAlign w:val="center"/>
            <w:hideMark/>
          </w:tcPr>
          <w:p w:rsidR="00D504B5" w:rsidRPr="005851CB" w:rsidRDefault="00D504B5"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$4,396,000</w:t>
            </w:r>
          </w:p>
        </w:tc>
        <w:tc>
          <w:tcPr>
            <w:tcW w:w="1392" w:type="dxa"/>
            <w:tcBorders>
              <w:top w:val="nil"/>
              <w:left w:val="nil"/>
              <w:bottom w:val="single" w:sz="4" w:space="0" w:color="auto"/>
              <w:right w:val="single" w:sz="4" w:space="0" w:color="auto"/>
            </w:tcBorders>
            <w:shd w:val="clear" w:color="auto" w:fill="auto"/>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Greater Lowell</w:t>
            </w:r>
          </w:p>
        </w:tc>
        <w:tc>
          <w:tcPr>
            <w:tcW w:w="695" w:type="dxa"/>
            <w:tcBorders>
              <w:top w:val="nil"/>
              <w:left w:val="nil"/>
              <w:bottom w:val="single" w:sz="4" w:space="0" w:color="auto"/>
              <w:right w:val="nil"/>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40%</w:t>
            </w:r>
          </w:p>
        </w:tc>
        <w:tc>
          <w:tcPr>
            <w:tcW w:w="696" w:type="dxa"/>
            <w:tcBorders>
              <w:top w:val="nil"/>
              <w:left w:val="nil"/>
              <w:bottom w:val="single" w:sz="4" w:space="0" w:color="auto"/>
              <w:right w:val="single" w:sz="4" w:space="0" w:color="auto"/>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40%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137C4F" w:rsidRPr="005851CB" w:rsidRDefault="00137C4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$1,023,000</w:t>
            </w:r>
          </w:p>
        </w:tc>
        <w:tc>
          <w:tcPr>
            <w:tcW w:w="1392" w:type="dxa"/>
            <w:tcBorders>
              <w:top w:val="nil"/>
              <w:left w:val="nil"/>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$15,000</w:t>
            </w:r>
          </w:p>
        </w:tc>
        <w:tc>
          <w:tcPr>
            <w:tcW w:w="1268" w:type="dxa"/>
            <w:tcBorders>
              <w:top w:val="nil"/>
              <w:left w:val="nil"/>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1 - 2</w:t>
            </w:r>
          </w:p>
        </w:tc>
        <w:tc>
          <w:tcPr>
            <w:tcW w:w="1515" w:type="dxa"/>
            <w:tcBorders>
              <w:top w:val="nil"/>
              <w:left w:val="nil"/>
              <w:bottom w:val="single" w:sz="4" w:space="0" w:color="auto"/>
              <w:right w:val="single" w:sz="8" w:space="0" w:color="auto"/>
            </w:tcBorders>
            <w:shd w:val="clear" w:color="auto" w:fill="auto"/>
            <w:noWrap/>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$40,000 - $80,000</w:t>
            </w:r>
          </w:p>
        </w:tc>
      </w:tr>
      <w:tr w:rsidR="000038EF" w:rsidRPr="005851CB" w:rsidTr="0036078E">
        <w:trPr>
          <w:trHeight w:val="250"/>
          <w:jc w:val="center"/>
        </w:trPr>
        <w:tc>
          <w:tcPr>
            <w:tcW w:w="1391" w:type="dxa"/>
            <w:vMerge/>
            <w:tcBorders>
              <w:top w:val="nil"/>
              <w:left w:val="single" w:sz="8" w:space="0" w:color="auto"/>
              <w:bottom w:val="single" w:sz="8" w:space="0" w:color="000000"/>
              <w:right w:val="nil"/>
            </w:tcBorders>
            <w:vAlign w:val="center"/>
            <w:hideMark/>
          </w:tcPr>
          <w:p w:rsidR="000038EF" w:rsidRPr="005851CB" w:rsidRDefault="000038EF" w:rsidP="00277BA2">
            <w:pPr>
              <w:spacing w:after="0" w:line="240" w:lineRule="auto"/>
              <w:rPr>
                <w:rFonts w:ascii="Aparajita" w:eastAsia="Times New Roman" w:hAnsi="Aparajita" w:cs="Aparajita"/>
                <w:color w:val="000000"/>
                <w:sz w:val="18"/>
                <w:szCs w:val="18"/>
              </w:rPr>
            </w:pPr>
          </w:p>
        </w:tc>
        <w:tc>
          <w:tcPr>
            <w:tcW w:w="1391" w:type="dxa"/>
            <w:vMerge/>
            <w:tcBorders>
              <w:top w:val="nil"/>
              <w:left w:val="single" w:sz="4" w:space="0" w:color="auto"/>
              <w:bottom w:val="single" w:sz="8" w:space="0" w:color="000000"/>
              <w:right w:val="single" w:sz="4" w:space="0" w:color="auto"/>
            </w:tcBorders>
            <w:vAlign w:val="center"/>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p>
        </w:tc>
        <w:tc>
          <w:tcPr>
            <w:tcW w:w="1392" w:type="dxa"/>
            <w:tcBorders>
              <w:top w:val="nil"/>
              <w:left w:val="nil"/>
              <w:bottom w:val="single" w:sz="4" w:space="0" w:color="auto"/>
              <w:right w:val="single" w:sz="4" w:space="0" w:color="auto"/>
            </w:tcBorders>
            <w:shd w:val="clear" w:color="auto" w:fill="auto"/>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Merrimack Valley</w:t>
            </w:r>
          </w:p>
        </w:tc>
        <w:tc>
          <w:tcPr>
            <w:tcW w:w="695" w:type="dxa"/>
            <w:tcBorders>
              <w:top w:val="nil"/>
              <w:left w:val="nil"/>
              <w:bottom w:val="single" w:sz="4" w:space="0" w:color="auto"/>
              <w:right w:val="nil"/>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30%</w:t>
            </w:r>
          </w:p>
        </w:tc>
        <w:tc>
          <w:tcPr>
            <w:tcW w:w="696" w:type="dxa"/>
            <w:tcBorders>
              <w:top w:val="nil"/>
              <w:left w:val="nil"/>
              <w:bottom w:val="single" w:sz="4" w:space="0" w:color="auto"/>
              <w:right w:val="single" w:sz="4" w:space="0" w:color="auto"/>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50%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strike/>
                <w:color w:val="000000"/>
                <w:sz w:val="18"/>
                <w:szCs w:val="18"/>
              </w:rPr>
            </w:pPr>
          </w:p>
          <w:p w:rsidR="00137C4F" w:rsidRPr="005851CB" w:rsidRDefault="00137C4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$1,961,000</w:t>
            </w:r>
          </w:p>
        </w:tc>
        <w:tc>
          <w:tcPr>
            <w:tcW w:w="1392" w:type="dxa"/>
            <w:tcBorders>
              <w:top w:val="nil"/>
              <w:left w:val="nil"/>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$15,000</w:t>
            </w:r>
          </w:p>
        </w:tc>
        <w:tc>
          <w:tcPr>
            <w:tcW w:w="1268" w:type="dxa"/>
            <w:tcBorders>
              <w:top w:val="nil"/>
              <w:left w:val="nil"/>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1 - 3</w:t>
            </w:r>
          </w:p>
        </w:tc>
        <w:tc>
          <w:tcPr>
            <w:tcW w:w="1515" w:type="dxa"/>
            <w:tcBorders>
              <w:top w:val="nil"/>
              <w:left w:val="nil"/>
              <w:bottom w:val="single" w:sz="4" w:space="0" w:color="auto"/>
              <w:right w:val="single" w:sz="8" w:space="0" w:color="auto"/>
            </w:tcBorders>
            <w:shd w:val="clear" w:color="auto" w:fill="auto"/>
            <w:noWrap/>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$40,000 - $120,000</w:t>
            </w:r>
          </w:p>
        </w:tc>
      </w:tr>
      <w:tr w:rsidR="000038EF" w:rsidRPr="005851CB" w:rsidTr="0036078E">
        <w:trPr>
          <w:trHeight w:val="61"/>
          <w:jc w:val="center"/>
        </w:trPr>
        <w:tc>
          <w:tcPr>
            <w:tcW w:w="1391" w:type="dxa"/>
            <w:vMerge/>
            <w:tcBorders>
              <w:top w:val="nil"/>
              <w:left w:val="single" w:sz="8" w:space="0" w:color="auto"/>
              <w:bottom w:val="single" w:sz="8" w:space="0" w:color="000000"/>
              <w:right w:val="nil"/>
            </w:tcBorders>
            <w:vAlign w:val="center"/>
            <w:hideMark/>
          </w:tcPr>
          <w:p w:rsidR="000038EF" w:rsidRPr="005851CB" w:rsidRDefault="000038EF" w:rsidP="00277BA2">
            <w:pPr>
              <w:spacing w:after="0" w:line="240" w:lineRule="auto"/>
              <w:rPr>
                <w:rFonts w:ascii="Aparajita" w:eastAsia="Times New Roman" w:hAnsi="Aparajita" w:cs="Aparajita"/>
                <w:color w:val="000000"/>
                <w:sz w:val="18"/>
                <w:szCs w:val="18"/>
              </w:rPr>
            </w:pPr>
          </w:p>
        </w:tc>
        <w:tc>
          <w:tcPr>
            <w:tcW w:w="1391" w:type="dxa"/>
            <w:vMerge/>
            <w:tcBorders>
              <w:top w:val="nil"/>
              <w:left w:val="single" w:sz="4" w:space="0" w:color="auto"/>
              <w:bottom w:val="single" w:sz="8" w:space="0" w:color="000000"/>
              <w:right w:val="single" w:sz="4" w:space="0" w:color="auto"/>
            </w:tcBorders>
            <w:vAlign w:val="center"/>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p>
        </w:tc>
        <w:tc>
          <w:tcPr>
            <w:tcW w:w="1392" w:type="dxa"/>
            <w:tcBorders>
              <w:top w:val="nil"/>
              <w:left w:val="nil"/>
              <w:bottom w:val="single" w:sz="8" w:space="0" w:color="auto"/>
              <w:right w:val="single" w:sz="4" w:space="0" w:color="auto"/>
            </w:tcBorders>
            <w:shd w:val="clear" w:color="auto" w:fill="auto"/>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North Shore</w:t>
            </w:r>
          </w:p>
        </w:tc>
        <w:tc>
          <w:tcPr>
            <w:tcW w:w="695" w:type="dxa"/>
            <w:tcBorders>
              <w:top w:val="nil"/>
              <w:left w:val="nil"/>
              <w:bottom w:val="single" w:sz="8" w:space="0" w:color="auto"/>
              <w:right w:val="nil"/>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30%</w:t>
            </w:r>
          </w:p>
        </w:tc>
        <w:tc>
          <w:tcPr>
            <w:tcW w:w="696" w:type="dxa"/>
            <w:tcBorders>
              <w:top w:val="nil"/>
              <w:left w:val="nil"/>
              <w:bottom w:val="single" w:sz="8" w:space="0" w:color="auto"/>
              <w:right w:val="single" w:sz="4" w:space="0" w:color="auto"/>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50%</w:t>
            </w:r>
          </w:p>
        </w:tc>
        <w:tc>
          <w:tcPr>
            <w:tcW w:w="1391" w:type="dxa"/>
            <w:tcBorders>
              <w:top w:val="nil"/>
              <w:left w:val="single" w:sz="4" w:space="0" w:color="auto"/>
              <w:bottom w:val="single" w:sz="8"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strike/>
                <w:color w:val="000000"/>
                <w:sz w:val="18"/>
                <w:szCs w:val="18"/>
              </w:rPr>
            </w:pPr>
          </w:p>
          <w:p w:rsidR="009359E0" w:rsidRPr="005851CB" w:rsidRDefault="009359E0" w:rsidP="002910C6">
            <w:pPr>
              <w:spacing w:after="0" w:line="240" w:lineRule="auto"/>
              <w:jc w:val="center"/>
              <w:rPr>
                <w:rFonts w:ascii="Aparajita" w:eastAsia="Times New Roman" w:hAnsi="Aparajita" w:cs="Aparajita"/>
                <w:sz w:val="18"/>
                <w:szCs w:val="18"/>
              </w:rPr>
            </w:pPr>
            <w:r w:rsidRPr="005851CB">
              <w:rPr>
                <w:rFonts w:ascii="Aparajita" w:eastAsia="Times New Roman" w:hAnsi="Aparajita" w:cs="Aparajita"/>
                <w:sz w:val="18"/>
                <w:szCs w:val="18"/>
              </w:rPr>
              <w:t>$1,412,000</w:t>
            </w:r>
          </w:p>
        </w:tc>
        <w:tc>
          <w:tcPr>
            <w:tcW w:w="1392" w:type="dxa"/>
            <w:tcBorders>
              <w:top w:val="nil"/>
              <w:left w:val="nil"/>
              <w:bottom w:val="single" w:sz="8"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$15,000</w:t>
            </w:r>
          </w:p>
        </w:tc>
        <w:tc>
          <w:tcPr>
            <w:tcW w:w="1268" w:type="dxa"/>
            <w:tcBorders>
              <w:top w:val="nil"/>
              <w:left w:val="nil"/>
              <w:bottom w:val="single" w:sz="8"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2 - 3</w:t>
            </w:r>
          </w:p>
        </w:tc>
        <w:tc>
          <w:tcPr>
            <w:tcW w:w="1515" w:type="dxa"/>
            <w:tcBorders>
              <w:top w:val="nil"/>
              <w:left w:val="nil"/>
              <w:bottom w:val="single" w:sz="8" w:space="0" w:color="auto"/>
              <w:right w:val="single" w:sz="8" w:space="0" w:color="auto"/>
            </w:tcBorders>
            <w:shd w:val="clear" w:color="auto" w:fill="auto"/>
            <w:noWrap/>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$80,000 - $120,000</w:t>
            </w:r>
          </w:p>
        </w:tc>
      </w:tr>
      <w:tr w:rsidR="000038EF" w:rsidRPr="005851CB" w:rsidTr="0036078E">
        <w:trPr>
          <w:trHeight w:val="151"/>
          <w:jc w:val="center"/>
        </w:trPr>
        <w:tc>
          <w:tcPr>
            <w:tcW w:w="1391" w:type="dxa"/>
            <w:vMerge w:val="restart"/>
            <w:tcBorders>
              <w:top w:val="nil"/>
              <w:left w:val="single" w:sz="8" w:space="0" w:color="auto"/>
              <w:bottom w:val="single" w:sz="8" w:space="0" w:color="000000"/>
              <w:right w:val="nil"/>
            </w:tcBorders>
            <w:shd w:val="clear" w:color="auto" w:fill="auto"/>
            <w:vAlign w:val="center"/>
            <w:hideMark/>
          </w:tcPr>
          <w:p w:rsidR="000038EF" w:rsidRPr="005851CB" w:rsidRDefault="000038EF" w:rsidP="00277BA2">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Pioneer Valley</w:t>
            </w:r>
          </w:p>
        </w:tc>
        <w:tc>
          <w:tcPr>
            <w:tcW w:w="1391" w:type="dxa"/>
            <w:vMerge w:val="restart"/>
            <w:tcBorders>
              <w:top w:val="nil"/>
              <w:left w:val="single" w:sz="4" w:space="0" w:color="auto"/>
              <w:bottom w:val="single" w:sz="8" w:space="0" w:color="000000"/>
              <w:right w:val="single" w:sz="4" w:space="0" w:color="auto"/>
            </w:tcBorders>
            <w:shd w:val="clear" w:color="auto" w:fill="auto"/>
            <w:vAlign w:val="center"/>
            <w:hideMark/>
          </w:tcPr>
          <w:p w:rsidR="000038EF" w:rsidRPr="005851CB" w:rsidRDefault="000038EF" w:rsidP="002910C6">
            <w:pPr>
              <w:spacing w:after="0" w:line="240" w:lineRule="auto"/>
              <w:jc w:val="center"/>
              <w:rPr>
                <w:rFonts w:ascii="Aparajita" w:eastAsia="Times New Roman" w:hAnsi="Aparajita" w:cs="Aparajita"/>
                <w:strike/>
                <w:color w:val="000000"/>
                <w:sz w:val="18"/>
                <w:szCs w:val="18"/>
              </w:rPr>
            </w:pPr>
          </w:p>
          <w:p w:rsidR="00D504B5" w:rsidRPr="005851CB" w:rsidRDefault="00D504B5"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$3,166,000</w:t>
            </w:r>
          </w:p>
        </w:tc>
        <w:tc>
          <w:tcPr>
            <w:tcW w:w="1392" w:type="dxa"/>
            <w:tcBorders>
              <w:top w:val="nil"/>
              <w:left w:val="nil"/>
              <w:bottom w:val="single" w:sz="4" w:space="0" w:color="auto"/>
              <w:right w:val="single" w:sz="4" w:space="0" w:color="auto"/>
            </w:tcBorders>
            <w:shd w:val="clear" w:color="auto" w:fill="auto"/>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Franklin and Hampshire</w:t>
            </w:r>
          </w:p>
        </w:tc>
        <w:tc>
          <w:tcPr>
            <w:tcW w:w="695" w:type="dxa"/>
            <w:tcBorders>
              <w:top w:val="nil"/>
              <w:left w:val="nil"/>
              <w:bottom w:val="single" w:sz="4" w:space="0" w:color="auto"/>
              <w:right w:val="nil"/>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50%</w:t>
            </w:r>
          </w:p>
        </w:tc>
        <w:tc>
          <w:tcPr>
            <w:tcW w:w="696" w:type="dxa"/>
            <w:tcBorders>
              <w:top w:val="nil"/>
              <w:left w:val="nil"/>
              <w:bottom w:val="single" w:sz="4" w:space="0" w:color="auto"/>
              <w:right w:val="single" w:sz="4" w:space="0" w:color="auto"/>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30%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$959,000</w:t>
            </w:r>
          </w:p>
        </w:tc>
        <w:tc>
          <w:tcPr>
            <w:tcW w:w="1392" w:type="dxa"/>
            <w:tcBorders>
              <w:top w:val="nil"/>
              <w:left w:val="nil"/>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$15,000</w:t>
            </w:r>
          </w:p>
        </w:tc>
        <w:tc>
          <w:tcPr>
            <w:tcW w:w="1268" w:type="dxa"/>
            <w:tcBorders>
              <w:top w:val="nil"/>
              <w:left w:val="nil"/>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1 - 2</w:t>
            </w:r>
          </w:p>
        </w:tc>
        <w:tc>
          <w:tcPr>
            <w:tcW w:w="1515" w:type="dxa"/>
            <w:tcBorders>
              <w:top w:val="nil"/>
              <w:left w:val="nil"/>
              <w:bottom w:val="single" w:sz="4" w:space="0" w:color="auto"/>
              <w:right w:val="single" w:sz="8" w:space="0" w:color="auto"/>
            </w:tcBorders>
            <w:shd w:val="clear" w:color="auto" w:fill="auto"/>
            <w:noWrap/>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$40,000 - $80,000</w:t>
            </w:r>
          </w:p>
        </w:tc>
      </w:tr>
      <w:tr w:rsidR="000038EF" w:rsidRPr="005851CB" w:rsidTr="0036078E">
        <w:trPr>
          <w:trHeight w:val="79"/>
          <w:jc w:val="center"/>
        </w:trPr>
        <w:tc>
          <w:tcPr>
            <w:tcW w:w="1391" w:type="dxa"/>
            <w:vMerge/>
            <w:tcBorders>
              <w:top w:val="nil"/>
              <w:left w:val="single" w:sz="8" w:space="0" w:color="auto"/>
              <w:bottom w:val="single" w:sz="8" w:space="0" w:color="000000"/>
              <w:right w:val="nil"/>
            </w:tcBorders>
            <w:vAlign w:val="center"/>
            <w:hideMark/>
          </w:tcPr>
          <w:p w:rsidR="000038EF" w:rsidRPr="005851CB" w:rsidRDefault="000038EF" w:rsidP="00277BA2">
            <w:pPr>
              <w:spacing w:after="0" w:line="240" w:lineRule="auto"/>
              <w:rPr>
                <w:rFonts w:ascii="Aparajita" w:eastAsia="Times New Roman" w:hAnsi="Aparajita" w:cs="Aparajita"/>
                <w:color w:val="000000"/>
                <w:sz w:val="18"/>
                <w:szCs w:val="18"/>
              </w:rPr>
            </w:pPr>
          </w:p>
        </w:tc>
        <w:tc>
          <w:tcPr>
            <w:tcW w:w="1391" w:type="dxa"/>
            <w:vMerge/>
            <w:tcBorders>
              <w:top w:val="nil"/>
              <w:left w:val="single" w:sz="4" w:space="0" w:color="auto"/>
              <w:bottom w:val="single" w:sz="8" w:space="0" w:color="000000"/>
              <w:right w:val="single" w:sz="4" w:space="0" w:color="auto"/>
            </w:tcBorders>
            <w:vAlign w:val="center"/>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p>
        </w:tc>
        <w:tc>
          <w:tcPr>
            <w:tcW w:w="1392" w:type="dxa"/>
            <w:tcBorders>
              <w:top w:val="nil"/>
              <w:left w:val="nil"/>
              <w:bottom w:val="single" w:sz="8" w:space="0" w:color="auto"/>
              <w:right w:val="single" w:sz="4" w:space="0" w:color="auto"/>
            </w:tcBorders>
            <w:shd w:val="clear" w:color="auto" w:fill="auto"/>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Hampden</w:t>
            </w:r>
          </w:p>
        </w:tc>
        <w:tc>
          <w:tcPr>
            <w:tcW w:w="695" w:type="dxa"/>
            <w:tcBorders>
              <w:top w:val="nil"/>
              <w:left w:val="nil"/>
              <w:bottom w:val="single" w:sz="8" w:space="0" w:color="auto"/>
              <w:right w:val="nil"/>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40%</w:t>
            </w:r>
          </w:p>
        </w:tc>
        <w:tc>
          <w:tcPr>
            <w:tcW w:w="696" w:type="dxa"/>
            <w:tcBorders>
              <w:top w:val="nil"/>
              <w:left w:val="nil"/>
              <w:bottom w:val="single" w:sz="8" w:space="0" w:color="auto"/>
              <w:right w:val="single" w:sz="4" w:space="0" w:color="auto"/>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40%</w:t>
            </w:r>
          </w:p>
        </w:tc>
        <w:tc>
          <w:tcPr>
            <w:tcW w:w="1391" w:type="dxa"/>
            <w:tcBorders>
              <w:top w:val="nil"/>
              <w:left w:val="single" w:sz="4" w:space="0" w:color="auto"/>
              <w:bottom w:val="single" w:sz="8" w:space="0" w:color="auto"/>
              <w:right w:val="single" w:sz="4" w:space="0" w:color="auto"/>
            </w:tcBorders>
            <w:shd w:val="clear" w:color="auto" w:fill="auto"/>
            <w:noWrap/>
            <w:vAlign w:val="bottom"/>
            <w:hideMark/>
          </w:tcPr>
          <w:p w:rsidR="00137C4F" w:rsidRPr="005851CB" w:rsidRDefault="00137C4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$2,207,000</w:t>
            </w:r>
          </w:p>
        </w:tc>
        <w:tc>
          <w:tcPr>
            <w:tcW w:w="1392" w:type="dxa"/>
            <w:tcBorders>
              <w:top w:val="nil"/>
              <w:left w:val="nil"/>
              <w:bottom w:val="single" w:sz="8"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$15,000</w:t>
            </w:r>
          </w:p>
        </w:tc>
        <w:tc>
          <w:tcPr>
            <w:tcW w:w="1268" w:type="dxa"/>
            <w:tcBorders>
              <w:top w:val="nil"/>
              <w:left w:val="nil"/>
              <w:bottom w:val="single" w:sz="8"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3 - 7</w:t>
            </w:r>
          </w:p>
        </w:tc>
        <w:tc>
          <w:tcPr>
            <w:tcW w:w="1515" w:type="dxa"/>
            <w:tcBorders>
              <w:top w:val="nil"/>
              <w:left w:val="nil"/>
              <w:bottom w:val="single" w:sz="8" w:space="0" w:color="auto"/>
              <w:right w:val="single" w:sz="8" w:space="0" w:color="auto"/>
            </w:tcBorders>
            <w:shd w:val="clear" w:color="auto" w:fill="auto"/>
            <w:noWrap/>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$120,000 - $280,000</w:t>
            </w:r>
          </w:p>
        </w:tc>
      </w:tr>
      <w:tr w:rsidR="000038EF" w:rsidRPr="005851CB" w:rsidTr="0036078E">
        <w:trPr>
          <w:trHeight w:val="35"/>
          <w:jc w:val="center"/>
        </w:trPr>
        <w:tc>
          <w:tcPr>
            <w:tcW w:w="1391" w:type="dxa"/>
            <w:vMerge w:val="restart"/>
            <w:tcBorders>
              <w:top w:val="nil"/>
              <w:left w:val="single" w:sz="8" w:space="0" w:color="auto"/>
              <w:bottom w:val="single" w:sz="8" w:space="0" w:color="000000"/>
              <w:right w:val="nil"/>
            </w:tcBorders>
            <w:shd w:val="clear" w:color="auto" w:fill="auto"/>
            <w:vAlign w:val="center"/>
            <w:hideMark/>
          </w:tcPr>
          <w:p w:rsidR="000038EF" w:rsidRPr="005851CB" w:rsidRDefault="000038EF" w:rsidP="00277BA2">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Southeast</w:t>
            </w:r>
          </w:p>
        </w:tc>
        <w:tc>
          <w:tcPr>
            <w:tcW w:w="1391" w:type="dxa"/>
            <w:vMerge w:val="restart"/>
            <w:tcBorders>
              <w:top w:val="nil"/>
              <w:left w:val="single" w:sz="4" w:space="0" w:color="auto"/>
              <w:bottom w:val="single" w:sz="8" w:space="0" w:color="000000"/>
              <w:right w:val="single" w:sz="4" w:space="0" w:color="auto"/>
            </w:tcBorders>
            <w:shd w:val="clear" w:color="auto" w:fill="auto"/>
            <w:vAlign w:val="center"/>
            <w:hideMark/>
          </w:tcPr>
          <w:p w:rsidR="00D504B5" w:rsidRPr="005851CB" w:rsidRDefault="00D504B5"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$5,225,000</w:t>
            </w:r>
          </w:p>
        </w:tc>
        <w:tc>
          <w:tcPr>
            <w:tcW w:w="1392" w:type="dxa"/>
            <w:tcBorders>
              <w:top w:val="nil"/>
              <w:left w:val="nil"/>
              <w:bottom w:val="single" w:sz="4" w:space="0" w:color="auto"/>
              <w:right w:val="single" w:sz="4" w:space="0" w:color="auto"/>
            </w:tcBorders>
            <w:shd w:val="clear" w:color="auto" w:fill="auto"/>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Bristol</w:t>
            </w:r>
          </w:p>
        </w:tc>
        <w:tc>
          <w:tcPr>
            <w:tcW w:w="695" w:type="dxa"/>
            <w:tcBorders>
              <w:top w:val="nil"/>
              <w:left w:val="nil"/>
              <w:bottom w:val="single" w:sz="4" w:space="0" w:color="auto"/>
              <w:right w:val="nil"/>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50%</w:t>
            </w:r>
          </w:p>
        </w:tc>
        <w:tc>
          <w:tcPr>
            <w:tcW w:w="696" w:type="dxa"/>
            <w:tcBorders>
              <w:top w:val="nil"/>
              <w:left w:val="nil"/>
              <w:bottom w:val="single" w:sz="4" w:space="0" w:color="auto"/>
              <w:right w:val="single" w:sz="4" w:space="0" w:color="auto"/>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30%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137C4F" w:rsidRPr="005851CB" w:rsidRDefault="00137C4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$1,576,000</w:t>
            </w:r>
          </w:p>
        </w:tc>
        <w:tc>
          <w:tcPr>
            <w:tcW w:w="1392" w:type="dxa"/>
            <w:tcBorders>
              <w:top w:val="nil"/>
              <w:left w:val="nil"/>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$15,000</w:t>
            </w:r>
          </w:p>
        </w:tc>
        <w:tc>
          <w:tcPr>
            <w:tcW w:w="1268" w:type="dxa"/>
            <w:tcBorders>
              <w:top w:val="nil"/>
              <w:left w:val="nil"/>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2 - 3</w:t>
            </w:r>
          </w:p>
        </w:tc>
        <w:tc>
          <w:tcPr>
            <w:tcW w:w="1515" w:type="dxa"/>
            <w:tcBorders>
              <w:top w:val="nil"/>
              <w:left w:val="nil"/>
              <w:bottom w:val="single" w:sz="4" w:space="0" w:color="auto"/>
              <w:right w:val="single" w:sz="8" w:space="0" w:color="auto"/>
            </w:tcBorders>
            <w:shd w:val="clear" w:color="auto" w:fill="auto"/>
            <w:noWrap/>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$80,000 - $120,000</w:t>
            </w:r>
          </w:p>
        </w:tc>
      </w:tr>
      <w:tr w:rsidR="000038EF" w:rsidRPr="005851CB" w:rsidTr="0036078E">
        <w:trPr>
          <w:trHeight w:val="52"/>
          <w:jc w:val="center"/>
        </w:trPr>
        <w:tc>
          <w:tcPr>
            <w:tcW w:w="1391" w:type="dxa"/>
            <w:vMerge/>
            <w:tcBorders>
              <w:top w:val="nil"/>
              <w:left w:val="single" w:sz="8" w:space="0" w:color="auto"/>
              <w:bottom w:val="single" w:sz="8" w:space="0" w:color="000000"/>
              <w:right w:val="nil"/>
            </w:tcBorders>
            <w:vAlign w:val="center"/>
            <w:hideMark/>
          </w:tcPr>
          <w:p w:rsidR="000038EF" w:rsidRPr="005851CB" w:rsidRDefault="000038EF" w:rsidP="00277BA2">
            <w:pPr>
              <w:spacing w:after="0" w:line="240" w:lineRule="auto"/>
              <w:rPr>
                <w:rFonts w:ascii="Aparajita" w:eastAsia="Times New Roman" w:hAnsi="Aparajita" w:cs="Aparajita"/>
                <w:color w:val="000000"/>
                <w:sz w:val="18"/>
                <w:szCs w:val="18"/>
              </w:rPr>
            </w:pPr>
          </w:p>
        </w:tc>
        <w:tc>
          <w:tcPr>
            <w:tcW w:w="1391" w:type="dxa"/>
            <w:vMerge/>
            <w:tcBorders>
              <w:top w:val="nil"/>
              <w:left w:val="single" w:sz="4" w:space="0" w:color="auto"/>
              <w:bottom w:val="single" w:sz="8" w:space="0" w:color="000000"/>
              <w:right w:val="single" w:sz="4" w:space="0" w:color="auto"/>
            </w:tcBorders>
            <w:vAlign w:val="center"/>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p>
        </w:tc>
        <w:tc>
          <w:tcPr>
            <w:tcW w:w="1392" w:type="dxa"/>
            <w:tcBorders>
              <w:top w:val="nil"/>
              <w:left w:val="nil"/>
              <w:bottom w:val="single" w:sz="4" w:space="0" w:color="auto"/>
              <w:right w:val="single" w:sz="4" w:space="0" w:color="auto"/>
            </w:tcBorders>
            <w:shd w:val="clear" w:color="auto" w:fill="auto"/>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Brockton</w:t>
            </w:r>
          </w:p>
        </w:tc>
        <w:tc>
          <w:tcPr>
            <w:tcW w:w="695" w:type="dxa"/>
            <w:tcBorders>
              <w:top w:val="nil"/>
              <w:left w:val="nil"/>
              <w:bottom w:val="single" w:sz="4" w:space="0" w:color="auto"/>
              <w:right w:val="nil"/>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40%</w:t>
            </w:r>
          </w:p>
        </w:tc>
        <w:tc>
          <w:tcPr>
            <w:tcW w:w="696" w:type="dxa"/>
            <w:tcBorders>
              <w:top w:val="nil"/>
              <w:left w:val="nil"/>
              <w:bottom w:val="single" w:sz="4" w:space="0" w:color="auto"/>
              <w:right w:val="single" w:sz="4" w:space="0" w:color="auto"/>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40%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137C4F" w:rsidRPr="005851CB" w:rsidRDefault="00137C4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$1,169,000</w:t>
            </w:r>
          </w:p>
        </w:tc>
        <w:tc>
          <w:tcPr>
            <w:tcW w:w="1392" w:type="dxa"/>
            <w:tcBorders>
              <w:top w:val="nil"/>
              <w:left w:val="nil"/>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$15,000</w:t>
            </w:r>
          </w:p>
        </w:tc>
        <w:tc>
          <w:tcPr>
            <w:tcW w:w="1268" w:type="dxa"/>
            <w:tcBorders>
              <w:top w:val="nil"/>
              <w:left w:val="nil"/>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1 - 3</w:t>
            </w:r>
          </w:p>
        </w:tc>
        <w:tc>
          <w:tcPr>
            <w:tcW w:w="1515" w:type="dxa"/>
            <w:tcBorders>
              <w:top w:val="nil"/>
              <w:left w:val="nil"/>
              <w:bottom w:val="single" w:sz="4" w:space="0" w:color="auto"/>
              <w:right w:val="single" w:sz="8" w:space="0" w:color="auto"/>
            </w:tcBorders>
            <w:shd w:val="clear" w:color="auto" w:fill="auto"/>
            <w:noWrap/>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$40,000 - $120,000</w:t>
            </w:r>
          </w:p>
        </w:tc>
      </w:tr>
      <w:tr w:rsidR="000038EF" w:rsidRPr="005851CB" w:rsidTr="0036078E">
        <w:trPr>
          <w:trHeight w:val="178"/>
          <w:jc w:val="center"/>
        </w:trPr>
        <w:tc>
          <w:tcPr>
            <w:tcW w:w="1391" w:type="dxa"/>
            <w:vMerge/>
            <w:tcBorders>
              <w:top w:val="nil"/>
              <w:left w:val="single" w:sz="8" w:space="0" w:color="auto"/>
              <w:bottom w:val="single" w:sz="8" w:space="0" w:color="000000"/>
              <w:right w:val="nil"/>
            </w:tcBorders>
            <w:vAlign w:val="center"/>
            <w:hideMark/>
          </w:tcPr>
          <w:p w:rsidR="000038EF" w:rsidRPr="005851CB" w:rsidRDefault="000038EF" w:rsidP="00277BA2">
            <w:pPr>
              <w:spacing w:after="0" w:line="240" w:lineRule="auto"/>
              <w:rPr>
                <w:rFonts w:ascii="Aparajita" w:eastAsia="Times New Roman" w:hAnsi="Aparajita" w:cs="Aparajita"/>
                <w:color w:val="000000"/>
                <w:sz w:val="18"/>
                <w:szCs w:val="18"/>
              </w:rPr>
            </w:pPr>
          </w:p>
        </w:tc>
        <w:tc>
          <w:tcPr>
            <w:tcW w:w="1391" w:type="dxa"/>
            <w:vMerge/>
            <w:tcBorders>
              <w:top w:val="nil"/>
              <w:left w:val="single" w:sz="4" w:space="0" w:color="auto"/>
              <w:bottom w:val="single" w:sz="8" w:space="0" w:color="000000"/>
              <w:right w:val="single" w:sz="4" w:space="0" w:color="auto"/>
            </w:tcBorders>
            <w:vAlign w:val="center"/>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p>
        </w:tc>
        <w:tc>
          <w:tcPr>
            <w:tcW w:w="1392" w:type="dxa"/>
            <w:tcBorders>
              <w:top w:val="nil"/>
              <w:left w:val="nil"/>
              <w:bottom w:val="single" w:sz="4" w:space="0" w:color="auto"/>
              <w:right w:val="single" w:sz="4" w:space="0" w:color="auto"/>
            </w:tcBorders>
            <w:shd w:val="clear" w:color="auto" w:fill="auto"/>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Greater New Bedford</w:t>
            </w:r>
          </w:p>
        </w:tc>
        <w:tc>
          <w:tcPr>
            <w:tcW w:w="695" w:type="dxa"/>
            <w:tcBorders>
              <w:top w:val="nil"/>
              <w:left w:val="nil"/>
              <w:bottom w:val="single" w:sz="4" w:space="0" w:color="auto"/>
              <w:right w:val="nil"/>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50%</w:t>
            </w:r>
          </w:p>
        </w:tc>
        <w:tc>
          <w:tcPr>
            <w:tcW w:w="696" w:type="dxa"/>
            <w:tcBorders>
              <w:top w:val="nil"/>
              <w:left w:val="nil"/>
              <w:bottom w:val="single" w:sz="4" w:space="0" w:color="auto"/>
              <w:right w:val="single" w:sz="4" w:space="0" w:color="auto"/>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30%</w:t>
            </w:r>
          </w:p>
        </w:tc>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137C4F" w:rsidRPr="005851CB" w:rsidRDefault="00137C4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$1,249,000</w:t>
            </w:r>
          </w:p>
        </w:tc>
        <w:tc>
          <w:tcPr>
            <w:tcW w:w="1392" w:type="dxa"/>
            <w:tcBorders>
              <w:top w:val="nil"/>
              <w:left w:val="nil"/>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$15,000</w:t>
            </w:r>
          </w:p>
        </w:tc>
        <w:tc>
          <w:tcPr>
            <w:tcW w:w="1268" w:type="dxa"/>
            <w:tcBorders>
              <w:top w:val="nil"/>
              <w:left w:val="nil"/>
              <w:bottom w:val="single" w:sz="4"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1 - 3</w:t>
            </w:r>
          </w:p>
        </w:tc>
        <w:tc>
          <w:tcPr>
            <w:tcW w:w="1515" w:type="dxa"/>
            <w:tcBorders>
              <w:top w:val="nil"/>
              <w:left w:val="nil"/>
              <w:bottom w:val="single" w:sz="4" w:space="0" w:color="auto"/>
              <w:right w:val="single" w:sz="8" w:space="0" w:color="auto"/>
            </w:tcBorders>
            <w:shd w:val="clear" w:color="auto" w:fill="auto"/>
            <w:noWrap/>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$40,000 - $120,000</w:t>
            </w:r>
          </w:p>
        </w:tc>
      </w:tr>
      <w:tr w:rsidR="000038EF" w:rsidRPr="005851CB" w:rsidTr="0036078E">
        <w:trPr>
          <w:trHeight w:val="115"/>
          <w:jc w:val="center"/>
        </w:trPr>
        <w:tc>
          <w:tcPr>
            <w:tcW w:w="1391" w:type="dxa"/>
            <w:vMerge/>
            <w:tcBorders>
              <w:top w:val="nil"/>
              <w:left w:val="single" w:sz="8" w:space="0" w:color="auto"/>
              <w:bottom w:val="single" w:sz="8" w:space="0" w:color="auto"/>
              <w:right w:val="nil"/>
            </w:tcBorders>
            <w:vAlign w:val="center"/>
            <w:hideMark/>
          </w:tcPr>
          <w:p w:rsidR="000038EF" w:rsidRPr="005851CB" w:rsidRDefault="000038EF" w:rsidP="00277BA2">
            <w:pPr>
              <w:spacing w:after="0" w:line="240" w:lineRule="auto"/>
              <w:rPr>
                <w:rFonts w:ascii="Aparajita" w:eastAsia="Times New Roman" w:hAnsi="Aparajita" w:cs="Aparajita"/>
                <w:color w:val="000000"/>
                <w:sz w:val="18"/>
                <w:szCs w:val="18"/>
              </w:rPr>
            </w:pPr>
          </w:p>
        </w:tc>
        <w:tc>
          <w:tcPr>
            <w:tcW w:w="1391" w:type="dxa"/>
            <w:vMerge/>
            <w:tcBorders>
              <w:top w:val="nil"/>
              <w:left w:val="single" w:sz="4" w:space="0" w:color="auto"/>
              <w:bottom w:val="single" w:sz="8" w:space="0" w:color="auto"/>
              <w:right w:val="single" w:sz="4" w:space="0" w:color="auto"/>
            </w:tcBorders>
            <w:vAlign w:val="center"/>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p>
        </w:tc>
        <w:tc>
          <w:tcPr>
            <w:tcW w:w="1392" w:type="dxa"/>
            <w:tcBorders>
              <w:top w:val="nil"/>
              <w:left w:val="nil"/>
              <w:bottom w:val="single" w:sz="8" w:space="0" w:color="auto"/>
              <w:right w:val="single" w:sz="4" w:space="0" w:color="auto"/>
            </w:tcBorders>
            <w:shd w:val="clear" w:color="auto" w:fill="auto"/>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South Shore</w:t>
            </w:r>
          </w:p>
        </w:tc>
        <w:tc>
          <w:tcPr>
            <w:tcW w:w="695" w:type="dxa"/>
            <w:tcBorders>
              <w:top w:val="nil"/>
              <w:left w:val="nil"/>
              <w:bottom w:val="single" w:sz="8" w:space="0" w:color="auto"/>
              <w:right w:val="nil"/>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40%</w:t>
            </w:r>
          </w:p>
        </w:tc>
        <w:tc>
          <w:tcPr>
            <w:tcW w:w="696" w:type="dxa"/>
            <w:tcBorders>
              <w:top w:val="nil"/>
              <w:left w:val="nil"/>
              <w:bottom w:val="single" w:sz="8" w:space="0" w:color="auto"/>
              <w:right w:val="single" w:sz="4" w:space="0" w:color="auto"/>
            </w:tcBorders>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hAnsi="Aparajita" w:cs="Aparajita"/>
                <w:color w:val="000000"/>
                <w:sz w:val="18"/>
                <w:szCs w:val="18"/>
              </w:rPr>
              <w:t>40%</w:t>
            </w:r>
          </w:p>
        </w:tc>
        <w:tc>
          <w:tcPr>
            <w:tcW w:w="1391" w:type="dxa"/>
            <w:tcBorders>
              <w:top w:val="nil"/>
              <w:left w:val="single" w:sz="4" w:space="0" w:color="auto"/>
              <w:bottom w:val="single" w:sz="8" w:space="0" w:color="auto"/>
              <w:right w:val="single" w:sz="4" w:space="0" w:color="auto"/>
            </w:tcBorders>
            <w:shd w:val="clear" w:color="auto" w:fill="auto"/>
            <w:noWrap/>
            <w:vAlign w:val="bottom"/>
            <w:hideMark/>
          </w:tcPr>
          <w:p w:rsidR="009359E0" w:rsidRPr="005851CB" w:rsidRDefault="009359E0"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$1,231,000</w:t>
            </w:r>
          </w:p>
        </w:tc>
        <w:tc>
          <w:tcPr>
            <w:tcW w:w="1392" w:type="dxa"/>
            <w:tcBorders>
              <w:top w:val="nil"/>
              <w:left w:val="nil"/>
              <w:bottom w:val="single" w:sz="8"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$15,000</w:t>
            </w:r>
          </w:p>
        </w:tc>
        <w:tc>
          <w:tcPr>
            <w:tcW w:w="1268" w:type="dxa"/>
            <w:tcBorders>
              <w:top w:val="nil"/>
              <w:left w:val="nil"/>
              <w:bottom w:val="single" w:sz="8" w:space="0" w:color="auto"/>
              <w:right w:val="single" w:sz="4" w:space="0" w:color="auto"/>
            </w:tcBorders>
            <w:shd w:val="clear" w:color="auto" w:fill="auto"/>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1 - 2</w:t>
            </w:r>
          </w:p>
        </w:tc>
        <w:tc>
          <w:tcPr>
            <w:tcW w:w="1515" w:type="dxa"/>
            <w:tcBorders>
              <w:top w:val="nil"/>
              <w:left w:val="nil"/>
              <w:bottom w:val="single" w:sz="8" w:space="0" w:color="auto"/>
              <w:right w:val="single" w:sz="8" w:space="0" w:color="auto"/>
            </w:tcBorders>
            <w:shd w:val="clear" w:color="auto" w:fill="auto"/>
            <w:noWrap/>
            <w:vAlign w:val="bottom"/>
            <w:hideMark/>
          </w:tcPr>
          <w:p w:rsidR="000038EF" w:rsidRPr="005851CB" w:rsidRDefault="000038EF" w:rsidP="002910C6">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$40,000 - $80,000</w:t>
            </w:r>
          </w:p>
        </w:tc>
      </w:tr>
      <w:tr w:rsidR="000038EF" w:rsidRPr="00277BA2" w:rsidTr="0036078E">
        <w:trPr>
          <w:trHeight w:val="270"/>
          <w:jc w:val="center"/>
        </w:trPr>
        <w:tc>
          <w:tcPr>
            <w:tcW w:w="1391"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bottom"/>
            <w:hideMark/>
          </w:tcPr>
          <w:p w:rsidR="000038EF" w:rsidRPr="005851CB" w:rsidRDefault="000038EF" w:rsidP="00277BA2">
            <w:pPr>
              <w:spacing w:after="0" w:line="240" w:lineRule="auto"/>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State Total</w:t>
            </w:r>
          </w:p>
        </w:tc>
        <w:tc>
          <w:tcPr>
            <w:tcW w:w="1391" w:type="dxa"/>
            <w:tcBorders>
              <w:top w:val="single" w:sz="8" w:space="0" w:color="auto"/>
              <w:left w:val="nil"/>
              <w:bottom w:val="single" w:sz="8" w:space="0" w:color="auto"/>
              <w:right w:val="single" w:sz="4" w:space="0" w:color="auto"/>
            </w:tcBorders>
            <w:shd w:val="clear" w:color="auto" w:fill="D9D9D9" w:themeFill="background1" w:themeFillShade="D9"/>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$28,000,000</w:t>
            </w:r>
          </w:p>
        </w:tc>
        <w:tc>
          <w:tcPr>
            <w:tcW w:w="1392" w:type="dxa"/>
            <w:tcBorders>
              <w:top w:val="single" w:sz="8" w:space="0" w:color="auto"/>
              <w:left w:val="nil"/>
              <w:bottom w:val="single" w:sz="8" w:space="0" w:color="auto"/>
              <w:right w:val="single" w:sz="4" w:space="0" w:color="auto"/>
            </w:tcBorders>
            <w:shd w:val="clear" w:color="auto" w:fill="D9D9D9" w:themeFill="background1" w:themeFillShade="D9"/>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p>
        </w:tc>
        <w:tc>
          <w:tcPr>
            <w:tcW w:w="695" w:type="dxa"/>
            <w:tcBorders>
              <w:top w:val="single" w:sz="8" w:space="0" w:color="auto"/>
              <w:left w:val="nil"/>
              <w:bottom w:val="single" w:sz="8" w:space="0" w:color="auto"/>
              <w:right w:val="nil"/>
            </w:tcBorders>
            <w:shd w:val="clear" w:color="auto" w:fill="D9D9D9" w:themeFill="background1" w:themeFillShade="D9"/>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p>
        </w:tc>
        <w:tc>
          <w:tcPr>
            <w:tcW w:w="696" w:type="dxa"/>
            <w:tcBorders>
              <w:top w:val="single" w:sz="8" w:space="0" w:color="auto"/>
              <w:left w:val="nil"/>
              <w:bottom w:val="single" w:sz="8" w:space="0" w:color="auto"/>
              <w:right w:val="single" w:sz="4" w:space="0" w:color="auto"/>
            </w:tcBorders>
            <w:shd w:val="clear" w:color="auto" w:fill="D9D9D9" w:themeFill="background1" w:themeFillShade="D9"/>
            <w:vAlign w:val="bottom"/>
          </w:tcPr>
          <w:p w:rsidR="000038EF" w:rsidRPr="005851CB" w:rsidRDefault="000038EF" w:rsidP="002910C6">
            <w:pPr>
              <w:spacing w:after="0" w:line="240" w:lineRule="auto"/>
              <w:jc w:val="center"/>
              <w:rPr>
                <w:rFonts w:ascii="Aparajita" w:eastAsia="Times New Roman" w:hAnsi="Aparajita" w:cs="Aparajita"/>
                <w:color w:val="000000"/>
                <w:sz w:val="18"/>
                <w:szCs w:val="18"/>
              </w:rPr>
            </w:pPr>
          </w:p>
        </w:tc>
        <w:tc>
          <w:tcPr>
            <w:tcW w:w="1391" w:type="dxa"/>
            <w:tcBorders>
              <w:top w:val="single" w:sz="8" w:space="0" w:color="auto"/>
              <w:left w:val="single" w:sz="4" w:space="0" w:color="auto"/>
              <w:bottom w:val="single" w:sz="8" w:space="0" w:color="auto"/>
              <w:right w:val="single" w:sz="4" w:space="0" w:color="auto"/>
            </w:tcBorders>
            <w:shd w:val="clear" w:color="auto" w:fill="D9D9D9" w:themeFill="background1" w:themeFillShade="D9"/>
            <w:noWrap/>
            <w:vAlign w:val="bottom"/>
            <w:hideMark/>
          </w:tcPr>
          <w:p w:rsidR="000038EF" w:rsidRPr="005851CB"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$28,000,000</w:t>
            </w:r>
          </w:p>
        </w:tc>
        <w:tc>
          <w:tcPr>
            <w:tcW w:w="1392"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rsidR="000038EF" w:rsidRPr="0036078E" w:rsidRDefault="000038EF" w:rsidP="002910C6">
            <w:pPr>
              <w:spacing w:after="0" w:line="240" w:lineRule="auto"/>
              <w:jc w:val="center"/>
              <w:rPr>
                <w:rFonts w:ascii="Aparajita" w:eastAsia="Times New Roman" w:hAnsi="Aparajita" w:cs="Aparajita"/>
                <w:color w:val="000000"/>
                <w:sz w:val="18"/>
                <w:szCs w:val="18"/>
              </w:rPr>
            </w:pPr>
            <w:r w:rsidRPr="005851CB">
              <w:rPr>
                <w:rFonts w:ascii="Aparajita" w:eastAsia="Times New Roman" w:hAnsi="Aparajita" w:cs="Aparajita"/>
                <w:color w:val="000000"/>
                <w:sz w:val="18"/>
                <w:szCs w:val="18"/>
              </w:rPr>
              <w:t>$285,300</w:t>
            </w:r>
          </w:p>
        </w:tc>
        <w:tc>
          <w:tcPr>
            <w:tcW w:w="1268"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rsidR="000038EF" w:rsidRPr="0036078E" w:rsidRDefault="000038EF" w:rsidP="002910C6">
            <w:pPr>
              <w:spacing w:after="0" w:line="240" w:lineRule="auto"/>
              <w:jc w:val="center"/>
              <w:rPr>
                <w:rFonts w:ascii="Aparajita" w:eastAsia="Times New Roman" w:hAnsi="Aparajita" w:cs="Aparajita"/>
                <w:color w:val="000000"/>
                <w:sz w:val="18"/>
                <w:szCs w:val="18"/>
              </w:rPr>
            </w:pPr>
          </w:p>
        </w:tc>
        <w:tc>
          <w:tcPr>
            <w:tcW w:w="1515"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0038EF" w:rsidRPr="0036078E" w:rsidRDefault="000038EF" w:rsidP="00277BA2">
            <w:pPr>
              <w:spacing w:after="0" w:line="240" w:lineRule="auto"/>
              <w:rPr>
                <w:rFonts w:ascii="Aparajita" w:eastAsia="Times New Roman" w:hAnsi="Aparajita" w:cs="Aparajita"/>
                <w:color w:val="000000"/>
                <w:sz w:val="18"/>
                <w:szCs w:val="18"/>
              </w:rPr>
            </w:pPr>
            <w:r w:rsidRPr="0036078E">
              <w:rPr>
                <w:rFonts w:ascii="Aparajita" w:eastAsia="Times New Roman" w:hAnsi="Aparajita" w:cs="Aparajita"/>
                <w:color w:val="000000"/>
                <w:sz w:val="18"/>
                <w:szCs w:val="18"/>
              </w:rPr>
              <w:t> </w:t>
            </w:r>
          </w:p>
        </w:tc>
      </w:tr>
    </w:tbl>
    <w:p w:rsidR="00277BA2" w:rsidRDefault="00277BA2" w:rsidP="00824FF6">
      <w:pPr>
        <w:spacing w:after="0"/>
        <w:rPr>
          <w:rFonts w:ascii="Times New Roman" w:hAnsi="Times New Roman" w:cs="Times New Roman"/>
          <w:sz w:val="20"/>
          <w:szCs w:val="20"/>
        </w:rPr>
      </w:pPr>
    </w:p>
    <w:p w:rsidR="00685920" w:rsidRPr="0036078E" w:rsidRDefault="00824FF6" w:rsidP="005851CB">
      <w:pPr>
        <w:pBdr>
          <w:top w:val="single" w:sz="4" w:space="1" w:color="auto"/>
          <w:left w:val="single" w:sz="4" w:space="7" w:color="auto"/>
          <w:bottom w:val="single" w:sz="4" w:space="1" w:color="auto"/>
          <w:right w:val="single" w:sz="4" w:space="4" w:color="auto"/>
        </w:pBdr>
        <w:spacing w:after="0" w:line="240" w:lineRule="auto"/>
        <w:rPr>
          <w:rFonts w:ascii="Aparajita" w:hAnsi="Aparajita" w:cs="Aparajita"/>
          <w:b/>
          <w:sz w:val="20"/>
          <w:szCs w:val="20"/>
        </w:rPr>
      </w:pPr>
      <w:r w:rsidRPr="0036078E">
        <w:rPr>
          <w:rFonts w:ascii="Aparajita" w:hAnsi="Aparajita" w:cs="Aparajita"/>
          <w:b/>
          <w:sz w:val="20"/>
          <w:szCs w:val="20"/>
        </w:rPr>
        <w:t>Statewide Competition</w:t>
      </w:r>
      <w:r w:rsidR="00AF40D1" w:rsidRPr="0036078E">
        <w:rPr>
          <w:rFonts w:ascii="Aparajita" w:hAnsi="Aparajita" w:cs="Aparajita"/>
          <w:b/>
          <w:sz w:val="20"/>
          <w:szCs w:val="20"/>
        </w:rPr>
        <w:t>s</w:t>
      </w:r>
      <w:r w:rsidRPr="0036078E">
        <w:rPr>
          <w:rFonts w:ascii="Aparajita" w:hAnsi="Aparajita" w:cs="Aparajita"/>
          <w:b/>
          <w:sz w:val="20"/>
          <w:szCs w:val="20"/>
        </w:rPr>
        <w:t xml:space="preserve"> </w:t>
      </w:r>
      <w:r w:rsidR="00C00719" w:rsidRPr="0036078E">
        <w:rPr>
          <w:rFonts w:ascii="Aparajita" w:hAnsi="Aparajita" w:cs="Aparajita"/>
          <w:b/>
          <w:sz w:val="20"/>
          <w:szCs w:val="20"/>
        </w:rPr>
        <w:t xml:space="preserve">                                                                                                                          </w:t>
      </w:r>
      <w:r w:rsidR="00685920" w:rsidRPr="0036078E">
        <w:rPr>
          <w:rFonts w:ascii="Aparajita" w:hAnsi="Aparajita" w:cs="Aparajita"/>
          <w:b/>
          <w:sz w:val="20"/>
          <w:szCs w:val="20"/>
        </w:rPr>
        <w:t>Fund codes: 285, 563, 669, 287</w:t>
      </w:r>
    </w:p>
    <w:p w:rsidR="00685920" w:rsidRPr="0036078E" w:rsidRDefault="00685920" w:rsidP="00824FF6">
      <w:pPr>
        <w:spacing w:after="0"/>
        <w:rPr>
          <w:rFonts w:ascii="Aparajita" w:hAnsi="Aparajita" w:cs="Aparajita"/>
          <w:sz w:val="20"/>
          <w:szCs w:val="20"/>
        </w:rPr>
      </w:pPr>
    </w:p>
    <w:p w:rsidR="00AF40D1" w:rsidRPr="0036078E" w:rsidRDefault="00824FF6" w:rsidP="00824FF6">
      <w:pPr>
        <w:spacing w:after="0"/>
        <w:rPr>
          <w:rFonts w:ascii="Aparajita" w:hAnsi="Aparajita" w:cs="Aparajita"/>
          <w:sz w:val="20"/>
          <w:szCs w:val="20"/>
        </w:rPr>
      </w:pPr>
      <w:r w:rsidRPr="0036078E">
        <w:rPr>
          <w:rFonts w:ascii="Aparajita" w:hAnsi="Aparajita" w:cs="Aparajita"/>
          <w:sz w:val="20"/>
          <w:szCs w:val="20"/>
        </w:rPr>
        <w:t xml:space="preserve">All values in this table are estimates for planning purpose only and are provided as guidance. They are not binding and are subject to </w:t>
      </w:r>
      <w:r w:rsidR="00473878" w:rsidRPr="0036078E">
        <w:rPr>
          <w:rFonts w:ascii="Aparajita" w:hAnsi="Aparajita" w:cs="Aparajita"/>
          <w:sz w:val="20"/>
          <w:szCs w:val="20"/>
        </w:rPr>
        <w:t>federal and state appropriations</w:t>
      </w:r>
      <w:r w:rsidRPr="0036078E">
        <w:rPr>
          <w:rFonts w:ascii="Aparajita" w:hAnsi="Aparajita" w:cs="Aparajita"/>
          <w:sz w:val="20"/>
          <w:szCs w:val="20"/>
        </w:rPr>
        <w:t xml:space="preserve">. </w:t>
      </w: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710"/>
        <w:gridCol w:w="1800"/>
        <w:gridCol w:w="3780"/>
      </w:tblGrid>
      <w:tr w:rsidR="00685920" w:rsidRPr="0036078E" w:rsidTr="005851CB">
        <w:trPr>
          <w:trHeight w:val="300"/>
        </w:trPr>
        <w:tc>
          <w:tcPr>
            <w:tcW w:w="3870" w:type="dxa"/>
            <w:shd w:val="clear" w:color="auto" w:fill="D9D9D9" w:themeFill="background1" w:themeFillShade="D9"/>
            <w:vAlign w:val="bottom"/>
          </w:tcPr>
          <w:p w:rsidR="002A41CA" w:rsidRPr="0036078E" w:rsidRDefault="00F65329">
            <w:pPr>
              <w:spacing w:after="0" w:line="240" w:lineRule="auto"/>
              <w:rPr>
                <w:rFonts w:ascii="Aparajita" w:eastAsia="Times New Roman" w:hAnsi="Aparajita" w:cs="Aparajita"/>
                <w:color w:val="000000"/>
                <w:sz w:val="18"/>
                <w:szCs w:val="18"/>
              </w:rPr>
            </w:pPr>
            <w:r w:rsidRPr="0036078E">
              <w:rPr>
                <w:rFonts w:ascii="Aparajita" w:eastAsia="Times New Roman" w:hAnsi="Aparajita" w:cs="Aparajita"/>
                <w:color w:val="000000"/>
                <w:sz w:val="18"/>
                <w:szCs w:val="18"/>
              </w:rPr>
              <w:t>Program Type</w:t>
            </w:r>
          </w:p>
        </w:tc>
        <w:tc>
          <w:tcPr>
            <w:tcW w:w="1710" w:type="dxa"/>
            <w:shd w:val="clear" w:color="auto" w:fill="D9D9D9" w:themeFill="background1" w:themeFillShade="D9"/>
            <w:vAlign w:val="bottom"/>
          </w:tcPr>
          <w:p w:rsidR="002A41CA" w:rsidRPr="0036078E" w:rsidRDefault="00F65329">
            <w:pPr>
              <w:spacing w:after="0" w:line="240" w:lineRule="auto"/>
              <w:rPr>
                <w:rFonts w:ascii="Aparajita" w:eastAsia="Times New Roman" w:hAnsi="Aparajita" w:cs="Aparajita"/>
                <w:color w:val="000000"/>
                <w:sz w:val="18"/>
                <w:szCs w:val="18"/>
              </w:rPr>
            </w:pPr>
            <w:r w:rsidRPr="0036078E">
              <w:rPr>
                <w:rFonts w:ascii="Aparajita" w:eastAsia="Times New Roman" w:hAnsi="Aparajita" w:cs="Aparajita"/>
                <w:color w:val="000000"/>
                <w:sz w:val="18"/>
                <w:szCs w:val="18"/>
              </w:rPr>
              <w:t>Total Allocation</w:t>
            </w:r>
          </w:p>
        </w:tc>
        <w:tc>
          <w:tcPr>
            <w:tcW w:w="1800" w:type="dxa"/>
            <w:shd w:val="clear" w:color="auto" w:fill="D9D9D9" w:themeFill="background1" w:themeFillShade="D9"/>
            <w:vAlign w:val="bottom"/>
          </w:tcPr>
          <w:p w:rsidR="002A41CA" w:rsidRPr="0036078E" w:rsidRDefault="00F65329">
            <w:pPr>
              <w:spacing w:after="0" w:line="240" w:lineRule="auto"/>
              <w:rPr>
                <w:rFonts w:ascii="Aparajita" w:eastAsia="Times New Roman" w:hAnsi="Aparajita" w:cs="Aparajita"/>
                <w:color w:val="000000"/>
                <w:sz w:val="18"/>
                <w:szCs w:val="18"/>
              </w:rPr>
            </w:pPr>
            <w:r w:rsidRPr="0036078E">
              <w:rPr>
                <w:rFonts w:ascii="Aparajita" w:eastAsia="Times New Roman" w:hAnsi="Aparajita" w:cs="Aparajita"/>
                <w:color w:val="000000"/>
                <w:sz w:val="18"/>
                <w:szCs w:val="18"/>
              </w:rPr>
              <w:t>Anticipated # of IET</w:t>
            </w:r>
            <w:r w:rsidR="00A5606E" w:rsidRPr="0036078E">
              <w:rPr>
                <w:rFonts w:ascii="Aparajita" w:eastAsia="Times New Roman" w:hAnsi="Aparajita" w:cs="Aparajita"/>
                <w:color w:val="000000"/>
                <w:sz w:val="18"/>
                <w:szCs w:val="18"/>
              </w:rPr>
              <w:t xml:space="preserve"> </w:t>
            </w:r>
          </w:p>
        </w:tc>
        <w:tc>
          <w:tcPr>
            <w:tcW w:w="3780" w:type="dxa"/>
            <w:shd w:val="clear" w:color="auto" w:fill="D9D9D9" w:themeFill="background1" w:themeFillShade="D9"/>
            <w:noWrap/>
            <w:vAlign w:val="bottom"/>
            <w:hideMark/>
          </w:tcPr>
          <w:p w:rsidR="000862FF" w:rsidRPr="0036078E" w:rsidRDefault="00F65329">
            <w:pPr>
              <w:spacing w:after="0" w:line="240" w:lineRule="auto"/>
              <w:rPr>
                <w:rFonts w:ascii="Aparajita" w:eastAsia="Times New Roman" w:hAnsi="Aparajita" w:cs="Aparajita"/>
                <w:color w:val="000000"/>
                <w:sz w:val="18"/>
                <w:szCs w:val="18"/>
              </w:rPr>
            </w:pPr>
            <w:r w:rsidRPr="0036078E">
              <w:rPr>
                <w:rFonts w:ascii="Aparajita" w:eastAsia="Times New Roman" w:hAnsi="Aparajita" w:cs="Aparajita"/>
                <w:color w:val="000000"/>
                <w:sz w:val="18"/>
                <w:szCs w:val="18"/>
              </w:rPr>
              <w:t>Projected IET Cost @ $40k -80K (Included in the allocation)</w:t>
            </w:r>
          </w:p>
        </w:tc>
      </w:tr>
      <w:tr w:rsidR="00685920" w:rsidRPr="0036078E" w:rsidTr="005851CB">
        <w:trPr>
          <w:trHeight w:val="300"/>
        </w:trPr>
        <w:tc>
          <w:tcPr>
            <w:tcW w:w="3870" w:type="dxa"/>
            <w:vAlign w:val="bottom"/>
          </w:tcPr>
          <w:p w:rsidR="002A41CA" w:rsidRPr="0036078E" w:rsidRDefault="00F65329">
            <w:pPr>
              <w:spacing w:after="0" w:line="240" w:lineRule="auto"/>
              <w:rPr>
                <w:rFonts w:ascii="Aparajita" w:eastAsia="Times New Roman" w:hAnsi="Aparajita" w:cs="Aparajita"/>
                <w:color w:val="000000"/>
                <w:sz w:val="18"/>
                <w:szCs w:val="18"/>
              </w:rPr>
            </w:pPr>
            <w:r w:rsidRPr="0036078E">
              <w:rPr>
                <w:rFonts w:ascii="Aparajita" w:eastAsia="Times New Roman" w:hAnsi="Aparajita" w:cs="Aparajita"/>
                <w:color w:val="000000"/>
                <w:sz w:val="18"/>
                <w:szCs w:val="18"/>
              </w:rPr>
              <w:t>Adult Education in Correctional Institutions</w:t>
            </w:r>
          </w:p>
        </w:tc>
        <w:tc>
          <w:tcPr>
            <w:tcW w:w="1710" w:type="dxa"/>
            <w:vAlign w:val="bottom"/>
          </w:tcPr>
          <w:p w:rsidR="002A41CA" w:rsidRPr="0036078E" w:rsidRDefault="00F65329">
            <w:pPr>
              <w:spacing w:after="0" w:line="240" w:lineRule="auto"/>
              <w:rPr>
                <w:rFonts w:ascii="Aparajita" w:eastAsia="Times New Roman" w:hAnsi="Aparajita" w:cs="Aparajita"/>
                <w:color w:val="000000"/>
                <w:sz w:val="18"/>
                <w:szCs w:val="18"/>
              </w:rPr>
            </w:pPr>
            <w:r w:rsidRPr="0036078E">
              <w:rPr>
                <w:rFonts w:ascii="Aparajita" w:eastAsia="Times New Roman" w:hAnsi="Aparajita" w:cs="Aparajita"/>
                <w:color w:val="000000"/>
                <w:sz w:val="18"/>
                <w:szCs w:val="18"/>
              </w:rPr>
              <w:t>$1,500,000</w:t>
            </w:r>
          </w:p>
        </w:tc>
        <w:tc>
          <w:tcPr>
            <w:tcW w:w="1800" w:type="dxa"/>
            <w:vAlign w:val="bottom"/>
          </w:tcPr>
          <w:p w:rsidR="002A41CA" w:rsidRPr="0036078E" w:rsidRDefault="00F65329">
            <w:pPr>
              <w:spacing w:after="0" w:line="240" w:lineRule="auto"/>
              <w:rPr>
                <w:rFonts w:ascii="Aparajita" w:eastAsia="Times New Roman" w:hAnsi="Aparajita" w:cs="Aparajita"/>
                <w:color w:val="000000"/>
                <w:sz w:val="18"/>
                <w:szCs w:val="18"/>
              </w:rPr>
            </w:pPr>
            <w:r w:rsidRPr="0036078E">
              <w:rPr>
                <w:rFonts w:ascii="Aparajita" w:eastAsia="Times New Roman" w:hAnsi="Aparajita" w:cs="Aparajita"/>
                <w:color w:val="000000"/>
                <w:sz w:val="18"/>
                <w:szCs w:val="18"/>
              </w:rPr>
              <w:t>2-4</w:t>
            </w:r>
          </w:p>
        </w:tc>
        <w:tc>
          <w:tcPr>
            <w:tcW w:w="3780" w:type="dxa"/>
            <w:shd w:val="clear" w:color="auto" w:fill="auto"/>
            <w:noWrap/>
            <w:vAlign w:val="bottom"/>
            <w:hideMark/>
          </w:tcPr>
          <w:p w:rsidR="002A41CA" w:rsidRPr="0036078E" w:rsidRDefault="00F65329">
            <w:pPr>
              <w:spacing w:after="0" w:line="240" w:lineRule="auto"/>
              <w:rPr>
                <w:rFonts w:ascii="Aparajita" w:eastAsia="Times New Roman" w:hAnsi="Aparajita" w:cs="Aparajita"/>
                <w:color w:val="000000"/>
                <w:sz w:val="18"/>
                <w:szCs w:val="18"/>
              </w:rPr>
            </w:pPr>
            <w:r w:rsidRPr="0036078E">
              <w:rPr>
                <w:rFonts w:ascii="Aparajita" w:eastAsia="Times New Roman" w:hAnsi="Aparajita" w:cs="Aparajita"/>
                <w:color w:val="000000"/>
                <w:sz w:val="18"/>
                <w:szCs w:val="18"/>
              </w:rPr>
              <w:t>$80,000-$160,000</w:t>
            </w:r>
          </w:p>
        </w:tc>
      </w:tr>
      <w:tr w:rsidR="00685920" w:rsidRPr="00824FF6" w:rsidTr="005851CB">
        <w:trPr>
          <w:trHeight w:val="300"/>
        </w:trPr>
        <w:tc>
          <w:tcPr>
            <w:tcW w:w="3870" w:type="dxa"/>
            <w:tcBorders>
              <w:top w:val="single" w:sz="4" w:space="0" w:color="auto"/>
              <w:left w:val="single" w:sz="4" w:space="0" w:color="auto"/>
              <w:bottom w:val="single" w:sz="4" w:space="0" w:color="auto"/>
              <w:right w:val="single" w:sz="4" w:space="0" w:color="auto"/>
            </w:tcBorders>
            <w:vAlign w:val="bottom"/>
          </w:tcPr>
          <w:p w:rsidR="002A41CA" w:rsidRPr="0036078E" w:rsidRDefault="00F65329">
            <w:pPr>
              <w:spacing w:after="0" w:line="240" w:lineRule="auto"/>
              <w:rPr>
                <w:rFonts w:ascii="Aparajita" w:eastAsia="Times New Roman" w:hAnsi="Aparajita" w:cs="Aparajita"/>
                <w:color w:val="000000"/>
                <w:sz w:val="18"/>
                <w:szCs w:val="18"/>
              </w:rPr>
            </w:pPr>
            <w:r w:rsidRPr="0036078E">
              <w:rPr>
                <w:rFonts w:ascii="Aparajita" w:eastAsia="Times New Roman" w:hAnsi="Aparajita" w:cs="Aparajita"/>
                <w:color w:val="000000"/>
                <w:sz w:val="18"/>
                <w:szCs w:val="18"/>
              </w:rPr>
              <w:t>AE Distance Learning Instructional Hub(s)</w:t>
            </w:r>
          </w:p>
        </w:tc>
        <w:tc>
          <w:tcPr>
            <w:tcW w:w="1710" w:type="dxa"/>
            <w:tcBorders>
              <w:top w:val="single" w:sz="4" w:space="0" w:color="auto"/>
              <w:left w:val="single" w:sz="4" w:space="0" w:color="auto"/>
              <w:bottom w:val="single" w:sz="4" w:space="0" w:color="auto"/>
              <w:right w:val="single" w:sz="4" w:space="0" w:color="auto"/>
            </w:tcBorders>
            <w:vAlign w:val="bottom"/>
          </w:tcPr>
          <w:p w:rsidR="002A41CA" w:rsidRPr="0036078E" w:rsidRDefault="00F65329">
            <w:pPr>
              <w:spacing w:after="0" w:line="240" w:lineRule="auto"/>
              <w:rPr>
                <w:rFonts w:ascii="Aparajita" w:eastAsia="Times New Roman" w:hAnsi="Aparajita" w:cs="Aparajita"/>
                <w:color w:val="000000"/>
                <w:sz w:val="18"/>
                <w:szCs w:val="18"/>
              </w:rPr>
            </w:pPr>
            <w:r w:rsidRPr="0036078E">
              <w:rPr>
                <w:rFonts w:ascii="Aparajita" w:eastAsia="Times New Roman" w:hAnsi="Aparajita" w:cs="Aparajita"/>
                <w:color w:val="000000"/>
                <w:sz w:val="18"/>
                <w:szCs w:val="18"/>
              </w:rPr>
              <w:t>$200,000</w:t>
            </w:r>
          </w:p>
        </w:tc>
        <w:tc>
          <w:tcPr>
            <w:tcW w:w="1800" w:type="dxa"/>
            <w:tcBorders>
              <w:top w:val="single" w:sz="4" w:space="0" w:color="auto"/>
              <w:left w:val="single" w:sz="4" w:space="0" w:color="auto"/>
              <w:bottom w:val="single" w:sz="4" w:space="0" w:color="auto"/>
              <w:right w:val="single" w:sz="4" w:space="0" w:color="auto"/>
            </w:tcBorders>
            <w:vAlign w:val="bottom"/>
          </w:tcPr>
          <w:p w:rsidR="002A41CA" w:rsidRPr="0036078E" w:rsidRDefault="00F65329">
            <w:pPr>
              <w:spacing w:after="0" w:line="240" w:lineRule="auto"/>
              <w:rPr>
                <w:rFonts w:ascii="Aparajita" w:eastAsia="Times New Roman" w:hAnsi="Aparajita" w:cs="Aparajita"/>
                <w:color w:val="000000"/>
                <w:sz w:val="18"/>
                <w:szCs w:val="18"/>
              </w:rPr>
            </w:pPr>
            <w:r w:rsidRPr="0036078E">
              <w:rPr>
                <w:rFonts w:ascii="Aparajita" w:eastAsia="Times New Roman" w:hAnsi="Aparajita" w:cs="Aparajita"/>
                <w:color w:val="000000"/>
                <w:sz w:val="18"/>
                <w:szCs w:val="18"/>
              </w:rPr>
              <w:t>N/A</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1CA" w:rsidRPr="0036078E" w:rsidRDefault="00F65329">
            <w:pPr>
              <w:spacing w:after="0" w:line="240" w:lineRule="auto"/>
              <w:rPr>
                <w:rFonts w:ascii="Aparajita" w:eastAsia="Times New Roman" w:hAnsi="Aparajita" w:cs="Aparajita"/>
                <w:color w:val="000000"/>
                <w:sz w:val="18"/>
                <w:szCs w:val="18"/>
              </w:rPr>
            </w:pPr>
            <w:r w:rsidRPr="0036078E">
              <w:rPr>
                <w:rFonts w:ascii="Aparajita" w:eastAsia="Times New Roman" w:hAnsi="Aparajita" w:cs="Aparajita"/>
                <w:color w:val="000000"/>
                <w:sz w:val="18"/>
                <w:szCs w:val="18"/>
              </w:rPr>
              <w:t>N/A</w:t>
            </w:r>
          </w:p>
        </w:tc>
      </w:tr>
      <w:tr w:rsidR="00685920" w:rsidRPr="00824FF6" w:rsidTr="005851CB">
        <w:trPr>
          <w:trHeight w:val="300"/>
        </w:trPr>
        <w:tc>
          <w:tcPr>
            <w:tcW w:w="3870" w:type="dxa"/>
            <w:tcBorders>
              <w:top w:val="single" w:sz="4" w:space="0" w:color="auto"/>
              <w:left w:val="single" w:sz="4" w:space="0" w:color="auto"/>
              <w:bottom w:val="single" w:sz="4" w:space="0" w:color="auto"/>
              <w:right w:val="single" w:sz="4" w:space="0" w:color="auto"/>
            </w:tcBorders>
            <w:vAlign w:val="bottom"/>
          </w:tcPr>
          <w:p w:rsidR="002A41CA" w:rsidRPr="0036078E" w:rsidRDefault="00F65329">
            <w:pPr>
              <w:spacing w:after="0" w:line="240" w:lineRule="auto"/>
              <w:rPr>
                <w:rFonts w:ascii="Aparajita" w:eastAsia="Times New Roman" w:hAnsi="Aparajita" w:cs="Aparajita"/>
                <w:color w:val="000000"/>
                <w:sz w:val="18"/>
                <w:szCs w:val="18"/>
              </w:rPr>
            </w:pPr>
            <w:r w:rsidRPr="0036078E">
              <w:rPr>
                <w:rFonts w:ascii="Aparajita" w:eastAsia="Times New Roman" w:hAnsi="Aparajita" w:cs="Aparajita"/>
                <w:color w:val="000000"/>
                <w:sz w:val="18"/>
                <w:szCs w:val="18"/>
              </w:rPr>
              <w:t>AE Primary Instruction by Volunteers</w:t>
            </w:r>
          </w:p>
        </w:tc>
        <w:tc>
          <w:tcPr>
            <w:tcW w:w="1710" w:type="dxa"/>
            <w:tcBorders>
              <w:top w:val="single" w:sz="4" w:space="0" w:color="auto"/>
              <w:left w:val="single" w:sz="4" w:space="0" w:color="auto"/>
              <w:bottom w:val="single" w:sz="4" w:space="0" w:color="auto"/>
              <w:right w:val="single" w:sz="4" w:space="0" w:color="auto"/>
            </w:tcBorders>
            <w:vAlign w:val="bottom"/>
          </w:tcPr>
          <w:p w:rsidR="002A41CA" w:rsidRPr="0036078E" w:rsidRDefault="00F65329">
            <w:pPr>
              <w:spacing w:after="0" w:line="240" w:lineRule="auto"/>
              <w:rPr>
                <w:rFonts w:ascii="Aparajita" w:eastAsia="Times New Roman" w:hAnsi="Aparajita" w:cs="Aparajita"/>
                <w:color w:val="000000"/>
                <w:sz w:val="18"/>
                <w:szCs w:val="18"/>
              </w:rPr>
            </w:pPr>
            <w:r w:rsidRPr="0036078E">
              <w:rPr>
                <w:rFonts w:ascii="Aparajita" w:eastAsia="Times New Roman" w:hAnsi="Aparajita" w:cs="Aparajita"/>
                <w:color w:val="000000"/>
                <w:sz w:val="18"/>
                <w:szCs w:val="18"/>
              </w:rPr>
              <w:t>$400,000</w:t>
            </w:r>
          </w:p>
        </w:tc>
        <w:tc>
          <w:tcPr>
            <w:tcW w:w="1800" w:type="dxa"/>
            <w:tcBorders>
              <w:top w:val="single" w:sz="4" w:space="0" w:color="auto"/>
              <w:left w:val="single" w:sz="4" w:space="0" w:color="auto"/>
              <w:bottom w:val="single" w:sz="4" w:space="0" w:color="auto"/>
              <w:right w:val="single" w:sz="4" w:space="0" w:color="auto"/>
            </w:tcBorders>
            <w:vAlign w:val="bottom"/>
          </w:tcPr>
          <w:p w:rsidR="002A41CA" w:rsidRPr="0036078E" w:rsidRDefault="00F65329">
            <w:pPr>
              <w:spacing w:after="0" w:line="240" w:lineRule="auto"/>
              <w:rPr>
                <w:rFonts w:ascii="Aparajita" w:eastAsia="Times New Roman" w:hAnsi="Aparajita" w:cs="Aparajita"/>
                <w:color w:val="000000"/>
                <w:sz w:val="18"/>
                <w:szCs w:val="18"/>
              </w:rPr>
            </w:pPr>
            <w:r w:rsidRPr="0036078E">
              <w:rPr>
                <w:rFonts w:ascii="Aparajita" w:eastAsia="Times New Roman" w:hAnsi="Aparajita" w:cs="Aparajita"/>
                <w:color w:val="000000"/>
                <w:sz w:val="18"/>
                <w:szCs w:val="18"/>
              </w:rPr>
              <w:t>N/A</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1CA" w:rsidRPr="0036078E" w:rsidRDefault="00F65329">
            <w:pPr>
              <w:spacing w:after="0" w:line="240" w:lineRule="auto"/>
              <w:rPr>
                <w:rFonts w:ascii="Aparajita" w:eastAsia="Times New Roman" w:hAnsi="Aparajita" w:cs="Aparajita"/>
                <w:color w:val="000000"/>
                <w:sz w:val="18"/>
                <w:szCs w:val="18"/>
              </w:rPr>
            </w:pPr>
            <w:r w:rsidRPr="0036078E">
              <w:rPr>
                <w:rFonts w:ascii="Aparajita" w:eastAsia="Times New Roman" w:hAnsi="Aparajita" w:cs="Aparajita"/>
                <w:color w:val="000000"/>
                <w:sz w:val="18"/>
                <w:szCs w:val="18"/>
              </w:rPr>
              <w:t>N/A</w:t>
            </w:r>
          </w:p>
        </w:tc>
      </w:tr>
    </w:tbl>
    <w:p w:rsidR="002A41CA" w:rsidRDefault="002A41CA" w:rsidP="002910C6">
      <w:pPr>
        <w:rPr>
          <w:rFonts w:ascii="Times New Roman" w:hAnsi="Times New Roman" w:cs="Times New Roman"/>
          <w:sz w:val="20"/>
          <w:szCs w:val="20"/>
        </w:rPr>
      </w:pPr>
    </w:p>
    <w:sectPr w:rsidR="002A41CA" w:rsidSect="00CF702D">
      <w:pgSz w:w="12240" w:h="15840"/>
      <w:pgMar w:top="72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6D2" w:rsidRDefault="008776D2" w:rsidP="00E67ABB">
      <w:pPr>
        <w:spacing w:after="0" w:line="240" w:lineRule="auto"/>
      </w:pPr>
      <w:r>
        <w:separator/>
      </w:r>
    </w:p>
  </w:endnote>
  <w:endnote w:type="continuationSeparator" w:id="0">
    <w:p w:rsidR="008776D2" w:rsidRDefault="008776D2" w:rsidP="00E6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6D2" w:rsidRDefault="008776D2" w:rsidP="00E67ABB">
      <w:pPr>
        <w:spacing w:after="0" w:line="240" w:lineRule="auto"/>
      </w:pPr>
      <w:r>
        <w:separator/>
      </w:r>
    </w:p>
  </w:footnote>
  <w:footnote w:type="continuationSeparator" w:id="0">
    <w:p w:rsidR="008776D2" w:rsidRDefault="008776D2" w:rsidP="00E67ABB">
      <w:pPr>
        <w:spacing w:after="0" w:line="240" w:lineRule="auto"/>
      </w:pPr>
      <w:r>
        <w:continuationSeparator/>
      </w:r>
    </w:p>
  </w:footnote>
  <w:footnote w:id="1">
    <w:p w:rsidR="00E67ABB" w:rsidRPr="00E67ABB" w:rsidRDefault="00E67ABB">
      <w:pPr>
        <w:pStyle w:val="FootnoteText"/>
        <w:rPr>
          <w:sz w:val="16"/>
          <w:szCs w:val="16"/>
        </w:rPr>
      </w:pPr>
      <w:r w:rsidRPr="00E67ABB">
        <w:rPr>
          <w:rStyle w:val="FootnoteReference"/>
          <w:sz w:val="16"/>
          <w:szCs w:val="16"/>
        </w:rPr>
        <w:footnoteRef/>
      </w:r>
      <w:r w:rsidRPr="00E67ABB">
        <w:rPr>
          <w:sz w:val="16"/>
          <w:szCs w:val="16"/>
        </w:rPr>
        <w:t xml:space="preserve"> Ratios are the minimum percent of ABE and ESOL seats in each region</w:t>
      </w:r>
      <w:r w:rsidR="000038EF">
        <w:rPr>
          <w:sz w:val="16"/>
          <w:szCs w:val="16"/>
        </w:rPr>
        <w:t xml:space="preserve"> based on approximately 80% of ACS need</w:t>
      </w:r>
      <w:r w:rsidR="006A5359">
        <w:rPr>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729D3"/>
    <w:multiLevelType w:val="hybridMultilevel"/>
    <w:tmpl w:val="57CC8010"/>
    <w:lvl w:ilvl="0" w:tplc="D708F6A2">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29BD"/>
    <w:rsid w:val="000038EF"/>
    <w:rsid w:val="00044006"/>
    <w:rsid w:val="00050AA2"/>
    <w:rsid w:val="00051772"/>
    <w:rsid w:val="0008405B"/>
    <w:rsid w:val="00084F46"/>
    <w:rsid w:val="000862FF"/>
    <w:rsid w:val="000A1BBD"/>
    <w:rsid w:val="000E251E"/>
    <w:rsid w:val="00116420"/>
    <w:rsid w:val="0013320D"/>
    <w:rsid w:val="00137C4F"/>
    <w:rsid w:val="001A6766"/>
    <w:rsid w:val="00205D8B"/>
    <w:rsid w:val="00263CEA"/>
    <w:rsid w:val="00277BA2"/>
    <w:rsid w:val="002812D2"/>
    <w:rsid w:val="002910C6"/>
    <w:rsid w:val="002A41CA"/>
    <w:rsid w:val="0036078E"/>
    <w:rsid w:val="003B6F19"/>
    <w:rsid w:val="003E01C9"/>
    <w:rsid w:val="003E325E"/>
    <w:rsid w:val="003E344C"/>
    <w:rsid w:val="00467288"/>
    <w:rsid w:val="00473878"/>
    <w:rsid w:val="004B0B74"/>
    <w:rsid w:val="004B3B36"/>
    <w:rsid w:val="004B3F7C"/>
    <w:rsid w:val="004D0ABD"/>
    <w:rsid w:val="00532F35"/>
    <w:rsid w:val="005851CB"/>
    <w:rsid w:val="005A31C7"/>
    <w:rsid w:val="005B6931"/>
    <w:rsid w:val="005C5179"/>
    <w:rsid w:val="005E4310"/>
    <w:rsid w:val="005F4182"/>
    <w:rsid w:val="00603D96"/>
    <w:rsid w:val="00642FF5"/>
    <w:rsid w:val="0066502C"/>
    <w:rsid w:val="00685920"/>
    <w:rsid w:val="0069625A"/>
    <w:rsid w:val="006A5359"/>
    <w:rsid w:val="00743242"/>
    <w:rsid w:val="00745E94"/>
    <w:rsid w:val="0075465D"/>
    <w:rsid w:val="00790E22"/>
    <w:rsid w:val="007A36E6"/>
    <w:rsid w:val="007D4649"/>
    <w:rsid w:val="00824FF6"/>
    <w:rsid w:val="008432F0"/>
    <w:rsid w:val="0084645E"/>
    <w:rsid w:val="0086780D"/>
    <w:rsid w:val="008700AF"/>
    <w:rsid w:val="008776D2"/>
    <w:rsid w:val="00886E5E"/>
    <w:rsid w:val="00887EDC"/>
    <w:rsid w:val="008D28A4"/>
    <w:rsid w:val="0092040F"/>
    <w:rsid w:val="009359E0"/>
    <w:rsid w:val="009C0D34"/>
    <w:rsid w:val="00A103A6"/>
    <w:rsid w:val="00A31358"/>
    <w:rsid w:val="00A529BD"/>
    <w:rsid w:val="00A54310"/>
    <w:rsid w:val="00A5606E"/>
    <w:rsid w:val="00A67C85"/>
    <w:rsid w:val="00AC35DF"/>
    <w:rsid w:val="00AF40D1"/>
    <w:rsid w:val="00AF46CC"/>
    <w:rsid w:val="00AF4711"/>
    <w:rsid w:val="00B24A39"/>
    <w:rsid w:val="00B45309"/>
    <w:rsid w:val="00BE0FCD"/>
    <w:rsid w:val="00BE67A4"/>
    <w:rsid w:val="00C00719"/>
    <w:rsid w:val="00C230B1"/>
    <w:rsid w:val="00C33A03"/>
    <w:rsid w:val="00C4334A"/>
    <w:rsid w:val="00C43FD6"/>
    <w:rsid w:val="00C775A7"/>
    <w:rsid w:val="00CB1309"/>
    <w:rsid w:val="00CF702D"/>
    <w:rsid w:val="00D05AD1"/>
    <w:rsid w:val="00D22E08"/>
    <w:rsid w:val="00D346E4"/>
    <w:rsid w:val="00D504B5"/>
    <w:rsid w:val="00D61CF2"/>
    <w:rsid w:val="00DA1A58"/>
    <w:rsid w:val="00DA3844"/>
    <w:rsid w:val="00DC483A"/>
    <w:rsid w:val="00DD0C61"/>
    <w:rsid w:val="00DD7246"/>
    <w:rsid w:val="00DE0BF4"/>
    <w:rsid w:val="00DF0BD0"/>
    <w:rsid w:val="00E174A9"/>
    <w:rsid w:val="00E67ABB"/>
    <w:rsid w:val="00EC1643"/>
    <w:rsid w:val="00EC3371"/>
    <w:rsid w:val="00EE1064"/>
    <w:rsid w:val="00F07398"/>
    <w:rsid w:val="00F46801"/>
    <w:rsid w:val="00F65329"/>
    <w:rsid w:val="00FA7DA1"/>
    <w:rsid w:val="00FF1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8B11D-2F8E-4E6C-B055-DEEB7592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9BD"/>
    <w:rPr>
      <w:rFonts w:ascii="Tahoma" w:hAnsi="Tahoma" w:cs="Tahoma"/>
      <w:sz w:val="16"/>
      <w:szCs w:val="16"/>
    </w:rPr>
  </w:style>
  <w:style w:type="paragraph" w:styleId="ListParagraph">
    <w:name w:val="List Paragraph"/>
    <w:basedOn w:val="Normal"/>
    <w:link w:val="ListParagraphChar"/>
    <w:uiPriority w:val="34"/>
    <w:qFormat/>
    <w:rsid w:val="0069625A"/>
    <w:pPr>
      <w:numPr>
        <w:numId w:val="1"/>
      </w:numPr>
      <w:spacing w:after="0" w:line="240" w:lineRule="auto"/>
    </w:pPr>
    <w:rPr>
      <w:rFonts w:ascii="Georgia" w:eastAsia="Times New Roman" w:hAnsi="Georgia" w:cs="Times New Roman"/>
      <w:sz w:val="20"/>
      <w:szCs w:val="20"/>
    </w:rPr>
  </w:style>
  <w:style w:type="character" w:customStyle="1" w:styleId="ListParagraphChar">
    <w:name w:val="List Paragraph Char"/>
    <w:link w:val="ListParagraph"/>
    <w:uiPriority w:val="34"/>
    <w:locked/>
    <w:rsid w:val="0069625A"/>
    <w:rPr>
      <w:rFonts w:ascii="Georgia" w:eastAsia="Times New Roman" w:hAnsi="Georgia" w:cs="Times New Roman"/>
      <w:sz w:val="20"/>
      <w:szCs w:val="20"/>
    </w:rPr>
  </w:style>
  <w:style w:type="paragraph" w:styleId="CommentText">
    <w:name w:val="annotation text"/>
    <w:basedOn w:val="Normal"/>
    <w:link w:val="CommentTextChar"/>
    <w:uiPriority w:val="99"/>
    <w:unhideWhenUsed/>
    <w:rsid w:val="0069625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9625A"/>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E67A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ABB"/>
    <w:rPr>
      <w:sz w:val="20"/>
      <w:szCs w:val="20"/>
    </w:rPr>
  </w:style>
  <w:style w:type="character" w:styleId="FootnoteReference">
    <w:name w:val="footnote reference"/>
    <w:basedOn w:val="DefaultParagraphFont"/>
    <w:uiPriority w:val="99"/>
    <w:semiHidden/>
    <w:unhideWhenUsed/>
    <w:rsid w:val="00E67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83984">
      <w:bodyDiv w:val="1"/>
      <w:marLeft w:val="0"/>
      <w:marRight w:val="0"/>
      <w:marTop w:val="0"/>
      <w:marBottom w:val="0"/>
      <w:divBdr>
        <w:top w:val="none" w:sz="0" w:space="0" w:color="auto"/>
        <w:left w:val="none" w:sz="0" w:space="0" w:color="auto"/>
        <w:bottom w:val="none" w:sz="0" w:space="0" w:color="auto"/>
        <w:right w:val="none" w:sz="0" w:space="0" w:color="auto"/>
      </w:divBdr>
    </w:div>
    <w:div w:id="1089040160">
      <w:bodyDiv w:val="1"/>
      <w:marLeft w:val="0"/>
      <w:marRight w:val="0"/>
      <w:marTop w:val="0"/>
      <w:marBottom w:val="0"/>
      <w:divBdr>
        <w:top w:val="none" w:sz="0" w:space="0" w:color="auto"/>
        <w:left w:val="none" w:sz="0" w:space="0" w:color="auto"/>
        <w:bottom w:val="none" w:sz="0" w:space="0" w:color="auto"/>
        <w:right w:val="none" w:sz="0" w:space="0" w:color="auto"/>
      </w:divBdr>
    </w:div>
    <w:div w:id="1752458962">
      <w:bodyDiv w:val="1"/>
      <w:marLeft w:val="0"/>
      <w:marRight w:val="0"/>
      <w:marTop w:val="0"/>
      <w:marBottom w:val="0"/>
      <w:divBdr>
        <w:top w:val="none" w:sz="0" w:space="0" w:color="auto"/>
        <w:left w:val="none" w:sz="0" w:space="0" w:color="auto"/>
        <w:bottom w:val="none" w:sz="0" w:space="0" w:color="auto"/>
        <w:right w:val="none" w:sz="0" w:space="0" w:color="auto"/>
      </w:divBdr>
    </w:div>
    <w:div w:id="203163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DESE-231-36288</_dlc_DocId>
    <_dlc_DocIdUrl xmlns="733efe1c-5bbe-4968-87dc-d400e65c879f">
      <Url>https://sharepoint.doemass.org/ese/webteam/cps/_layouts/DocIdRedir.aspx?ID=DESE-231-36288</Url>
      <Description>DESE-231-36288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F322A-784B-431F-8240-64544BF2284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2C83544-CBBC-4F83-B34C-EE0FFEB24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74863-89CB-4BA0-95D0-687D5F0B1B20}">
  <ds:schemaRefs>
    <ds:schemaRef ds:uri="http://schemas.microsoft.com/sharepoint/events"/>
  </ds:schemaRefs>
</ds:datastoreItem>
</file>

<file path=customXml/itemProps4.xml><?xml version="1.0" encoding="utf-8"?>
<ds:datastoreItem xmlns:ds="http://schemas.openxmlformats.org/officeDocument/2006/customXml" ds:itemID="{64A72F40-B5F5-41E2-B785-6717E0E04141}">
  <ds:schemaRefs>
    <ds:schemaRef ds:uri="http://schemas.microsoft.com/sharepoint/v3/contenttype/forms"/>
  </ds:schemaRefs>
</ds:datastoreItem>
</file>

<file path=customXml/itemProps5.xml><?xml version="1.0" encoding="utf-8"?>
<ds:datastoreItem xmlns:ds="http://schemas.openxmlformats.org/officeDocument/2006/customXml" ds:itemID="{00627F56-7770-4A69-8D2E-E35A9689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624</Words>
  <Characters>3359</Characters>
  <Application>Microsoft Office Word</Application>
  <DocSecurity>0</DocSecurity>
  <Lines>239</Lines>
  <Paragraphs>199</Paragraphs>
  <ScaleCrop>false</ScaleCrop>
  <HeadingPairs>
    <vt:vector size="2" baseType="variant">
      <vt:variant>
        <vt:lpstr>Title</vt:lpstr>
      </vt:variant>
      <vt:variant>
        <vt:i4>1</vt:i4>
      </vt:variant>
    </vt:vector>
  </HeadingPairs>
  <TitlesOfParts>
    <vt:vector size="1" baseType="lpstr">
      <vt:lpstr>FY2019 Fund Code ABE Competitive Adult Education Services Table 1</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Fund Code ABE Competitive Adult Education Services Table 1</dc:title>
  <dc:creator>ESE</dc:creator>
  <cp:lastModifiedBy>Zou, Dong</cp:lastModifiedBy>
  <cp:revision>4</cp:revision>
  <cp:lastPrinted>2017-07-14T15:50:00Z</cp:lastPrinted>
  <dcterms:created xsi:type="dcterms:W3CDTF">2017-09-13T12:14:00Z</dcterms:created>
  <dcterms:modified xsi:type="dcterms:W3CDTF">2017-09-19T20:51:00Z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2017</vt:lpwstr>
  </property>
</Properties>
</file>