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848"/>
        <w:gridCol w:w="1728"/>
      </w:tblGrid>
      <w:tr w:rsidR="002960C3" w14:paraId="744EA84C" w14:textId="77777777" w:rsidTr="00454850">
        <w:tc>
          <w:tcPr>
            <w:tcW w:w="7848" w:type="dxa"/>
            <w:tcBorders>
              <w:top w:val="double" w:sz="4" w:space="0" w:color="auto"/>
              <w:left w:val="double" w:sz="4" w:space="0" w:color="auto"/>
              <w:bottom w:val="double" w:sz="4" w:space="0" w:color="auto"/>
              <w:right w:val="nil"/>
            </w:tcBorders>
          </w:tcPr>
          <w:p w14:paraId="7C6B4D88" w14:textId="77777777" w:rsidR="002960C3" w:rsidRDefault="002960C3">
            <w:pPr>
              <w:jc w:val="both"/>
              <w:rPr>
                <w:rFonts w:ascii="Arial" w:hAnsi="Arial" w:cs="Arial"/>
                <w:sz w:val="20"/>
              </w:rPr>
            </w:pPr>
            <w:bookmarkStart w:id="0" w:name="_GoBack"/>
            <w:bookmarkEnd w:id="0"/>
          </w:p>
          <w:p w14:paraId="3B8A4448" w14:textId="77777777" w:rsidR="002960C3" w:rsidRDefault="002960C3">
            <w:pPr>
              <w:tabs>
                <w:tab w:val="left" w:pos="2700"/>
              </w:tabs>
              <w:jc w:val="both"/>
              <w:rPr>
                <w:rFonts w:ascii="Arial" w:hAnsi="Arial" w:cs="Arial"/>
                <w:sz w:val="20"/>
              </w:rPr>
            </w:pPr>
            <w:r>
              <w:rPr>
                <w:rFonts w:ascii="Arial" w:hAnsi="Arial" w:cs="Arial"/>
                <w:b/>
                <w:sz w:val="20"/>
              </w:rPr>
              <w:t>Name of Grant Program:</w:t>
            </w:r>
            <w:r>
              <w:rPr>
                <w:rFonts w:ascii="Arial" w:hAnsi="Arial" w:cs="Arial"/>
                <w:sz w:val="20"/>
              </w:rPr>
              <w:t xml:space="preserve">      </w:t>
            </w:r>
            <w:r>
              <w:rPr>
                <w:rFonts w:ascii="Arial" w:hAnsi="Arial" w:cs="Arial"/>
                <w:sz w:val="20"/>
              </w:rPr>
              <w:tab/>
            </w:r>
            <w:r w:rsidR="00A752AB">
              <w:rPr>
                <w:rFonts w:ascii="Arial" w:hAnsi="Arial" w:cs="Arial"/>
              </w:rPr>
              <w:t>Early College Planning Grant</w:t>
            </w:r>
          </w:p>
        </w:tc>
        <w:tc>
          <w:tcPr>
            <w:tcW w:w="1728" w:type="dxa"/>
            <w:tcBorders>
              <w:top w:val="double" w:sz="4" w:space="0" w:color="auto"/>
              <w:left w:val="nil"/>
              <w:bottom w:val="double" w:sz="4" w:space="0" w:color="auto"/>
              <w:right w:val="double" w:sz="4" w:space="0" w:color="auto"/>
            </w:tcBorders>
          </w:tcPr>
          <w:p w14:paraId="426A4AF5" w14:textId="77777777" w:rsidR="002960C3" w:rsidRDefault="002960C3">
            <w:pPr>
              <w:jc w:val="both"/>
              <w:rPr>
                <w:rFonts w:ascii="Arial" w:hAnsi="Arial" w:cs="Arial"/>
                <w:sz w:val="20"/>
              </w:rPr>
            </w:pPr>
          </w:p>
          <w:p w14:paraId="02CA79D1" w14:textId="77777777" w:rsidR="002960C3" w:rsidRDefault="002960C3">
            <w:pPr>
              <w:tabs>
                <w:tab w:val="left" w:pos="1332"/>
              </w:tabs>
              <w:jc w:val="both"/>
              <w:rPr>
                <w:rFonts w:ascii="Arial" w:hAnsi="Arial" w:cs="Arial"/>
                <w:sz w:val="20"/>
              </w:rPr>
            </w:pPr>
            <w:r>
              <w:rPr>
                <w:rFonts w:ascii="Arial" w:hAnsi="Arial" w:cs="Arial"/>
                <w:b/>
                <w:sz w:val="20"/>
              </w:rPr>
              <w:t>FundCode:</w:t>
            </w:r>
            <w:r>
              <w:rPr>
                <w:rFonts w:ascii="Arial" w:hAnsi="Arial" w:cs="Arial"/>
                <w:sz w:val="20"/>
              </w:rPr>
              <w:t xml:space="preserve">     </w:t>
            </w:r>
            <w:r w:rsidR="00A752AB">
              <w:rPr>
                <w:rFonts w:ascii="Arial" w:hAnsi="Arial" w:cs="Arial"/>
                <w:sz w:val="20"/>
              </w:rPr>
              <w:t>461</w:t>
            </w:r>
            <w:r>
              <w:rPr>
                <w:rFonts w:ascii="Arial" w:hAnsi="Arial" w:cs="Arial"/>
                <w:sz w:val="20"/>
              </w:rPr>
              <w:t xml:space="preserve">    </w:t>
            </w:r>
            <w:r>
              <w:rPr>
                <w:rFonts w:ascii="Arial" w:hAnsi="Arial" w:cs="Arial"/>
                <w:b/>
                <w:sz w:val="20"/>
              </w:rPr>
              <w:t xml:space="preserve">  </w:t>
            </w:r>
          </w:p>
          <w:p w14:paraId="2CAFEE1D" w14:textId="77777777" w:rsidR="002960C3" w:rsidRDefault="002960C3">
            <w:pPr>
              <w:jc w:val="both"/>
              <w:rPr>
                <w:rFonts w:ascii="Arial" w:hAnsi="Arial" w:cs="Arial"/>
                <w:sz w:val="20"/>
              </w:rPr>
            </w:pPr>
          </w:p>
        </w:tc>
      </w:tr>
    </w:tbl>
    <w:p w14:paraId="089B73AF" w14:textId="77777777" w:rsidR="002960C3" w:rsidRDefault="002960C3">
      <w:pPr>
        <w:jc w:val="both"/>
        <w:rPr>
          <w:rFonts w:ascii="Arial" w:hAnsi="Arial" w:cs="Arial"/>
          <w:sz w:val="20"/>
        </w:rPr>
      </w:pPr>
    </w:p>
    <w:p w14:paraId="4EB1AEA8" w14:textId="77777777"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14:paraId="642DBBF4" w14:textId="77777777">
        <w:tc>
          <w:tcPr>
            <w:tcW w:w="9576" w:type="dxa"/>
          </w:tcPr>
          <w:p w14:paraId="118631B6" w14:textId="77777777" w:rsidR="002960C3" w:rsidRDefault="002960C3">
            <w:pPr>
              <w:pStyle w:val="Heading1"/>
              <w:spacing w:before="60" w:after="60"/>
              <w:rPr>
                <w:rFonts w:ascii="Arial" w:hAnsi="Arial" w:cs="Arial"/>
              </w:rPr>
            </w:pPr>
            <w:r>
              <w:rPr>
                <w:rFonts w:ascii="Arial" w:hAnsi="Arial" w:cs="Arial"/>
              </w:rPr>
              <w:t>PART III – REQUIRED PROGRAM INFORMATION</w:t>
            </w:r>
          </w:p>
        </w:tc>
      </w:tr>
    </w:tbl>
    <w:p w14:paraId="49905941" w14:textId="77777777" w:rsidR="002960C3" w:rsidRDefault="002960C3">
      <w:pPr>
        <w:rPr>
          <w:rFonts w:ascii="Arial" w:hAnsi="Arial" w:cs="Arial"/>
          <w:sz w:val="20"/>
        </w:rPr>
      </w:pPr>
    </w:p>
    <w:p w14:paraId="41BCF5BE" w14:textId="77777777" w:rsidR="00A752AB" w:rsidRPr="00A752AB" w:rsidRDefault="00A752AB" w:rsidP="00A752AB">
      <w:pPr>
        <w:rPr>
          <w:b/>
          <w:color w:val="000000"/>
          <w:sz w:val="28"/>
          <w:szCs w:val="32"/>
        </w:rPr>
      </w:pPr>
      <w:r w:rsidRPr="00A752AB">
        <w:rPr>
          <w:b/>
          <w:color w:val="000000"/>
          <w:sz w:val="28"/>
          <w:szCs w:val="32"/>
        </w:rPr>
        <w:t>Background</w:t>
      </w:r>
    </w:p>
    <w:p w14:paraId="092C5FC8" w14:textId="77777777" w:rsidR="00A752AB" w:rsidRPr="001940D9" w:rsidRDefault="00A752AB" w:rsidP="00A752AB"/>
    <w:p w14:paraId="06632266" w14:textId="77777777" w:rsidR="00A752AB" w:rsidRPr="001940D9" w:rsidRDefault="00A752AB" w:rsidP="00A752AB">
      <w:r w:rsidRPr="001940D9">
        <w:t xml:space="preserve">In the summer of 2017, the Commonwealth of Massachusetts embarked on a new chapter in college and career readiness for its students, launching a “High Quality College and Career Pathways” (HQCCP) initiative.  This initiative is the outgrowth of a number of recent, complementary bodies of work that began several years ago in Massachusetts, overseen by the Massachusetts Workforce Skills Cabinet (WSC). The WSC was </w:t>
      </w:r>
      <w:hyperlink r:id="rId12" w:history="1">
        <w:r w:rsidRPr="001940D9">
          <w:rPr>
            <w:rStyle w:val="Hyperlink"/>
          </w:rPr>
          <w:t>created by an Executive Order</w:t>
        </w:r>
      </w:hyperlink>
      <w:r w:rsidRPr="001940D9">
        <w:t xml:space="preserve"> of Governor Charlie Baker in early 2015. The Cabinet aligns the Executive Offices of Education, Labor and Workforce Development, and Housing and Economic Development toward a comprehensive economic growth agenda. The Cabinet is charged with creating and implementing a strategy to ensure that individuals can develop and continuously improve their skills and knowledge to meet the varying needs of employers in the Commonwealth.</w:t>
      </w:r>
    </w:p>
    <w:p w14:paraId="242B5303" w14:textId="77777777" w:rsidR="00A752AB" w:rsidRPr="001940D9" w:rsidRDefault="00A752AB" w:rsidP="00A752AB"/>
    <w:p w14:paraId="2D1C5728" w14:textId="77777777" w:rsidR="00A752AB" w:rsidRPr="001940D9" w:rsidRDefault="00A752AB" w:rsidP="00A752AB">
      <w:r w:rsidRPr="001940D9">
        <w:t xml:space="preserve">Among its priorities is the development of career pathways for residents of the Commonwealth, an effort significantly supported by 1) the early college work based in part on the </w:t>
      </w:r>
      <w:hyperlink r:id="rId13" w:history="1">
        <w:r w:rsidRPr="001940D9">
          <w:rPr>
            <w:rStyle w:val="Hyperlink"/>
          </w:rPr>
          <w:t>report</w:t>
        </w:r>
      </w:hyperlink>
      <w:r w:rsidRPr="001940D9">
        <w:t xml:space="preserve"> by the Parthenon-EY group that led to the creation of Early College Joint Committee in 2016, and 2) the state’s receipt of a highly competitive New Skills for Youth (NSFY) grant from the Council of Chief State School Officers (CCSSO) to address the need at a national level for greater career preparation and access to high quality career pathways.  </w:t>
      </w:r>
    </w:p>
    <w:p w14:paraId="334874CC" w14:textId="77777777" w:rsidR="00A752AB" w:rsidRPr="001940D9" w:rsidRDefault="00A752AB" w:rsidP="00A752AB"/>
    <w:p w14:paraId="7DB572B9" w14:textId="77777777" w:rsidR="00A752AB" w:rsidRPr="001940D9" w:rsidRDefault="00A752AB" w:rsidP="00A752AB"/>
    <w:p w14:paraId="34FF2163" w14:textId="77777777" w:rsidR="00A752AB" w:rsidRDefault="00A752AB" w:rsidP="00A752AB">
      <w:r>
        <w:t xml:space="preserve">The </w:t>
      </w:r>
      <w:r w:rsidRPr="001940D9">
        <w:t>Commonwealth has now developed a set of guiding principles that provide a powerful context for all HQCCPs, as well as a more specific set of characteristics that define these pathways. The Commonwealth has identified two types of HQCCPs, referred to as “Innovation Pathways” (IP) and “Early College” (EC) .</w:t>
      </w:r>
      <w:r w:rsidRPr="001940D9">
        <w:rPr>
          <w:rStyle w:val="FootnoteReference"/>
          <w:rFonts w:eastAsia="Calibri"/>
        </w:rPr>
        <w:footnoteReference w:id="1"/>
      </w:r>
      <w:r w:rsidRPr="001940D9">
        <w:t xml:space="preserve"> </w:t>
      </w:r>
      <w:r>
        <w:t xml:space="preserve">Secondary schools </w:t>
      </w:r>
      <w:r w:rsidRPr="001940D9">
        <w:t>and institutions of higher education</w:t>
      </w:r>
      <w:r>
        <w:t xml:space="preserve"> (IHE)  have</w:t>
      </w:r>
      <w:r w:rsidRPr="001940D9">
        <w:t xml:space="preserve"> the opportunity to obtain formal designation for these pathways. This will entail a two-step process that will culminate in official designation for those pathways that satisfy rigorous levels of quality.  </w:t>
      </w:r>
    </w:p>
    <w:p w14:paraId="3AB0A84F" w14:textId="77777777" w:rsidR="00A752AB" w:rsidRDefault="00A752AB" w:rsidP="00A752AB"/>
    <w:p w14:paraId="2635B445" w14:textId="77777777" w:rsidR="00A752AB" w:rsidRPr="00A752AB" w:rsidRDefault="00A752AB" w:rsidP="00A752AB">
      <w:pPr>
        <w:spacing w:after="200"/>
        <w:rPr>
          <w:bCs/>
          <w:color w:val="000000"/>
        </w:rPr>
      </w:pPr>
      <w:r w:rsidRPr="00A752AB">
        <w:rPr>
          <w:bCs/>
          <w:color w:val="000000"/>
        </w:rPr>
        <w:t>The Early College Pathway is summarized as follows:</w:t>
      </w:r>
    </w:p>
    <w:p w14:paraId="75517F2C" w14:textId="77777777" w:rsidR="00A752AB" w:rsidRPr="00A752AB" w:rsidRDefault="00A752AB" w:rsidP="00A752AB">
      <w:pPr>
        <w:spacing w:after="200"/>
        <w:ind w:left="360" w:hanging="360"/>
        <w:rPr>
          <w:b/>
          <w:bCs/>
          <w:color w:val="000000"/>
          <w:sz w:val="10"/>
          <w:szCs w:val="10"/>
        </w:rPr>
      </w:pPr>
    </w:p>
    <w:tbl>
      <w:tblPr>
        <w:tblpPr w:leftFromText="180" w:rightFromText="180" w:vertAnchor="text" w:horzAnchor="margin" w:tblpX="108"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752AB" w:rsidRPr="006F1CF5" w14:paraId="3BDF8954" w14:textId="77777777" w:rsidTr="00C20BC6">
        <w:trPr>
          <w:trHeight w:val="1520"/>
          <w:tblHeader/>
        </w:trPr>
        <w:tc>
          <w:tcPr>
            <w:tcW w:w="9468" w:type="dxa"/>
            <w:shd w:val="clear" w:color="auto" w:fill="D9D9D9"/>
          </w:tcPr>
          <w:p w14:paraId="5288BF75" w14:textId="77777777" w:rsidR="00A752AB" w:rsidRPr="00C20BC6" w:rsidRDefault="00A752AB" w:rsidP="00C20BC6">
            <w:pPr>
              <w:spacing w:after="200"/>
              <w:ind w:left="360" w:hanging="360"/>
              <w:rPr>
                <w:b/>
                <w:bCs/>
                <w:color w:val="000000"/>
                <w:szCs w:val="22"/>
              </w:rPr>
            </w:pPr>
            <w:r w:rsidRPr="00C20BC6">
              <w:rPr>
                <w:b/>
                <w:bCs/>
                <w:color w:val="000000"/>
                <w:szCs w:val="22"/>
              </w:rPr>
              <w:t xml:space="preserve">Early College </w:t>
            </w:r>
          </w:p>
          <w:p w14:paraId="6325CABC" w14:textId="77777777" w:rsidR="00A752AB" w:rsidRPr="006F1CF5" w:rsidRDefault="00A752AB" w:rsidP="00C20BC6">
            <w:r w:rsidRPr="00C20BC6">
              <w:rPr>
                <w:bCs/>
              </w:rPr>
              <w:t xml:space="preserve">Early college programs are designed to blend elements of high school and college to provide students with the opportunity to experience and complete college level academic coursework on a clearly articulated pathway and simultaneously gain exposure </w:t>
            </w:r>
            <w:r w:rsidRPr="006F1CF5">
              <w:t>to a variety of career opportunities.</w:t>
            </w:r>
            <w:r w:rsidRPr="00C20BC6">
              <w:rPr>
                <w:bCs/>
              </w:rPr>
              <w:t xml:space="preserve">  Early college programs also reduce the time and expense of earning a college credential while increasing the likelihood of completion.</w:t>
            </w:r>
            <w:r w:rsidRPr="006F1CF5">
              <w:t xml:space="preserve"> </w:t>
            </w:r>
          </w:p>
        </w:tc>
      </w:tr>
    </w:tbl>
    <w:p w14:paraId="09A43F19" w14:textId="77777777" w:rsidR="00A752AB" w:rsidRPr="006F1CF5" w:rsidRDefault="00A752AB" w:rsidP="00A752AB"/>
    <w:p w14:paraId="7D1564EA" w14:textId="77777777" w:rsidR="00A752AB" w:rsidRPr="001940D9" w:rsidRDefault="00A752AB" w:rsidP="00A752AB"/>
    <w:p w14:paraId="38CD661C" w14:textId="77777777" w:rsidR="00A752AB" w:rsidRPr="001940D9" w:rsidRDefault="00A752AB" w:rsidP="00A752AB">
      <w:r w:rsidRPr="001940D9">
        <w:t>These pathways provide participating students in the Commonwealth with supportive, rigorous academic experiences and career development education relevant to their next steps after high school.  State agencies</w:t>
      </w:r>
      <w:r>
        <w:t xml:space="preserve"> will</w:t>
      </w:r>
      <w:r w:rsidRPr="001940D9">
        <w:t xml:space="preserve"> work collaboratively with schools and districts to provide students </w:t>
      </w:r>
      <w:r w:rsidRPr="001940D9">
        <w:lastRenderedPageBreak/>
        <w:t>with equitable access to a pathway deemed a strong individualized fit, with on and off ramps across different pathways throughout high school, ensure that they graduate with a well-designed post-secondary plan, and a robust knowledge of Massachusetts’ workforce opportunities with realities for employment.</w:t>
      </w:r>
    </w:p>
    <w:p w14:paraId="3AD318D0" w14:textId="77777777" w:rsidR="00A752AB" w:rsidRPr="001940D9" w:rsidRDefault="00A752AB" w:rsidP="00A752AB"/>
    <w:p w14:paraId="4F6BB8D5" w14:textId="77777777" w:rsidR="00A752AB" w:rsidRPr="001940D9" w:rsidRDefault="00A752AB" w:rsidP="00A752AB">
      <w:r w:rsidRPr="001940D9">
        <w:t>The related Pathway designation approval process has been designed collaboratively by the Executive Office of Education, the MA Department of Elementary and Secondary Education, and the Department of Higher Education to ensure that new college and career pathways are carefully designed to offer high quality preparation for college and career in alignment with the Strengthening Career Technical Education in the 21</w:t>
      </w:r>
      <w:r w:rsidRPr="001940D9">
        <w:rPr>
          <w:vertAlign w:val="superscript"/>
        </w:rPr>
        <w:t xml:space="preserve">st </w:t>
      </w:r>
      <w:r w:rsidRPr="001940D9">
        <w:t xml:space="preserve">Century Act  (Perkins V) requirements, which was signed into law effective July 1, 2019.  </w:t>
      </w:r>
    </w:p>
    <w:p w14:paraId="729E91FA" w14:textId="77777777" w:rsidR="00A752AB" w:rsidRPr="001940D9" w:rsidRDefault="00A752AB" w:rsidP="00A752AB"/>
    <w:p w14:paraId="4853126A" w14:textId="77777777" w:rsidR="00A752AB" w:rsidRPr="00A752AB" w:rsidRDefault="00A752AB" w:rsidP="00A752AB">
      <w:pPr>
        <w:rPr>
          <w:b/>
          <w:color w:val="000000"/>
          <w:sz w:val="28"/>
          <w:szCs w:val="32"/>
        </w:rPr>
      </w:pPr>
      <w:r w:rsidRPr="00A752AB">
        <w:rPr>
          <w:b/>
          <w:color w:val="000000"/>
          <w:sz w:val="28"/>
          <w:szCs w:val="32"/>
        </w:rPr>
        <w:t>Rooted in Two Complementary Initiatives</w:t>
      </w:r>
    </w:p>
    <w:p w14:paraId="35F64A3E" w14:textId="77777777" w:rsidR="00A752AB" w:rsidRPr="00A752AB" w:rsidRDefault="00A752AB" w:rsidP="00A752AB">
      <w:pPr>
        <w:rPr>
          <w:b/>
          <w:color w:val="000000"/>
          <w:sz w:val="28"/>
          <w:szCs w:val="32"/>
        </w:rPr>
      </w:pPr>
    </w:p>
    <w:p w14:paraId="448B0F47" w14:textId="62DF7B2B" w:rsidR="00A752AB" w:rsidRPr="001940D9" w:rsidRDefault="00A752AB" w:rsidP="00A752AB">
      <w:pPr>
        <w:rPr>
          <w:bCs/>
          <w:color w:val="000000"/>
        </w:rPr>
      </w:pPr>
      <w:r w:rsidRPr="001940D9">
        <w:rPr>
          <w:bCs/>
          <w:color w:val="000000"/>
        </w:rPr>
        <w:t xml:space="preserve">In </w:t>
      </w:r>
      <w:r w:rsidRPr="007D19E8">
        <w:rPr>
          <w:bCs/>
        </w:rPr>
        <w:t>January 2017</w:t>
      </w:r>
      <w:r w:rsidRPr="001940D9">
        <w:rPr>
          <w:bCs/>
          <w:color w:val="000000"/>
        </w:rPr>
        <w:t xml:space="preserve">, the Boards of Elementary and Secondary Education and Higher Education jointly approved five </w:t>
      </w:r>
      <w:r w:rsidRPr="001940D9">
        <w:rPr>
          <w:b/>
          <w:bCs/>
          <w:color w:val="000000"/>
        </w:rPr>
        <w:t xml:space="preserve">Guiding Principles </w:t>
      </w:r>
      <w:r w:rsidRPr="001940D9">
        <w:rPr>
          <w:bCs/>
          <w:color w:val="000000"/>
        </w:rPr>
        <w:t>for Early College pathways that are also fully relevant to Innovation pathways. To receive designation as either type, an applicant will be required to demonstrate that its pathways are rooted in all five of these guiding principles:</w:t>
      </w:r>
    </w:p>
    <w:p w14:paraId="25D60012" w14:textId="77777777" w:rsidR="00A752AB" w:rsidRPr="001940D9" w:rsidRDefault="00A752AB" w:rsidP="00A752AB">
      <w:pPr>
        <w:rPr>
          <w:bCs/>
          <w:color w:val="000000"/>
        </w:rPr>
      </w:pPr>
    </w:p>
    <w:p w14:paraId="1DCD6DE2" w14:textId="77777777" w:rsidR="00A752AB" w:rsidRPr="00A752AB" w:rsidRDefault="00A752AB" w:rsidP="00A752AB">
      <w:pPr>
        <w:pStyle w:val="Heading2"/>
        <w:ind w:left="720"/>
        <w:rPr>
          <w:rFonts w:ascii="Times New Roman" w:hAnsi="Times New Roman"/>
          <w:b/>
          <w:color w:val="000000"/>
          <w:sz w:val="24"/>
          <w:szCs w:val="24"/>
        </w:rPr>
      </w:pPr>
      <w:bookmarkStart w:id="1" w:name="_Toc479341931"/>
      <w:r w:rsidRPr="00A752AB">
        <w:rPr>
          <w:rFonts w:ascii="Times New Roman" w:hAnsi="Times New Roman"/>
          <w:b/>
          <w:color w:val="000000"/>
          <w:sz w:val="24"/>
          <w:szCs w:val="24"/>
        </w:rPr>
        <w:t>Guiding Principle 1:  Equitable Access</w:t>
      </w:r>
      <w:bookmarkEnd w:id="1"/>
      <w:r w:rsidRPr="001940D9">
        <w:rPr>
          <w:rFonts w:ascii="Times New Roman" w:hAnsi="Times New Roman"/>
          <w:color w:val="000000"/>
          <w:sz w:val="24"/>
          <w:szCs w:val="24"/>
        </w:rPr>
        <w:t> </w:t>
      </w:r>
    </w:p>
    <w:p w14:paraId="6CFD4B8B" w14:textId="77777777" w:rsidR="00A752AB" w:rsidRPr="001940D9" w:rsidRDefault="00A752AB" w:rsidP="00A752AB">
      <w:pPr>
        <w:ind w:left="720"/>
        <w:rPr>
          <w:i/>
          <w:color w:val="000000"/>
        </w:rPr>
      </w:pPr>
      <w:r w:rsidRPr="001940D9">
        <w:rPr>
          <w:i/>
          <w:color w:val="000000"/>
        </w:rPr>
        <w:t xml:space="preserve">Designated programs should prioritize students underrepresented in education enrollment and completion. To facilitate this, programs should be structured to eliminate barriers to student participation. Design might therefore include, but not be limited to, tuition-free participation, open enrollment without regard to prior academic performance, student supports to promote success, scalability, multiple entry points for students, and student supports to prepare students for entry into the program.  </w:t>
      </w:r>
    </w:p>
    <w:p w14:paraId="4C480889" w14:textId="77777777" w:rsidR="00A752AB" w:rsidRPr="001940D9" w:rsidRDefault="00A752AB" w:rsidP="00A752AB">
      <w:pPr>
        <w:ind w:left="720"/>
      </w:pPr>
    </w:p>
    <w:p w14:paraId="027C3F1F" w14:textId="77777777" w:rsidR="00A752AB" w:rsidRPr="00A752AB" w:rsidRDefault="00A752AB" w:rsidP="00A752AB">
      <w:pPr>
        <w:pStyle w:val="Heading2"/>
        <w:ind w:left="720"/>
        <w:rPr>
          <w:rFonts w:ascii="Times New Roman" w:hAnsi="Times New Roman"/>
          <w:b/>
          <w:color w:val="000000"/>
          <w:sz w:val="24"/>
          <w:szCs w:val="24"/>
        </w:rPr>
      </w:pPr>
      <w:bookmarkStart w:id="2" w:name="_Toc479341932"/>
      <w:r w:rsidRPr="00A752AB">
        <w:rPr>
          <w:rFonts w:ascii="Times New Roman" w:hAnsi="Times New Roman"/>
          <w:b/>
          <w:color w:val="000000"/>
          <w:sz w:val="24"/>
          <w:szCs w:val="24"/>
        </w:rPr>
        <w:t>Guiding Principle 2:  Guided Academic Pathways</w:t>
      </w:r>
      <w:bookmarkEnd w:id="2"/>
    </w:p>
    <w:p w14:paraId="738E4972" w14:textId="77777777" w:rsidR="00A752AB" w:rsidRPr="001940D9" w:rsidRDefault="00A752AB" w:rsidP="00A752AB">
      <w:pPr>
        <w:ind w:left="720"/>
        <w:rPr>
          <w:color w:val="000000"/>
        </w:rPr>
      </w:pPr>
      <w:r w:rsidRPr="001940D9">
        <w:rPr>
          <w:i/>
          <w:color w:val="000000"/>
        </w:rPr>
        <w:t xml:space="preserve">Designated programs should be structured around clear and detailed student academic pathways from secondary to post-secondary education with regard to coursework, sequencing, and experiences beyond the classroom. Programs should offer students substantive exposure to career opportunities in high demand fields, allowing them to make an informed decision about which career pathway to pursue.  Students should also be exposed to the authentic experience and academic rigor of postsecondary education.  </w:t>
      </w:r>
    </w:p>
    <w:p w14:paraId="34A49BAB" w14:textId="77777777" w:rsidR="00A752AB" w:rsidRPr="001940D9" w:rsidRDefault="00A752AB" w:rsidP="00A752AB">
      <w:pPr>
        <w:ind w:left="720"/>
      </w:pPr>
    </w:p>
    <w:p w14:paraId="29F4C644" w14:textId="77777777" w:rsidR="00A752AB" w:rsidRPr="00A752AB" w:rsidRDefault="00A752AB" w:rsidP="00A752AB">
      <w:pPr>
        <w:pStyle w:val="Heading2"/>
        <w:ind w:left="720"/>
        <w:rPr>
          <w:rFonts w:ascii="Times New Roman" w:hAnsi="Times New Roman"/>
          <w:b/>
          <w:color w:val="000000"/>
          <w:sz w:val="24"/>
          <w:szCs w:val="24"/>
        </w:rPr>
      </w:pPr>
      <w:bookmarkStart w:id="3" w:name="_Toc479341933"/>
      <w:r w:rsidRPr="00A752AB">
        <w:rPr>
          <w:rFonts w:ascii="Times New Roman" w:hAnsi="Times New Roman"/>
          <w:b/>
          <w:color w:val="000000"/>
          <w:sz w:val="24"/>
          <w:szCs w:val="24"/>
        </w:rPr>
        <w:t>Guiding Principle 3:  Enhanced Student Support</w:t>
      </w:r>
      <w:bookmarkEnd w:id="3"/>
    </w:p>
    <w:p w14:paraId="2E66DBB2" w14:textId="77777777" w:rsidR="00A752AB" w:rsidRPr="001940D9" w:rsidRDefault="00A752AB" w:rsidP="00A752AB">
      <w:pPr>
        <w:ind w:left="720"/>
        <w:rPr>
          <w:i/>
          <w:color w:val="000000"/>
        </w:rPr>
      </w:pPr>
      <w:r w:rsidRPr="001940D9">
        <w:rPr>
          <w:i/>
          <w:color w:val="000000"/>
        </w:rPr>
        <w:t xml:space="preserve">Designated programs should incorporate sufficient wraparound services to promote academic success and course completion, taking into consideration the needs of diverse populations of students. </w:t>
      </w:r>
    </w:p>
    <w:p w14:paraId="3B070FF6" w14:textId="77777777" w:rsidR="00A752AB" w:rsidRPr="001940D9" w:rsidRDefault="00A752AB" w:rsidP="00A752AB">
      <w:pPr>
        <w:ind w:left="720"/>
      </w:pPr>
    </w:p>
    <w:p w14:paraId="18FC111C" w14:textId="77777777" w:rsidR="00A752AB" w:rsidRPr="00A752AB" w:rsidRDefault="00A752AB" w:rsidP="00A752AB">
      <w:pPr>
        <w:pStyle w:val="Heading2"/>
        <w:ind w:left="720"/>
        <w:rPr>
          <w:rFonts w:ascii="Times New Roman" w:hAnsi="Times New Roman"/>
          <w:b/>
          <w:color w:val="000000"/>
          <w:sz w:val="24"/>
          <w:szCs w:val="24"/>
        </w:rPr>
      </w:pPr>
      <w:bookmarkStart w:id="4" w:name="_Toc479341934"/>
      <w:r w:rsidRPr="00A752AB">
        <w:rPr>
          <w:rFonts w:ascii="Times New Roman" w:hAnsi="Times New Roman"/>
          <w:b/>
          <w:color w:val="000000"/>
          <w:sz w:val="24"/>
          <w:szCs w:val="24"/>
        </w:rPr>
        <w:t>Guiding Principle 4:  Connection to Career</w:t>
      </w:r>
      <w:bookmarkEnd w:id="4"/>
    </w:p>
    <w:p w14:paraId="19291041" w14:textId="77777777" w:rsidR="00A752AB" w:rsidRPr="001940D9" w:rsidRDefault="00A752AB" w:rsidP="00A752AB">
      <w:pPr>
        <w:ind w:left="720"/>
        <w:rPr>
          <w:i/>
          <w:color w:val="000000"/>
        </w:rPr>
      </w:pPr>
      <w:r w:rsidRPr="001940D9">
        <w:rPr>
          <w:i/>
          <w:color w:val="000000"/>
        </w:rPr>
        <w:t>Designated programs should expose students to a variety of career opportunities, including greater depth in careers relevant to their selected pathway, by providing, for example, opportunities for targeted workforce and career skills development, career counseling, and elements of experiential and work-based learning.</w:t>
      </w:r>
    </w:p>
    <w:p w14:paraId="5761401D" w14:textId="77777777" w:rsidR="00A752AB" w:rsidRPr="001940D9" w:rsidRDefault="00A752AB" w:rsidP="00A752AB">
      <w:pPr>
        <w:ind w:left="720"/>
        <w:rPr>
          <w:i/>
          <w:color w:val="000000"/>
        </w:rPr>
      </w:pPr>
    </w:p>
    <w:p w14:paraId="48E582B5" w14:textId="77777777" w:rsidR="00A752AB" w:rsidRPr="00A752AB" w:rsidRDefault="00A752AB" w:rsidP="00A752AB">
      <w:pPr>
        <w:pStyle w:val="Heading2"/>
        <w:ind w:left="720"/>
        <w:rPr>
          <w:rFonts w:ascii="Times New Roman" w:hAnsi="Times New Roman"/>
          <w:b/>
          <w:color w:val="000000"/>
          <w:sz w:val="24"/>
          <w:szCs w:val="24"/>
        </w:rPr>
      </w:pPr>
      <w:r w:rsidRPr="00A752AB">
        <w:rPr>
          <w:rFonts w:ascii="Times New Roman" w:hAnsi="Times New Roman"/>
          <w:b/>
          <w:color w:val="000000"/>
          <w:sz w:val="24"/>
          <w:szCs w:val="24"/>
        </w:rPr>
        <w:t>Guiding Principle 5:  Effective Partnerships</w:t>
      </w:r>
    </w:p>
    <w:p w14:paraId="27D4425B" w14:textId="77777777" w:rsidR="00A752AB" w:rsidRPr="001940D9" w:rsidRDefault="00A752AB" w:rsidP="00A752AB">
      <w:pPr>
        <w:ind w:left="720"/>
        <w:rPr>
          <w:i/>
          <w:color w:val="000000"/>
        </w:rPr>
      </w:pPr>
      <w:r w:rsidRPr="001940D9">
        <w:rPr>
          <w:i/>
          <w:color w:val="000000"/>
        </w:rPr>
        <w:t xml:space="preserve">EC programs should be a partnership between at least one institution of higher education and one public secondary school and/or district, </w:t>
      </w:r>
      <w:r>
        <w:rPr>
          <w:i/>
          <w:color w:val="000000"/>
        </w:rPr>
        <w:t>EC programs</w:t>
      </w:r>
      <w:r w:rsidRPr="001940D9">
        <w:rPr>
          <w:i/>
          <w:color w:val="000000"/>
        </w:rPr>
        <w:t xml:space="preserve"> require a formal partnership with either an institution of higher education, a workforce development board, or one or more employers or an employer association. Programs should be </w:t>
      </w:r>
      <w:r w:rsidRPr="001940D9">
        <w:rPr>
          <w:i/>
          <w:color w:val="000000"/>
        </w:rPr>
        <w:lastRenderedPageBreak/>
        <w:t>sufficient in size to capture economies of scale goals and to ensure long-term sustainability.</w:t>
      </w:r>
    </w:p>
    <w:p w14:paraId="1502666B" w14:textId="77777777" w:rsidR="00A752AB" w:rsidRPr="004F0D31" w:rsidRDefault="00A752AB" w:rsidP="00A752AB">
      <w:pPr>
        <w:ind w:left="720"/>
        <w:rPr>
          <w:i/>
          <w:color w:val="000000"/>
        </w:rPr>
      </w:pPr>
    </w:p>
    <w:p w14:paraId="181FC3AE" w14:textId="77777777" w:rsidR="00A752AB" w:rsidRPr="00A752AB" w:rsidRDefault="00A752AB" w:rsidP="00A752AB">
      <w:pPr>
        <w:rPr>
          <w:color w:val="000000"/>
        </w:rPr>
      </w:pPr>
      <w:r w:rsidRPr="00A752AB">
        <w:rPr>
          <w:b/>
          <w:color w:val="000000"/>
        </w:rPr>
        <w:t>Detailed characteristics of new pathways</w:t>
      </w:r>
      <w:r w:rsidRPr="00A752AB">
        <w:rPr>
          <w:color w:val="000000"/>
        </w:rPr>
        <w:t xml:space="preserve">. </w:t>
      </w:r>
      <w:r w:rsidRPr="004F0D31">
        <w:t xml:space="preserve">In addition to the five guiding principles, Massachusetts also chose to adopt six core components identified for high quality career pathways through the New Skills for Youth (NYSF) initiative. The Commonwealth recognizes that a structured pathway that integrates these six </w:t>
      </w:r>
      <w:r>
        <w:t xml:space="preserve">characteristics </w:t>
      </w:r>
      <w:r w:rsidRPr="00A752AB">
        <w:rPr>
          <w:color w:val="000000"/>
        </w:rPr>
        <w:t xml:space="preserve">into a coherent set of strategies and services for participating students ensures the quality of the pathway.  </w:t>
      </w:r>
    </w:p>
    <w:p w14:paraId="15A2B584" w14:textId="77777777" w:rsidR="00A752AB" w:rsidRPr="00A752AB" w:rsidRDefault="00A752AB" w:rsidP="00A752AB">
      <w:pPr>
        <w:rPr>
          <w:color w:val="000000"/>
        </w:rPr>
      </w:pPr>
    </w:p>
    <w:p w14:paraId="1E1A517C" w14:textId="77777777" w:rsidR="00A752AB" w:rsidRPr="001940D9" w:rsidRDefault="00A752AB" w:rsidP="00A752AB">
      <w:r w:rsidRPr="00A752AB">
        <w:rPr>
          <w:color w:val="000000"/>
        </w:rPr>
        <w:t>The six core characteristics that are required for designation, and that help fulfill the Guiding Principles described above, are:</w:t>
      </w:r>
    </w:p>
    <w:p w14:paraId="72B4D54A" w14:textId="77777777" w:rsidR="00A752AB" w:rsidRPr="001940D9" w:rsidRDefault="00A752AB" w:rsidP="00A752AB"/>
    <w:p w14:paraId="1E677085" w14:textId="77777777" w:rsidR="00A752AB" w:rsidRPr="001940D9" w:rsidRDefault="00A752AB" w:rsidP="00A752AB">
      <w:pPr>
        <w:pStyle w:val="ListParagraph"/>
        <w:numPr>
          <w:ilvl w:val="0"/>
          <w:numId w:val="1"/>
        </w:numPr>
        <w:rPr>
          <w:rFonts w:ascii="Times New Roman" w:hAnsi="Times New Roman"/>
          <w:b/>
          <w:sz w:val="24"/>
          <w:szCs w:val="24"/>
          <w:u w:val="single"/>
        </w:rPr>
      </w:pPr>
      <w:r w:rsidRPr="001940D9">
        <w:rPr>
          <w:rFonts w:ascii="Times New Roman" w:hAnsi="Times New Roman"/>
          <w:b/>
          <w:sz w:val="24"/>
          <w:szCs w:val="24"/>
          <w:u w:val="single"/>
        </w:rPr>
        <w:t>Career Advising</w:t>
      </w:r>
    </w:p>
    <w:p w14:paraId="015462E1" w14:textId="77777777" w:rsidR="00A752AB" w:rsidRPr="001940D9" w:rsidRDefault="00A752AB" w:rsidP="00A752AB">
      <w:pPr>
        <w:ind w:left="720"/>
      </w:pPr>
      <w:r w:rsidRPr="001940D9">
        <w:t>Career advising supports each student to complete a college and career plan during high school that identifies areas of aptitude and interest, explores career opportunities, and establishes a transition path to college, apprenticeship, and/or employment training. This includes helping students surmount obstacles to completion of their plan.</w:t>
      </w:r>
    </w:p>
    <w:p w14:paraId="1D620CEF" w14:textId="77777777" w:rsidR="00A752AB" w:rsidRPr="001940D9" w:rsidRDefault="00A752AB" w:rsidP="00A752AB">
      <w:pPr>
        <w:pStyle w:val="ListParagraph"/>
        <w:numPr>
          <w:ilvl w:val="0"/>
          <w:numId w:val="1"/>
        </w:numPr>
        <w:rPr>
          <w:rFonts w:ascii="Times New Roman" w:hAnsi="Times New Roman"/>
          <w:b/>
          <w:sz w:val="24"/>
          <w:szCs w:val="24"/>
          <w:u w:val="single"/>
        </w:rPr>
      </w:pPr>
      <w:r w:rsidRPr="001940D9">
        <w:rPr>
          <w:rFonts w:ascii="Times New Roman" w:hAnsi="Times New Roman"/>
          <w:b/>
          <w:sz w:val="24"/>
          <w:szCs w:val="24"/>
          <w:u w:val="single"/>
        </w:rPr>
        <w:t>Labor Market Information</w:t>
      </w:r>
    </w:p>
    <w:p w14:paraId="5596F355" w14:textId="77777777" w:rsidR="00A752AB" w:rsidRPr="001940D9" w:rsidRDefault="00A752AB" w:rsidP="00A752AB">
      <w:pPr>
        <w:ind w:left="720"/>
      </w:pPr>
      <w:r w:rsidRPr="001940D9">
        <w:t>The pathway is justified by labor market information related to employer demand and career opportunities.</w:t>
      </w:r>
    </w:p>
    <w:p w14:paraId="1B01E64D" w14:textId="77777777" w:rsidR="00A752AB" w:rsidRPr="001940D9" w:rsidRDefault="00A752AB" w:rsidP="00A752AB">
      <w:pPr>
        <w:pStyle w:val="ListParagraph"/>
        <w:numPr>
          <w:ilvl w:val="0"/>
          <w:numId w:val="1"/>
        </w:numPr>
        <w:rPr>
          <w:rFonts w:ascii="Times New Roman" w:hAnsi="Times New Roman"/>
          <w:b/>
          <w:sz w:val="24"/>
          <w:szCs w:val="24"/>
          <w:u w:val="single"/>
        </w:rPr>
      </w:pPr>
      <w:r w:rsidRPr="001940D9">
        <w:rPr>
          <w:rFonts w:ascii="Times New Roman" w:hAnsi="Times New Roman"/>
          <w:b/>
          <w:sz w:val="24"/>
          <w:szCs w:val="24"/>
          <w:u w:val="single"/>
        </w:rPr>
        <w:t>Integrated Instruction</w:t>
      </w:r>
    </w:p>
    <w:p w14:paraId="32ECCEAC" w14:textId="77777777" w:rsidR="00A752AB" w:rsidRPr="001940D9" w:rsidRDefault="00A752AB" w:rsidP="00A752AB">
      <w:pPr>
        <w:ind w:left="720"/>
      </w:pPr>
      <w:r w:rsidRPr="001940D9">
        <w:t xml:space="preserve">Students participate in a carefully designed sequence of integrated, rigorous instructional courses relevant to their pathway, including both academic and technical subjects.  </w:t>
      </w:r>
    </w:p>
    <w:p w14:paraId="41C166E3" w14:textId="77777777" w:rsidR="00A752AB" w:rsidRPr="001940D9" w:rsidRDefault="00A752AB" w:rsidP="00A752AB">
      <w:pPr>
        <w:pStyle w:val="ListParagraph"/>
        <w:numPr>
          <w:ilvl w:val="0"/>
          <w:numId w:val="1"/>
        </w:numPr>
        <w:rPr>
          <w:rFonts w:ascii="Times New Roman" w:hAnsi="Times New Roman"/>
          <w:b/>
          <w:sz w:val="24"/>
          <w:szCs w:val="24"/>
          <w:u w:val="single"/>
        </w:rPr>
      </w:pPr>
      <w:r w:rsidRPr="001940D9">
        <w:rPr>
          <w:rFonts w:ascii="Times New Roman" w:hAnsi="Times New Roman"/>
          <w:b/>
          <w:sz w:val="24"/>
          <w:szCs w:val="24"/>
          <w:u w:val="single"/>
        </w:rPr>
        <w:t>Work-based Learning</w:t>
      </w:r>
    </w:p>
    <w:p w14:paraId="3394FA77" w14:textId="77777777" w:rsidR="00A752AB" w:rsidRPr="001940D9" w:rsidRDefault="00A752AB" w:rsidP="00A752AB">
      <w:pPr>
        <w:ind w:left="720"/>
      </w:pPr>
      <w:r w:rsidRPr="001940D9">
        <w:t xml:space="preserve">Students participate in structured work readiness activities and work-based learning experiences. </w:t>
      </w:r>
    </w:p>
    <w:p w14:paraId="75598590" w14:textId="77777777" w:rsidR="00A752AB" w:rsidRPr="001940D9" w:rsidRDefault="00A752AB" w:rsidP="00A752AB">
      <w:pPr>
        <w:pStyle w:val="ListParagraph"/>
        <w:numPr>
          <w:ilvl w:val="0"/>
          <w:numId w:val="1"/>
        </w:numPr>
        <w:rPr>
          <w:rFonts w:ascii="Times New Roman" w:hAnsi="Times New Roman"/>
          <w:b/>
          <w:sz w:val="24"/>
          <w:szCs w:val="24"/>
          <w:u w:val="single"/>
        </w:rPr>
      </w:pPr>
      <w:r w:rsidRPr="001940D9">
        <w:rPr>
          <w:rFonts w:ascii="Times New Roman" w:hAnsi="Times New Roman"/>
          <w:b/>
          <w:sz w:val="24"/>
          <w:szCs w:val="24"/>
          <w:u w:val="single"/>
        </w:rPr>
        <w:t>Credential Preparation</w:t>
      </w:r>
    </w:p>
    <w:p w14:paraId="0665D975" w14:textId="77777777" w:rsidR="00A752AB" w:rsidRPr="001940D9" w:rsidRDefault="00A752AB" w:rsidP="00A752AB">
      <w:pPr>
        <w:ind w:left="720"/>
      </w:pPr>
      <w:r w:rsidRPr="001940D9">
        <w:t xml:space="preserve">The pathway enables students to make progress toward attainment of an industry-recognized credential or college credits toward a Certificate, Associates, or Baccalaureate degree. </w:t>
      </w:r>
    </w:p>
    <w:p w14:paraId="0C53FF9A" w14:textId="77777777" w:rsidR="00A752AB" w:rsidRPr="001940D9" w:rsidRDefault="00A752AB" w:rsidP="00A752AB">
      <w:pPr>
        <w:pStyle w:val="ListParagraph"/>
        <w:numPr>
          <w:ilvl w:val="0"/>
          <w:numId w:val="1"/>
        </w:numPr>
        <w:rPr>
          <w:rFonts w:ascii="Times New Roman" w:hAnsi="Times New Roman"/>
          <w:b/>
          <w:sz w:val="24"/>
          <w:szCs w:val="24"/>
          <w:u w:val="single"/>
        </w:rPr>
      </w:pPr>
      <w:r w:rsidRPr="001940D9">
        <w:rPr>
          <w:rFonts w:ascii="Times New Roman" w:hAnsi="Times New Roman"/>
          <w:b/>
          <w:sz w:val="24"/>
          <w:szCs w:val="24"/>
          <w:u w:val="single"/>
        </w:rPr>
        <w:t>Postsecondary Linkages</w:t>
      </w:r>
    </w:p>
    <w:p w14:paraId="0D815CDD" w14:textId="77777777" w:rsidR="00A752AB" w:rsidRPr="001940D9" w:rsidRDefault="00A752AB" w:rsidP="00A752AB">
      <w:pPr>
        <w:ind w:left="720"/>
      </w:pPr>
      <w:r w:rsidRPr="001940D9">
        <w:t>Students participate in a wide range of college awareness and engagement activities to inform their postsecondary plan, relating to college, apprenticeship and/or training programs.</w:t>
      </w:r>
    </w:p>
    <w:p w14:paraId="36D43A51" w14:textId="77777777" w:rsidR="00A752AB" w:rsidRPr="001940D9" w:rsidRDefault="00A752AB" w:rsidP="00A752AB"/>
    <w:p w14:paraId="06CDF977" w14:textId="77777777" w:rsidR="00A752AB" w:rsidRPr="001940D9" w:rsidRDefault="00A752AB" w:rsidP="00A752AB">
      <w:r w:rsidRPr="001940D9">
        <w:t>The evidence that will be sought from applicants about these six characteristics will be embedded in the five Guiding Principles, as shown below, so that the two are aligned and seamless.</w:t>
      </w:r>
    </w:p>
    <w:p w14:paraId="26E7FB03" w14:textId="77777777" w:rsidR="00A752AB" w:rsidRPr="001940D9" w:rsidRDefault="00A752AB" w:rsidP="00A752AB">
      <w:pPr>
        <w:rPr>
          <w:b/>
          <w:bCs/>
          <w:sz w:val="28"/>
          <w:szCs w:val="32"/>
        </w:rPr>
      </w:pPr>
    </w:p>
    <w:p w14:paraId="2C955F15" w14:textId="77777777" w:rsidR="00A752AB" w:rsidRPr="001940D9" w:rsidRDefault="00A752AB" w:rsidP="00A752AB">
      <w:pPr>
        <w:rPr>
          <w:b/>
          <w:bCs/>
          <w:sz w:val="36"/>
          <w:szCs w:val="40"/>
        </w:rPr>
      </w:pPr>
      <w:r w:rsidRPr="001940D9">
        <w:rPr>
          <w:b/>
          <w:bCs/>
          <w:sz w:val="28"/>
          <w:szCs w:val="32"/>
        </w:rPr>
        <w:t>The Promise of Early College</w:t>
      </w:r>
    </w:p>
    <w:p w14:paraId="796D7CEC" w14:textId="77777777" w:rsidR="00A752AB" w:rsidRPr="001940D9" w:rsidRDefault="00A752AB" w:rsidP="00A752AB">
      <w:r w:rsidRPr="001940D9">
        <w:t xml:space="preserve">At first glance, the concept of early college is a simple one—a model that includes free standing schools as well as programs within a school, both of which accelerate pathway oriented, well supported college level course taking in high school.  </w:t>
      </w:r>
      <w:r w:rsidRPr="001940D9">
        <w:rPr>
          <w:bCs/>
        </w:rPr>
        <w:t xml:space="preserve">Through deep and strategic partnerships between high schools and institutions of higher education, early college programs enable high school students to earn a significant number of college credits on an intentional pathway in a rigorous, highly supportive environment.  </w:t>
      </w:r>
      <w:r w:rsidRPr="001940D9">
        <w:t xml:space="preserve">Early college allows high school students to take college credit bearing courses, as part of a holistic supportive model to ensure student success and seamless progression to higher education. This model offers sea change in the integration and alignment of high school with college.  </w:t>
      </w:r>
    </w:p>
    <w:p w14:paraId="785E50D5" w14:textId="77777777" w:rsidR="00A752AB" w:rsidRPr="001940D9" w:rsidRDefault="00A752AB" w:rsidP="00A752AB"/>
    <w:p w14:paraId="554FF92F" w14:textId="77777777" w:rsidR="00A752AB" w:rsidRPr="001940D9" w:rsidRDefault="00A752AB" w:rsidP="00A752AB">
      <w:r w:rsidRPr="001940D9">
        <w:t xml:space="preserve">While the structure demands significant investment in redesign and alignment, early college is a model that has delivered strong outcomes, creating opportunities for students to go farther and </w:t>
      </w:r>
      <w:r w:rsidRPr="001940D9">
        <w:lastRenderedPageBreak/>
        <w:t xml:space="preserve">higher than before by helping them develop the courage and knowhow to think differently about their education; while it benefits </w:t>
      </w:r>
      <w:r w:rsidRPr="001940D9">
        <w:rPr>
          <w:i/>
        </w:rPr>
        <w:t>all</w:t>
      </w:r>
      <w:r w:rsidRPr="001940D9">
        <w:t xml:space="preserve"> students, this model has proven to be especially powerful for first generation college students and low income students.  For many, early college captures the promise of an early introduction to college course taking, and allows young people who may not have seen themselves going to college the opportunity to rethink what college means, to see themselves as college students, and to build a longer term vision for their career and their lives.</w:t>
      </w:r>
    </w:p>
    <w:p w14:paraId="78175903" w14:textId="77777777" w:rsidR="00A752AB" w:rsidRPr="001940D9" w:rsidRDefault="00A752AB" w:rsidP="00A752AB"/>
    <w:p w14:paraId="32BEB93C" w14:textId="77777777" w:rsidR="00A752AB" w:rsidRPr="001940D9" w:rsidRDefault="00A752AB" w:rsidP="00A752AB">
      <w:r w:rsidRPr="001940D9">
        <w:t>Like many innovations, early college has its roots in Massachusetts—the first known model of early college was developed by Elizabeth Blodgett Hall, who founded Simon’s Rock (later Bard College at Simon’s Rock) in Great Barrington, Massachusetts in 1966.  In 1974, La Guardia Community College launched a “middle college high school” to serve at risk students.  Both models influenced the Bill and Melinda Gates Foundation to launch the Early College High School Initiative in partnership with Massachusetts based nonprofit Jobs for the Future.  From there, early college grew at larger scale within the public sphere. The learning from these many years of experience with early college models demonstrated that students who had traditionally experienced barriers to higher education were able to thrive in an early college environment.</w:t>
      </w:r>
      <w:r w:rsidRPr="001940D9">
        <w:rPr>
          <w:rStyle w:val="FootnoteReference"/>
          <w:rFonts w:eastAsia="Calibri"/>
        </w:rPr>
        <w:footnoteReference w:id="2"/>
      </w:r>
      <w:r w:rsidRPr="001940D9">
        <w:t xml:space="preserve"> </w:t>
      </w:r>
    </w:p>
    <w:p w14:paraId="59D4F110" w14:textId="77777777" w:rsidR="00A752AB" w:rsidRPr="001940D9" w:rsidRDefault="00A752AB" w:rsidP="00A752AB"/>
    <w:p w14:paraId="5930CA7A" w14:textId="77777777" w:rsidR="00A752AB" w:rsidRPr="001940D9" w:rsidRDefault="00A752AB" w:rsidP="00A752AB">
      <w:r w:rsidRPr="001940D9">
        <w:t xml:space="preserve">Through the Gates initiative and many others throughout the country, early college has become one of the most successful ways to rethink high school, college, and the pathway through and to both, facilitating growth and development for tens of thousands of students. </w:t>
      </w:r>
    </w:p>
    <w:p w14:paraId="3FD49817" w14:textId="77777777" w:rsidR="00A752AB" w:rsidRPr="001940D9" w:rsidRDefault="00A752AB" w:rsidP="00A752AB"/>
    <w:p w14:paraId="59DB882A" w14:textId="77777777" w:rsidR="00A752AB" w:rsidRPr="001940D9" w:rsidRDefault="00A752AB" w:rsidP="00A752AB">
      <w:r w:rsidRPr="001940D9">
        <w:t>This description of the impact of early college is not hyperbolic, but proven.</w:t>
      </w:r>
      <w:r w:rsidRPr="001940D9">
        <w:rPr>
          <w:rStyle w:val="FootnoteReference"/>
          <w:rFonts w:eastAsia="Calibri"/>
        </w:rPr>
        <w:footnoteReference w:id="3"/>
      </w:r>
      <w:r w:rsidRPr="001940D9">
        <w:t xml:space="preserve">  In a national randomized control study by the American Institutes for Research, students who attended early college were 5% more likely to graduate from high school, 10% more likely to be enrolled in college within two years of their high school graduation, and 22% more likely to obtain an associate’s degree or greater within two years of their high school graduation.</w:t>
      </w:r>
      <w:r w:rsidRPr="001940D9">
        <w:rPr>
          <w:rStyle w:val="FootnoteReference"/>
          <w:rFonts w:eastAsia="Calibri"/>
        </w:rPr>
        <w:footnoteReference w:id="4"/>
      </w:r>
      <w:r w:rsidRPr="001940D9">
        <w:t xml:space="preserve">  </w:t>
      </w:r>
    </w:p>
    <w:p w14:paraId="56039CFB" w14:textId="77777777" w:rsidR="00A752AB" w:rsidRPr="001940D9" w:rsidRDefault="00A752AB" w:rsidP="00A752AB"/>
    <w:p w14:paraId="63AA2E56" w14:textId="77777777" w:rsidR="00A752AB" w:rsidRPr="001940D9" w:rsidRDefault="00A752AB" w:rsidP="00A752AB">
      <w:r w:rsidRPr="001940D9">
        <w:t xml:space="preserve">Early college has demonstrated that when students are given the opportunity to work towards taking and completing college level coursework without regard to assumptions made based on their prior academic performance or their personal background, those students are often able to thrive and achieve academic success in an environment that supports them to surpass their previous achievement and attainment trajectories. </w:t>
      </w:r>
    </w:p>
    <w:p w14:paraId="12C07B54" w14:textId="77777777" w:rsidR="00A752AB" w:rsidRPr="001940D9" w:rsidRDefault="00A752AB" w:rsidP="00A752AB"/>
    <w:p w14:paraId="7D47F012" w14:textId="77777777" w:rsidR="00A752AB" w:rsidRPr="001940D9" w:rsidRDefault="00A752AB" w:rsidP="00A752AB">
      <w:r w:rsidRPr="001940D9">
        <w:t xml:space="preserve">In order to accomplish this, in January 2017, the Boards of Elementary and Secondary Education and Higher Education jointly launched an Early College Initiative, intended to support the expansion of early college in Massachusetts and establish an Early College Program Designation. At that time, both boards </w:t>
      </w:r>
      <w:r w:rsidRPr="001940D9">
        <w:rPr>
          <w:bCs/>
        </w:rPr>
        <w:t>jointly approved the five guiding principles for Early College Programs, based on findings in the research described above.  The Boards also created an Early College Joint Committee, a five person joint committee of both boards, which includes the Chair of the Board of Elementary and Secondary Education, the Chair of the Board of Higher Education, one additional member from each board, and the Secretary of Education.  The Commissioners of Higher Education and Elementary and Secondary Education</w:t>
      </w:r>
      <w:r>
        <w:rPr>
          <w:bCs/>
        </w:rPr>
        <w:t xml:space="preserve"> (ECJC)</w:t>
      </w:r>
      <w:r w:rsidRPr="001940D9">
        <w:rPr>
          <w:bCs/>
        </w:rPr>
        <w:t xml:space="preserve"> serve as non-voting members of the committee as well.  The ECJC was charged with developing this early college designation process for the Commonwealth and catalyzing the successful growth of high quality early college programs in Massachusetts.  The ECJC will also issue final approval for all Massachusetts Early College program designations.</w:t>
      </w:r>
    </w:p>
    <w:p w14:paraId="4BD1E956" w14:textId="77777777" w:rsidR="00A752AB" w:rsidRPr="00A752AB" w:rsidRDefault="00A752AB" w:rsidP="00A752AB">
      <w:pPr>
        <w:pStyle w:val="Heading1"/>
        <w:rPr>
          <w:b w:val="0"/>
          <w:color w:val="000000"/>
          <w:highlight w:val="yellow"/>
        </w:rPr>
      </w:pPr>
      <w:bookmarkStart w:id="5" w:name="_Toc523485643"/>
    </w:p>
    <w:p w14:paraId="4EF15964" w14:textId="77777777" w:rsidR="00A752AB" w:rsidRPr="00A752AB" w:rsidRDefault="00A752AB" w:rsidP="00A752AB">
      <w:pPr>
        <w:pStyle w:val="Heading1"/>
        <w:rPr>
          <w:b w:val="0"/>
          <w:color w:val="000000"/>
        </w:rPr>
      </w:pPr>
      <w:r w:rsidRPr="00A752AB">
        <w:rPr>
          <w:color w:val="000000"/>
        </w:rPr>
        <w:t>Early College Planning Grant Purpose</w:t>
      </w:r>
    </w:p>
    <w:p w14:paraId="1BFF204E" w14:textId="77777777" w:rsidR="00A752AB" w:rsidRPr="004D5B90" w:rsidRDefault="00A752AB" w:rsidP="00A752AB"/>
    <w:p w14:paraId="2587150C" w14:textId="77777777" w:rsidR="00A752AB" w:rsidRPr="001940D9" w:rsidRDefault="00A752AB" w:rsidP="00A752AB">
      <w:pPr>
        <w:rPr>
          <w:bCs/>
          <w:color w:val="000000"/>
        </w:rPr>
      </w:pPr>
      <w:r w:rsidRPr="004D5B90">
        <w:rPr>
          <w:bCs/>
          <w:color w:val="000000"/>
        </w:rPr>
        <w:t>The purpose of the grant</w:t>
      </w:r>
      <w:r w:rsidRPr="00A752AB">
        <w:rPr>
          <w:color w:val="000000"/>
        </w:rPr>
        <w:t xml:space="preserve"> is to provide resources to Early College program partner applicants who are planning to seek an Early College designation to enroll students in the Fall of 2020.</w:t>
      </w:r>
      <w:r>
        <w:rPr>
          <w:bCs/>
          <w:color w:val="000000"/>
        </w:rPr>
        <w:t xml:space="preserve"> The resources are intended to support both the secondary school partner and the institution of higher education (IHE) partner in their planning and ultimate completion of both Part A and Part B of the application process. </w:t>
      </w:r>
    </w:p>
    <w:p w14:paraId="4A3F367D" w14:textId="77777777" w:rsidR="00A752AB" w:rsidRPr="001940D9" w:rsidRDefault="00A752AB" w:rsidP="00A752AB"/>
    <w:p w14:paraId="761A3E09" w14:textId="77777777" w:rsidR="00A752AB" w:rsidRPr="00A752AB" w:rsidRDefault="00A752AB" w:rsidP="00A752AB">
      <w:pPr>
        <w:pStyle w:val="Heading1"/>
        <w:rPr>
          <w:b w:val="0"/>
          <w:color w:val="000000"/>
        </w:rPr>
      </w:pPr>
      <w:r w:rsidRPr="00A752AB">
        <w:rPr>
          <w:color w:val="000000"/>
        </w:rPr>
        <w:t xml:space="preserve">Early College Planning Grant Eligibility </w:t>
      </w:r>
      <w:bookmarkEnd w:id="5"/>
      <w:r w:rsidRPr="00A752AB">
        <w:rPr>
          <w:color w:val="000000"/>
        </w:rPr>
        <w:t>and Funding</w:t>
      </w:r>
    </w:p>
    <w:p w14:paraId="67CADD4C" w14:textId="77777777" w:rsidR="00A752AB" w:rsidRPr="001940D9" w:rsidRDefault="00A752AB" w:rsidP="00A752AB">
      <w:pPr>
        <w:rPr>
          <w:sz w:val="16"/>
          <w:szCs w:val="16"/>
        </w:rPr>
      </w:pPr>
    </w:p>
    <w:p w14:paraId="6C989A87" w14:textId="77777777" w:rsidR="00A752AB" w:rsidRPr="001940D9" w:rsidRDefault="00A752AB" w:rsidP="00A752AB">
      <w:r w:rsidRPr="001940D9">
        <w:t xml:space="preserve">To qualify for competitive funding, applicants must plan to apply </w:t>
      </w:r>
      <w:r>
        <w:t>and complete the Planning Grant application by</w:t>
      </w:r>
      <w:r w:rsidR="00D84EBB">
        <w:t xml:space="preserve"> 5pm</w:t>
      </w:r>
      <w:r>
        <w:t xml:space="preserve"> January 20, 2020. </w:t>
      </w:r>
      <w:r w:rsidR="00D84EBB">
        <w:t xml:space="preserve">  </w:t>
      </w:r>
    </w:p>
    <w:p w14:paraId="356D18CA" w14:textId="77777777" w:rsidR="00A752AB" w:rsidRPr="001940D9" w:rsidRDefault="00A752AB" w:rsidP="00A752AB"/>
    <w:p w14:paraId="355CDF04" w14:textId="77777777" w:rsidR="00A752AB" w:rsidRPr="001940D9" w:rsidRDefault="00A752AB" w:rsidP="00A752AB">
      <w:r>
        <w:t>Applicants should apply as already agreed-upon partners. This</w:t>
      </w:r>
      <w:r w:rsidRPr="001940D9">
        <w:t xml:space="preserve"> partnership should consist of a</w:t>
      </w:r>
      <w:r>
        <w:t xml:space="preserve"> K-12/secondary school and a</w:t>
      </w:r>
      <w:r w:rsidRPr="001940D9">
        <w:t>n IHE</w:t>
      </w:r>
      <w:r w:rsidRPr="00632AE9">
        <w:rPr>
          <w:u w:val="single"/>
        </w:rPr>
        <w:t>. Though IHE’s may have more than one partnership with a secondary school, each unique partnership must apply separately.</w:t>
      </w:r>
      <w:r>
        <w:t xml:space="preserve"> Additionally, local 2 year and 4 year IHE’s can partner together to support a K-12 program. </w:t>
      </w:r>
    </w:p>
    <w:p w14:paraId="46E469EE" w14:textId="77777777" w:rsidR="00A752AB" w:rsidRPr="001940D9" w:rsidRDefault="00A752AB" w:rsidP="00A752AB"/>
    <w:p w14:paraId="43C0A242" w14:textId="77777777" w:rsidR="00A752AB" w:rsidRPr="008B7590" w:rsidRDefault="00A752AB" w:rsidP="00A752AB">
      <w:r w:rsidRPr="003E1173">
        <w:t xml:space="preserve">The planning grant will award </w:t>
      </w:r>
      <w:r w:rsidR="00D84EBB">
        <w:t>between $10,000 and</w:t>
      </w:r>
      <w:r w:rsidRPr="003E1173">
        <w:t xml:space="preserve"> $</w:t>
      </w:r>
      <w:r>
        <w:t>30</w:t>
      </w:r>
      <w:r w:rsidRPr="003E1173">
        <w:t xml:space="preserve">,000 in support of </w:t>
      </w:r>
      <w:r w:rsidR="00D84EBB">
        <w:t>the</w:t>
      </w:r>
      <w:r w:rsidRPr="003E1173">
        <w:t xml:space="preserve"> Early College Designation </w:t>
      </w:r>
      <w:r w:rsidRPr="008B7590">
        <w:t xml:space="preserve">application. </w:t>
      </w:r>
      <w:r w:rsidR="00D84EBB">
        <w:t xml:space="preserve">Programs that are working on Part A of the application will be awarded $10,000 while programs working on Part B can be awarded up to $30,000.  </w:t>
      </w:r>
    </w:p>
    <w:p w14:paraId="501D8CCD" w14:textId="77777777" w:rsidR="00A752AB" w:rsidRPr="008B7590" w:rsidRDefault="00A752AB" w:rsidP="00A752AB"/>
    <w:p w14:paraId="18AF719C" w14:textId="77777777" w:rsidR="00A752AB" w:rsidRPr="008B7590" w:rsidRDefault="00A752AB" w:rsidP="00A752AB">
      <w:r w:rsidRPr="008B7590">
        <w:t>Note:</w:t>
      </w:r>
      <w:r w:rsidR="00D84EBB">
        <w:t xml:space="preserve"> There is the expectation that</w:t>
      </w:r>
      <w:r w:rsidRPr="008B7590">
        <w:t xml:space="preserve"> $3,000 of the $10,000 initial award will be used for staff participation in the College and Career Advising (MyCAP) Professional Development Series in SY2019-20, provided that the school has not competed the series in the past. </w:t>
      </w:r>
    </w:p>
    <w:p w14:paraId="1DA63F0C" w14:textId="77777777" w:rsidR="00A752AB" w:rsidRPr="008B7590" w:rsidRDefault="00A752AB" w:rsidP="00A752AB"/>
    <w:p w14:paraId="0DCD6CE1" w14:textId="77777777" w:rsidR="00A752AB" w:rsidRPr="001940D9" w:rsidRDefault="00A752AB" w:rsidP="00A752AB">
      <w:r w:rsidRPr="001940D9">
        <w:t xml:space="preserve">The maximum award </w:t>
      </w:r>
      <w:r w:rsidRPr="001940D9">
        <w:rPr>
          <w:u w:val="single"/>
        </w:rPr>
        <w:t>is up to $30,000.</w:t>
      </w:r>
      <w:r w:rsidRPr="001940D9">
        <w:t xml:space="preserve">  </w:t>
      </w:r>
    </w:p>
    <w:p w14:paraId="1CD6AC16" w14:textId="77777777" w:rsidR="00A752AB" w:rsidRPr="001940D9" w:rsidRDefault="00A752AB" w:rsidP="00A752AB"/>
    <w:p w14:paraId="7294923E" w14:textId="77777777" w:rsidR="00A752AB" w:rsidRPr="001940D9" w:rsidRDefault="00A752AB" w:rsidP="00A752AB"/>
    <w:p w14:paraId="48BB54F3" w14:textId="77777777" w:rsidR="00A752AB" w:rsidRPr="00A752AB" w:rsidRDefault="00A752AB" w:rsidP="00A752AB">
      <w:pPr>
        <w:pStyle w:val="Heading1"/>
        <w:rPr>
          <w:b w:val="0"/>
          <w:color w:val="000000"/>
        </w:rPr>
      </w:pPr>
      <w:r w:rsidRPr="00A752AB">
        <w:rPr>
          <w:color w:val="000000"/>
        </w:rPr>
        <w:t>Primary Contact</w:t>
      </w:r>
    </w:p>
    <w:p w14:paraId="55B6D501" w14:textId="77777777" w:rsidR="00A752AB" w:rsidRDefault="00A752AB" w:rsidP="00A752AB"/>
    <w:p w14:paraId="62166253" w14:textId="77777777" w:rsidR="00A752AB" w:rsidRPr="00C441DC" w:rsidRDefault="00A752AB" w:rsidP="00A752AB">
      <w:r w:rsidRPr="006F2D1D">
        <w:t xml:space="preserve">Kristin Hunt, Early College Director, Department of Elementary and Secondary Education, </w:t>
      </w:r>
      <w:hyperlink r:id="rId14" w:history="1">
        <w:r w:rsidRPr="006F2D1D">
          <w:rPr>
            <w:rStyle w:val="Hyperlink"/>
          </w:rPr>
          <w:t>Kristin.hunt@doe.mass.edu</w:t>
        </w:r>
      </w:hyperlink>
      <w:r w:rsidRPr="006F2D1D">
        <w:t>; (781) 338-3110</w:t>
      </w:r>
    </w:p>
    <w:p w14:paraId="0FC6F7A0" w14:textId="77777777" w:rsidR="00A752AB" w:rsidRPr="001940D9" w:rsidRDefault="00A752AB" w:rsidP="00A752AB"/>
    <w:p w14:paraId="5F16770F" w14:textId="77777777" w:rsidR="00A752AB" w:rsidRPr="00A752AB" w:rsidRDefault="00A752AB" w:rsidP="00A752AB">
      <w:pPr>
        <w:pStyle w:val="Heading1"/>
        <w:rPr>
          <w:b w:val="0"/>
          <w:color w:val="000000"/>
        </w:rPr>
      </w:pPr>
      <w:bookmarkStart w:id="6" w:name="_Toc523485642"/>
    </w:p>
    <w:p w14:paraId="7BE274A7" w14:textId="77777777" w:rsidR="00A752AB" w:rsidRDefault="00A752AB" w:rsidP="00A752AB"/>
    <w:p w14:paraId="39A234B0" w14:textId="77777777" w:rsidR="00A752AB" w:rsidRDefault="00A752AB" w:rsidP="00A752AB"/>
    <w:p w14:paraId="1ECC0DE5" w14:textId="77777777" w:rsidR="00A752AB" w:rsidRDefault="00A752AB" w:rsidP="00A752AB"/>
    <w:p w14:paraId="153DC863" w14:textId="77777777" w:rsidR="00A752AB" w:rsidRDefault="00A752AB" w:rsidP="00A752AB"/>
    <w:p w14:paraId="7E3D284C" w14:textId="77777777" w:rsidR="00A752AB" w:rsidRDefault="00A752AB" w:rsidP="00A752AB"/>
    <w:p w14:paraId="0B3FDD81" w14:textId="77777777" w:rsidR="00A752AB" w:rsidRDefault="00A752AB" w:rsidP="00A752AB"/>
    <w:p w14:paraId="2C2154F0" w14:textId="77777777" w:rsidR="00A752AB" w:rsidRDefault="00A752AB" w:rsidP="00A752AB"/>
    <w:p w14:paraId="15C44213" w14:textId="77777777" w:rsidR="00A752AB" w:rsidRPr="003906F8" w:rsidRDefault="00A752AB" w:rsidP="00A752AB"/>
    <w:bookmarkEnd w:id="6"/>
    <w:p w14:paraId="25277FF0" w14:textId="77777777" w:rsidR="00A752AB" w:rsidRPr="001940D9" w:rsidRDefault="00A752AB" w:rsidP="00A752AB"/>
    <w:p w14:paraId="7763D407" w14:textId="77777777" w:rsidR="00A752AB" w:rsidRPr="00A752AB" w:rsidRDefault="00A752AB" w:rsidP="00A752AB">
      <w:pPr>
        <w:pStyle w:val="Heading1"/>
        <w:rPr>
          <w:b w:val="0"/>
          <w:color w:val="000000"/>
        </w:rPr>
      </w:pPr>
      <w:r w:rsidRPr="00A752AB">
        <w:rPr>
          <w:color w:val="000000"/>
        </w:rPr>
        <w:t>Planning Grant Evaluation</w:t>
      </w:r>
    </w:p>
    <w:p w14:paraId="4BCA1970" w14:textId="77777777" w:rsidR="00A752AB" w:rsidRDefault="00A752AB" w:rsidP="00A752AB">
      <w:r w:rsidRPr="001940D9">
        <w:t>Applicants must complete the “</w:t>
      </w:r>
      <w:r>
        <w:t>R</w:t>
      </w:r>
      <w:r w:rsidRPr="001940D9">
        <w:t>eadiness</w:t>
      </w:r>
      <w:r>
        <w:t xml:space="preserve"> Commitment</w:t>
      </w:r>
      <w:r w:rsidRPr="001940D9">
        <w:t xml:space="preserve"> </w:t>
      </w:r>
      <w:r>
        <w:t>C</w:t>
      </w:r>
      <w:r w:rsidRPr="001940D9">
        <w:t xml:space="preserve">hecklist” and then illustrate in their responses how planning grant funds from the state will help the applicants develop </w:t>
      </w:r>
      <w:r>
        <w:t>Early College</w:t>
      </w:r>
      <w:r w:rsidRPr="001940D9">
        <w:t xml:space="preserve"> programs that will meet all criteria requirements.</w:t>
      </w:r>
      <w:r>
        <w:t xml:space="preserve"> Each item in the “Readiness Commitment Checklist” is closely tied to the five guiding principles that are essential to a successful High Quality College and Career Pathway. </w:t>
      </w:r>
    </w:p>
    <w:p w14:paraId="233EB222" w14:textId="77777777" w:rsidR="00A752AB" w:rsidRDefault="00A752AB" w:rsidP="00A752AB"/>
    <w:p w14:paraId="37449107" w14:textId="77777777" w:rsidR="00A752AB" w:rsidRDefault="00A752AB" w:rsidP="00A752AB">
      <w:r w:rsidRPr="001940D9">
        <w:t xml:space="preserve">Submissions will be screened for completeness, conformity to the program requirements, and timeliness of response. Submissions that are incomplete, non-conforming, or late may not be considered. </w:t>
      </w:r>
      <w:r w:rsidRPr="00C021F4">
        <w:t>Applications will be scored based on the quality of the applicants’ plans for the use of the requested funds to support the pathway in meeting criteria for Designation.</w:t>
      </w:r>
      <w:r w:rsidRPr="00C021F4">
        <w:rPr>
          <w:sz w:val="20"/>
          <w:szCs w:val="20"/>
        </w:rPr>
        <w:t xml:space="preserve"> </w:t>
      </w:r>
      <w:r w:rsidRPr="004F5A55">
        <w:rPr>
          <w:i/>
          <w:iCs/>
        </w:rPr>
        <w:t>Preference may be given to applicants who not received Early College Planning Grant funds in the past.</w:t>
      </w:r>
    </w:p>
    <w:p w14:paraId="5C7C88BE" w14:textId="77777777" w:rsidR="00A752AB" w:rsidRDefault="00A752AB" w:rsidP="00A752AB"/>
    <w:p w14:paraId="3096BAA4" w14:textId="77777777" w:rsidR="00A752AB" w:rsidRPr="001940D9" w:rsidRDefault="00A752AB" w:rsidP="00A752AB">
      <w:pPr>
        <w:rPr>
          <w:sz w:val="20"/>
          <w:szCs w:val="20"/>
        </w:rPr>
      </w:pPr>
    </w:p>
    <w:p w14:paraId="2182E259" w14:textId="77777777" w:rsidR="00A752AB" w:rsidRPr="00A752AB" w:rsidRDefault="00A752AB" w:rsidP="00A752AB">
      <w:pPr>
        <w:pStyle w:val="Heading1"/>
        <w:rPr>
          <w:b w:val="0"/>
          <w:color w:val="000000"/>
        </w:rPr>
      </w:pPr>
      <w:r w:rsidRPr="00A752AB">
        <w:rPr>
          <w:color w:val="000000"/>
        </w:rPr>
        <w:t>Copy of the Planning Grant Application</w:t>
      </w:r>
    </w:p>
    <w:p w14:paraId="35322FB9" w14:textId="77777777" w:rsidR="00A752AB" w:rsidRPr="001940D9" w:rsidRDefault="00A752AB" w:rsidP="00A752AB">
      <w:pPr>
        <w:rPr>
          <w:sz w:val="20"/>
          <w:szCs w:val="20"/>
        </w:rPr>
      </w:pPr>
    </w:p>
    <w:p w14:paraId="615D994E" w14:textId="77777777" w:rsidR="00A752AB" w:rsidRPr="0058137B" w:rsidRDefault="00A752AB" w:rsidP="00A752AB">
      <w:pPr>
        <w:numPr>
          <w:ilvl w:val="0"/>
          <w:numId w:val="2"/>
        </w:numPr>
        <w:spacing w:before="100" w:beforeAutospacing="1" w:after="100" w:afterAutospacing="1"/>
        <w:contextualSpacing/>
        <w:jc w:val="center"/>
        <w:outlineLvl w:val="1"/>
        <w:rPr>
          <w:b/>
          <w:bCs/>
          <w:sz w:val="32"/>
          <w:szCs w:val="32"/>
        </w:rPr>
      </w:pPr>
      <w:r w:rsidRPr="0058137B">
        <w:rPr>
          <w:b/>
          <w:bCs/>
          <w:sz w:val="32"/>
          <w:szCs w:val="32"/>
        </w:rPr>
        <w:t>Partner Information</w:t>
      </w:r>
    </w:p>
    <w:tbl>
      <w:tblPr>
        <w:tblpPr w:leftFromText="180" w:rightFromText="180" w:vertAnchor="text" w:horzAnchor="margin" w:tblpXSpec="center" w:tblpY="50"/>
        <w:tblOverlap w:val="neve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0"/>
      </w:tblGrid>
      <w:tr w:rsidR="00A752AB" w:rsidRPr="0058137B" w14:paraId="502476E2" w14:textId="77777777" w:rsidTr="00C20BC6">
        <w:trPr>
          <w:trHeight w:val="486"/>
        </w:trPr>
        <w:tc>
          <w:tcPr>
            <w:tcW w:w="10980" w:type="dxa"/>
            <w:shd w:val="clear" w:color="auto" w:fill="auto"/>
          </w:tcPr>
          <w:p w14:paraId="5ECF4204" w14:textId="77777777" w:rsidR="00A752AB" w:rsidRPr="0058137B" w:rsidRDefault="00A752AB" w:rsidP="00C20BC6">
            <w:pPr>
              <w:contextualSpacing/>
              <w:jc w:val="center"/>
            </w:pPr>
            <w:r w:rsidRPr="00C20BC6">
              <w:rPr>
                <w:b/>
                <w:bCs/>
                <w:sz w:val="27"/>
                <w:szCs w:val="27"/>
              </w:rPr>
              <w:t>K-12 Partner Contact Information</w:t>
            </w:r>
          </w:p>
        </w:tc>
      </w:tr>
      <w:tr w:rsidR="00A752AB" w:rsidRPr="0058137B" w14:paraId="4C48ADC4" w14:textId="77777777" w:rsidTr="00C20BC6">
        <w:trPr>
          <w:trHeight w:val="432"/>
        </w:trPr>
        <w:tc>
          <w:tcPr>
            <w:tcW w:w="10980" w:type="dxa"/>
            <w:shd w:val="clear" w:color="auto" w:fill="auto"/>
          </w:tcPr>
          <w:p w14:paraId="21F1975E" w14:textId="77777777" w:rsidR="00A752AB" w:rsidRPr="0058137B" w:rsidRDefault="00A752AB" w:rsidP="00C20BC6">
            <w:pPr>
              <w:contextualSpacing/>
              <w:jc w:val="center"/>
            </w:pPr>
            <w:r w:rsidRPr="0058137B">
              <w:t>District Name</w:t>
            </w:r>
          </w:p>
        </w:tc>
      </w:tr>
      <w:tr w:rsidR="00A752AB" w:rsidRPr="0058137B" w14:paraId="5D566529" w14:textId="77777777" w:rsidTr="00C20BC6">
        <w:trPr>
          <w:trHeight w:val="432"/>
        </w:trPr>
        <w:tc>
          <w:tcPr>
            <w:tcW w:w="10980" w:type="dxa"/>
            <w:shd w:val="clear" w:color="auto" w:fill="auto"/>
          </w:tcPr>
          <w:p w14:paraId="1B3F1006" w14:textId="77777777" w:rsidR="00A752AB" w:rsidRPr="0058137B" w:rsidRDefault="00A752AB" w:rsidP="00C20BC6">
            <w:pPr>
              <w:contextualSpacing/>
              <w:jc w:val="center"/>
            </w:pPr>
            <w:r w:rsidRPr="0058137B">
              <w:t>High School</w:t>
            </w:r>
          </w:p>
        </w:tc>
      </w:tr>
      <w:tr w:rsidR="00A752AB" w:rsidRPr="0058137B" w14:paraId="2E85B857" w14:textId="77777777" w:rsidTr="00C20BC6">
        <w:trPr>
          <w:trHeight w:val="432"/>
        </w:trPr>
        <w:tc>
          <w:tcPr>
            <w:tcW w:w="10980" w:type="dxa"/>
            <w:shd w:val="clear" w:color="auto" w:fill="auto"/>
          </w:tcPr>
          <w:p w14:paraId="5673AB76" w14:textId="77777777" w:rsidR="00A752AB" w:rsidRPr="002D2B60" w:rsidRDefault="00A752AB" w:rsidP="00C20BC6">
            <w:pPr>
              <w:contextualSpacing/>
              <w:jc w:val="center"/>
            </w:pPr>
            <w:r w:rsidRPr="002D2B60">
              <w:t>K-12</w:t>
            </w:r>
            <w:r>
              <w:t xml:space="preserve"> </w:t>
            </w:r>
            <w:r w:rsidRPr="002D2B60">
              <w:t>Contact Person Name</w:t>
            </w:r>
          </w:p>
        </w:tc>
      </w:tr>
      <w:tr w:rsidR="00A752AB" w:rsidRPr="0058137B" w14:paraId="53B0AEB7" w14:textId="77777777" w:rsidTr="00C20BC6">
        <w:trPr>
          <w:trHeight w:val="516"/>
        </w:trPr>
        <w:tc>
          <w:tcPr>
            <w:tcW w:w="10980" w:type="dxa"/>
            <w:shd w:val="clear" w:color="auto" w:fill="auto"/>
          </w:tcPr>
          <w:p w14:paraId="5AFDBFB7" w14:textId="77777777" w:rsidR="00A752AB" w:rsidRPr="002D2B60" w:rsidRDefault="00A752AB" w:rsidP="00C20BC6">
            <w:pPr>
              <w:contextualSpacing/>
              <w:jc w:val="center"/>
            </w:pPr>
            <w:r w:rsidRPr="002D2B60">
              <w:t>K-12 Contact Person - Title (e.g., Principal, Head of School, Executive Director</w:t>
            </w:r>
          </w:p>
        </w:tc>
      </w:tr>
      <w:tr w:rsidR="00A752AB" w:rsidRPr="0058137B" w14:paraId="6A86D062" w14:textId="77777777" w:rsidTr="00C20BC6">
        <w:trPr>
          <w:trHeight w:val="524"/>
        </w:trPr>
        <w:tc>
          <w:tcPr>
            <w:tcW w:w="10980" w:type="dxa"/>
            <w:shd w:val="clear" w:color="auto" w:fill="auto"/>
          </w:tcPr>
          <w:p w14:paraId="3C2B7726" w14:textId="77777777" w:rsidR="00A752AB" w:rsidRPr="002D2B60" w:rsidRDefault="00A752AB" w:rsidP="00C20BC6">
            <w:pPr>
              <w:contextualSpacing/>
              <w:jc w:val="center"/>
            </w:pPr>
            <w:r w:rsidRPr="002D2B60">
              <w:t>K-12 Contact Person - E-mail</w:t>
            </w:r>
          </w:p>
        </w:tc>
      </w:tr>
      <w:tr w:rsidR="00A752AB" w:rsidRPr="0058137B" w14:paraId="682B1B35" w14:textId="77777777" w:rsidTr="00C20BC6">
        <w:trPr>
          <w:trHeight w:val="713"/>
        </w:trPr>
        <w:tc>
          <w:tcPr>
            <w:tcW w:w="10980" w:type="dxa"/>
            <w:shd w:val="clear" w:color="auto" w:fill="auto"/>
          </w:tcPr>
          <w:p w14:paraId="50F528CD" w14:textId="77777777" w:rsidR="00A752AB" w:rsidRPr="0058137B" w:rsidRDefault="00A752AB" w:rsidP="00C20BC6">
            <w:pPr>
              <w:contextualSpacing/>
              <w:jc w:val="center"/>
            </w:pPr>
            <w:r w:rsidRPr="0058137B">
              <w:t>K-12</w:t>
            </w:r>
            <w:r>
              <w:t xml:space="preserve"> </w:t>
            </w:r>
            <w:r w:rsidRPr="0058137B">
              <w:t>Contact Person - Phone Number</w:t>
            </w:r>
          </w:p>
        </w:tc>
      </w:tr>
    </w:tbl>
    <w:p w14:paraId="58BFBF2E" w14:textId="77777777" w:rsidR="00C20BC6" w:rsidRPr="00C20BC6" w:rsidRDefault="00C20BC6" w:rsidP="00C20BC6">
      <w:pPr>
        <w:rPr>
          <w:vanish/>
        </w:rPr>
      </w:pPr>
    </w:p>
    <w:tbl>
      <w:tblPr>
        <w:tblpPr w:leftFromText="180" w:rightFromText="180" w:vertAnchor="text" w:horzAnchor="margin" w:tblpXSpec="center" w:tblpY="-13"/>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5"/>
      </w:tblGrid>
      <w:tr w:rsidR="00A752AB" w:rsidRPr="0058137B" w14:paraId="23170199" w14:textId="77777777" w:rsidTr="00C20BC6">
        <w:trPr>
          <w:trHeight w:val="507"/>
        </w:trPr>
        <w:tc>
          <w:tcPr>
            <w:tcW w:w="10975" w:type="dxa"/>
            <w:shd w:val="clear" w:color="auto" w:fill="auto"/>
          </w:tcPr>
          <w:p w14:paraId="4F163C60" w14:textId="77777777" w:rsidR="00A752AB" w:rsidRPr="0058137B" w:rsidRDefault="00A752AB" w:rsidP="00C20BC6">
            <w:pPr>
              <w:contextualSpacing/>
              <w:jc w:val="center"/>
            </w:pPr>
            <w:r w:rsidRPr="00C20BC6">
              <w:rPr>
                <w:b/>
                <w:bCs/>
                <w:sz w:val="27"/>
                <w:szCs w:val="27"/>
              </w:rPr>
              <w:t>Institution of Higher Education Partner Contact Information</w:t>
            </w:r>
          </w:p>
        </w:tc>
      </w:tr>
      <w:tr w:rsidR="00A752AB" w:rsidRPr="0058137B" w14:paraId="0BC133F3" w14:textId="77777777" w:rsidTr="00C20BC6">
        <w:trPr>
          <w:trHeight w:val="452"/>
        </w:trPr>
        <w:tc>
          <w:tcPr>
            <w:tcW w:w="10975" w:type="dxa"/>
            <w:shd w:val="clear" w:color="auto" w:fill="auto"/>
          </w:tcPr>
          <w:p w14:paraId="44A51270" w14:textId="77777777" w:rsidR="00A752AB" w:rsidRPr="0058137B" w:rsidRDefault="00A752AB" w:rsidP="00C20BC6">
            <w:pPr>
              <w:contextualSpacing/>
              <w:jc w:val="center"/>
            </w:pPr>
            <w:r w:rsidRPr="00C20BC6">
              <w:rPr>
                <w:szCs w:val="32"/>
              </w:rPr>
              <w:t>Institution of Higher Education</w:t>
            </w:r>
          </w:p>
        </w:tc>
      </w:tr>
      <w:tr w:rsidR="00A752AB" w:rsidRPr="0058137B" w14:paraId="2F54210C" w14:textId="77777777" w:rsidTr="00C20BC6">
        <w:trPr>
          <w:trHeight w:val="452"/>
        </w:trPr>
        <w:tc>
          <w:tcPr>
            <w:tcW w:w="10975" w:type="dxa"/>
            <w:shd w:val="clear" w:color="auto" w:fill="auto"/>
          </w:tcPr>
          <w:p w14:paraId="0DF29BEA" w14:textId="77777777" w:rsidR="00A752AB" w:rsidRPr="0058137B" w:rsidRDefault="00A752AB" w:rsidP="00C20BC6">
            <w:pPr>
              <w:contextualSpacing/>
              <w:jc w:val="center"/>
            </w:pPr>
            <w:r w:rsidRPr="0058137B">
              <w:t xml:space="preserve">IHE </w:t>
            </w:r>
            <w:r>
              <w:t xml:space="preserve">Contact </w:t>
            </w:r>
            <w:r w:rsidRPr="0058137B">
              <w:t>Person Name</w:t>
            </w:r>
          </w:p>
        </w:tc>
      </w:tr>
      <w:tr w:rsidR="00A752AB" w:rsidRPr="0058137B" w14:paraId="7E874371" w14:textId="77777777" w:rsidTr="00C20BC6">
        <w:trPr>
          <w:trHeight w:val="552"/>
        </w:trPr>
        <w:tc>
          <w:tcPr>
            <w:tcW w:w="10975" w:type="dxa"/>
            <w:shd w:val="clear" w:color="auto" w:fill="auto"/>
          </w:tcPr>
          <w:p w14:paraId="4984964F" w14:textId="77777777" w:rsidR="00A752AB" w:rsidRPr="0058137B" w:rsidRDefault="00A752AB" w:rsidP="00C20BC6">
            <w:pPr>
              <w:contextualSpacing/>
              <w:jc w:val="center"/>
            </w:pPr>
            <w:r w:rsidRPr="0058137B">
              <w:t>IHE</w:t>
            </w:r>
            <w:r>
              <w:t xml:space="preserve"> Contact </w:t>
            </w:r>
            <w:r w:rsidRPr="0058137B">
              <w:t>Person - Title</w:t>
            </w:r>
          </w:p>
        </w:tc>
      </w:tr>
      <w:tr w:rsidR="00A752AB" w:rsidRPr="0058137B" w14:paraId="150760CC" w14:textId="77777777" w:rsidTr="00C20BC6">
        <w:trPr>
          <w:trHeight w:val="543"/>
        </w:trPr>
        <w:tc>
          <w:tcPr>
            <w:tcW w:w="10975" w:type="dxa"/>
            <w:shd w:val="clear" w:color="auto" w:fill="auto"/>
          </w:tcPr>
          <w:p w14:paraId="263331BA" w14:textId="77777777" w:rsidR="00A752AB" w:rsidRPr="0058137B" w:rsidRDefault="00A752AB" w:rsidP="00C20BC6">
            <w:pPr>
              <w:contextualSpacing/>
              <w:jc w:val="center"/>
            </w:pPr>
            <w:r w:rsidRPr="0058137B">
              <w:t>IHE</w:t>
            </w:r>
            <w:r>
              <w:t xml:space="preserve"> Contact </w:t>
            </w:r>
            <w:r w:rsidRPr="0058137B">
              <w:t>Person - E-mail</w:t>
            </w:r>
          </w:p>
        </w:tc>
      </w:tr>
      <w:tr w:rsidR="00A752AB" w:rsidRPr="0058137B" w14:paraId="7E3BF533" w14:textId="77777777" w:rsidTr="00C20BC6">
        <w:trPr>
          <w:trHeight w:val="525"/>
        </w:trPr>
        <w:tc>
          <w:tcPr>
            <w:tcW w:w="10975" w:type="dxa"/>
            <w:shd w:val="clear" w:color="auto" w:fill="auto"/>
          </w:tcPr>
          <w:p w14:paraId="57193CBD" w14:textId="77777777" w:rsidR="00A752AB" w:rsidRPr="0058137B" w:rsidRDefault="00A752AB" w:rsidP="00C20BC6">
            <w:pPr>
              <w:contextualSpacing/>
              <w:jc w:val="center"/>
            </w:pPr>
            <w:r w:rsidRPr="0058137B">
              <w:t xml:space="preserve">IHE </w:t>
            </w:r>
            <w:r>
              <w:t>Contact</w:t>
            </w:r>
            <w:r w:rsidRPr="0058137B">
              <w:t xml:space="preserve"> Person - Phone Number</w:t>
            </w:r>
          </w:p>
        </w:tc>
      </w:tr>
    </w:tbl>
    <w:p w14:paraId="5D3A9DDC" w14:textId="77777777" w:rsidR="00A752AB" w:rsidRDefault="00A752AB" w:rsidP="00A752AB">
      <w:pPr>
        <w:spacing w:before="100" w:beforeAutospacing="1" w:after="100" w:afterAutospacing="1"/>
        <w:outlineLvl w:val="2"/>
        <w:rPr>
          <w:b/>
          <w:bCs/>
        </w:rPr>
      </w:pPr>
      <w:r w:rsidRPr="00C021F4">
        <w:rPr>
          <w:b/>
          <w:bCs/>
        </w:rPr>
        <w:t>Please identify which partner will be the fiscal sponsor</w:t>
      </w:r>
      <w:r>
        <w:rPr>
          <w:b/>
          <w:bCs/>
        </w:rPr>
        <w:t xml:space="preserve"> (grant recipient)</w:t>
      </w:r>
      <w:r w:rsidRPr="00C021F4">
        <w:rPr>
          <w:b/>
          <w:bCs/>
        </w:rPr>
        <w:t xml:space="preserve"> if you are awarded this grant. </w:t>
      </w:r>
    </w:p>
    <w:p w14:paraId="2CC6F656" w14:textId="77777777" w:rsidR="00A752AB" w:rsidRPr="00C021F4" w:rsidRDefault="00A752AB" w:rsidP="00A752AB">
      <w:pPr>
        <w:spacing w:before="100" w:beforeAutospacing="1" w:after="100" w:afterAutospacing="1"/>
        <w:outlineLvl w:val="2"/>
        <w:rPr>
          <w:b/>
          <w:bCs/>
        </w:rPr>
      </w:pPr>
    </w:p>
    <w:p w14:paraId="67E50CEB" w14:textId="77777777" w:rsidR="00A752AB" w:rsidRPr="000F716B" w:rsidRDefault="00A752AB" w:rsidP="00A752AB">
      <w:pPr>
        <w:spacing w:before="100" w:beforeAutospacing="1" w:after="100" w:afterAutospacing="1"/>
        <w:outlineLvl w:val="2"/>
        <w:rPr>
          <w:b/>
          <w:bCs/>
        </w:rPr>
      </w:pPr>
      <w:r w:rsidRPr="003906F8">
        <w:t>For the institution of higher education: Do you currently have other designated Early College programs?  Is this designation application to start a new Early College program or to qualify a current non-designated early college/dual enrollment program for designation status?</w:t>
      </w:r>
      <w:r>
        <w:t xml:space="preserve"> </w:t>
      </w:r>
      <w:r>
        <w:rPr>
          <w:b/>
          <w:bCs/>
        </w:rPr>
        <w:t xml:space="preserve">Field limited to 250 words. </w:t>
      </w:r>
    </w:p>
    <w:p w14:paraId="592D7EBE" w14:textId="77777777" w:rsidR="00A752AB" w:rsidRPr="0058137B" w:rsidRDefault="00A752AB" w:rsidP="00A752AB">
      <w:pPr>
        <w:spacing w:after="120"/>
      </w:pPr>
    </w:p>
    <w:tbl>
      <w:tblPr>
        <w:tblW w:w="11184"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4"/>
      </w:tblGrid>
      <w:tr w:rsidR="00A752AB" w:rsidRPr="0058137B" w14:paraId="16200E22" w14:textId="77777777" w:rsidTr="00C20BC6">
        <w:tc>
          <w:tcPr>
            <w:tcW w:w="11184" w:type="dxa"/>
            <w:shd w:val="clear" w:color="auto" w:fill="auto"/>
          </w:tcPr>
          <w:p w14:paraId="41642407" w14:textId="77777777" w:rsidR="00A752AB" w:rsidRPr="00C20BC6" w:rsidRDefault="00A752AB" w:rsidP="00C20BC6">
            <w:pPr>
              <w:spacing w:before="100" w:beforeAutospacing="1" w:after="100" w:afterAutospacing="1"/>
              <w:outlineLvl w:val="3"/>
              <w:rPr>
                <w:szCs w:val="32"/>
              </w:rPr>
            </w:pPr>
            <w:r w:rsidRPr="00C20BC6">
              <w:rPr>
                <w:szCs w:val="32"/>
              </w:rPr>
              <w:t xml:space="preserve">Does the secondary institution currently receive Perkins funding? </w:t>
            </w:r>
          </w:p>
          <w:p w14:paraId="39C6F4B0" w14:textId="77777777" w:rsidR="00A752AB" w:rsidRPr="0058137B" w:rsidRDefault="00A752AB" w:rsidP="00C20BC6">
            <w:pPr>
              <w:spacing w:after="120"/>
            </w:pPr>
            <w:r w:rsidRPr="0058137B">
              <w:t>( ) Yes</w:t>
            </w:r>
          </w:p>
          <w:p w14:paraId="20A5DD1B" w14:textId="77777777" w:rsidR="00A752AB" w:rsidRPr="00C20BC6" w:rsidRDefault="00A752AB" w:rsidP="00C20BC6">
            <w:pPr>
              <w:spacing w:before="100" w:beforeAutospacing="1" w:after="100" w:afterAutospacing="1"/>
              <w:outlineLvl w:val="3"/>
              <w:rPr>
                <w:szCs w:val="32"/>
              </w:rPr>
            </w:pPr>
            <w:r w:rsidRPr="0058137B">
              <w:t>( ) No</w:t>
            </w:r>
          </w:p>
        </w:tc>
      </w:tr>
      <w:tr w:rsidR="00A752AB" w:rsidRPr="0058137B" w14:paraId="1E721014" w14:textId="77777777" w:rsidTr="00C20BC6">
        <w:tc>
          <w:tcPr>
            <w:tcW w:w="11184" w:type="dxa"/>
            <w:shd w:val="clear" w:color="auto" w:fill="auto"/>
          </w:tcPr>
          <w:p w14:paraId="66CAE01A" w14:textId="77777777" w:rsidR="00A752AB" w:rsidRDefault="00A752AB" w:rsidP="00C20BC6">
            <w:pPr>
              <w:spacing w:before="100" w:beforeAutospacing="1" w:after="100" w:afterAutospacing="1"/>
              <w:outlineLvl w:val="3"/>
            </w:pPr>
            <w:r w:rsidRPr="00F36106">
              <w:t>Has the secondary institution already participated in the College and Career Advising (MyCAP) Professional Development Series, sponsored by DESE, in partnership with MASCA (Massachusetts School Counselor Association)? </w:t>
            </w:r>
          </w:p>
          <w:p w14:paraId="100436AA" w14:textId="77777777" w:rsidR="00A752AB" w:rsidRPr="0058137B" w:rsidRDefault="00A752AB" w:rsidP="00C20BC6">
            <w:pPr>
              <w:spacing w:after="120"/>
            </w:pPr>
            <w:r w:rsidRPr="0058137B">
              <w:t>( ) Yes</w:t>
            </w:r>
          </w:p>
          <w:p w14:paraId="0CB1DCD8" w14:textId="77777777" w:rsidR="00A752AB" w:rsidRPr="00F36106" w:rsidRDefault="00A752AB" w:rsidP="00C20BC6">
            <w:pPr>
              <w:spacing w:before="100" w:beforeAutospacing="1" w:after="100" w:afterAutospacing="1"/>
              <w:outlineLvl w:val="3"/>
            </w:pPr>
            <w:r w:rsidRPr="0058137B">
              <w:t>( ) No</w:t>
            </w:r>
          </w:p>
        </w:tc>
      </w:tr>
      <w:tr w:rsidR="00A752AB" w:rsidRPr="0058137B" w14:paraId="03DC9692" w14:textId="77777777" w:rsidTr="00C20BC6">
        <w:tc>
          <w:tcPr>
            <w:tcW w:w="11184" w:type="dxa"/>
            <w:shd w:val="clear" w:color="auto" w:fill="auto"/>
          </w:tcPr>
          <w:p w14:paraId="18DF9F4B" w14:textId="77777777" w:rsidR="00A752AB" w:rsidRDefault="00A752AB" w:rsidP="00C20BC6">
            <w:pPr>
              <w:spacing w:before="100" w:beforeAutospacing="1" w:after="100" w:afterAutospacing="1"/>
              <w:outlineLvl w:val="3"/>
            </w:pPr>
            <w:r w:rsidRPr="00F36106">
              <w:t>If the secondary institution has NOT already participated in the College and Career Advising (MyCAP) Professional Development Series, does the applicant agree to participate in the series in SY2019-20? (As noted above, $3000 from the planning grant will be used to pay for staff workshop participation.)</w:t>
            </w:r>
          </w:p>
          <w:p w14:paraId="55EEB36C" w14:textId="77777777" w:rsidR="00A752AB" w:rsidRPr="00F36106" w:rsidRDefault="00A752AB" w:rsidP="00C20BC6">
            <w:pPr>
              <w:spacing w:after="120"/>
            </w:pPr>
            <w:r w:rsidRPr="0058137B">
              <w:t xml:space="preserve">( ) </w:t>
            </w:r>
            <w:r>
              <w:t>Check box to indicate agreement to participate</w:t>
            </w:r>
          </w:p>
          <w:p w14:paraId="41661265" w14:textId="77777777" w:rsidR="00A752AB" w:rsidRPr="00F36106" w:rsidRDefault="00A752AB" w:rsidP="00C20BC6">
            <w:pPr>
              <w:spacing w:before="100" w:beforeAutospacing="1" w:after="100" w:afterAutospacing="1"/>
              <w:outlineLvl w:val="3"/>
            </w:pPr>
          </w:p>
        </w:tc>
      </w:tr>
    </w:tbl>
    <w:p w14:paraId="40890567" w14:textId="77777777" w:rsidR="00A752AB" w:rsidRDefault="00A752AB" w:rsidP="00A752AB">
      <w:pPr>
        <w:spacing w:after="160" w:line="259" w:lineRule="auto"/>
        <w:rPr>
          <w:sz w:val="20"/>
          <w:szCs w:val="20"/>
        </w:rPr>
      </w:pPr>
    </w:p>
    <w:p w14:paraId="63A11A41" w14:textId="77777777" w:rsidR="00A752AB" w:rsidRDefault="00A752AB" w:rsidP="00A752AB">
      <w:pPr>
        <w:spacing w:after="160" w:line="259" w:lineRule="auto"/>
        <w:rPr>
          <w:sz w:val="20"/>
          <w:szCs w:val="20"/>
        </w:rPr>
      </w:pPr>
    </w:p>
    <w:p w14:paraId="367927A6" w14:textId="77777777" w:rsidR="00A752AB" w:rsidRDefault="00A752AB" w:rsidP="00A752AB">
      <w:pPr>
        <w:spacing w:after="160" w:line="259" w:lineRule="auto"/>
        <w:rPr>
          <w:sz w:val="20"/>
          <w:szCs w:val="20"/>
        </w:rPr>
      </w:pPr>
    </w:p>
    <w:p w14:paraId="60F2E4B1" w14:textId="77777777" w:rsidR="00A752AB" w:rsidRDefault="00A752AB" w:rsidP="00A752AB">
      <w:pPr>
        <w:pStyle w:val="ListParagraph"/>
        <w:numPr>
          <w:ilvl w:val="0"/>
          <w:numId w:val="3"/>
        </w:numPr>
        <w:spacing w:before="100" w:beforeAutospacing="1" w:after="100" w:afterAutospacing="1"/>
        <w:contextualSpacing/>
        <w:jc w:val="center"/>
        <w:outlineLvl w:val="1"/>
        <w:rPr>
          <w:rFonts w:ascii="Times New Roman" w:eastAsia="Times New Roman" w:hAnsi="Times New Roman"/>
          <w:b/>
          <w:bCs/>
          <w:sz w:val="32"/>
          <w:szCs w:val="32"/>
        </w:rPr>
      </w:pPr>
      <w:r>
        <w:rPr>
          <w:rFonts w:ascii="Times New Roman" w:eastAsia="Times New Roman" w:hAnsi="Times New Roman"/>
          <w:b/>
          <w:bCs/>
          <w:sz w:val="32"/>
          <w:szCs w:val="32"/>
        </w:rPr>
        <w:t xml:space="preserve">Early College Readiness Commitment Checklist  </w:t>
      </w:r>
    </w:p>
    <w:p w14:paraId="613C4EE3" w14:textId="77777777" w:rsidR="00A752AB" w:rsidRDefault="00A752AB" w:rsidP="00A752AB">
      <w:pPr>
        <w:spacing w:before="100" w:beforeAutospacing="1" w:after="100" w:afterAutospacing="1"/>
        <w:contextualSpacing/>
        <w:outlineLvl w:val="1"/>
      </w:pPr>
      <w:r>
        <w:t>This checklist is designed to help prospective Early College applicants self-assess and identify gaps or challenges to developing and implementing a program that will meet the Early College Designation Criteria. Fulfilling the commitments outlined on this checklist will prepare applicants for the Part A Application. </w:t>
      </w:r>
    </w:p>
    <w:p w14:paraId="61AB4C94" w14:textId="77777777" w:rsidR="00A752AB" w:rsidRPr="007B21BF" w:rsidRDefault="00A752AB" w:rsidP="00A752AB">
      <w:pPr>
        <w:spacing w:before="100" w:beforeAutospacing="1" w:after="100" w:afterAutospacing="1"/>
        <w:contextualSpacing/>
        <w:outlineLvl w:val="1"/>
      </w:pPr>
    </w:p>
    <w:tbl>
      <w:tblPr>
        <w:tblW w:w="112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gridCol w:w="900"/>
        <w:gridCol w:w="990"/>
      </w:tblGrid>
      <w:tr w:rsidR="00A752AB" w14:paraId="2375F7EF" w14:textId="77777777" w:rsidTr="00C20BC6">
        <w:tc>
          <w:tcPr>
            <w:tcW w:w="9360" w:type="dxa"/>
            <w:shd w:val="clear" w:color="auto" w:fill="auto"/>
          </w:tcPr>
          <w:p w14:paraId="03A5BC1C" w14:textId="77777777" w:rsidR="00A752AB" w:rsidRPr="00C20BC6" w:rsidRDefault="00A752AB" w:rsidP="00C20BC6">
            <w:pPr>
              <w:spacing w:before="100" w:beforeAutospacing="1" w:after="100" w:afterAutospacing="1"/>
              <w:contextualSpacing/>
              <w:outlineLvl w:val="1"/>
              <w:rPr>
                <w:b/>
                <w:bCs/>
                <w:sz w:val="32"/>
                <w:szCs w:val="32"/>
              </w:rPr>
            </w:pPr>
          </w:p>
        </w:tc>
        <w:tc>
          <w:tcPr>
            <w:tcW w:w="900" w:type="dxa"/>
            <w:shd w:val="clear" w:color="auto" w:fill="auto"/>
          </w:tcPr>
          <w:p w14:paraId="082E38B2" w14:textId="77777777" w:rsidR="00A752AB" w:rsidRPr="00C20BC6" w:rsidRDefault="00A752AB" w:rsidP="00C20BC6">
            <w:pPr>
              <w:spacing w:before="100" w:beforeAutospacing="1" w:after="100" w:afterAutospacing="1"/>
              <w:contextualSpacing/>
              <w:outlineLvl w:val="1"/>
              <w:rPr>
                <w:b/>
                <w:bCs/>
              </w:rPr>
            </w:pPr>
            <w:r w:rsidRPr="00C20BC6">
              <w:rPr>
                <w:b/>
                <w:bCs/>
              </w:rPr>
              <w:t>Yes</w:t>
            </w:r>
          </w:p>
        </w:tc>
        <w:tc>
          <w:tcPr>
            <w:tcW w:w="990" w:type="dxa"/>
            <w:shd w:val="clear" w:color="auto" w:fill="auto"/>
          </w:tcPr>
          <w:p w14:paraId="7041B2D1" w14:textId="77777777" w:rsidR="00A752AB" w:rsidRPr="00C20BC6" w:rsidRDefault="00A752AB" w:rsidP="00C20BC6">
            <w:pPr>
              <w:spacing w:before="100" w:beforeAutospacing="1" w:after="100" w:afterAutospacing="1"/>
              <w:contextualSpacing/>
              <w:outlineLvl w:val="1"/>
              <w:rPr>
                <w:b/>
                <w:bCs/>
              </w:rPr>
            </w:pPr>
            <w:r w:rsidRPr="00C20BC6">
              <w:rPr>
                <w:b/>
                <w:bCs/>
              </w:rPr>
              <w:t>No</w:t>
            </w:r>
          </w:p>
        </w:tc>
      </w:tr>
      <w:tr w:rsidR="00A752AB" w14:paraId="48DB5FFF" w14:textId="77777777" w:rsidTr="00C20BC6">
        <w:trPr>
          <w:trHeight w:val="674"/>
        </w:trPr>
        <w:tc>
          <w:tcPr>
            <w:tcW w:w="9360" w:type="dxa"/>
            <w:shd w:val="clear" w:color="auto" w:fill="auto"/>
          </w:tcPr>
          <w:p w14:paraId="7FB556F9" w14:textId="77777777" w:rsidR="00A752AB" w:rsidRPr="00C20BC6" w:rsidRDefault="00A752AB" w:rsidP="00C20BC6">
            <w:pPr>
              <w:spacing w:before="100" w:beforeAutospacing="1" w:after="100" w:afterAutospacing="1"/>
              <w:contextualSpacing/>
              <w:outlineLvl w:val="1"/>
              <w:rPr>
                <w:b/>
                <w:bCs/>
              </w:rPr>
            </w:pPr>
            <w:r>
              <w:t xml:space="preserve">Are both partners committed to providing an Early College program free to students and their families? </w:t>
            </w:r>
            <w:r w:rsidRPr="00C20BC6">
              <w:rPr>
                <w:b/>
                <w:bCs/>
              </w:rPr>
              <w:t>Guiding Principle 1</w:t>
            </w:r>
          </w:p>
        </w:tc>
        <w:tc>
          <w:tcPr>
            <w:tcW w:w="900" w:type="dxa"/>
            <w:shd w:val="clear" w:color="auto" w:fill="auto"/>
          </w:tcPr>
          <w:p w14:paraId="6AD695C6" w14:textId="77777777" w:rsidR="00A752AB" w:rsidRPr="00C20BC6" w:rsidRDefault="00A752AB" w:rsidP="00C20BC6">
            <w:pPr>
              <w:spacing w:before="100" w:beforeAutospacing="1" w:after="100" w:afterAutospacing="1"/>
              <w:contextualSpacing/>
              <w:outlineLvl w:val="1"/>
              <w:rPr>
                <w:b/>
                <w:bCs/>
                <w:sz w:val="32"/>
                <w:szCs w:val="32"/>
              </w:rPr>
            </w:pPr>
            <w:r w:rsidRPr="00056899">
              <w:t xml:space="preserve">[ ] </w:t>
            </w:r>
          </w:p>
        </w:tc>
        <w:tc>
          <w:tcPr>
            <w:tcW w:w="990" w:type="dxa"/>
            <w:shd w:val="clear" w:color="auto" w:fill="auto"/>
          </w:tcPr>
          <w:p w14:paraId="453CCEEE" w14:textId="77777777" w:rsidR="00A752AB" w:rsidRPr="00C20BC6" w:rsidRDefault="00A752AB" w:rsidP="00C20BC6">
            <w:pPr>
              <w:spacing w:before="100" w:beforeAutospacing="1" w:after="100" w:afterAutospacing="1"/>
              <w:contextualSpacing/>
              <w:outlineLvl w:val="1"/>
              <w:rPr>
                <w:b/>
                <w:bCs/>
                <w:sz w:val="32"/>
                <w:szCs w:val="32"/>
              </w:rPr>
            </w:pPr>
            <w:r w:rsidRPr="00056899">
              <w:t xml:space="preserve">[ ] </w:t>
            </w:r>
          </w:p>
        </w:tc>
      </w:tr>
      <w:tr w:rsidR="00A752AB" w14:paraId="7C9DF29A" w14:textId="77777777" w:rsidTr="00C20BC6">
        <w:tc>
          <w:tcPr>
            <w:tcW w:w="9360" w:type="dxa"/>
            <w:shd w:val="clear" w:color="auto" w:fill="auto"/>
          </w:tcPr>
          <w:p w14:paraId="22FE83D1" w14:textId="77777777" w:rsidR="00A752AB" w:rsidRPr="00C20BC6" w:rsidRDefault="00A752AB" w:rsidP="00C20BC6">
            <w:pPr>
              <w:spacing w:before="100" w:beforeAutospacing="1" w:after="100" w:afterAutospacing="1"/>
              <w:contextualSpacing/>
              <w:outlineLvl w:val="1"/>
              <w:rPr>
                <w:b/>
                <w:bCs/>
                <w:sz w:val="32"/>
                <w:szCs w:val="32"/>
              </w:rPr>
            </w:pPr>
            <w:r w:rsidRPr="0087624B">
              <w:t xml:space="preserve">Are both partners committed to creating an admissions process to the Early College program that promotes equitable access to all students, particularly students underserved in higher education? Are both partners committed to creating particular strategies for supporting Black and Latinx students? </w:t>
            </w:r>
            <w:r w:rsidRPr="00C20BC6">
              <w:rPr>
                <w:b/>
                <w:bCs/>
              </w:rPr>
              <w:t>Guiding Principle 1</w:t>
            </w:r>
          </w:p>
        </w:tc>
        <w:tc>
          <w:tcPr>
            <w:tcW w:w="900" w:type="dxa"/>
            <w:shd w:val="clear" w:color="auto" w:fill="auto"/>
          </w:tcPr>
          <w:p w14:paraId="1913BC06" w14:textId="77777777" w:rsidR="00A752AB" w:rsidRPr="00C20BC6" w:rsidRDefault="00A752AB" w:rsidP="00C20BC6">
            <w:pPr>
              <w:spacing w:before="100" w:beforeAutospacing="1" w:after="100" w:afterAutospacing="1"/>
              <w:contextualSpacing/>
              <w:outlineLvl w:val="1"/>
              <w:rPr>
                <w:b/>
                <w:bCs/>
                <w:sz w:val="32"/>
                <w:szCs w:val="32"/>
              </w:rPr>
            </w:pPr>
            <w:r w:rsidRPr="00056899">
              <w:t xml:space="preserve">[ ] </w:t>
            </w:r>
          </w:p>
        </w:tc>
        <w:tc>
          <w:tcPr>
            <w:tcW w:w="990" w:type="dxa"/>
            <w:shd w:val="clear" w:color="auto" w:fill="auto"/>
          </w:tcPr>
          <w:p w14:paraId="2520F684" w14:textId="77777777" w:rsidR="00A752AB" w:rsidRPr="00C20BC6" w:rsidRDefault="00A752AB" w:rsidP="00C20BC6">
            <w:pPr>
              <w:spacing w:before="100" w:beforeAutospacing="1" w:after="100" w:afterAutospacing="1"/>
              <w:contextualSpacing/>
              <w:outlineLvl w:val="1"/>
              <w:rPr>
                <w:b/>
                <w:bCs/>
                <w:sz w:val="32"/>
                <w:szCs w:val="32"/>
              </w:rPr>
            </w:pPr>
            <w:r w:rsidRPr="00056899">
              <w:t xml:space="preserve">[ ] </w:t>
            </w:r>
          </w:p>
        </w:tc>
      </w:tr>
      <w:tr w:rsidR="00A752AB" w14:paraId="24159345" w14:textId="77777777" w:rsidTr="00C20BC6">
        <w:tc>
          <w:tcPr>
            <w:tcW w:w="9360" w:type="dxa"/>
            <w:shd w:val="clear" w:color="auto" w:fill="auto"/>
          </w:tcPr>
          <w:p w14:paraId="5270F72E" w14:textId="77777777" w:rsidR="00A752AB" w:rsidRPr="00C20BC6" w:rsidRDefault="00A752AB" w:rsidP="00C20BC6">
            <w:pPr>
              <w:spacing w:before="100" w:beforeAutospacing="1" w:after="100" w:afterAutospacing="1"/>
              <w:contextualSpacing/>
              <w:outlineLvl w:val="1"/>
              <w:rPr>
                <w:b/>
                <w:bCs/>
                <w:sz w:val="32"/>
                <w:szCs w:val="32"/>
              </w:rPr>
            </w:pPr>
            <w:r w:rsidRPr="0087624B">
              <w:t xml:space="preserve">Are both partners committed to consulting with families and students to determine interest in the proposed program? </w:t>
            </w:r>
            <w:r w:rsidRPr="00C20BC6">
              <w:rPr>
                <w:b/>
                <w:bCs/>
              </w:rPr>
              <w:t>Guiding Principle 1</w:t>
            </w:r>
          </w:p>
        </w:tc>
        <w:tc>
          <w:tcPr>
            <w:tcW w:w="900" w:type="dxa"/>
            <w:shd w:val="clear" w:color="auto" w:fill="auto"/>
          </w:tcPr>
          <w:p w14:paraId="52C775A7" w14:textId="77777777" w:rsidR="00A752AB" w:rsidRPr="00C20BC6" w:rsidRDefault="00A752AB" w:rsidP="00C20BC6">
            <w:pPr>
              <w:spacing w:before="100" w:beforeAutospacing="1" w:after="100" w:afterAutospacing="1"/>
              <w:contextualSpacing/>
              <w:outlineLvl w:val="1"/>
              <w:rPr>
                <w:b/>
                <w:bCs/>
                <w:sz w:val="32"/>
                <w:szCs w:val="32"/>
              </w:rPr>
            </w:pPr>
            <w:r w:rsidRPr="00056899">
              <w:t xml:space="preserve">[ ] </w:t>
            </w:r>
          </w:p>
        </w:tc>
        <w:tc>
          <w:tcPr>
            <w:tcW w:w="990" w:type="dxa"/>
            <w:shd w:val="clear" w:color="auto" w:fill="auto"/>
          </w:tcPr>
          <w:p w14:paraId="48F96E9F" w14:textId="77777777" w:rsidR="00A752AB" w:rsidRPr="00C20BC6" w:rsidRDefault="00A752AB" w:rsidP="00C20BC6">
            <w:pPr>
              <w:spacing w:before="100" w:beforeAutospacing="1" w:after="100" w:afterAutospacing="1"/>
              <w:contextualSpacing/>
              <w:outlineLvl w:val="1"/>
              <w:rPr>
                <w:b/>
                <w:bCs/>
                <w:sz w:val="32"/>
                <w:szCs w:val="32"/>
              </w:rPr>
            </w:pPr>
            <w:r w:rsidRPr="00056899">
              <w:t xml:space="preserve">[ ] </w:t>
            </w:r>
          </w:p>
        </w:tc>
      </w:tr>
      <w:tr w:rsidR="00A752AB" w14:paraId="4F2088F8" w14:textId="77777777" w:rsidTr="00C20BC6">
        <w:tc>
          <w:tcPr>
            <w:tcW w:w="9360" w:type="dxa"/>
            <w:shd w:val="clear" w:color="auto" w:fill="auto"/>
          </w:tcPr>
          <w:p w14:paraId="6ABF78CF" w14:textId="77777777" w:rsidR="00A752AB" w:rsidRPr="0087624B" w:rsidRDefault="00A752AB" w:rsidP="00C20BC6">
            <w:r w:rsidRPr="0087624B">
              <w:t>Does the secondary institution already use an online platform such as Naviance or MEFA Pathways that is integrated into the advising program at the school? (Aligned career and college counseling is a required piece of the Early College designation, including the guided use of MyCAP beginning in 9th grade.)</w:t>
            </w:r>
          </w:p>
          <w:p w14:paraId="4E8A869F" w14:textId="77777777" w:rsidR="00A752AB" w:rsidRPr="00C20BC6" w:rsidRDefault="00A752AB" w:rsidP="00C20BC6">
            <w:pPr>
              <w:spacing w:before="100" w:beforeAutospacing="1" w:after="100" w:afterAutospacing="1"/>
              <w:contextualSpacing/>
              <w:outlineLvl w:val="1"/>
              <w:rPr>
                <w:b/>
                <w:bCs/>
                <w:sz w:val="32"/>
                <w:szCs w:val="32"/>
              </w:rPr>
            </w:pPr>
            <w:r w:rsidRPr="0087624B">
              <w:t xml:space="preserve"> </w:t>
            </w:r>
            <w:r w:rsidRPr="00C20BC6">
              <w:rPr>
                <w:b/>
                <w:bCs/>
              </w:rPr>
              <w:t>Guiding Principle 2</w:t>
            </w:r>
          </w:p>
        </w:tc>
        <w:tc>
          <w:tcPr>
            <w:tcW w:w="900" w:type="dxa"/>
            <w:shd w:val="clear" w:color="auto" w:fill="auto"/>
          </w:tcPr>
          <w:p w14:paraId="335B7168" w14:textId="77777777" w:rsidR="00A752AB" w:rsidRPr="00C20BC6" w:rsidRDefault="00A752AB" w:rsidP="00C20BC6">
            <w:pPr>
              <w:spacing w:before="100" w:beforeAutospacing="1" w:after="100" w:afterAutospacing="1"/>
              <w:contextualSpacing/>
              <w:outlineLvl w:val="1"/>
              <w:rPr>
                <w:b/>
                <w:bCs/>
                <w:sz w:val="32"/>
                <w:szCs w:val="32"/>
              </w:rPr>
            </w:pPr>
            <w:r w:rsidRPr="00056899">
              <w:t xml:space="preserve">[ ] </w:t>
            </w:r>
          </w:p>
        </w:tc>
        <w:tc>
          <w:tcPr>
            <w:tcW w:w="990" w:type="dxa"/>
            <w:shd w:val="clear" w:color="auto" w:fill="auto"/>
          </w:tcPr>
          <w:p w14:paraId="561A6EFB" w14:textId="77777777" w:rsidR="00A752AB" w:rsidRPr="00C20BC6" w:rsidRDefault="00A752AB" w:rsidP="00C20BC6">
            <w:pPr>
              <w:spacing w:before="100" w:beforeAutospacing="1" w:after="100" w:afterAutospacing="1"/>
              <w:contextualSpacing/>
              <w:outlineLvl w:val="1"/>
              <w:rPr>
                <w:b/>
                <w:bCs/>
                <w:sz w:val="32"/>
                <w:szCs w:val="32"/>
              </w:rPr>
            </w:pPr>
            <w:r w:rsidRPr="00056899">
              <w:t xml:space="preserve">[ ] </w:t>
            </w:r>
          </w:p>
        </w:tc>
      </w:tr>
      <w:tr w:rsidR="00A752AB" w14:paraId="21C4873C" w14:textId="77777777" w:rsidTr="00C20BC6">
        <w:tc>
          <w:tcPr>
            <w:tcW w:w="9360" w:type="dxa"/>
            <w:shd w:val="clear" w:color="auto" w:fill="auto"/>
          </w:tcPr>
          <w:p w14:paraId="2E33809D" w14:textId="77777777" w:rsidR="00A752AB" w:rsidRPr="00C20BC6" w:rsidRDefault="00A752AB" w:rsidP="00C20BC6">
            <w:pPr>
              <w:spacing w:before="100" w:beforeAutospacing="1" w:after="100" w:afterAutospacing="1"/>
              <w:contextualSpacing/>
              <w:outlineLvl w:val="1"/>
              <w:rPr>
                <w:b/>
                <w:bCs/>
              </w:rPr>
            </w:pPr>
            <w:r w:rsidRPr="0087624B">
              <w:t xml:space="preserve">Are both partners committed to designing schedules that allow for participation in college-credited courses without students having to miss high school class time or other HW related activities? </w:t>
            </w:r>
            <w:r w:rsidRPr="00C20BC6">
              <w:rPr>
                <w:b/>
                <w:bCs/>
              </w:rPr>
              <w:t>Guiding Principle 2</w:t>
            </w:r>
          </w:p>
        </w:tc>
        <w:tc>
          <w:tcPr>
            <w:tcW w:w="900" w:type="dxa"/>
            <w:shd w:val="clear" w:color="auto" w:fill="auto"/>
          </w:tcPr>
          <w:p w14:paraId="08D9DDCE" w14:textId="77777777" w:rsidR="00A752AB" w:rsidRPr="00C20BC6" w:rsidRDefault="00A752AB" w:rsidP="00C20BC6">
            <w:pPr>
              <w:spacing w:before="100" w:beforeAutospacing="1" w:after="100" w:afterAutospacing="1"/>
              <w:contextualSpacing/>
              <w:outlineLvl w:val="1"/>
              <w:rPr>
                <w:b/>
                <w:bCs/>
                <w:sz w:val="32"/>
                <w:szCs w:val="32"/>
              </w:rPr>
            </w:pPr>
            <w:r w:rsidRPr="00056899">
              <w:t xml:space="preserve">[ ] </w:t>
            </w:r>
          </w:p>
        </w:tc>
        <w:tc>
          <w:tcPr>
            <w:tcW w:w="990" w:type="dxa"/>
            <w:shd w:val="clear" w:color="auto" w:fill="auto"/>
          </w:tcPr>
          <w:p w14:paraId="291EE85A" w14:textId="77777777" w:rsidR="00A752AB" w:rsidRPr="00C20BC6" w:rsidRDefault="00A752AB" w:rsidP="00C20BC6">
            <w:pPr>
              <w:spacing w:before="100" w:beforeAutospacing="1" w:after="100" w:afterAutospacing="1"/>
              <w:contextualSpacing/>
              <w:outlineLvl w:val="1"/>
              <w:rPr>
                <w:b/>
                <w:bCs/>
                <w:sz w:val="32"/>
                <w:szCs w:val="32"/>
              </w:rPr>
            </w:pPr>
            <w:r w:rsidRPr="00056899">
              <w:t xml:space="preserve">[ ] </w:t>
            </w:r>
          </w:p>
        </w:tc>
      </w:tr>
      <w:tr w:rsidR="00A752AB" w14:paraId="2DDD37DD" w14:textId="77777777" w:rsidTr="00C20BC6">
        <w:tc>
          <w:tcPr>
            <w:tcW w:w="9360" w:type="dxa"/>
            <w:shd w:val="clear" w:color="auto" w:fill="auto"/>
          </w:tcPr>
          <w:p w14:paraId="0B84C7AA" w14:textId="77777777" w:rsidR="00A752AB" w:rsidRPr="0087624B" w:rsidRDefault="00A752AB" w:rsidP="00C20BC6">
            <w:pPr>
              <w:spacing w:before="100" w:beforeAutospacing="1" w:after="100" w:afterAutospacing="1"/>
              <w:contextualSpacing/>
              <w:outlineLvl w:val="1"/>
            </w:pPr>
            <w:r w:rsidRPr="0087624B">
              <w:t xml:space="preserve">Are both partners committed to convening faculty for guided conversations regarding curriculum alignment? </w:t>
            </w:r>
            <w:r w:rsidRPr="00C20BC6">
              <w:rPr>
                <w:b/>
                <w:bCs/>
              </w:rPr>
              <w:t>Guiding Principle 2</w:t>
            </w:r>
          </w:p>
        </w:tc>
        <w:tc>
          <w:tcPr>
            <w:tcW w:w="900" w:type="dxa"/>
            <w:shd w:val="clear" w:color="auto" w:fill="auto"/>
          </w:tcPr>
          <w:p w14:paraId="7FEC8771" w14:textId="77777777" w:rsidR="00A752AB" w:rsidRPr="00C20BC6" w:rsidRDefault="00A752AB" w:rsidP="00C20BC6">
            <w:pPr>
              <w:spacing w:before="100" w:beforeAutospacing="1" w:after="100" w:afterAutospacing="1"/>
              <w:contextualSpacing/>
              <w:outlineLvl w:val="1"/>
              <w:rPr>
                <w:b/>
                <w:bCs/>
                <w:sz w:val="32"/>
                <w:szCs w:val="32"/>
              </w:rPr>
            </w:pPr>
            <w:r w:rsidRPr="00056899">
              <w:t xml:space="preserve">[ ] </w:t>
            </w:r>
          </w:p>
        </w:tc>
        <w:tc>
          <w:tcPr>
            <w:tcW w:w="990" w:type="dxa"/>
            <w:shd w:val="clear" w:color="auto" w:fill="auto"/>
          </w:tcPr>
          <w:p w14:paraId="3014ED38" w14:textId="77777777" w:rsidR="00A752AB" w:rsidRPr="00C20BC6" w:rsidRDefault="00A752AB" w:rsidP="00C20BC6">
            <w:pPr>
              <w:spacing w:before="100" w:beforeAutospacing="1" w:after="100" w:afterAutospacing="1"/>
              <w:contextualSpacing/>
              <w:outlineLvl w:val="1"/>
              <w:rPr>
                <w:b/>
                <w:bCs/>
                <w:sz w:val="32"/>
                <w:szCs w:val="32"/>
              </w:rPr>
            </w:pPr>
            <w:r w:rsidRPr="00056899">
              <w:t xml:space="preserve">[ ] </w:t>
            </w:r>
          </w:p>
        </w:tc>
      </w:tr>
      <w:tr w:rsidR="00A752AB" w14:paraId="32DCBCD4" w14:textId="77777777" w:rsidTr="00C20BC6">
        <w:tc>
          <w:tcPr>
            <w:tcW w:w="9360" w:type="dxa"/>
            <w:shd w:val="clear" w:color="auto" w:fill="auto"/>
          </w:tcPr>
          <w:p w14:paraId="1AB4EDCF" w14:textId="77777777" w:rsidR="00A752AB" w:rsidRPr="00C20BC6" w:rsidRDefault="00A752AB" w:rsidP="00C20BC6">
            <w:pPr>
              <w:spacing w:before="100" w:beforeAutospacing="1" w:after="100" w:afterAutospacing="1"/>
              <w:contextualSpacing/>
              <w:outlineLvl w:val="1"/>
              <w:rPr>
                <w:b/>
                <w:bCs/>
              </w:rPr>
            </w:pPr>
            <w:r w:rsidRPr="0087624B">
              <w:t xml:space="preserve">Are the partners committed to developing a preliminary plan for wrap around supports for Early College students? </w:t>
            </w:r>
            <w:r w:rsidRPr="00C20BC6">
              <w:rPr>
                <w:b/>
                <w:bCs/>
              </w:rPr>
              <w:t>Guiding Principle 3</w:t>
            </w:r>
          </w:p>
        </w:tc>
        <w:tc>
          <w:tcPr>
            <w:tcW w:w="900" w:type="dxa"/>
            <w:shd w:val="clear" w:color="auto" w:fill="auto"/>
          </w:tcPr>
          <w:p w14:paraId="2A13CD7B" w14:textId="77777777" w:rsidR="00A752AB" w:rsidRPr="00C20BC6" w:rsidRDefault="00A752AB" w:rsidP="00C20BC6">
            <w:pPr>
              <w:spacing w:before="100" w:beforeAutospacing="1" w:after="100" w:afterAutospacing="1"/>
              <w:contextualSpacing/>
              <w:outlineLvl w:val="1"/>
              <w:rPr>
                <w:b/>
                <w:bCs/>
                <w:sz w:val="32"/>
                <w:szCs w:val="32"/>
              </w:rPr>
            </w:pPr>
            <w:r w:rsidRPr="00056899">
              <w:t xml:space="preserve">[ ] </w:t>
            </w:r>
          </w:p>
        </w:tc>
        <w:tc>
          <w:tcPr>
            <w:tcW w:w="990" w:type="dxa"/>
            <w:shd w:val="clear" w:color="auto" w:fill="auto"/>
          </w:tcPr>
          <w:p w14:paraId="54BEB2C3" w14:textId="77777777" w:rsidR="00A752AB" w:rsidRPr="00C20BC6" w:rsidRDefault="00A752AB" w:rsidP="00C20BC6">
            <w:pPr>
              <w:spacing w:before="100" w:beforeAutospacing="1" w:after="100" w:afterAutospacing="1"/>
              <w:contextualSpacing/>
              <w:outlineLvl w:val="1"/>
              <w:rPr>
                <w:b/>
                <w:bCs/>
                <w:sz w:val="32"/>
                <w:szCs w:val="32"/>
              </w:rPr>
            </w:pPr>
            <w:r w:rsidRPr="00056899">
              <w:t xml:space="preserve">[ ] </w:t>
            </w:r>
          </w:p>
        </w:tc>
      </w:tr>
      <w:tr w:rsidR="00A752AB" w14:paraId="4076097E" w14:textId="77777777" w:rsidTr="00C20BC6">
        <w:tc>
          <w:tcPr>
            <w:tcW w:w="9360" w:type="dxa"/>
            <w:shd w:val="clear" w:color="auto" w:fill="auto"/>
          </w:tcPr>
          <w:p w14:paraId="5944F09F" w14:textId="77777777" w:rsidR="00A752AB" w:rsidRPr="0087624B" w:rsidRDefault="00A752AB" w:rsidP="00C20BC6">
            <w:pPr>
              <w:spacing w:before="100" w:beforeAutospacing="1" w:after="100" w:afterAutospacing="1"/>
              <w:contextualSpacing/>
              <w:outlineLvl w:val="1"/>
            </w:pPr>
            <w:r w:rsidRPr="0087624B">
              <w:t xml:space="preserve">Are the partners committed to exposing students to a variety of career pathways (i.e. internships, capstones, etc.)? </w:t>
            </w:r>
            <w:r w:rsidRPr="00C20BC6">
              <w:rPr>
                <w:b/>
                <w:bCs/>
              </w:rPr>
              <w:t>Guiding Principle 4</w:t>
            </w:r>
          </w:p>
        </w:tc>
        <w:tc>
          <w:tcPr>
            <w:tcW w:w="900" w:type="dxa"/>
            <w:shd w:val="clear" w:color="auto" w:fill="auto"/>
          </w:tcPr>
          <w:p w14:paraId="44CFFB46" w14:textId="77777777" w:rsidR="00A752AB" w:rsidRPr="00C20BC6" w:rsidRDefault="00A752AB" w:rsidP="00C20BC6">
            <w:pPr>
              <w:spacing w:before="100" w:beforeAutospacing="1" w:after="100" w:afterAutospacing="1"/>
              <w:contextualSpacing/>
              <w:outlineLvl w:val="1"/>
              <w:rPr>
                <w:b/>
                <w:bCs/>
                <w:sz w:val="32"/>
                <w:szCs w:val="32"/>
              </w:rPr>
            </w:pPr>
            <w:r w:rsidRPr="00056899">
              <w:t xml:space="preserve">[ ] </w:t>
            </w:r>
          </w:p>
        </w:tc>
        <w:tc>
          <w:tcPr>
            <w:tcW w:w="990" w:type="dxa"/>
            <w:shd w:val="clear" w:color="auto" w:fill="auto"/>
          </w:tcPr>
          <w:p w14:paraId="79E77B67" w14:textId="77777777" w:rsidR="00A752AB" w:rsidRPr="00C20BC6" w:rsidRDefault="00A752AB" w:rsidP="00C20BC6">
            <w:pPr>
              <w:spacing w:before="100" w:beforeAutospacing="1" w:after="100" w:afterAutospacing="1"/>
              <w:contextualSpacing/>
              <w:outlineLvl w:val="1"/>
              <w:rPr>
                <w:b/>
                <w:bCs/>
                <w:sz w:val="32"/>
                <w:szCs w:val="32"/>
              </w:rPr>
            </w:pPr>
            <w:r w:rsidRPr="00056899">
              <w:t xml:space="preserve">[ ] </w:t>
            </w:r>
          </w:p>
        </w:tc>
      </w:tr>
      <w:tr w:rsidR="00A752AB" w14:paraId="089459A8" w14:textId="77777777" w:rsidTr="00C20BC6">
        <w:tc>
          <w:tcPr>
            <w:tcW w:w="9360" w:type="dxa"/>
            <w:shd w:val="clear" w:color="auto" w:fill="auto"/>
          </w:tcPr>
          <w:p w14:paraId="0B56EFFB" w14:textId="77777777" w:rsidR="00A752AB" w:rsidRPr="00C20BC6" w:rsidRDefault="00A752AB" w:rsidP="00C20BC6">
            <w:pPr>
              <w:spacing w:before="100" w:beforeAutospacing="1" w:after="100" w:afterAutospacing="1"/>
              <w:contextualSpacing/>
              <w:outlineLvl w:val="1"/>
              <w:rPr>
                <w:b/>
                <w:bCs/>
              </w:rPr>
            </w:pPr>
            <w:r w:rsidRPr="0087624B">
              <w:t xml:space="preserve">Are the partners committed to providing designated staff for the Early College Program? </w:t>
            </w:r>
            <w:r w:rsidRPr="00C20BC6">
              <w:rPr>
                <w:b/>
                <w:bCs/>
              </w:rPr>
              <w:t>Guiding Principle 5</w:t>
            </w:r>
          </w:p>
        </w:tc>
        <w:tc>
          <w:tcPr>
            <w:tcW w:w="900" w:type="dxa"/>
            <w:shd w:val="clear" w:color="auto" w:fill="auto"/>
          </w:tcPr>
          <w:p w14:paraId="2141356B" w14:textId="77777777" w:rsidR="00A752AB" w:rsidRPr="00C20BC6" w:rsidRDefault="00A752AB" w:rsidP="00C20BC6">
            <w:pPr>
              <w:spacing w:before="100" w:beforeAutospacing="1" w:after="100" w:afterAutospacing="1"/>
              <w:contextualSpacing/>
              <w:outlineLvl w:val="1"/>
              <w:rPr>
                <w:b/>
                <w:bCs/>
                <w:sz w:val="32"/>
                <w:szCs w:val="32"/>
              </w:rPr>
            </w:pPr>
            <w:r w:rsidRPr="00056899">
              <w:t xml:space="preserve">[ ] </w:t>
            </w:r>
          </w:p>
        </w:tc>
        <w:tc>
          <w:tcPr>
            <w:tcW w:w="990" w:type="dxa"/>
            <w:shd w:val="clear" w:color="auto" w:fill="auto"/>
          </w:tcPr>
          <w:p w14:paraId="5DAB1D6A" w14:textId="77777777" w:rsidR="00A752AB" w:rsidRPr="00C20BC6" w:rsidRDefault="00A752AB" w:rsidP="00C20BC6">
            <w:pPr>
              <w:spacing w:before="100" w:beforeAutospacing="1" w:after="100" w:afterAutospacing="1"/>
              <w:contextualSpacing/>
              <w:outlineLvl w:val="1"/>
              <w:rPr>
                <w:b/>
                <w:bCs/>
                <w:sz w:val="32"/>
                <w:szCs w:val="32"/>
              </w:rPr>
            </w:pPr>
            <w:r w:rsidRPr="00056899">
              <w:t xml:space="preserve">[ ] </w:t>
            </w:r>
          </w:p>
        </w:tc>
      </w:tr>
      <w:tr w:rsidR="00A752AB" w14:paraId="7D2BB85A" w14:textId="77777777" w:rsidTr="00C20BC6">
        <w:tc>
          <w:tcPr>
            <w:tcW w:w="9360" w:type="dxa"/>
            <w:shd w:val="clear" w:color="auto" w:fill="auto"/>
          </w:tcPr>
          <w:p w14:paraId="3E4035F5" w14:textId="77777777" w:rsidR="00A752AB" w:rsidRPr="00C20BC6" w:rsidRDefault="00A752AB" w:rsidP="00C20BC6">
            <w:pPr>
              <w:spacing w:before="100" w:beforeAutospacing="1" w:after="100" w:afterAutospacing="1"/>
              <w:contextualSpacing/>
              <w:outlineLvl w:val="1"/>
              <w:rPr>
                <w:b/>
                <w:bCs/>
              </w:rPr>
            </w:pPr>
            <w:r w:rsidRPr="0087624B">
              <w:t xml:space="preserve">Is the IHE committed to providing physical space on campus to accommodate Early College students? </w:t>
            </w:r>
            <w:r w:rsidRPr="00C20BC6">
              <w:rPr>
                <w:b/>
                <w:bCs/>
              </w:rPr>
              <w:t>Guiding Principle 5</w:t>
            </w:r>
          </w:p>
        </w:tc>
        <w:tc>
          <w:tcPr>
            <w:tcW w:w="900" w:type="dxa"/>
            <w:shd w:val="clear" w:color="auto" w:fill="auto"/>
          </w:tcPr>
          <w:p w14:paraId="4062CD1F" w14:textId="77777777" w:rsidR="00A752AB" w:rsidRPr="00C20BC6" w:rsidRDefault="00A752AB" w:rsidP="00C20BC6">
            <w:pPr>
              <w:spacing w:before="100" w:beforeAutospacing="1" w:after="100" w:afterAutospacing="1"/>
              <w:contextualSpacing/>
              <w:outlineLvl w:val="1"/>
              <w:rPr>
                <w:b/>
                <w:bCs/>
                <w:sz w:val="32"/>
                <w:szCs w:val="32"/>
              </w:rPr>
            </w:pPr>
            <w:r w:rsidRPr="00056899">
              <w:t xml:space="preserve">[ ] </w:t>
            </w:r>
          </w:p>
        </w:tc>
        <w:tc>
          <w:tcPr>
            <w:tcW w:w="990" w:type="dxa"/>
            <w:shd w:val="clear" w:color="auto" w:fill="auto"/>
          </w:tcPr>
          <w:p w14:paraId="2964054A" w14:textId="77777777" w:rsidR="00A752AB" w:rsidRPr="00C20BC6" w:rsidRDefault="00A752AB" w:rsidP="00C20BC6">
            <w:pPr>
              <w:spacing w:before="100" w:beforeAutospacing="1" w:after="100" w:afterAutospacing="1"/>
              <w:contextualSpacing/>
              <w:outlineLvl w:val="1"/>
              <w:rPr>
                <w:b/>
                <w:bCs/>
                <w:sz w:val="32"/>
                <w:szCs w:val="32"/>
              </w:rPr>
            </w:pPr>
            <w:r w:rsidRPr="00056899">
              <w:t xml:space="preserve">[ ] </w:t>
            </w:r>
          </w:p>
        </w:tc>
      </w:tr>
      <w:tr w:rsidR="00A752AB" w14:paraId="095C2681" w14:textId="77777777" w:rsidTr="00C20BC6">
        <w:tc>
          <w:tcPr>
            <w:tcW w:w="9360" w:type="dxa"/>
            <w:shd w:val="clear" w:color="auto" w:fill="auto"/>
          </w:tcPr>
          <w:p w14:paraId="114C580C" w14:textId="77777777" w:rsidR="00A752AB" w:rsidRPr="00C20BC6" w:rsidRDefault="00A752AB" w:rsidP="00C20BC6">
            <w:pPr>
              <w:spacing w:before="100" w:beforeAutospacing="1" w:after="100" w:afterAutospacing="1"/>
              <w:contextualSpacing/>
              <w:outlineLvl w:val="1"/>
              <w:rPr>
                <w:b/>
                <w:bCs/>
              </w:rPr>
            </w:pPr>
            <w:r w:rsidRPr="0087624B">
              <w:t xml:space="preserve">Are both partners committed to the creation of a transportation plan for Early College students to attend events, advising, and college coursework at the IHE? </w:t>
            </w:r>
            <w:r w:rsidRPr="00C20BC6">
              <w:rPr>
                <w:b/>
                <w:bCs/>
              </w:rPr>
              <w:t>Guiding Principle 5</w:t>
            </w:r>
          </w:p>
        </w:tc>
        <w:tc>
          <w:tcPr>
            <w:tcW w:w="900" w:type="dxa"/>
            <w:shd w:val="clear" w:color="auto" w:fill="auto"/>
          </w:tcPr>
          <w:p w14:paraId="38DA87DF" w14:textId="77777777" w:rsidR="00A752AB" w:rsidRPr="00C20BC6" w:rsidRDefault="00A752AB" w:rsidP="00C20BC6">
            <w:pPr>
              <w:spacing w:before="100" w:beforeAutospacing="1" w:after="100" w:afterAutospacing="1"/>
              <w:contextualSpacing/>
              <w:outlineLvl w:val="1"/>
              <w:rPr>
                <w:b/>
                <w:bCs/>
                <w:sz w:val="32"/>
                <w:szCs w:val="32"/>
              </w:rPr>
            </w:pPr>
            <w:r w:rsidRPr="00056899">
              <w:t xml:space="preserve">[ ] </w:t>
            </w:r>
          </w:p>
        </w:tc>
        <w:tc>
          <w:tcPr>
            <w:tcW w:w="990" w:type="dxa"/>
            <w:shd w:val="clear" w:color="auto" w:fill="auto"/>
          </w:tcPr>
          <w:p w14:paraId="329B42BD" w14:textId="77777777" w:rsidR="00A752AB" w:rsidRPr="00C20BC6" w:rsidRDefault="00A752AB" w:rsidP="00C20BC6">
            <w:pPr>
              <w:spacing w:before="100" w:beforeAutospacing="1" w:after="100" w:afterAutospacing="1"/>
              <w:contextualSpacing/>
              <w:outlineLvl w:val="1"/>
              <w:rPr>
                <w:b/>
                <w:bCs/>
                <w:sz w:val="32"/>
                <w:szCs w:val="32"/>
              </w:rPr>
            </w:pPr>
            <w:r w:rsidRPr="00056899">
              <w:t xml:space="preserve">[ ] </w:t>
            </w:r>
          </w:p>
        </w:tc>
      </w:tr>
      <w:tr w:rsidR="00A752AB" w14:paraId="680D3D32" w14:textId="77777777" w:rsidTr="00C20BC6">
        <w:tc>
          <w:tcPr>
            <w:tcW w:w="9360" w:type="dxa"/>
            <w:shd w:val="clear" w:color="auto" w:fill="auto"/>
          </w:tcPr>
          <w:p w14:paraId="2F3DCE2C" w14:textId="77777777" w:rsidR="00A752AB" w:rsidRPr="00C20BC6" w:rsidRDefault="00A752AB" w:rsidP="00C20BC6">
            <w:pPr>
              <w:spacing w:before="100" w:beforeAutospacing="1" w:after="100" w:afterAutospacing="1"/>
              <w:contextualSpacing/>
              <w:outlineLvl w:val="1"/>
              <w:rPr>
                <w:b/>
                <w:bCs/>
              </w:rPr>
            </w:pPr>
            <w:r w:rsidRPr="0087624B">
              <w:t xml:space="preserve">Have both partners committed to holding conversations with their collective bargaining representatives regarding Early College plans? </w:t>
            </w:r>
            <w:r w:rsidRPr="00C20BC6">
              <w:rPr>
                <w:b/>
                <w:bCs/>
              </w:rPr>
              <w:t>Guiding Principle 5</w:t>
            </w:r>
          </w:p>
        </w:tc>
        <w:tc>
          <w:tcPr>
            <w:tcW w:w="900" w:type="dxa"/>
            <w:shd w:val="clear" w:color="auto" w:fill="auto"/>
          </w:tcPr>
          <w:p w14:paraId="711B475F" w14:textId="77777777" w:rsidR="00A752AB" w:rsidRPr="00C20BC6" w:rsidRDefault="00A752AB" w:rsidP="00C20BC6">
            <w:pPr>
              <w:spacing w:before="100" w:beforeAutospacing="1" w:after="100" w:afterAutospacing="1"/>
              <w:contextualSpacing/>
              <w:outlineLvl w:val="1"/>
              <w:rPr>
                <w:b/>
                <w:bCs/>
                <w:sz w:val="32"/>
                <w:szCs w:val="32"/>
              </w:rPr>
            </w:pPr>
            <w:r w:rsidRPr="00056899">
              <w:t xml:space="preserve">[ ] </w:t>
            </w:r>
          </w:p>
        </w:tc>
        <w:tc>
          <w:tcPr>
            <w:tcW w:w="990" w:type="dxa"/>
            <w:shd w:val="clear" w:color="auto" w:fill="auto"/>
          </w:tcPr>
          <w:p w14:paraId="3E8DFC1A" w14:textId="77777777" w:rsidR="00A752AB" w:rsidRPr="00C20BC6" w:rsidRDefault="00A752AB" w:rsidP="00C20BC6">
            <w:pPr>
              <w:spacing w:before="100" w:beforeAutospacing="1" w:after="100" w:afterAutospacing="1"/>
              <w:contextualSpacing/>
              <w:outlineLvl w:val="1"/>
              <w:rPr>
                <w:b/>
                <w:bCs/>
                <w:sz w:val="32"/>
                <w:szCs w:val="32"/>
              </w:rPr>
            </w:pPr>
            <w:r w:rsidRPr="00056899">
              <w:t xml:space="preserve">[ ] </w:t>
            </w:r>
          </w:p>
        </w:tc>
      </w:tr>
    </w:tbl>
    <w:p w14:paraId="5EF19981" w14:textId="77777777" w:rsidR="00A752AB" w:rsidRDefault="00A752AB" w:rsidP="00A752AB">
      <w:pPr>
        <w:spacing w:after="160" w:line="259" w:lineRule="auto"/>
        <w:rPr>
          <w:sz w:val="20"/>
          <w:szCs w:val="20"/>
        </w:rPr>
      </w:pPr>
    </w:p>
    <w:p w14:paraId="759ACABE" w14:textId="77777777" w:rsidR="00A752AB" w:rsidRDefault="00A752AB" w:rsidP="00A752AB">
      <w:pPr>
        <w:spacing w:after="160" w:line="259" w:lineRule="auto"/>
        <w:rPr>
          <w:sz w:val="20"/>
          <w:szCs w:val="20"/>
        </w:rPr>
      </w:pPr>
    </w:p>
    <w:p w14:paraId="4E60D5E8" w14:textId="77777777" w:rsidR="00A752AB" w:rsidRDefault="00A752AB" w:rsidP="00A752AB">
      <w:pPr>
        <w:spacing w:after="160" w:line="259" w:lineRule="auto"/>
        <w:rPr>
          <w:sz w:val="20"/>
          <w:szCs w:val="20"/>
        </w:rPr>
      </w:pPr>
    </w:p>
    <w:p w14:paraId="73FAFAEC" w14:textId="77777777" w:rsidR="00A752AB" w:rsidRDefault="00A752AB" w:rsidP="00A752AB">
      <w:pPr>
        <w:spacing w:after="160" w:line="259" w:lineRule="auto"/>
        <w:rPr>
          <w:sz w:val="20"/>
          <w:szCs w:val="20"/>
        </w:rPr>
      </w:pPr>
    </w:p>
    <w:p w14:paraId="7E79212C" w14:textId="77777777" w:rsidR="00A752AB" w:rsidRDefault="00A752AB" w:rsidP="00A752AB">
      <w:pPr>
        <w:pStyle w:val="ListParagraph"/>
        <w:numPr>
          <w:ilvl w:val="0"/>
          <w:numId w:val="3"/>
        </w:numPr>
        <w:spacing w:before="100" w:beforeAutospacing="1" w:after="100" w:afterAutospacing="1"/>
        <w:ind w:left="1980"/>
        <w:contextualSpacing/>
        <w:outlineLvl w:val="1"/>
        <w:rPr>
          <w:rFonts w:ascii="Times New Roman" w:eastAsia="Times New Roman" w:hAnsi="Times New Roman"/>
          <w:b/>
          <w:bCs/>
          <w:sz w:val="32"/>
          <w:szCs w:val="32"/>
        </w:rPr>
      </w:pPr>
      <w:r>
        <w:rPr>
          <w:rFonts w:ascii="Times New Roman" w:eastAsia="Times New Roman" w:hAnsi="Times New Roman"/>
          <w:b/>
          <w:bCs/>
          <w:sz w:val="32"/>
          <w:szCs w:val="32"/>
        </w:rPr>
        <w:t xml:space="preserve">Grant Application Narrative </w:t>
      </w:r>
    </w:p>
    <w:tbl>
      <w:tblPr>
        <w:tblW w:w="112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0"/>
      </w:tblGrid>
      <w:tr w:rsidR="00A752AB" w14:paraId="11A4A6FF" w14:textId="77777777" w:rsidTr="00C20BC6">
        <w:trPr>
          <w:trHeight w:val="1360"/>
        </w:trPr>
        <w:tc>
          <w:tcPr>
            <w:tcW w:w="11250" w:type="dxa"/>
            <w:shd w:val="clear" w:color="auto" w:fill="auto"/>
          </w:tcPr>
          <w:p w14:paraId="07FA957D" w14:textId="77777777" w:rsidR="00A752AB" w:rsidRPr="00C20BC6" w:rsidRDefault="00A752AB" w:rsidP="00C20BC6">
            <w:pPr>
              <w:spacing w:before="100" w:beforeAutospacing="1" w:after="100" w:afterAutospacing="1"/>
              <w:contextualSpacing/>
              <w:outlineLvl w:val="2"/>
              <w:rPr>
                <w:b/>
                <w:bCs/>
              </w:rPr>
            </w:pPr>
            <w:r>
              <w:t>Please describe your interest and motivation in receiving an Early College designation</w:t>
            </w:r>
            <w:r w:rsidRPr="00C20BC6">
              <w:rPr>
                <w:b/>
                <w:bCs/>
              </w:rPr>
              <w:t>. Field limited to 1,000 words.*</w:t>
            </w:r>
          </w:p>
          <w:p w14:paraId="3345A3AB" w14:textId="77777777" w:rsidR="00A752AB" w:rsidRDefault="00A752AB" w:rsidP="00C20BC6">
            <w:pPr>
              <w:spacing w:before="100" w:beforeAutospacing="1" w:after="100" w:afterAutospacing="1"/>
              <w:contextualSpacing/>
              <w:outlineLvl w:val="1"/>
            </w:pPr>
          </w:p>
        </w:tc>
      </w:tr>
      <w:tr w:rsidR="00A752AB" w14:paraId="51BE1890" w14:textId="77777777" w:rsidTr="00C20BC6">
        <w:trPr>
          <w:trHeight w:val="1814"/>
        </w:trPr>
        <w:tc>
          <w:tcPr>
            <w:tcW w:w="11250" w:type="dxa"/>
            <w:shd w:val="clear" w:color="auto" w:fill="auto"/>
          </w:tcPr>
          <w:p w14:paraId="74A7503D" w14:textId="77777777" w:rsidR="00A752AB" w:rsidRDefault="00A752AB" w:rsidP="00C20BC6">
            <w:pPr>
              <w:spacing w:before="100" w:beforeAutospacing="1" w:after="100" w:afterAutospacing="1"/>
              <w:contextualSpacing/>
              <w:outlineLvl w:val="1"/>
            </w:pPr>
            <w:r>
              <w:t xml:space="preserve">Having completed the “Early College Readiness Commitment Checklist”, what do you anticipate will be the greatest challenges to meeting the criteria for the Early College Part A Application? Please describe each challenge and primary consideration for solutions. </w:t>
            </w:r>
            <w:r w:rsidRPr="00C20BC6">
              <w:rPr>
                <w:b/>
                <w:bCs/>
              </w:rPr>
              <w:t>Field limited to 1,000 words.</w:t>
            </w:r>
            <w:r>
              <w:t xml:space="preserve"> </w:t>
            </w:r>
          </w:p>
        </w:tc>
      </w:tr>
      <w:tr w:rsidR="00A752AB" w14:paraId="032BDD76" w14:textId="77777777" w:rsidTr="00C20BC6">
        <w:trPr>
          <w:trHeight w:val="1360"/>
        </w:trPr>
        <w:tc>
          <w:tcPr>
            <w:tcW w:w="11250" w:type="dxa"/>
            <w:shd w:val="clear" w:color="auto" w:fill="auto"/>
          </w:tcPr>
          <w:p w14:paraId="04C13571" w14:textId="77777777" w:rsidR="00A752AB" w:rsidRDefault="00A752AB" w:rsidP="00C20BC6">
            <w:pPr>
              <w:spacing w:before="100" w:beforeAutospacing="1" w:after="100" w:afterAutospacing="1"/>
              <w:contextualSpacing/>
              <w:outlineLvl w:val="1"/>
            </w:pPr>
            <w:r>
              <w:t xml:space="preserve">Applicants are required to submit a completed template budget for this competitive planning grant funding. Please describe how these funds will be used, and how they will support both partners in meeting the Early College designation criteria.  </w:t>
            </w:r>
            <w:r w:rsidRPr="00C20BC6">
              <w:rPr>
                <w:b/>
                <w:bCs/>
              </w:rPr>
              <w:t>Field limited to 1,000 words.</w:t>
            </w:r>
            <w:r>
              <w:t xml:space="preserve"> </w:t>
            </w:r>
          </w:p>
        </w:tc>
      </w:tr>
    </w:tbl>
    <w:p w14:paraId="44DBAE31" w14:textId="77777777" w:rsidR="00A752AB" w:rsidRDefault="00A752AB" w:rsidP="00A752AB">
      <w:pPr>
        <w:spacing w:before="100" w:beforeAutospacing="1" w:after="100" w:afterAutospacing="1"/>
        <w:contextualSpacing/>
        <w:outlineLvl w:val="1"/>
      </w:pPr>
    </w:p>
    <w:p w14:paraId="3AB65BBB" w14:textId="77777777" w:rsidR="00A752AB" w:rsidRDefault="00A752AB" w:rsidP="00A752AB">
      <w:pPr>
        <w:spacing w:after="160" w:line="259" w:lineRule="auto"/>
      </w:pPr>
      <w:r>
        <w:br w:type="page"/>
      </w:r>
    </w:p>
    <w:p w14:paraId="00E9DBD2" w14:textId="77777777" w:rsidR="00A752AB" w:rsidRPr="00372CE9" w:rsidRDefault="00A752AB" w:rsidP="00A752AB">
      <w:pPr>
        <w:pStyle w:val="ListParagraph"/>
        <w:numPr>
          <w:ilvl w:val="0"/>
          <w:numId w:val="3"/>
        </w:numPr>
        <w:spacing w:before="100" w:beforeAutospacing="1" w:after="100" w:afterAutospacing="1"/>
        <w:contextualSpacing/>
        <w:outlineLvl w:val="1"/>
        <w:rPr>
          <w:rFonts w:ascii="Times New Roman" w:eastAsia="Times New Roman" w:hAnsi="Times New Roman"/>
          <w:b/>
          <w:bCs/>
          <w:sz w:val="32"/>
          <w:szCs w:val="32"/>
        </w:rPr>
      </w:pPr>
      <w:r>
        <w:rPr>
          <w:rFonts w:ascii="Times New Roman" w:eastAsia="Times New Roman" w:hAnsi="Times New Roman"/>
          <w:b/>
          <w:bCs/>
          <w:sz w:val="32"/>
          <w:szCs w:val="32"/>
        </w:rPr>
        <w:t>Upload Template Budget for Competitive Planning Grant Funding</w:t>
      </w:r>
      <w:r w:rsidRPr="00372CE9">
        <w:rPr>
          <w:rFonts w:ascii="Times New Roman" w:eastAsia="Times New Roman" w:hAnsi="Times New Roman"/>
          <w:b/>
          <w:bCs/>
          <w:sz w:val="32"/>
          <w:szCs w:val="32"/>
        </w:rPr>
        <w:t xml:space="preserve"> </w:t>
      </w:r>
    </w:p>
    <w:p w14:paraId="26A2B453" w14:textId="77777777" w:rsidR="00A752AB" w:rsidRDefault="00A752AB" w:rsidP="00A752AB">
      <w:pPr>
        <w:spacing w:after="160"/>
        <w:ind w:left="-810" w:right="-990"/>
      </w:pPr>
      <w:r>
        <w:t xml:space="preserve">Copy and paste this template budget into a separate Word Document. Then, complete the template to demonstrate how the Planning Grant Funding will be used to support both partners in meeting the Early College designation Criteria. Applicants will be asked to upload this completed document directly onto </w:t>
      </w:r>
      <w:hyperlink r:id="rId15" w:history="1">
        <w:r w:rsidRPr="00372CE9">
          <w:rPr>
            <w:rStyle w:val="Hyperlink"/>
          </w:rPr>
          <w:t>the survey</w:t>
        </w:r>
      </w:hyperlink>
      <w:r>
        <w:t>.</w:t>
      </w:r>
    </w:p>
    <w:tbl>
      <w:tblPr>
        <w:tblW w:w="11095" w:type="dxa"/>
        <w:tblInd w:w="-815" w:type="dxa"/>
        <w:tblLook w:val="04A0" w:firstRow="1" w:lastRow="0" w:firstColumn="1" w:lastColumn="0" w:noHBand="0" w:noVBand="1"/>
      </w:tblPr>
      <w:tblGrid>
        <w:gridCol w:w="5727"/>
        <w:gridCol w:w="1803"/>
        <w:gridCol w:w="1598"/>
        <w:gridCol w:w="1967"/>
      </w:tblGrid>
      <w:tr w:rsidR="00A752AB" w:rsidRPr="003208A8" w14:paraId="70105DAB" w14:textId="77777777" w:rsidTr="00A752AB">
        <w:trPr>
          <w:trHeight w:val="288"/>
        </w:trPr>
        <w:tc>
          <w:tcPr>
            <w:tcW w:w="11095" w:type="dxa"/>
            <w:gridSpan w:val="4"/>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4AEC8DFF" w14:textId="77777777" w:rsidR="00A752AB" w:rsidRPr="00264974" w:rsidRDefault="00A752AB" w:rsidP="00C20BC6">
            <w:pPr>
              <w:rPr>
                <w:sz w:val="20"/>
                <w:szCs w:val="20"/>
              </w:rPr>
            </w:pPr>
            <w:r w:rsidRPr="00264974">
              <w:rPr>
                <w:b/>
                <w:bCs/>
              </w:rPr>
              <w:t>Applicant Name:</w:t>
            </w:r>
            <w:r w:rsidRPr="00264974">
              <w:rPr>
                <w:sz w:val="20"/>
                <w:szCs w:val="20"/>
              </w:rPr>
              <w:t xml:space="preserve"> </w:t>
            </w:r>
          </w:p>
        </w:tc>
      </w:tr>
      <w:tr w:rsidR="00A752AB" w:rsidRPr="003208A8" w14:paraId="3EE20E67" w14:textId="77777777" w:rsidTr="00C20BC6">
        <w:trPr>
          <w:trHeight w:val="323"/>
        </w:trPr>
        <w:tc>
          <w:tcPr>
            <w:tcW w:w="5727" w:type="dxa"/>
            <w:tcBorders>
              <w:top w:val="single" w:sz="4" w:space="0" w:color="auto"/>
              <w:left w:val="single" w:sz="4" w:space="0" w:color="auto"/>
              <w:bottom w:val="single" w:sz="4" w:space="0" w:color="auto"/>
              <w:right w:val="single" w:sz="4" w:space="0" w:color="auto"/>
            </w:tcBorders>
            <w:shd w:val="clear" w:color="000000" w:fill="DBE4F0"/>
            <w:vAlign w:val="center"/>
            <w:hideMark/>
          </w:tcPr>
          <w:p w14:paraId="3EE64C2D" w14:textId="77777777" w:rsidR="00A752AB" w:rsidRPr="00264974" w:rsidRDefault="00A752AB" w:rsidP="00C20BC6">
            <w:pPr>
              <w:rPr>
                <w:b/>
                <w:bCs/>
              </w:rPr>
            </w:pPr>
            <w:r w:rsidRPr="00264974">
              <w:rPr>
                <w:b/>
                <w:bCs/>
              </w:rPr>
              <w:t>A. Salaries and Benefits</w:t>
            </w:r>
          </w:p>
        </w:tc>
        <w:tc>
          <w:tcPr>
            <w:tcW w:w="1803" w:type="dxa"/>
            <w:tcBorders>
              <w:top w:val="single" w:sz="4" w:space="0" w:color="auto"/>
              <w:left w:val="nil"/>
              <w:bottom w:val="single" w:sz="4" w:space="0" w:color="auto"/>
              <w:right w:val="single" w:sz="4" w:space="0" w:color="auto"/>
            </w:tcBorders>
            <w:shd w:val="clear" w:color="000000" w:fill="DBE4F0"/>
            <w:vAlign w:val="center"/>
            <w:hideMark/>
          </w:tcPr>
          <w:p w14:paraId="24053949" w14:textId="77777777" w:rsidR="00A752AB" w:rsidRPr="00264974" w:rsidRDefault="00A752AB" w:rsidP="00C20BC6">
            <w:pPr>
              <w:jc w:val="center"/>
              <w:rPr>
                <w:b/>
                <w:bCs/>
              </w:rPr>
            </w:pPr>
            <w:r w:rsidRPr="00264974">
              <w:rPr>
                <w:b/>
                <w:bCs/>
              </w:rPr>
              <w:t>Rate $ per Hour</w:t>
            </w:r>
          </w:p>
        </w:tc>
        <w:tc>
          <w:tcPr>
            <w:tcW w:w="1598" w:type="dxa"/>
            <w:tcBorders>
              <w:top w:val="single" w:sz="4" w:space="0" w:color="auto"/>
              <w:left w:val="nil"/>
              <w:bottom w:val="single" w:sz="4" w:space="0" w:color="auto"/>
              <w:right w:val="single" w:sz="4" w:space="0" w:color="auto"/>
            </w:tcBorders>
            <w:shd w:val="clear" w:color="000000" w:fill="DBE4F0"/>
            <w:vAlign w:val="center"/>
            <w:hideMark/>
          </w:tcPr>
          <w:p w14:paraId="77735E50" w14:textId="77777777" w:rsidR="00A752AB" w:rsidRPr="00264974" w:rsidRDefault="00A752AB" w:rsidP="00C20BC6">
            <w:pPr>
              <w:jc w:val="center"/>
              <w:rPr>
                <w:b/>
                <w:bCs/>
              </w:rPr>
            </w:pPr>
            <w:r w:rsidRPr="00264974">
              <w:rPr>
                <w:b/>
                <w:bCs/>
              </w:rPr>
              <w:t># of Hours</w:t>
            </w:r>
          </w:p>
        </w:tc>
        <w:tc>
          <w:tcPr>
            <w:tcW w:w="1967" w:type="dxa"/>
            <w:tcBorders>
              <w:top w:val="single" w:sz="4" w:space="0" w:color="auto"/>
              <w:left w:val="nil"/>
              <w:bottom w:val="single" w:sz="4" w:space="0" w:color="auto"/>
              <w:right w:val="single" w:sz="4" w:space="0" w:color="auto"/>
            </w:tcBorders>
            <w:shd w:val="clear" w:color="000000" w:fill="DBE4F0"/>
            <w:vAlign w:val="center"/>
            <w:hideMark/>
          </w:tcPr>
          <w:p w14:paraId="1FF61721" w14:textId="77777777" w:rsidR="00A752AB" w:rsidRPr="00264974" w:rsidRDefault="00A752AB" w:rsidP="00C20BC6">
            <w:pPr>
              <w:jc w:val="center"/>
              <w:rPr>
                <w:b/>
                <w:bCs/>
              </w:rPr>
            </w:pPr>
            <w:r w:rsidRPr="00264974">
              <w:rPr>
                <w:b/>
                <w:bCs/>
              </w:rPr>
              <w:t>Total</w:t>
            </w:r>
          </w:p>
        </w:tc>
      </w:tr>
      <w:tr w:rsidR="00A752AB" w:rsidRPr="003208A8" w14:paraId="30D43023" w14:textId="77777777" w:rsidTr="00C20BC6">
        <w:trPr>
          <w:trHeight w:val="288"/>
        </w:trPr>
        <w:tc>
          <w:tcPr>
            <w:tcW w:w="5727" w:type="dxa"/>
            <w:tcBorders>
              <w:top w:val="nil"/>
              <w:left w:val="single" w:sz="4" w:space="0" w:color="auto"/>
              <w:bottom w:val="single" w:sz="4" w:space="0" w:color="auto"/>
              <w:right w:val="single" w:sz="4" w:space="0" w:color="auto"/>
            </w:tcBorders>
            <w:shd w:val="clear" w:color="auto" w:fill="auto"/>
            <w:vAlign w:val="center"/>
            <w:hideMark/>
          </w:tcPr>
          <w:p w14:paraId="014F4EDA" w14:textId="77777777" w:rsidR="00A752AB" w:rsidRPr="00264974" w:rsidRDefault="00A752AB" w:rsidP="00C20BC6">
            <w:pPr>
              <w:ind w:firstLineChars="100" w:firstLine="240"/>
            </w:pPr>
            <w:r w:rsidRPr="00264974">
              <w:t>Administrator</w:t>
            </w:r>
          </w:p>
        </w:tc>
        <w:tc>
          <w:tcPr>
            <w:tcW w:w="1803" w:type="dxa"/>
            <w:tcBorders>
              <w:top w:val="nil"/>
              <w:left w:val="nil"/>
              <w:bottom w:val="single" w:sz="4" w:space="0" w:color="auto"/>
              <w:right w:val="single" w:sz="4" w:space="0" w:color="auto"/>
            </w:tcBorders>
            <w:shd w:val="clear" w:color="auto" w:fill="auto"/>
            <w:vAlign w:val="center"/>
            <w:hideMark/>
          </w:tcPr>
          <w:p w14:paraId="5A90B4F8" w14:textId="77777777" w:rsidR="00A752AB" w:rsidRPr="00264974" w:rsidRDefault="00A752AB" w:rsidP="00C20BC6">
            <w:r w:rsidRPr="00264974">
              <w:t> </w:t>
            </w:r>
          </w:p>
        </w:tc>
        <w:tc>
          <w:tcPr>
            <w:tcW w:w="1598" w:type="dxa"/>
            <w:tcBorders>
              <w:top w:val="nil"/>
              <w:left w:val="nil"/>
              <w:bottom w:val="single" w:sz="4" w:space="0" w:color="auto"/>
              <w:right w:val="single" w:sz="4" w:space="0" w:color="auto"/>
            </w:tcBorders>
            <w:shd w:val="clear" w:color="auto" w:fill="auto"/>
            <w:vAlign w:val="center"/>
            <w:hideMark/>
          </w:tcPr>
          <w:p w14:paraId="7C7B7BA3" w14:textId="77777777" w:rsidR="00A752AB" w:rsidRPr="00264974" w:rsidRDefault="00A752AB" w:rsidP="00C20BC6">
            <w:r w:rsidRPr="00264974">
              <w:t> </w:t>
            </w:r>
          </w:p>
        </w:tc>
        <w:tc>
          <w:tcPr>
            <w:tcW w:w="1967" w:type="dxa"/>
            <w:tcBorders>
              <w:top w:val="nil"/>
              <w:left w:val="nil"/>
              <w:bottom w:val="single" w:sz="4" w:space="0" w:color="auto"/>
              <w:right w:val="single" w:sz="4" w:space="0" w:color="auto"/>
            </w:tcBorders>
            <w:shd w:val="clear" w:color="auto" w:fill="auto"/>
            <w:vAlign w:val="center"/>
            <w:hideMark/>
          </w:tcPr>
          <w:p w14:paraId="284316F3" w14:textId="77777777" w:rsidR="00A752AB" w:rsidRPr="00264974" w:rsidRDefault="00A752AB" w:rsidP="00C20BC6">
            <w:r w:rsidRPr="00264974">
              <w:t> </w:t>
            </w:r>
          </w:p>
        </w:tc>
      </w:tr>
      <w:tr w:rsidR="00A752AB" w:rsidRPr="003208A8" w14:paraId="20F0794F" w14:textId="77777777" w:rsidTr="00C20BC6">
        <w:trPr>
          <w:trHeight w:val="288"/>
        </w:trPr>
        <w:tc>
          <w:tcPr>
            <w:tcW w:w="5727" w:type="dxa"/>
            <w:tcBorders>
              <w:top w:val="nil"/>
              <w:left w:val="single" w:sz="4" w:space="0" w:color="auto"/>
              <w:bottom w:val="single" w:sz="4" w:space="0" w:color="auto"/>
              <w:right w:val="single" w:sz="4" w:space="0" w:color="auto"/>
            </w:tcBorders>
            <w:shd w:val="clear" w:color="auto" w:fill="auto"/>
            <w:vAlign w:val="center"/>
            <w:hideMark/>
          </w:tcPr>
          <w:p w14:paraId="5747699B" w14:textId="77777777" w:rsidR="00A752AB" w:rsidRPr="00264974" w:rsidRDefault="00A752AB" w:rsidP="00C20BC6">
            <w:pPr>
              <w:ind w:firstLineChars="100" w:firstLine="240"/>
            </w:pPr>
            <w:r w:rsidRPr="00264974">
              <w:t>Project Coordinator</w:t>
            </w:r>
          </w:p>
        </w:tc>
        <w:tc>
          <w:tcPr>
            <w:tcW w:w="1803" w:type="dxa"/>
            <w:tcBorders>
              <w:top w:val="nil"/>
              <w:left w:val="nil"/>
              <w:bottom w:val="single" w:sz="4" w:space="0" w:color="auto"/>
              <w:right w:val="single" w:sz="4" w:space="0" w:color="auto"/>
            </w:tcBorders>
            <w:shd w:val="clear" w:color="auto" w:fill="auto"/>
            <w:vAlign w:val="center"/>
            <w:hideMark/>
          </w:tcPr>
          <w:p w14:paraId="69AB56AB" w14:textId="77777777" w:rsidR="00A752AB" w:rsidRPr="00264974" w:rsidRDefault="00A752AB" w:rsidP="00C20BC6">
            <w:r w:rsidRPr="00264974">
              <w:t> </w:t>
            </w:r>
          </w:p>
        </w:tc>
        <w:tc>
          <w:tcPr>
            <w:tcW w:w="1598" w:type="dxa"/>
            <w:tcBorders>
              <w:top w:val="nil"/>
              <w:left w:val="nil"/>
              <w:bottom w:val="single" w:sz="4" w:space="0" w:color="auto"/>
              <w:right w:val="single" w:sz="4" w:space="0" w:color="auto"/>
            </w:tcBorders>
            <w:shd w:val="clear" w:color="auto" w:fill="auto"/>
            <w:vAlign w:val="center"/>
            <w:hideMark/>
          </w:tcPr>
          <w:p w14:paraId="6D28C585" w14:textId="77777777" w:rsidR="00A752AB" w:rsidRPr="00264974" w:rsidRDefault="00A752AB" w:rsidP="00C20BC6">
            <w:r w:rsidRPr="00264974">
              <w:t> </w:t>
            </w:r>
          </w:p>
        </w:tc>
        <w:tc>
          <w:tcPr>
            <w:tcW w:w="1967" w:type="dxa"/>
            <w:tcBorders>
              <w:top w:val="nil"/>
              <w:left w:val="nil"/>
              <w:bottom w:val="single" w:sz="4" w:space="0" w:color="auto"/>
              <w:right w:val="single" w:sz="4" w:space="0" w:color="auto"/>
            </w:tcBorders>
            <w:shd w:val="clear" w:color="auto" w:fill="auto"/>
            <w:vAlign w:val="center"/>
            <w:hideMark/>
          </w:tcPr>
          <w:p w14:paraId="502E72A1" w14:textId="77777777" w:rsidR="00A752AB" w:rsidRPr="00264974" w:rsidRDefault="00A752AB" w:rsidP="00C20BC6">
            <w:r w:rsidRPr="00264974">
              <w:t> </w:t>
            </w:r>
          </w:p>
        </w:tc>
      </w:tr>
      <w:tr w:rsidR="00A752AB" w:rsidRPr="003208A8" w14:paraId="1A87B494" w14:textId="77777777" w:rsidTr="00C20BC6">
        <w:trPr>
          <w:trHeight w:val="288"/>
        </w:trPr>
        <w:tc>
          <w:tcPr>
            <w:tcW w:w="5727" w:type="dxa"/>
            <w:tcBorders>
              <w:top w:val="nil"/>
              <w:left w:val="single" w:sz="4" w:space="0" w:color="auto"/>
              <w:bottom w:val="single" w:sz="4" w:space="0" w:color="auto"/>
              <w:right w:val="single" w:sz="4" w:space="0" w:color="auto"/>
            </w:tcBorders>
            <w:shd w:val="clear" w:color="auto" w:fill="auto"/>
            <w:vAlign w:val="center"/>
            <w:hideMark/>
          </w:tcPr>
          <w:p w14:paraId="446A97FA" w14:textId="77777777" w:rsidR="00A752AB" w:rsidRPr="00264974" w:rsidRDefault="00A752AB" w:rsidP="00C20BC6">
            <w:pPr>
              <w:ind w:firstLineChars="100" w:firstLine="240"/>
            </w:pPr>
            <w:r w:rsidRPr="00264974">
              <w:t>High School Teacher Stipends</w:t>
            </w:r>
          </w:p>
        </w:tc>
        <w:tc>
          <w:tcPr>
            <w:tcW w:w="1803" w:type="dxa"/>
            <w:tcBorders>
              <w:top w:val="nil"/>
              <w:left w:val="nil"/>
              <w:bottom w:val="single" w:sz="4" w:space="0" w:color="auto"/>
              <w:right w:val="single" w:sz="4" w:space="0" w:color="auto"/>
            </w:tcBorders>
            <w:shd w:val="clear" w:color="auto" w:fill="auto"/>
            <w:vAlign w:val="center"/>
            <w:hideMark/>
          </w:tcPr>
          <w:p w14:paraId="48552836" w14:textId="77777777" w:rsidR="00A752AB" w:rsidRPr="00264974" w:rsidRDefault="00A752AB" w:rsidP="00C20BC6">
            <w:r w:rsidRPr="00264974">
              <w:t> </w:t>
            </w:r>
          </w:p>
        </w:tc>
        <w:tc>
          <w:tcPr>
            <w:tcW w:w="1598" w:type="dxa"/>
            <w:tcBorders>
              <w:top w:val="nil"/>
              <w:left w:val="nil"/>
              <w:bottom w:val="single" w:sz="4" w:space="0" w:color="auto"/>
              <w:right w:val="single" w:sz="4" w:space="0" w:color="auto"/>
            </w:tcBorders>
            <w:shd w:val="clear" w:color="auto" w:fill="auto"/>
            <w:vAlign w:val="center"/>
            <w:hideMark/>
          </w:tcPr>
          <w:p w14:paraId="05F48A05" w14:textId="77777777" w:rsidR="00A752AB" w:rsidRPr="00264974" w:rsidRDefault="00A752AB" w:rsidP="00C20BC6">
            <w:r w:rsidRPr="00264974">
              <w:t> </w:t>
            </w:r>
          </w:p>
        </w:tc>
        <w:tc>
          <w:tcPr>
            <w:tcW w:w="1967" w:type="dxa"/>
            <w:tcBorders>
              <w:top w:val="nil"/>
              <w:left w:val="nil"/>
              <w:bottom w:val="single" w:sz="4" w:space="0" w:color="auto"/>
              <w:right w:val="single" w:sz="4" w:space="0" w:color="auto"/>
            </w:tcBorders>
            <w:shd w:val="clear" w:color="auto" w:fill="auto"/>
            <w:vAlign w:val="center"/>
            <w:hideMark/>
          </w:tcPr>
          <w:p w14:paraId="115F9299" w14:textId="77777777" w:rsidR="00A752AB" w:rsidRPr="00264974" w:rsidRDefault="00A752AB" w:rsidP="00C20BC6">
            <w:r w:rsidRPr="00264974">
              <w:t> </w:t>
            </w:r>
          </w:p>
        </w:tc>
      </w:tr>
      <w:tr w:rsidR="00A752AB" w:rsidRPr="003208A8" w14:paraId="0C8466E2" w14:textId="77777777" w:rsidTr="00C20BC6">
        <w:trPr>
          <w:trHeight w:val="288"/>
        </w:trPr>
        <w:tc>
          <w:tcPr>
            <w:tcW w:w="5727" w:type="dxa"/>
            <w:tcBorders>
              <w:top w:val="nil"/>
              <w:left w:val="single" w:sz="4" w:space="0" w:color="auto"/>
              <w:bottom w:val="single" w:sz="4" w:space="0" w:color="auto"/>
              <w:right w:val="single" w:sz="4" w:space="0" w:color="auto"/>
            </w:tcBorders>
            <w:shd w:val="clear" w:color="auto" w:fill="auto"/>
            <w:vAlign w:val="center"/>
            <w:hideMark/>
          </w:tcPr>
          <w:p w14:paraId="63273FB2" w14:textId="77777777" w:rsidR="00A752AB" w:rsidRPr="00264974" w:rsidRDefault="00A752AB" w:rsidP="00C20BC6">
            <w:pPr>
              <w:ind w:firstLineChars="100" w:firstLine="240"/>
            </w:pPr>
            <w:r w:rsidRPr="00264974">
              <w:t>Post-Secondary Faculty Stipends</w:t>
            </w:r>
          </w:p>
        </w:tc>
        <w:tc>
          <w:tcPr>
            <w:tcW w:w="1803" w:type="dxa"/>
            <w:tcBorders>
              <w:top w:val="nil"/>
              <w:left w:val="nil"/>
              <w:bottom w:val="single" w:sz="4" w:space="0" w:color="auto"/>
              <w:right w:val="single" w:sz="4" w:space="0" w:color="auto"/>
            </w:tcBorders>
            <w:shd w:val="clear" w:color="auto" w:fill="auto"/>
            <w:vAlign w:val="center"/>
            <w:hideMark/>
          </w:tcPr>
          <w:p w14:paraId="73C376C3" w14:textId="77777777" w:rsidR="00A752AB" w:rsidRPr="00264974" w:rsidRDefault="00A752AB" w:rsidP="00C20BC6">
            <w:r w:rsidRPr="00264974">
              <w:t> </w:t>
            </w:r>
          </w:p>
        </w:tc>
        <w:tc>
          <w:tcPr>
            <w:tcW w:w="1598" w:type="dxa"/>
            <w:tcBorders>
              <w:top w:val="nil"/>
              <w:left w:val="nil"/>
              <w:bottom w:val="single" w:sz="4" w:space="0" w:color="auto"/>
              <w:right w:val="single" w:sz="4" w:space="0" w:color="auto"/>
            </w:tcBorders>
            <w:shd w:val="clear" w:color="auto" w:fill="auto"/>
            <w:vAlign w:val="center"/>
            <w:hideMark/>
          </w:tcPr>
          <w:p w14:paraId="2CB014A5" w14:textId="77777777" w:rsidR="00A752AB" w:rsidRPr="00264974" w:rsidRDefault="00A752AB" w:rsidP="00C20BC6">
            <w:r w:rsidRPr="00264974">
              <w:t> </w:t>
            </w:r>
          </w:p>
        </w:tc>
        <w:tc>
          <w:tcPr>
            <w:tcW w:w="1967" w:type="dxa"/>
            <w:tcBorders>
              <w:top w:val="nil"/>
              <w:left w:val="nil"/>
              <w:bottom w:val="single" w:sz="4" w:space="0" w:color="auto"/>
              <w:right w:val="single" w:sz="4" w:space="0" w:color="auto"/>
            </w:tcBorders>
            <w:shd w:val="clear" w:color="auto" w:fill="auto"/>
            <w:vAlign w:val="center"/>
            <w:hideMark/>
          </w:tcPr>
          <w:p w14:paraId="7A14D6E1" w14:textId="77777777" w:rsidR="00A752AB" w:rsidRPr="00264974" w:rsidRDefault="00A752AB" w:rsidP="00C20BC6">
            <w:r w:rsidRPr="00264974">
              <w:t> </w:t>
            </w:r>
          </w:p>
        </w:tc>
      </w:tr>
      <w:tr w:rsidR="00A752AB" w:rsidRPr="003208A8" w14:paraId="4A5F47A9" w14:textId="77777777" w:rsidTr="00C20BC6">
        <w:trPr>
          <w:trHeight w:val="288"/>
        </w:trPr>
        <w:tc>
          <w:tcPr>
            <w:tcW w:w="5727" w:type="dxa"/>
            <w:tcBorders>
              <w:top w:val="nil"/>
              <w:left w:val="single" w:sz="4" w:space="0" w:color="auto"/>
              <w:bottom w:val="single" w:sz="4" w:space="0" w:color="auto"/>
              <w:right w:val="single" w:sz="4" w:space="0" w:color="auto"/>
            </w:tcBorders>
            <w:shd w:val="clear" w:color="auto" w:fill="auto"/>
            <w:vAlign w:val="center"/>
            <w:hideMark/>
          </w:tcPr>
          <w:p w14:paraId="4E6BAA5E" w14:textId="77777777" w:rsidR="00A752AB" w:rsidRPr="00264974" w:rsidRDefault="00A752AB" w:rsidP="00C20BC6">
            <w:pPr>
              <w:ind w:firstLineChars="100" w:firstLine="240"/>
            </w:pPr>
            <w:r w:rsidRPr="00264974">
              <w:t>Support Staff</w:t>
            </w:r>
          </w:p>
        </w:tc>
        <w:tc>
          <w:tcPr>
            <w:tcW w:w="1803" w:type="dxa"/>
            <w:tcBorders>
              <w:top w:val="nil"/>
              <w:left w:val="nil"/>
              <w:bottom w:val="single" w:sz="4" w:space="0" w:color="auto"/>
              <w:right w:val="single" w:sz="4" w:space="0" w:color="auto"/>
            </w:tcBorders>
            <w:shd w:val="clear" w:color="auto" w:fill="auto"/>
            <w:vAlign w:val="center"/>
            <w:hideMark/>
          </w:tcPr>
          <w:p w14:paraId="1373AFD1" w14:textId="77777777" w:rsidR="00A752AB" w:rsidRPr="00264974" w:rsidRDefault="00A752AB" w:rsidP="00C20BC6">
            <w:r w:rsidRPr="00264974">
              <w:t> </w:t>
            </w:r>
          </w:p>
        </w:tc>
        <w:tc>
          <w:tcPr>
            <w:tcW w:w="1598" w:type="dxa"/>
            <w:tcBorders>
              <w:top w:val="nil"/>
              <w:left w:val="nil"/>
              <w:bottom w:val="single" w:sz="4" w:space="0" w:color="auto"/>
              <w:right w:val="single" w:sz="4" w:space="0" w:color="auto"/>
            </w:tcBorders>
            <w:shd w:val="clear" w:color="auto" w:fill="auto"/>
            <w:vAlign w:val="center"/>
            <w:hideMark/>
          </w:tcPr>
          <w:p w14:paraId="582CAC55" w14:textId="77777777" w:rsidR="00A752AB" w:rsidRPr="00264974" w:rsidRDefault="00A752AB" w:rsidP="00C20BC6">
            <w:r w:rsidRPr="00264974">
              <w:t> </w:t>
            </w:r>
          </w:p>
        </w:tc>
        <w:tc>
          <w:tcPr>
            <w:tcW w:w="1967" w:type="dxa"/>
            <w:tcBorders>
              <w:top w:val="nil"/>
              <w:left w:val="nil"/>
              <w:bottom w:val="single" w:sz="4" w:space="0" w:color="auto"/>
              <w:right w:val="single" w:sz="4" w:space="0" w:color="auto"/>
            </w:tcBorders>
            <w:shd w:val="clear" w:color="auto" w:fill="auto"/>
            <w:vAlign w:val="center"/>
            <w:hideMark/>
          </w:tcPr>
          <w:p w14:paraId="44DC16B0" w14:textId="77777777" w:rsidR="00A752AB" w:rsidRPr="00264974" w:rsidRDefault="00A752AB" w:rsidP="00C20BC6">
            <w:r w:rsidRPr="00264974">
              <w:t> </w:t>
            </w:r>
          </w:p>
        </w:tc>
      </w:tr>
      <w:tr w:rsidR="00A752AB" w:rsidRPr="003208A8" w14:paraId="096A2467" w14:textId="77777777" w:rsidTr="00C20BC6">
        <w:trPr>
          <w:trHeight w:val="288"/>
        </w:trPr>
        <w:tc>
          <w:tcPr>
            <w:tcW w:w="5727" w:type="dxa"/>
            <w:tcBorders>
              <w:top w:val="nil"/>
              <w:left w:val="single" w:sz="4" w:space="0" w:color="auto"/>
              <w:bottom w:val="single" w:sz="4" w:space="0" w:color="auto"/>
              <w:right w:val="single" w:sz="4" w:space="0" w:color="auto"/>
            </w:tcBorders>
            <w:shd w:val="clear" w:color="auto" w:fill="auto"/>
            <w:vAlign w:val="center"/>
            <w:hideMark/>
          </w:tcPr>
          <w:p w14:paraId="444D038C" w14:textId="77777777" w:rsidR="00A752AB" w:rsidRPr="00264974" w:rsidRDefault="00A752AB" w:rsidP="00C20BC6">
            <w:pPr>
              <w:ind w:firstLineChars="100" w:firstLine="240"/>
            </w:pPr>
            <w:r w:rsidRPr="00264974">
              <w:t>Fringe Benefits</w:t>
            </w:r>
          </w:p>
        </w:tc>
        <w:tc>
          <w:tcPr>
            <w:tcW w:w="1803" w:type="dxa"/>
            <w:tcBorders>
              <w:top w:val="nil"/>
              <w:left w:val="nil"/>
              <w:bottom w:val="single" w:sz="4" w:space="0" w:color="auto"/>
              <w:right w:val="single" w:sz="4" w:space="0" w:color="auto"/>
            </w:tcBorders>
            <w:shd w:val="clear" w:color="auto" w:fill="auto"/>
            <w:vAlign w:val="center"/>
            <w:hideMark/>
          </w:tcPr>
          <w:p w14:paraId="598DF3F0" w14:textId="77777777" w:rsidR="00A752AB" w:rsidRPr="00264974" w:rsidRDefault="00A752AB" w:rsidP="00C20BC6">
            <w:r w:rsidRPr="00264974">
              <w:t> </w:t>
            </w:r>
          </w:p>
        </w:tc>
        <w:tc>
          <w:tcPr>
            <w:tcW w:w="1598" w:type="dxa"/>
            <w:tcBorders>
              <w:top w:val="nil"/>
              <w:left w:val="nil"/>
              <w:bottom w:val="single" w:sz="4" w:space="0" w:color="auto"/>
              <w:right w:val="single" w:sz="4" w:space="0" w:color="auto"/>
            </w:tcBorders>
            <w:shd w:val="clear" w:color="auto" w:fill="auto"/>
            <w:vAlign w:val="center"/>
            <w:hideMark/>
          </w:tcPr>
          <w:p w14:paraId="35D43579" w14:textId="77777777" w:rsidR="00A752AB" w:rsidRPr="00264974" w:rsidRDefault="00A752AB" w:rsidP="00C20BC6">
            <w:r w:rsidRPr="00264974">
              <w:t> </w:t>
            </w:r>
          </w:p>
        </w:tc>
        <w:tc>
          <w:tcPr>
            <w:tcW w:w="1967" w:type="dxa"/>
            <w:tcBorders>
              <w:top w:val="nil"/>
              <w:left w:val="nil"/>
              <w:bottom w:val="single" w:sz="4" w:space="0" w:color="auto"/>
              <w:right w:val="single" w:sz="4" w:space="0" w:color="auto"/>
            </w:tcBorders>
            <w:shd w:val="clear" w:color="auto" w:fill="auto"/>
            <w:vAlign w:val="center"/>
            <w:hideMark/>
          </w:tcPr>
          <w:p w14:paraId="29144364" w14:textId="77777777" w:rsidR="00A752AB" w:rsidRPr="00264974" w:rsidRDefault="00A752AB" w:rsidP="00C20BC6">
            <w:r w:rsidRPr="00264974">
              <w:t> </w:t>
            </w:r>
          </w:p>
        </w:tc>
      </w:tr>
      <w:tr w:rsidR="00A752AB" w:rsidRPr="003208A8" w14:paraId="1550C5C3" w14:textId="77777777" w:rsidTr="00C20BC6">
        <w:trPr>
          <w:trHeight w:val="288"/>
        </w:trPr>
        <w:tc>
          <w:tcPr>
            <w:tcW w:w="5727" w:type="dxa"/>
            <w:tcBorders>
              <w:top w:val="nil"/>
              <w:left w:val="single" w:sz="4" w:space="0" w:color="auto"/>
              <w:bottom w:val="single" w:sz="4" w:space="0" w:color="auto"/>
              <w:right w:val="nil"/>
            </w:tcBorders>
            <w:shd w:val="clear" w:color="000000" w:fill="BDD7EE"/>
            <w:vAlign w:val="center"/>
            <w:hideMark/>
          </w:tcPr>
          <w:p w14:paraId="48034B6D" w14:textId="77777777" w:rsidR="00A752AB" w:rsidRPr="00264974" w:rsidRDefault="00A752AB" w:rsidP="00C20BC6">
            <w:pPr>
              <w:rPr>
                <w:b/>
                <w:bCs/>
              </w:rPr>
            </w:pPr>
            <w:r w:rsidRPr="00264974">
              <w:rPr>
                <w:b/>
                <w:bCs/>
              </w:rPr>
              <w:t>Total Salaries and Benefits</w:t>
            </w:r>
          </w:p>
        </w:tc>
        <w:tc>
          <w:tcPr>
            <w:tcW w:w="1803" w:type="dxa"/>
            <w:tcBorders>
              <w:top w:val="nil"/>
              <w:left w:val="nil"/>
              <w:bottom w:val="single" w:sz="4" w:space="0" w:color="auto"/>
              <w:right w:val="nil"/>
            </w:tcBorders>
            <w:shd w:val="clear" w:color="000000" w:fill="BDD7EE"/>
            <w:vAlign w:val="center"/>
            <w:hideMark/>
          </w:tcPr>
          <w:p w14:paraId="41715D6E" w14:textId="77777777" w:rsidR="00A752AB" w:rsidRPr="00264974" w:rsidRDefault="00A752AB" w:rsidP="00C20BC6">
            <w:pPr>
              <w:rPr>
                <w:b/>
                <w:bCs/>
              </w:rPr>
            </w:pPr>
            <w:r w:rsidRPr="00264974">
              <w:rPr>
                <w:b/>
                <w:bCs/>
              </w:rPr>
              <w:t> </w:t>
            </w:r>
          </w:p>
        </w:tc>
        <w:tc>
          <w:tcPr>
            <w:tcW w:w="1598" w:type="dxa"/>
            <w:tcBorders>
              <w:top w:val="nil"/>
              <w:left w:val="nil"/>
              <w:bottom w:val="single" w:sz="4" w:space="0" w:color="auto"/>
              <w:right w:val="single" w:sz="4" w:space="0" w:color="auto"/>
            </w:tcBorders>
            <w:shd w:val="clear" w:color="000000" w:fill="BDD7EE"/>
            <w:vAlign w:val="center"/>
            <w:hideMark/>
          </w:tcPr>
          <w:p w14:paraId="351A0DB8" w14:textId="77777777" w:rsidR="00A752AB" w:rsidRPr="00264974" w:rsidRDefault="00A752AB" w:rsidP="00C20BC6">
            <w:pPr>
              <w:rPr>
                <w:b/>
                <w:bCs/>
              </w:rPr>
            </w:pPr>
            <w:r w:rsidRPr="00264974">
              <w:rPr>
                <w:b/>
                <w:bCs/>
              </w:rPr>
              <w:t> </w:t>
            </w:r>
          </w:p>
        </w:tc>
        <w:tc>
          <w:tcPr>
            <w:tcW w:w="1967" w:type="dxa"/>
            <w:tcBorders>
              <w:top w:val="nil"/>
              <w:left w:val="nil"/>
              <w:bottom w:val="single" w:sz="4" w:space="0" w:color="auto"/>
              <w:right w:val="single" w:sz="4" w:space="0" w:color="auto"/>
            </w:tcBorders>
            <w:shd w:val="clear" w:color="000000" w:fill="BDD7EE"/>
            <w:vAlign w:val="center"/>
            <w:hideMark/>
          </w:tcPr>
          <w:p w14:paraId="438D0DA2" w14:textId="77777777" w:rsidR="00A752AB" w:rsidRPr="00264974" w:rsidRDefault="00A752AB" w:rsidP="00C20BC6">
            <w:pPr>
              <w:rPr>
                <w:b/>
                <w:bCs/>
              </w:rPr>
            </w:pPr>
            <w:r w:rsidRPr="00264974">
              <w:rPr>
                <w:b/>
                <w:bCs/>
              </w:rPr>
              <w:t xml:space="preserve"> $           -   </w:t>
            </w:r>
          </w:p>
        </w:tc>
      </w:tr>
      <w:tr w:rsidR="00A752AB" w:rsidRPr="003208A8" w14:paraId="261FF4C2" w14:textId="77777777" w:rsidTr="00C20BC6">
        <w:trPr>
          <w:trHeight w:val="143"/>
        </w:trPr>
        <w:tc>
          <w:tcPr>
            <w:tcW w:w="5727" w:type="dxa"/>
            <w:tcBorders>
              <w:top w:val="nil"/>
              <w:left w:val="nil"/>
              <w:bottom w:val="nil"/>
              <w:right w:val="nil"/>
            </w:tcBorders>
            <w:shd w:val="clear" w:color="auto" w:fill="auto"/>
            <w:noWrap/>
            <w:vAlign w:val="bottom"/>
            <w:hideMark/>
          </w:tcPr>
          <w:p w14:paraId="56BF8F5F" w14:textId="77777777" w:rsidR="00A752AB" w:rsidRPr="00264974" w:rsidRDefault="00A752AB" w:rsidP="00C20BC6">
            <w:pPr>
              <w:rPr>
                <w:b/>
                <w:bCs/>
              </w:rPr>
            </w:pPr>
          </w:p>
        </w:tc>
        <w:tc>
          <w:tcPr>
            <w:tcW w:w="1803" w:type="dxa"/>
            <w:tcBorders>
              <w:top w:val="nil"/>
              <w:left w:val="nil"/>
              <w:bottom w:val="nil"/>
              <w:right w:val="nil"/>
            </w:tcBorders>
            <w:shd w:val="clear" w:color="auto" w:fill="auto"/>
            <w:noWrap/>
            <w:vAlign w:val="bottom"/>
            <w:hideMark/>
          </w:tcPr>
          <w:p w14:paraId="0DEC1EEF" w14:textId="77777777" w:rsidR="00A752AB" w:rsidRPr="00264974" w:rsidRDefault="00A752AB" w:rsidP="00C20BC6">
            <w:pPr>
              <w:rPr>
                <w:sz w:val="20"/>
                <w:szCs w:val="20"/>
              </w:rPr>
            </w:pPr>
          </w:p>
        </w:tc>
        <w:tc>
          <w:tcPr>
            <w:tcW w:w="1598" w:type="dxa"/>
            <w:tcBorders>
              <w:top w:val="nil"/>
              <w:left w:val="nil"/>
              <w:bottom w:val="nil"/>
              <w:right w:val="nil"/>
            </w:tcBorders>
            <w:shd w:val="clear" w:color="auto" w:fill="auto"/>
            <w:noWrap/>
            <w:vAlign w:val="bottom"/>
            <w:hideMark/>
          </w:tcPr>
          <w:p w14:paraId="366B6E1F" w14:textId="77777777" w:rsidR="00A752AB" w:rsidRPr="00264974" w:rsidRDefault="00A752AB" w:rsidP="00C20BC6">
            <w:pPr>
              <w:rPr>
                <w:sz w:val="20"/>
                <w:szCs w:val="20"/>
              </w:rPr>
            </w:pPr>
          </w:p>
        </w:tc>
        <w:tc>
          <w:tcPr>
            <w:tcW w:w="1967" w:type="dxa"/>
            <w:tcBorders>
              <w:top w:val="nil"/>
              <w:left w:val="nil"/>
              <w:bottom w:val="nil"/>
              <w:right w:val="nil"/>
            </w:tcBorders>
            <w:shd w:val="clear" w:color="auto" w:fill="auto"/>
            <w:noWrap/>
            <w:vAlign w:val="bottom"/>
            <w:hideMark/>
          </w:tcPr>
          <w:p w14:paraId="526C770C" w14:textId="77777777" w:rsidR="00A752AB" w:rsidRPr="00264974" w:rsidRDefault="00A752AB" w:rsidP="00C20BC6">
            <w:pPr>
              <w:rPr>
                <w:sz w:val="20"/>
                <w:szCs w:val="20"/>
              </w:rPr>
            </w:pPr>
          </w:p>
        </w:tc>
      </w:tr>
      <w:tr w:rsidR="00A752AB" w:rsidRPr="003208A8" w14:paraId="662D1BCC" w14:textId="77777777" w:rsidTr="00C20BC6">
        <w:trPr>
          <w:trHeight w:val="278"/>
        </w:trPr>
        <w:tc>
          <w:tcPr>
            <w:tcW w:w="5727" w:type="dxa"/>
            <w:tcBorders>
              <w:top w:val="single" w:sz="4" w:space="0" w:color="auto"/>
              <w:left w:val="single" w:sz="4" w:space="0" w:color="auto"/>
              <w:bottom w:val="single" w:sz="4" w:space="0" w:color="auto"/>
              <w:right w:val="single" w:sz="4" w:space="0" w:color="auto"/>
            </w:tcBorders>
            <w:shd w:val="clear" w:color="000000" w:fill="DBE4F0"/>
            <w:vAlign w:val="center"/>
            <w:hideMark/>
          </w:tcPr>
          <w:p w14:paraId="32FD7172" w14:textId="77777777" w:rsidR="00A752AB" w:rsidRPr="00264974" w:rsidRDefault="00A752AB" w:rsidP="00C20BC6">
            <w:pPr>
              <w:rPr>
                <w:b/>
                <w:bCs/>
              </w:rPr>
            </w:pPr>
            <w:r w:rsidRPr="00264974">
              <w:rPr>
                <w:b/>
                <w:bCs/>
              </w:rPr>
              <w:t>B. Contractual Services</w:t>
            </w:r>
          </w:p>
        </w:tc>
        <w:tc>
          <w:tcPr>
            <w:tcW w:w="1803" w:type="dxa"/>
            <w:tcBorders>
              <w:top w:val="single" w:sz="4" w:space="0" w:color="auto"/>
              <w:left w:val="nil"/>
              <w:bottom w:val="single" w:sz="4" w:space="0" w:color="auto"/>
              <w:right w:val="single" w:sz="4" w:space="0" w:color="auto"/>
            </w:tcBorders>
            <w:shd w:val="clear" w:color="000000" w:fill="DBE4F0"/>
            <w:vAlign w:val="center"/>
            <w:hideMark/>
          </w:tcPr>
          <w:p w14:paraId="3FF5FA61" w14:textId="77777777" w:rsidR="00A752AB" w:rsidRPr="00264974" w:rsidRDefault="00A752AB" w:rsidP="00C20BC6">
            <w:pPr>
              <w:jc w:val="center"/>
              <w:rPr>
                <w:b/>
                <w:bCs/>
              </w:rPr>
            </w:pPr>
            <w:r w:rsidRPr="00264974">
              <w:rPr>
                <w:b/>
                <w:bCs/>
              </w:rPr>
              <w:t>Rate $ per Hour</w:t>
            </w:r>
          </w:p>
        </w:tc>
        <w:tc>
          <w:tcPr>
            <w:tcW w:w="1598" w:type="dxa"/>
            <w:tcBorders>
              <w:top w:val="single" w:sz="4" w:space="0" w:color="auto"/>
              <w:left w:val="nil"/>
              <w:bottom w:val="single" w:sz="4" w:space="0" w:color="auto"/>
              <w:right w:val="single" w:sz="4" w:space="0" w:color="auto"/>
            </w:tcBorders>
            <w:shd w:val="clear" w:color="000000" w:fill="DBE4F0"/>
            <w:vAlign w:val="center"/>
            <w:hideMark/>
          </w:tcPr>
          <w:p w14:paraId="5A933E84" w14:textId="77777777" w:rsidR="00A752AB" w:rsidRPr="00264974" w:rsidRDefault="00A752AB" w:rsidP="00C20BC6">
            <w:pPr>
              <w:jc w:val="center"/>
              <w:rPr>
                <w:b/>
                <w:bCs/>
              </w:rPr>
            </w:pPr>
            <w:r w:rsidRPr="00264974">
              <w:rPr>
                <w:b/>
                <w:bCs/>
              </w:rPr>
              <w:t># of Hours</w:t>
            </w:r>
          </w:p>
        </w:tc>
        <w:tc>
          <w:tcPr>
            <w:tcW w:w="1967" w:type="dxa"/>
            <w:tcBorders>
              <w:top w:val="single" w:sz="4" w:space="0" w:color="auto"/>
              <w:left w:val="nil"/>
              <w:bottom w:val="single" w:sz="4" w:space="0" w:color="auto"/>
              <w:right w:val="single" w:sz="4" w:space="0" w:color="auto"/>
            </w:tcBorders>
            <w:shd w:val="clear" w:color="000000" w:fill="DBE4F0"/>
            <w:vAlign w:val="center"/>
            <w:hideMark/>
          </w:tcPr>
          <w:p w14:paraId="5DD241A4" w14:textId="77777777" w:rsidR="00A752AB" w:rsidRPr="00264974" w:rsidRDefault="00A752AB" w:rsidP="00C20BC6">
            <w:pPr>
              <w:jc w:val="center"/>
              <w:rPr>
                <w:b/>
                <w:bCs/>
              </w:rPr>
            </w:pPr>
            <w:r w:rsidRPr="00264974">
              <w:rPr>
                <w:b/>
                <w:bCs/>
              </w:rPr>
              <w:t>Total</w:t>
            </w:r>
          </w:p>
        </w:tc>
      </w:tr>
      <w:tr w:rsidR="00A752AB" w:rsidRPr="003208A8" w14:paraId="53623A3F" w14:textId="77777777" w:rsidTr="00C20BC6">
        <w:trPr>
          <w:trHeight w:val="288"/>
        </w:trPr>
        <w:tc>
          <w:tcPr>
            <w:tcW w:w="5727" w:type="dxa"/>
            <w:tcBorders>
              <w:top w:val="nil"/>
              <w:left w:val="single" w:sz="4" w:space="0" w:color="auto"/>
              <w:bottom w:val="single" w:sz="4" w:space="0" w:color="auto"/>
              <w:right w:val="single" w:sz="4" w:space="0" w:color="auto"/>
            </w:tcBorders>
            <w:shd w:val="clear" w:color="auto" w:fill="auto"/>
            <w:vAlign w:val="center"/>
            <w:hideMark/>
          </w:tcPr>
          <w:p w14:paraId="6B905E89" w14:textId="77777777" w:rsidR="00A752AB" w:rsidRPr="00264974" w:rsidRDefault="00A752AB" w:rsidP="00C20BC6">
            <w:pPr>
              <w:ind w:firstLineChars="100" w:firstLine="240"/>
            </w:pPr>
            <w:r w:rsidRPr="00264974">
              <w:t>describe</w:t>
            </w:r>
          </w:p>
        </w:tc>
        <w:tc>
          <w:tcPr>
            <w:tcW w:w="1803" w:type="dxa"/>
            <w:tcBorders>
              <w:top w:val="nil"/>
              <w:left w:val="nil"/>
              <w:bottom w:val="single" w:sz="4" w:space="0" w:color="auto"/>
              <w:right w:val="single" w:sz="4" w:space="0" w:color="auto"/>
            </w:tcBorders>
            <w:shd w:val="clear" w:color="auto" w:fill="auto"/>
            <w:vAlign w:val="center"/>
            <w:hideMark/>
          </w:tcPr>
          <w:p w14:paraId="1C87B086" w14:textId="77777777" w:rsidR="00A752AB" w:rsidRPr="00264974" w:rsidRDefault="00A752AB" w:rsidP="00C20BC6">
            <w:r w:rsidRPr="00264974">
              <w:t> </w:t>
            </w:r>
          </w:p>
        </w:tc>
        <w:tc>
          <w:tcPr>
            <w:tcW w:w="1598" w:type="dxa"/>
            <w:tcBorders>
              <w:top w:val="nil"/>
              <w:left w:val="nil"/>
              <w:bottom w:val="single" w:sz="4" w:space="0" w:color="auto"/>
              <w:right w:val="single" w:sz="4" w:space="0" w:color="auto"/>
            </w:tcBorders>
            <w:shd w:val="clear" w:color="auto" w:fill="auto"/>
            <w:vAlign w:val="center"/>
            <w:hideMark/>
          </w:tcPr>
          <w:p w14:paraId="1C8BB6CF" w14:textId="77777777" w:rsidR="00A752AB" w:rsidRPr="00264974" w:rsidRDefault="00A752AB" w:rsidP="00C20BC6">
            <w:r w:rsidRPr="00264974">
              <w:t> </w:t>
            </w:r>
          </w:p>
        </w:tc>
        <w:tc>
          <w:tcPr>
            <w:tcW w:w="1967" w:type="dxa"/>
            <w:tcBorders>
              <w:top w:val="nil"/>
              <w:left w:val="nil"/>
              <w:bottom w:val="single" w:sz="4" w:space="0" w:color="auto"/>
              <w:right w:val="single" w:sz="4" w:space="0" w:color="auto"/>
            </w:tcBorders>
            <w:shd w:val="clear" w:color="auto" w:fill="auto"/>
            <w:vAlign w:val="center"/>
            <w:hideMark/>
          </w:tcPr>
          <w:p w14:paraId="36F0EA88" w14:textId="77777777" w:rsidR="00A752AB" w:rsidRPr="00264974" w:rsidRDefault="00A752AB" w:rsidP="00C20BC6">
            <w:r w:rsidRPr="00264974">
              <w:t> </w:t>
            </w:r>
          </w:p>
        </w:tc>
      </w:tr>
      <w:tr w:rsidR="00A752AB" w:rsidRPr="003208A8" w14:paraId="7266E1F6" w14:textId="77777777" w:rsidTr="00C20BC6">
        <w:trPr>
          <w:trHeight w:val="288"/>
        </w:trPr>
        <w:tc>
          <w:tcPr>
            <w:tcW w:w="5727" w:type="dxa"/>
            <w:tcBorders>
              <w:top w:val="nil"/>
              <w:left w:val="single" w:sz="4" w:space="0" w:color="auto"/>
              <w:bottom w:val="single" w:sz="4" w:space="0" w:color="auto"/>
              <w:right w:val="single" w:sz="4" w:space="0" w:color="auto"/>
            </w:tcBorders>
            <w:shd w:val="clear" w:color="auto" w:fill="auto"/>
            <w:vAlign w:val="center"/>
            <w:hideMark/>
          </w:tcPr>
          <w:p w14:paraId="7A6170BA" w14:textId="77777777" w:rsidR="00A752AB" w:rsidRPr="00264974" w:rsidRDefault="00A752AB" w:rsidP="00C20BC6">
            <w:pPr>
              <w:ind w:firstLineChars="100" w:firstLine="240"/>
            </w:pPr>
            <w:r w:rsidRPr="00264974">
              <w:t>describe</w:t>
            </w:r>
          </w:p>
        </w:tc>
        <w:tc>
          <w:tcPr>
            <w:tcW w:w="1803" w:type="dxa"/>
            <w:tcBorders>
              <w:top w:val="nil"/>
              <w:left w:val="nil"/>
              <w:bottom w:val="single" w:sz="4" w:space="0" w:color="auto"/>
              <w:right w:val="single" w:sz="4" w:space="0" w:color="auto"/>
            </w:tcBorders>
            <w:shd w:val="clear" w:color="auto" w:fill="auto"/>
            <w:vAlign w:val="center"/>
            <w:hideMark/>
          </w:tcPr>
          <w:p w14:paraId="072E9AB7" w14:textId="77777777" w:rsidR="00A752AB" w:rsidRPr="00264974" w:rsidRDefault="00A752AB" w:rsidP="00C20BC6">
            <w:r w:rsidRPr="00264974">
              <w:t> </w:t>
            </w:r>
          </w:p>
        </w:tc>
        <w:tc>
          <w:tcPr>
            <w:tcW w:w="1598" w:type="dxa"/>
            <w:tcBorders>
              <w:top w:val="nil"/>
              <w:left w:val="nil"/>
              <w:bottom w:val="single" w:sz="4" w:space="0" w:color="auto"/>
              <w:right w:val="single" w:sz="4" w:space="0" w:color="auto"/>
            </w:tcBorders>
            <w:shd w:val="clear" w:color="auto" w:fill="auto"/>
            <w:vAlign w:val="center"/>
            <w:hideMark/>
          </w:tcPr>
          <w:p w14:paraId="21F21DCC" w14:textId="77777777" w:rsidR="00A752AB" w:rsidRPr="00264974" w:rsidRDefault="00A752AB" w:rsidP="00C20BC6">
            <w:r w:rsidRPr="00264974">
              <w:t> </w:t>
            </w:r>
          </w:p>
        </w:tc>
        <w:tc>
          <w:tcPr>
            <w:tcW w:w="1967" w:type="dxa"/>
            <w:tcBorders>
              <w:top w:val="nil"/>
              <w:left w:val="nil"/>
              <w:bottom w:val="single" w:sz="4" w:space="0" w:color="auto"/>
              <w:right w:val="single" w:sz="4" w:space="0" w:color="auto"/>
            </w:tcBorders>
            <w:shd w:val="clear" w:color="auto" w:fill="auto"/>
            <w:vAlign w:val="center"/>
            <w:hideMark/>
          </w:tcPr>
          <w:p w14:paraId="606DE13E" w14:textId="77777777" w:rsidR="00A752AB" w:rsidRPr="00264974" w:rsidRDefault="00A752AB" w:rsidP="00C20BC6">
            <w:r w:rsidRPr="00264974">
              <w:t> </w:t>
            </w:r>
          </w:p>
        </w:tc>
      </w:tr>
      <w:tr w:rsidR="00A752AB" w:rsidRPr="003208A8" w14:paraId="566205A6" w14:textId="77777777" w:rsidTr="00C20BC6">
        <w:trPr>
          <w:trHeight w:val="288"/>
        </w:trPr>
        <w:tc>
          <w:tcPr>
            <w:tcW w:w="5727" w:type="dxa"/>
            <w:tcBorders>
              <w:top w:val="nil"/>
              <w:left w:val="single" w:sz="4" w:space="0" w:color="auto"/>
              <w:bottom w:val="nil"/>
              <w:right w:val="single" w:sz="4" w:space="0" w:color="auto"/>
            </w:tcBorders>
            <w:shd w:val="clear" w:color="auto" w:fill="auto"/>
            <w:vAlign w:val="center"/>
            <w:hideMark/>
          </w:tcPr>
          <w:p w14:paraId="6FF77D6B" w14:textId="77777777" w:rsidR="00A752AB" w:rsidRPr="00264974" w:rsidRDefault="00A752AB" w:rsidP="00C20BC6">
            <w:pPr>
              <w:ind w:firstLineChars="100" w:firstLine="240"/>
            </w:pPr>
            <w:r w:rsidRPr="00264974">
              <w:t>describe</w:t>
            </w:r>
          </w:p>
        </w:tc>
        <w:tc>
          <w:tcPr>
            <w:tcW w:w="1803" w:type="dxa"/>
            <w:tcBorders>
              <w:top w:val="nil"/>
              <w:left w:val="nil"/>
              <w:bottom w:val="nil"/>
              <w:right w:val="single" w:sz="4" w:space="0" w:color="auto"/>
            </w:tcBorders>
            <w:shd w:val="clear" w:color="auto" w:fill="auto"/>
            <w:vAlign w:val="center"/>
            <w:hideMark/>
          </w:tcPr>
          <w:p w14:paraId="0493772C" w14:textId="77777777" w:rsidR="00A752AB" w:rsidRPr="00264974" w:rsidRDefault="00A752AB" w:rsidP="00C20BC6">
            <w:r w:rsidRPr="00264974">
              <w:t> </w:t>
            </w:r>
          </w:p>
        </w:tc>
        <w:tc>
          <w:tcPr>
            <w:tcW w:w="1598" w:type="dxa"/>
            <w:tcBorders>
              <w:top w:val="nil"/>
              <w:left w:val="nil"/>
              <w:bottom w:val="nil"/>
              <w:right w:val="single" w:sz="4" w:space="0" w:color="auto"/>
            </w:tcBorders>
            <w:shd w:val="clear" w:color="auto" w:fill="auto"/>
            <w:vAlign w:val="center"/>
            <w:hideMark/>
          </w:tcPr>
          <w:p w14:paraId="284F8BDB" w14:textId="77777777" w:rsidR="00A752AB" w:rsidRPr="00264974" w:rsidRDefault="00A752AB" w:rsidP="00C20BC6">
            <w:r w:rsidRPr="00264974">
              <w:t> </w:t>
            </w:r>
          </w:p>
        </w:tc>
        <w:tc>
          <w:tcPr>
            <w:tcW w:w="1967" w:type="dxa"/>
            <w:tcBorders>
              <w:top w:val="nil"/>
              <w:left w:val="nil"/>
              <w:bottom w:val="single" w:sz="4" w:space="0" w:color="auto"/>
              <w:right w:val="single" w:sz="4" w:space="0" w:color="auto"/>
            </w:tcBorders>
            <w:shd w:val="clear" w:color="auto" w:fill="auto"/>
            <w:vAlign w:val="center"/>
            <w:hideMark/>
          </w:tcPr>
          <w:p w14:paraId="0EB5253B" w14:textId="77777777" w:rsidR="00A752AB" w:rsidRPr="00264974" w:rsidRDefault="00A752AB" w:rsidP="00C20BC6">
            <w:r w:rsidRPr="00264974">
              <w:t> </w:t>
            </w:r>
          </w:p>
        </w:tc>
      </w:tr>
      <w:tr w:rsidR="00A752AB" w:rsidRPr="003208A8" w14:paraId="7063014A" w14:textId="77777777" w:rsidTr="00C20BC6">
        <w:trPr>
          <w:trHeight w:val="288"/>
        </w:trPr>
        <w:tc>
          <w:tcPr>
            <w:tcW w:w="5727" w:type="dxa"/>
            <w:tcBorders>
              <w:top w:val="single" w:sz="4" w:space="0" w:color="auto"/>
              <w:left w:val="single" w:sz="4" w:space="0" w:color="auto"/>
              <w:bottom w:val="single" w:sz="4" w:space="0" w:color="auto"/>
              <w:right w:val="nil"/>
            </w:tcBorders>
            <w:shd w:val="clear" w:color="000000" w:fill="BDD7EE"/>
            <w:vAlign w:val="center"/>
            <w:hideMark/>
          </w:tcPr>
          <w:p w14:paraId="097F9A82" w14:textId="77777777" w:rsidR="00A752AB" w:rsidRPr="00264974" w:rsidRDefault="00A752AB" w:rsidP="00C20BC6">
            <w:pPr>
              <w:rPr>
                <w:b/>
                <w:bCs/>
              </w:rPr>
            </w:pPr>
            <w:r w:rsidRPr="00264974">
              <w:rPr>
                <w:b/>
                <w:bCs/>
              </w:rPr>
              <w:t>Total Contractual Services</w:t>
            </w:r>
          </w:p>
        </w:tc>
        <w:tc>
          <w:tcPr>
            <w:tcW w:w="1803" w:type="dxa"/>
            <w:tcBorders>
              <w:top w:val="single" w:sz="4" w:space="0" w:color="auto"/>
              <w:left w:val="nil"/>
              <w:bottom w:val="single" w:sz="4" w:space="0" w:color="auto"/>
              <w:right w:val="nil"/>
            </w:tcBorders>
            <w:shd w:val="clear" w:color="000000" w:fill="BDD7EE"/>
            <w:vAlign w:val="center"/>
            <w:hideMark/>
          </w:tcPr>
          <w:p w14:paraId="7F572199" w14:textId="77777777" w:rsidR="00A752AB" w:rsidRPr="00264974" w:rsidRDefault="00A752AB" w:rsidP="00C20BC6">
            <w:pPr>
              <w:rPr>
                <w:b/>
                <w:bCs/>
              </w:rPr>
            </w:pPr>
            <w:r w:rsidRPr="00264974">
              <w:rPr>
                <w:b/>
                <w:bCs/>
              </w:rPr>
              <w:t> </w:t>
            </w:r>
          </w:p>
        </w:tc>
        <w:tc>
          <w:tcPr>
            <w:tcW w:w="1598" w:type="dxa"/>
            <w:tcBorders>
              <w:top w:val="single" w:sz="4" w:space="0" w:color="auto"/>
              <w:left w:val="nil"/>
              <w:bottom w:val="single" w:sz="4" w:space="0" w:color="auto"/>
              <w:right w:val="single" w:sz="4" w:space="0" w:color="auto"/>
            </w:tcBorders>
            <w:shd w:val="clear" w:color="000000" w:fill="BDD7EE"/>
            <w:vAlign w:val="center"/>
            <w:hideMark/>
          </w:tcPr>
          <w:p w14:paraId="4CB0E983" w14:textId="77777777" w:rsidR="00A752AB" w:rsidRPr="00264974" w:rsidRDefault="00A752AB" w:rsidP="00C20BC6">
            <w:pPr>
              <w:rPr>
                <w:b/>
                <w:bCs/>
              </w:rPr>
            </w:pPr>
            <w:r w:rsidRPr="00264974">
              <w:rPr>
                <w:b/>
                <w:bCs/>
              </w:rPr>
              <w:t> </w:t>
            </w:r>
          </w:p>
        </w:tc>
        <w:tc>
          <w:tcPr>
            <w:tcW w:w="1967" w:type="dxa"/>
            <w:tcBorders>
              <w:top w:val="nil"/>
              <w:left w:val="nil"/>
              <w:bottom w:val="single" w:sz="4" w:space="0" w:color="auto"/>
              <w:right w:val="single" w:sz="4" w:space="0" w:color="auto"/>
            </w:tcBorders>
            <w:shd w:val="clear" w:color="000000" w:fill="BDD7EE"/>
            <w:vAlign w:val="center"/>
            <w:hideMark/>
          </w:tcPr>
          <w:p w14:paraId="39FB150A" w14:textId="77777777" w:rsidR="00A752AB" w:rsidRPr="00264974" w:rsidRDefault="00A752AB" w:rsidP="00C20BC6">
            <w:pPr>
              <w:rPr>
                <w:b/>
                <w:bCs/>
              </w:rPr>
            </w:pPr>
            <w:r w:rsidRPr="00264974">
              <w:rPr>
                <w:b/>
                <w:bCs/>
              </w:rPr>
              <w:t xml:space="preserve"> $           -   </w:t>
            </w:r>
          </w:p>
        </w:tc>
      </w:tr>
      <w:tr w:rsidR="00A752AB" w:rsidRPr="003208A8" w14:paraId="4FD2CBB6" w14:textId="77777777" w:rsidTr="00C20BC6">
        <w:trPr>
          <w:trHeight w:val="85"/>
        </w:trPr>
        <w:tc>
          <w:tcPr>
            <w:tcW w:w="5727" w:type="dxa"/>
            <w:tcBorders>
              <w:top w:val="nil"/>
              <w:left w:val="nil"/>
              <w:bottom w:val="nil"/>
              <w:right w:val="nil"/>
            </w:tcBorders>
            <w:shd w:val="clear" w:color="auto" w:fill="auto"/>
            <w:vAlign w:val="center"/>
            <w:hideMark/>
          </w:tcPr>
          <w:p w14:paraId="213559DD" w14:textId="77777777" w:rsidR="00A752AB" w:rsidRPr="00264974" w:rsidRDefault="00A752AB" w:rsidP="00C20BC6">
            <w:pPr>
              <w:rPr>
                <w:b/>
                <w:bCs/>
              </w:rPr>
            </w:pPr>
          </w:p>
        </w:tc>
        <w:tc>
          <w:tcPr>
            <w:tcW w:w="1803" w:type="dxa"/>
            <w:tcBorders>
              <w:top w:val="nil"/>
              <w:left w:val="nil"/>
              <w:bottom w:val="nil"/>
              <w:right w:val="nil"/>
            </w:tcBorders>
            <w:shd w:val="clear" w:color="auto" w:fill="auto"/>
            <w:vAlign w:val="center"/>
            <w:hideMark/>
          </w:tcPr>
          <w:p w14:paraId="16C52F01" w14:textId="77777777" w:rsidR="00A752AB" w:rsidRPr="00264974" w:rsidRDefault="00A752AB" w:rsidP="00C20BC6">
            <w:pPr>
              <w:rPr>
                <w:sz w:val="20"/>
                <w:szCs w:val="20"/>
              </w:rPr>
            </w:pPr>
          </w:p>
        </w:tc>
        <w:tc>
          <w:tcPr>
            <w:tcW w:w="1598" w:type="dxa"/>
            <w:tcBorders>
              <w:top w:val="nil"/>
              <w:left w:val="nil"/>
              <w:bottom w:val="nil"/>
              <w:right w:val="nil"/>
            </w:tcBorders>
            <w:shd w:val="clear" w:color="auto" w:fill="auto"/>
            <w:vAlign w:val="center"/>
            <w:hideMark/>
          </w:tcPr>
          <w:p w14:paraId="25A90A4A" w14:textId="77777777" w:rsidR="00A752AB" w:rsidRPr="00264974" w:rsidRDefault="00A752AB" w:rsidP="00C20BC6">
            <w:pPr>
              <w:rPr>
                <w:sz w:val="20"/>
                <w:szCs w:val="20"/>
              </w:rPr>
            </w:pPr>
          </w:p>
        </w:tc>
        <w:tc>
          <w:tcPr>
            <w:tcW w:w="1967" w:type="dxa"/>
            <w:tcBorders>
              <w:top w:val="nil"/>
              <w:left w:val="nil"/>
              <w:bottom w:val="nil"/>
              <w:right w:val="nil"/>
            </w:tcBorders>
            <w:shd w:val="clear" w:color="auto" w:fill="auto"/>
            <w:vAlign w:val="center"/>
            <w:hideMark/>
          </w:tcPr>
          <w:p w14:paraId="60FC72F3" w14:textId="77777777" w:rsidR="00A752AB" w:rsidRPr="00264974" w:rsidRDefault="00A752AB" w:rsidP="00C20BC6">
            <w:pPr>
              <w:rPr>
                <w:sz w:val="20"/>
                <w:szCs w:val="20"/>
              </w:rPr>
            </w:pPr>
          </w:p>
        </w:tc>
      </w:tr>
      <w:tr w:rsidR="00A752AB" w:rsidRPr="003208A8" w14:paraId="27726AF9" w14:textId="77777777" w:rsidTr="00C20BC6">
        <w:trPr>
          <w:trHeight w:val="288"/>
        </w:trPr>
        <w:tc>
          <w:tcPr>
            <w:tcW w:w="5727" w:type="dxa"/>
            <w:tcBorders>
              <w:top w:val="single" w:sz="4" w:space="0" w:color="auto"/>
              <w:left w:val="single" w:sz="4" w:space="0" w:color="auto"/>
              <w:bottom w:val="single" w:sz="4" w:space="0" w:color="auto"/>
              <w:right w:val="nil"/>
            </w:tcBorders>
            <w:shd w:val="clear" w:color="000000" w:fill="DBE4F0"/>
            <w:vAlign w:val="center"/>
            <w:hideMark/>
          </w:tcPr>
          <w:p w14:paraId="64DDF37C" w14:textId="77777777" w:rsidR="00A752AB" w:rsidRPr="00264974" w:rsidRDefault="00A752AB" w:rsidP="00C20BC6">
            <w:pPr>
              <w:rPr>
                <w:b/>
                <w:bCs/>
              </w:rPr>
            </w:pPr>
            <w:r w:rsidRPr="00264974">
              <w:rPr>
                <w:b/>
                <w:bCs/>
              </w:rPr>
              <w:t>C. Other*</w:t>
            </w:r>
          </w:p>
        </w:tc>
        <w:tc>
          <w:tcPr>
            <w:tcW w:w="1803" w:type="dxa"/>
            <w:tcBorders>
              <w:top w:val="single" w:sz="4" w:space="0" w:color="auto"/>
              <w:left w:val="nil"/>
              <w:bottom w:val="single" w:sz="4" w:space="0" w:color="auto"/>
              <w:right w:val="nil"/>
            </w:tcBorders>
            <w:shd w:val="clear" w:color="000000" w:fill="DBE4F0"/>
            <w:vAlign w:val="center"/>
            <w:hideMark/>
          </w:tcPr>
          <w:p w14:paraId="31D2CB3E" w14:textId="77777777" w:rsidR="00A752AB" w:rsidRPr="00264974" w:rsidRDefault="00A752AB" w:rsidP="00C20BC6">
            <w:pPr>
              <w:jc w:val="center"/>
              <w:rPr>
                <w:b/>
                <w:bCs/>
              </w:rPr>
            </w:pPr>
            <w:r w:rsidRPr="00264974">
              <w:rPr>
                <w:b/>
                <w:bCs/>
              </w:rPr>
              <w:t> </w:t>
            </w:r>
          </w:p>
        </w:tc>
        <w:tc>
          <w:tcPr>
            <w:tcW w:w="1598" w:type="dxa"/>
            <w:tcBorders>
              <w:top w:val="single" w:sz="4" w:space="0" w:color="auto"/>
              <w:left w:val="nil"/>
              <w:bottom w:val="single" w:sz="4" w:space="0" w:color="auto"/>
              <w:right w:val="single" w:sz="4" w:space="0" w:color="auto"/>
            </w:tcBorders>
            <w:shd w:val="clear" w:color="000000" w:fill="DBE4F0"/>
            <w:vAlign w:val="center"/>
            <w:hideMark/>
          </w:tcPr>
          <w:p w14:paraId="7ECBD246" w14:textId="77777777" w:rsidR="00A752AB" w:rsidRPr="00264974" w:rsidRDefault="00A752AB" w:rsidP="00C20BC6">
            <w:pPr>
              <w:jc w:val="center"/>
              <w:rPr>
                <w:b/>
                <w:bCs/>
              </w:rPr>
            </w:pPr>
            <w:r w:rsidRPr="00264974">
              <w:rPr>
                <w:b/>
                <w:bCs/>
              </w:rPr>
              <w:t> </w:t>
            </w:r>
          </w:p>
        </w:tc>
        <w:tc>
          <w:tcPr>
            <w:tcW w:w="1967" w:type="dxa"/>
            <w:tcBorders>
              <w:top w:val="single" w:sz="4" w:space="0" w:color="auto"/>
              <w:left w:val="nil"/>
              <w:bottom w:val="single" w:sz="4" w:space="0" w:color="auto"/>
              <w:right w:val="single" w:sz="4" w:space="0" w:color="auto"/>
            </w:tcBorders>
            <w:shd w:val="clear" w:color="000000" w:fill="DBE4F0"/>
            <w:vAlign w:val="center"/>
            <w:hideMark/>
          </w:tcPr>
          <w:p w14:paraId="6C4ED5F1" w14:textId="77777777" w:rsidR="00A752AB" w:rsidRPr="00264974" w:rsidRDefault="00A752AB" w:rsidP="00C20BC6">
            <w:pPr>
              <w:jc w:val="center"/>
              <w:rPr>
                <w:b/>
                <w:bCs/>
              </w:rPr>
            </w:pPr>
            <w:r w:rsidRPr="00264974">
              <w:rPr>
                <w:b/>
                <w:bCs/>
              </w:rPr>
              <w:t>Total</w:t>
            </w:r>
          </w:p>
        </w:tc>
      </w:tr>
      <w:tr w:rsidR="00A752AB" w:rsidRPr="003208A8" w14:paraId="595A9566" w14:textId="77777777" w:rsidTr="00C20BC6">
        <w:trPr>
          <w:trHeight w:val="288"/>
        </w:trPr>
        <w:tc>
          <w:tcPr>
            <w:tcW w:w="5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EA600" w14:textId="77777777" w:rsidR="00A752AB" w:rsidRPr="00264974" w:rsidRDefault="00A752AB" w:rsidP="00C20BC6">
            <w:r w:rsidRPr="00264974">
              <w:t>Participation in College and Career Advising (MyCAP) Professional Development Series, if the secondary institution has not yet participated. (Applicant must allot $3,000 here.)</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33C24" w14:textId="77777777" w:rsidR="00A752AB" w:rsidRPr="00264974" w:rsidRDefault="00A752AB" w:rsidP="00C20BC6">
            <w:r w:rsidRPr="00264974">
              <w:t> </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731E2" w14:textId="77777777" w:rsidR="00A752AB" w:rsidRPr="00264974" w:rsidRDefault="00A752AB" w:rsidP="00C20BC6">
            <w:r w:rsidRPr="00264974">
              <w:t> </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167DE" w14:textId="77777777" w:rsidR="00A752AB" w:rsidRPr="00264974" w:rsidRDefault="00A752AB" w:rsidP="00C20BC6">
            <w:r w:rsidRPr="00264974">
              <w:t> </w:t>
            </w:r>
          </w:p>
        </w:tc>
      </w:tr>
      <w:tr w:rsidR="00A752AB" w:rsidRPr="003208A8" w14:paraId="3E111026" w14:textId="77777777" w:rsidTr="00C20BC6">
        <w:trPr>
          <w:trHeight w:val="578"/>
        </w:trPr>
        <w:tc>
          <w:tcPr>
            <w:tcW w:w="5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25D86" w14:textId="77777777" w:rsidR="00A752AB" w:rsidRPr="00264974" w:rsidRDefault="00A752AB" w:rsidP="00C20BC6">
            <w:pPr>
              <w:ind w:firstLineChars="100" w:firstLine="240"/>
            </w:pPr>
            <w:r w:rsidRPr="00264974">
              <w:t>Instructional Related Supplies and Materials</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A8DA2" w14:textId="77777777" w:rsidR="00A752AB" w:rsidRPr="00264974" w:rsidRDefault="00A752AB" w:rsidP="00C20BC6">
            <w:r w:rsidRPr="00264974">
              <w:t> </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8634A" w14:textId="77777777" w:rsidR="00A752AB" w:rsidRPr="00264974" w:rsidRDefault="00A752AB" w:rsidP="00C20BC6">
            <w:r w:rsidRPr="00264974">
              <w:t> </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5B36C" w14:textId="77777777" w:rsidR="00A752AB" w:rsidRPr="00264974" w:rsidRDefault="00A752AB" w:rsidP="00C20BC6">
            <w:r w:rsidRPr="00264974">
              <w:t> </w:t>
            </w:r>
          </w:p>
        </w:tc>
      </w:tr>
      <w:tr w:rsidR="00A752AB" w:rsidRPr="003208A8" w14:paraId="6348ED5F" w14:textId="77777777" w:rsidTr="00C20BC6">
        <w:trPr>
          <w:trHeight w:val="288"/>
        </w:trPr>
        <w:tc>
          <w:tcPr>
            <w:tcW w:w="5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55A72" w14:textId="77777777" w:rsidR="00A752AB" w:rsidRPr="00264974" w:rsidRDefault="00A752AB" w:rsidP="00C20BC6">
            <w:pPr>
              <w:ind w:firstLineChars="100" w:firstLine="240"/>
            </w:pPr>
            <w:r w:rsidRPr="00264974">
              <w:t>Travel</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B9CAE" w14:textId="77777777" w:rsidR="00A752AB" w:rsidRPr="00264974" w:rsidRDefault="00A752AB" w:rsidP="00C20BC6">
            <w:r w:rsidRPr="00264974">
              <w:t> </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6B42E" w14:textId="77777777" w:rsidR="00A752AB" w:rsidRPr="00264974" w:rsidRDefault="00A752AB" w:rsidP="00C20BC6">
            <w:r w:rsidRPr="00264974">
              <w:t> </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AEAA8" w14:textId="77777777" w:rsidR="00A752AB" w:rsidRPr="00264974" w:rsidRDefault="00A752AB" w:rsidP="00C20BC6">
            <w:r w:rsidRPr="00264974">
              <w:t> </w:t>
            </w:r>
          </w:p>
        </w:tc>
      </w:tr>
      <w:tr w:rsidR="00A752AB" w:rsidRPr="003208A8" w14:paraId="2301D893" w14:textId="77777777" w:rsidTr="00C20BC6">
        <w:trPr>
          <w:trHeight w:val="288"/>
        </w:trPr>
        <w:tc>
          <w:tcPr>
            <w:tcW w:w="5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73425" w14:textId="77777777" w:rsidR="00A752AB" w:rsidRPr="00264974" w:rsidRDefault="00A752AB" w:rsidP="00C20BC6">
            <w:pPr>
              <w:ind w:firstLineChars="100" w:firstLine="240"/>
            </w:pPr>
            <w:r w:rsidRPr="00264974">
              <w:t>Other Supplies and Materials</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85918" w14:textId="77777777" w:rsidR="00A752AB" w:rsidRPr="00264974" w:rsidRDefault="00A752AB" w:rsidP="00C20BC6">
            <w:r w:rsidRPr="00264974">
              <w:t> </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EA5B0" w14:textId="77777777" w:rsidR="00A752AB" w:rsidRPr="00264974" w:rsidRDefault="00A752AB" w:rsidP="00C20BC6">
            <w:r w:rsidRPr="00264974">
              <w:t> </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74515" w14:textId="77777777" w:rsidR="00A752AB" w:rsidRPr="00264974" w:rsidRDefault="00A752AB" w:rsidP="00C20BC6">
            <w:r w:rsidRPr="00264974">
              <w:t> </w:t>
            </w:r>
          </w:p>
        </w:tc>
      </w:tr>
      <w:tr w:rsidR="00A752AB" w:rsidRPr="003208A8" w14:paraId="79EE5BE4" w14:textId="77777777" w:rsidTr="00C20BC6">
        <w:trPr>
          <w:trHeight w:val="288"/>
        </w:trPr>
        <w:tc>
          <w:tcPr>
            <w:tcW w:w="5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E3DBF" w14:textId="77777777" w:rsidR="00A752AB" w:rsidRPr="00264974" w:rsidRDefault="00A752AB" w:rsidP="00C20BC6">
            <w:pPr>
              <w:ind w:firstLineChars="100" w:firstLine="240"/>
            </w:pPr>
            <w:r w:rsidRPr="00264974">
              <w:t>describe</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380A9" w14:textId="77777777" w:rsidR="00A752AB" w:rsidRPr="00264974" w:rsidRDefault="00A752AB" w:rsidP="00C20BC6">
            <w:r w:rsidRPr="00264974">
              <w:t> </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B96AE" w14:textId="77777777" w:rsidR="00A752AB" w:rsidRPr="00264974" w:rsidRDefault="00A752AB" w:rsidP="00C20BC6">
            <w:r w:rsidRPr="00264974">
              <w:t> </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06F65" w14:textId="77777777" w:rsidR="00A752AB" w:rsidRPr="00264974" w:rsidRDefault="00A752AB" w:rsidP="00C20BC6">
            <w:r w:rsidRPr="00264974">
              <w:t> </w:t>
            </w:r>
          </w:p>
        </w:tc>
      </w:tr>
      <w:tr w:rsidR="00A752AB" w:rsidRPr="003208A8" w14:paraId="0508E5C1" w14:textId="77777777" w:rsidTr="00C20BC6">
        <w:trPr>
          <w:trHeight w:val="288"/>
        </w:trPr>
        <w:tc>
          <w:tcPr>
            <w:tcW w:w="5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830BD" w14:textId="77777777" w:rsidR="00A752AB" w:rsidRPr="00264974" w:rsidRDefault="00A752AB" w:rsidP="00C20BC6">
            <w:pPr>
              <w:ind w:firstLineChars="100" w:firstLine="240"/>
            </w:pPr>
            <w:r w:rsidRPr="00264974">
              <w:t>describe</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2A6B1" w14:textId="77777777" w:rsidR="00A752AB" w:rsidRPr="00264974" w:rsidRDefault="00A752AB" w:rsidP="00C20BC6">
            <w:r w:rsidRPr="00264974">
              <w:t> </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19A95" w14:textId="77777777" w:rsidR="00A752AB" w:rsidRPr="00264974" w:rsidRDefault="00A752AB" w:rsidP="00C20BC6">
            <w:r w:rsidRPr="00264974">
              <w:t> </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42E81" w14:textId="77777777" w:rsidR="00A752AB" w:rsidRPr="00264974" w:rsidRDefault="00A752AB" w:rsidP="00C20BC6">
            <w:r w:rsidRPr="00264974">
              <w:t> </w:t>
            </w:r>
          </w:p>
        </w:tc>
      </w:tr>
      <w:tr w:rsidR="00A752AB" w:rsidRPr="003208A8" w14:paraId="2A7B8857" w14:textId="77777777" w:rsidTr="00C20BC6">
        <w:trPr>
          <w:trHeight w:val="288"/>
        </w:trPr>
        <w:tc>
          <w:tcPr>
            <w:tcW w:w="5727" w:type="dxa"/>
            <w:tcBorders>
              <w:top w:val="single" w:sz="4" w:space="0" w:color="auto"/>
              <w:left w:val="single" w:sz="4" w:space="0" w:color="auto"/>
              <w:bottom w:val="single" w:sz="4" w:space="0" w:color="auto"/>
              <w:right w:val="nil"/>
            </w:tcBorders>
            <w:shd w:val="clear" w:color="000000" w:fill="BDD7EE"/>
            <w:vAlign w:val="center"/>
            <w:hideMark/>
          </w:tcPr>
          <w:p w14:paraId="4162DD41" w14:textId="77777777" w:rsidR="00A752AB" w:rsidRPr="00264974" w:rsidRDefault="00A752AB" w:rsidP="00C20BC6">
            <w:pPr>
              <w:rPr>
                <w:b/>
                <w:bCs/>
              </w:rPr>
            </w:pPr>
            <w:r w:rsidRPr="00264974">
              <w:rPr>
                <w:b/>
                <w:bCs/>
              </w:rPr>
              <w:t>Other Total</w:t>
            </w:r>
          </w:p>
        </w:tc>
        <w:tc>
          <w:tcPr>
            <w:tcW w:w="1803" w:type="dxa"/>
            <w:tcBorders>
              <w:top w:val="single" w:sz="4" w:space="0" w:color="auto"/>
              <w:left w:val="nil"/>
              <w:bottom w:val="single" w:sz="4" w:space="0" w:color="auto"/>
              <w:right w:val="nil"/>
            </w:tcBorders>
            <w:shd w:val="clear" w:color="000000" w:fill="BDD7EE"/>
            <w:vAlign w:val="center"/>
            <w:hideMark/>
          </w:tcPr>
          <w:p w14:paraId="08CECCAD" w14:textId="77777777" w:rsidR="00A752AB" w:rsidRPr="00264974" w:rsidRDefault="00A752AB" w:rsidP="00C20BC6">
            <w:pPr>
              <w:rPr>
                <w:b/>
                <w:bCs/>
              </w:rPr>
            </w:pPr>
            <w:r w:rsidRPr="00264974">
              <w:rPr>
                <w:b/>
                <w:bCs/>
              </w:rPr>
              <w:t> </w:t>
            </w:r>
          </w:p>
        </w:tc>
        <w:tc>
          <w:tcPr>
            <w:tcW w:w="1598" w:type="dxa"/>
            <w:tcBorders>
              <w:top w:val="single" w:sz="4" w:space="0" w:color="auto"/>
              <w:left w:val="nil"/>
              <w:bottom w:val="single" w:sz="4" w:space="0" w:color="auto"/>
              <w:right w:val="single" w:sz="4" w:space="0" w:color="auto"/>
            </w:tcBorders>
            <w:shd w:val="clear" w:color="000000" w:fill="BDD7EE"/>
            <w:vAlign w:val="center"/>
            <w:hideMark/>
          </w:tcPr>
          <w:p w14:paraId="008EB5F5" w14:textId="77777777" w:rsidR="00A752AB" w:rsidRPr="00264974" w:rsidRDefault="00A752AB" w:rsidP="00C20BC6">
            <w:pPr>
              <w:rPr>
                <w:b/>
                <w:bCs/>
              </w:rPr>
            </w:pPr>
            <w:r w:rsidRPr="00264974">
              <w:rPr>
                <w:b/>
                <w:bCs/>
              </w:rPr>
              <w:t> </w:t>
            </w:r>
          </w:p>
        </w:tc>
        <w:tc>
          <w:tcPr>
            <w:tcW w:w="1967" w:type="dxa"/>
            <w:tcBorders>
              <w:top w:val="single" w:sz="4" w:space="0" w:color="auto"/>
              <w:left w:val="nil"/>
              <w:bottom w:val="single" w:sz="4" w:space="0" w:color="auto"/>
              <w:right w:val="single" w:sz="4" w:space="0" w:color="auto"/>
            </w:tcBorders>
            <w:shd w:val="clear" w:color="000000" w:fill="BDD7EE"/>
            <w:vAlign w:val="center"/>
            <w:hideMark/>
          </w:tcPr>
          <w:p w14:paraId="7DE738D0" w14:textId="77777777" w:rsidR="00A752AB" w:rsidRPr="00264974" w:rsidRDefault="00A752AB" w:rsidP="00C20BC6">
            <w:pPr>
              <w:rPr>
                <w:b/>
                <w:bCs/>
              </w:rPr>
            </w:pPr>
            <w:r w:rsidRPr="00264974">
              <w:rPr>
                <w:b/>
                <w:bCs/>
              </w:rPr>
              <w:t xml:space="preserve"> $           -   </w:t>
            </w:r>
          </w:p>
        </w:tc>
      </w:tr>
      <w:tr w:rsidR="00A752AB" w:rsidRPr="003208A8" w14:paraId="76D06193" w14:textId="77777777" w:rsidTr="00C20BC6">
        <w:trPr>
          <w:trHeight w:val="60"/>
        </w:trPr>
        <w:tc>
          <w:tcPr>
            <w:tcW w:w="5727" w:type="dxa"/>
            <w:tcBorders>
              <w:top w:val="nil"/>
              <w:left w:val="nil"/>
              <w:bottom w:val="nil"/>
              <w:right w:val="nil"/>
            </w:tcBorders>
            <w:shd w:val="clear" w:color="auto" w:fill="auto"/>
            <w:noWrap/>
            <w:vAlign w:val="bottom"/>
            <w:hideMark/>
          </w:tcPr>
          <w:p w14:paraId="602A2B86" w14:textId="77777777" w:rsidR="00A752AB" w:rsidRPr="00264974" w:rsidRDefault="00A752AB" w:rsidP="00C20BC6">
            <w:pPr>
              <w:rPr>
                <w:b/>
                <w:bCs/>
              </w:rPr>
            </w:pPr>
          </w:p>
        </w:tc>
        <w:tc>
          <w:tcPr>
            <w:tcW w:w="1803" w:type="dxa"/>
            <w:tcBorders>
              <w:top w:val="nil"/>
              <w:left w:val="nil"/>
              <w:bottom w:val="nil"/>
              <w:right w:val="nil"/>
            </w:tcBorders>
            <w:shd w:val="clear" w:color="auto" w:fill="auto"/>
            <w:noWrap/>
            <w:vAlign w:val="bottom"/>
            <w:hideMark/>
          </w:tcPr>
          <w:p w14:paraId="4CD49D2E" w14:textId="77777777" w:rsidR="00A752AB" w:rsidRPr="00264974" w:rsidRDefault="00A752AB" w:rsidP="00C20BC6">
            <w:pPr>
              <w:rPr>
                <w:sz w:val="20"/>
                <w:szCs w:val="20"/>
              </w:rPr>
            </w:pPr>
          </w:p>
        </w:tc>
        <w:tc>
          <w:tcPr>
            <w:tcW w:w="1598" w:type="dxa"/>
            <w:tcBorders>
              <w:top w:val="nil"/>
              <w:left w:val="nil"/>
              <w:bottom w:val="nil"/>
              <w:right w:val="nil"/>
            </w:tcBorders>
            <w:shd w:val="clear" w:color="auto" w:fill="auto"/>
            <w:noWrap/>
            <w:vAlign w:val="bottom"/>
            <w:hideMark/>
          </w:tcPr>
          <w:p w14:paraId="139EBDF6" w14:textId="77777777" w:rsidR="00A752AB" w:rsidRPr="00264974" w:rsidRDefault="00A752AB" w:rsidP="00C20BC6">
            <w:pPr>
              <w:rPr>
                <w:sz w:val="20"/>
                <w:szCs w:val="20"/>
              </w:rPr>
            </w:pPr>
          </w:p>
        </w:tc>
        <w:tc>
          <w:tcPr>
            <w:tcW w:w="1967" w:type="dxa"/>
            <w:tcBorders>
              <w:top w:val="nil"/>
              <w:left w:val="nil"/>
              <w:bottom w:val="nil"/>
              <w:right w:val="nil"/>
            </w:tcBorders>
            <w:shd w:val="clear" w:color="auto" w:fill="auto"/>
            <w:noWrap/>
            <w:vAlign w:val="bottom"/>
            <w:hideMark/>
          </w:tcPr>
          <w:p w14:paraId="4BEA4E73" w14:textId="77777777" w:rsidR="00A752AB" w:rsidRPr="00264974" w:rsidRDefault="00A752AB" w:rsidP="00C20BC6">
            <w:pPr>
              <w:rPr>
                <w:sz w:val="20"/>
                <w:szCs w:val="20"/>
              </w:rPr>
            </w:pPr>
          </w:p>
        </w:tc>
      </w:tr>
      <w:tr w:rsidR="00A752AB" w:rsidRPr="003208A8" w14:paraId="493498D1" w14:textId="77777777" w:rsidTr="00C20BC6">
        <w:trPr>
          <w:trHeight w:val="448"/>
        </w:trPr>
        <w:tc>
          <w:tcPr>
            <w:tcW w:w="5727" w:type="dxa"/>
            <w:tcBorders>
              <w:top w:val="single" w:sz="4" w:space="0" w:color="auto"/>
              <w:left w:val="single" w:sz="4" w:space="0" w:color="auto"/>
              <w:bottom w:val="single" w:sz="4" w:space="0" w:color="auto"/>
              <w:right w:val="nil"/>
            </w:tcBorders>
            <w:shd w:val="clear" w:color="000000" w:fill="BDD7EE"/>
            <w:vAlign w:val="center"/>
            <w:hideMark/>
          </w:tcPr>
          <w:p w14:paraId="333C2F67" w14:textId="77777777" w:rsidR="00A752AB" w:rsidRPr="00264974" w:rsidRDefault="00A752AB" w:rsidP="00C20BC6">
            <w:pPr>
              <w:rPr>
                <w:b/>
                <w:bCs/>
              </w:rPr>
            </w:pPr>
            <w:r w:rsidRPr="00264974">
              <w:rPr>
                <w:b/>
                <w:bCs/>
              </w:rPr>
              <w:t>Grant Request Sub Total (Section A + B + C)</w:t>
            </w:r>
          </w:p>
        </w:tc>
        <w:tc>
          <w:tcPr>
            <w:tcW w:w="1803" w:type="dxa"/>
            <w:tcBorders>
              <w:top w:val="single" w:sz="4" w:space="0" w:color="auto"/>
              <w:left w:val="nil"/>
              <w:bottom w:val="single" w:sz="4" w:space="0" w:color="auto"/>
              <w:right w:val="nil"/>
            </w:tcBorders>
            <w:shd w:val="clear" w:color="000000" w:fill="BDD7EE"/>
            <w:vAlign w:val="center"/>
            <w:hideMark/>
          </w:tcPr>
          <w:p w14:paraId="26F34495" w14:textId="77777777" w:rsidR="00A752AB" w:rsidRPr="00264974" w:rsidRDefault="00A752AB" w:rsidP="00C20BC6">
            <w:pPr>
              <w:rPr>
                <w:b/>
                <w:bCs/>
              </w:rPr>
            </w:pPr>
            <w:r w:rsidRPr="00264974">
              <w:rPr>
                <w:b/>
                <w:bCs/>
              </w:rPr>
              <w:t> </w:t>
            </w:r>
          </w:p>
        </w:tc>
        <w:tc>
          <w:tcPr>
            <w:tcW w:w="1598" w:type="dxa"/>
            <w:tcBorders>
              <w:top w:val="single" w:sz="4" w:space="0" w:color="auto"/>
              <w:left w:val="nil"/>
              <w:bottom w:val="single" w:sz="4" w:space="0" w:color="auto"/>
              <w:right w:val="single" w:sz="4" w:space="0" w:color="auto"/>
            </w:tcBorders>
            <w:shd w:val="clear" w:color="000000" w:fill="BDD7EE"/>
            <w:vAlign w:val="center"/>
            <w:hideMark/>
          </w:tcPr>
          <w:p w14:paraId="5D9ACA84" w14:textId="77777777" w:rsidR="00A752AB" w:rsidRPr="00264974" w:rsidRDefault="00A752AB" w:rsidP="00C20BC6">
            <w:pPr>
              <w:rPr>
                <w:b/>
                <w:bCs/>
              </w:rPr>
            </w:pPr>
            <w:r w:rsidRPr="00264974">
              <w:rPr>
                <w:b/>
                <w:bCs/>
              </w:rPr>
              <w:t> </w:t>
            </w:r>
          </w:p>
        </w:tc>
        <w:tc>
          <w:tcPr>
            <w:tcW w:w="1967" w:type="dxa"/>
            <w:tcBorders>
              <w:top w:val="single" w:sz="4" w:space="0" w:color="auto"/>
              <w:left w:val="nil"/>
              <w:bottom w:val="single" w:sz="4" w:space="0" w:color="auto"/>
              <w:right w:val="single" w:sz="4" w:space="0" w:color="auto"/>
            </w:tcBorders>
            <w:shd w:val="clear" w:color="000000" w:fill="BDD7EE"/>
            <w:vAlign w:val="center"/>
            <w:hideMark/>
          </w:tcPr>
          <w:p w14:paraId="1658013F" w14:textId="77777777" w:rsidR="00A752AB" w:rsidRPr="00264974" w:rsidRDefault="00A752AB" w:rsidP="00C20BC6">
            <w:pPr>
              <w:rPr>
                <w:b/>
                <w:bCs/>
              </w:rPr>
            </w:pPr>
            <w:r w:rsidRPr="00264974">
              <w:rPr>
                <w:b/>
                <w:bCs/>
              </w:rPr>
              <w:t xml:space="preserve"> $           -   </w:t>
            </w:r>
          </w:p>
        </w:tc>
      </w:tr>
      <w:tr w:rsidR="00A752AB" w:rsidRPr="003208A8" w14:paraId="44A84A1E" w14:textId="77777777" w:rsidTr="00C20BC6">
        <w:trPr>
          <w:trHeight w:val="288"/>
        </w:trPr>
        <w:tc>
          <w:tcPr>
            <w:tcW w:w="5727" w:type="dxa"/>
            <w:tcBorders>
              <w:top w:val="nil"/>
              <w:left w:val="single" w:sz="4" w:space="0" w:color="auto"/>
              <w:bottom w:val="single" w:sz="4" w:space="0" w:color="auto"/>
              <w:right w:val="nil"/>
            </w:tcBorders>
            <w:shd w:val="clear" w:color="auto" w:fill="auto"/>
            <w:vAlign w:val="center"/>
            <w:hideMark/>
          </w:tcPr>
          <w:p w14:paraId="01D755FB" w14:textId="77777777" w:rsidR="00A752AB" w:rsidRPr="00264974" w:rsidRDefault="00A752AB" w:rsidP="00C20BC6">
            <w:pPr>
              <w:ind w:firstLineChars="100" w:firstLine="240"/>
            </w:pPr>
            <w:r w:rsidRPr="00264974">
              <w:t>Indirect Costs (10% Maximum)</w:t>
            </w:r>
          </w:p>
        </w:tc>
        <w:tc>
          <w:tcPr>
            <w:tcW w:w="1803" w:type="dxa"/>
            <w:tcBorders>
              <w:top w:val="nil"/>
              <w:left w:val="nil"/>
              <w:bottom w:val="single" w:sz="4" w:space="0" w:color="auto"/>
              <w:right w:val="nil"/>
            </w:tcBorders>
            <w:shd w:val="clear" w:color="auto" w:fill="auto"/>
            <w:vAlign w:val="center"/>
            <w:hideMark/>
          </w:tcPr>
          <w:p w14:paraId="3D0A3FAC" w14:textId="77777777" w:rsidR="00A752AB" w:rsidRPr="00264974" w:rsidRDefault="00A752AB" w:rsidP="00C20BC6">
            <w:r w:rsidRPr="00264974">
              <w:t> </w:t>
            </w:r>
          </w:p>
        </w:tc>
        <w:tc>
          <w:tcPr>
            <w:tcW w:w="1598" w:type="dxa"/>
            <w:tcBorders>
              <w:top w:val="nil"/>
              <w:left w:val="nil"/>
              <w:bottom w:val="single" w:sz="4" w:space="0" w:color="auto"/>
              <w:right w:val="single" w:sz="4" w:space="0" w:color="auto"/>
            </w:tcBorders>
            <w:shd w:val="clear" w:color="auto" w:fill="auto"/>
            <w:vAlign w:val="center"/>
            <w:hideMark/>
          </w:tcPr>
          <w:p w14:paraId="4D3979E2" w14:textId="77777777" w:rsidR="00A752AB" w:rsidRPr="00264974" w:rsidRDefault="00A752AB" w:rsidP="00C20BC6">
            <w:r w:rsidRPr="00264974">
              <w:t> </w:t>
            </w:r>
          </w:p>
        </w:tc>
        <w:tc>
          <w:tcPr>
            <w:tcW w:w="1967" w:type="dxa"/>
            <w:tcBorders>
              <w:top w:val="nil"/>
              <w:left w:val="nil"/>
              <w:bottom w:val="single" w:sz="4" w:space="0" w:color="auto"/>
              <w:right w:val="single" w:sz="4" w:space="0" w:color="auto"/>
            </w:tcBorders>
            <w:shd w:val="clear" w:color="auto" w:fill="auto"/>
            <w:vAlign w:val="center"/>
            <w:hideMark/>
          </w:tcPr>
          <w:p w14:paraId="3105C020" w14:textId="77777777" w:rsidR="00A752AB" w:rsidRPr="00264974" w:rsidRDefault="00A752AB" w:rsidP="00C20BC6">
            <w:r w:rsidRPr="00264974">
              <w:t> </w:t>
            </w:r>
          </w:p>
        </w:tc>
      </w:tr>
      <w:tr w:rsidR="00A752AB" w:rsidRPr="003208A8" w14:paraId="0BD9E353" w14:textId="77777777" w:rsidTr="00C20BC6">
        <w:trPr>
          <w:trHeight w:val="288"/>
        </w:trPr>
        <w:tc>
          <w:tcPr>
            <w:tcW w:w="5727" w:type="dxa"/>
            <w:tcBorders>
              <w:top w:val="nil"/>
              <w:left w:val="single" w:sz="4" w:space="0" w:color="auto"/>
              <w:bottom w:val="nil"/>
              <w:right w:val="nil"/>
            </w:tcBorders>
            <w:shd w:val="clear" w:color="000000" w:fill="8DB4E2"/>
            <w:vAlign w:val="center"/>
            <w:hideMark/>
          </w:tcPr>
          <w:p w14:paraId="0730271C" w14:textId="77777777" w:rsidR="00A752AB" w:rsidRPr="00264974" w:rsidRDefault="00A752AB" w:rsidP="00C20BC6">
            <w:pPr>
              <w:rPr>
                <w:b/>
                <w:bCs/>
              </w:rPr>
            </w:pPr>
            <w:r w:rsidRPr="00264974">
              <w:rPr>
                <w:b/>
                <w:bCs/>
              </w:rPr>
              <w:t xml:space="preserve">Grant Request Total </w:t>
            </w:r>
            <w:r w:rsidRPr="00F466F8">
              <w:rPr>
                <w:b/>
                <w:bCs/>
              </w:rPr>
              <w:t>(Not to exceed $30,000)</w:t>
            </w:r>
          </w:p>
        </w:tc>
        <w:tc>
          <w:tcPr>
            <w:tcW w:w="1803" w:type="dxa"/>
            <w:tcBorders>
              <w:top w:val="nil"/>
              <w:left w:val="nil"/>
              <w:bottom w:val="nil"/>
              <w:right w:val="nil"/>
            </w:tcBorders>
            <w:shd w:val="clear" w:color="000000" w:fill="8DB4E2"/>
            <w:vAlign w:val="center"/>
            <w:hideMark/>
          </w:tcPr>
          <w:p w14:paraId="5D591837" w14:textId="77777777" w:rsidR="00A752AB" w:rsidRPr="00264974" w:rsidRDefault="00A752AB" w:rsidP="00C20BC6">
            <w:pPr>
              <w:rPr>
                <w:b/>
                <w:bCs/>
              </w:rPr>
            </w:pPr>
            <w:r w:rsidRPr="00264974">
              <w:rPr>
                <w:b/>
                <w:bCs/>
              </w:rPr>
              <w:t> </w:t>
            </w:r>
          </w:p>
        </w:tc>
        <w:tc>
          <w:tcPr>
            <w:tcW w:w="1598" w:type="dxa"/>
            <w:tcBorders>
              <w:top w:val="nil"/>
              <w:left w:val="nil"/>
              <w:bottom w:val="nil"/>
              <w:right w:val="nil"/>
            </w:tcBorders>
            <w:shd w:val="clear" w:color="000000" w:fill="8DB4E2"/>
            <w:vAlign w:val="center"/>
            <w:hideMark/>
          </w:tcPr>
          <w:p w14:paraId="3E02D4EA" w14:textId="77777777" w:rsidR="00A752AB" w:rsidRPr="00264974" w:rsidRDefault="00A752AB" w:rsidP="00C20BC6">
            <w:pPr>
              <w:rPr>
                <w:b/>
                <w:bCs/>
              </w:rPr>
            </w:pPr>
            <w:r w:rsidRPr="00264974">
              <w:rPr>
                <w:b/>
                <w:bCs/>
              </w:rPr>
              <w:t> </w:t>
            </w:r>
          </w:p>
        </w:tc>
        <w:tc>
          <w:tcPr>
            <w:tcW w:w="1967" w:type="dxa"/>
            <w:vMerge w:val="restart"/>
            <w:tcBorders>
              <w:top w:val="nil"/>
              <w:left w:val="single" w:sz="4" w:space="0" w:color="auto"/>
              <w:bottom w:val="single" w:sz="4" w:space="0" w:color="000000"/>
              <w:right w:val="single" w:sz="4" w:space="0" w:color="auto"/>
            </w:tcBorders>
            <w:shd w:val="clear" w:color="000000" w:fill="8DB4E2"/>
            <w:vAlign w:val="center"/>
            <w:hideMark/>
          </w:tcPr>
          <w:p w14:paraId="0DAEF42C" w14:textId="77777777" w:rsidR="00A752AB" w:rsidRPr="00264974" w:rsidRDefault="00A752AB" w:rsidP="00C20BC6">
            <w:pPr>
              <w:rPr>
                <w:b/>
                <w:bCs/>
              </w:rPr>
            </w:pPr>
            <w:r w:rsidRPr="00264974">
              <w:rPr>
                <w:b/>
                <w:bCs/>
              </w:rPr>
              <w:t xml:space="preserve"> $           -   </w:t>
            </w:r>
          </w:p>
        </w:tc>
      </w:tr>
      <w:tr w:rsidR="00A752AB" w:rsidRPr="003208A8" w14:paraId="4976F667" w14:textId="77777777" w:rsidTr="00C20BC6">
        <w:trPr>
          <w:trHeight w:val="89"/>
        </w:trPr>
        <w:tc>
          <w:tcPr>
            <w:tcW w:w="5727" w:type="dxa"/>
            <w:tcBorders>
              <w:top w:val="nil"/>
              <w:left w:val="single" w:sz="4" w:space="0" w:color="auto"/>
              <w:bottom w:val="single" w:sz="4" w:space="0" w:color="auto"/>
              <w:right w:val="nil"/>
            </w:tcBorders>
            <w:shd w:val="clear" w:color="000000" w:fill="8DB4E2"/>
            <w:vAlign w:val="center"/>
            <w:hideMark/>
          </w:tcPr>
          <w:p w14:paraId="40F2A87D" w14:textId="77777777" w:rsidR="00A752AB" w:rsidRPr="00F466F8" w:rsidRDefault="00A752AB" w:rsidP="00C20BC6">
            <w:pPr>
              <w:rPr>
                <w:b/>
                <w:bCs/>
              </w:rPr>
            </w:pPr>
          </w:p>
        </w:tc>
        <w:tc>
          <w:tcPr>
            <w:tcW w:w="1803" w:type="dxa"/>
            <w:tcBorders>
              <w:top w:val="nil"/>
              <w:left w:val="nil"/>
              <w:bottom w:val="single" w:sz="4" w:space="0" w:color="auto"/>
              <w:right w:val="nil"/>
            </w:tcBorders>
            <w:shd w:val="clear" w:color="000000" w:fill="8DB4E2"/>
            <w:vAlign w:val="center"/>
            <w:hideMark/>
          </w:tcPr>
          <w:p w14:paraId="3836AC3C" w14:textId="77777777" w:rsidR="00A752AB" w:rsidRPr="007C2728" w:rsidRDefault="00A752AB" w:rsidP="00C20BC6">
            <w:pPr>
              <w:rPr>
                <w:rFonts w:cs="Calibri"/>
                <w:b/>
                <w:bCs/>
              </w:rPr>
            </w:pPr>
            <w:r w:rsidRPr="007C2728">
              <w:rPr>
                <w:rFonts w:cs="Calibri"/>
                <w:b/>
                <w:bCs/>
              </w:rPr>
              <w:t> </w:t>
            </w:r>
          </w:p>
        </w:tc>
        <w:tc>
          <w:tcPr>
            <w:tcW w:w="1598" w:type="dxa"/>
            <w:tcBorders>
              <w:top w:val="nil"/>
              <w:left w:val="nil"/>
              <w:bottom w:val="single" w:sz="4" w:space="0" w:color="auto"/>
              <w:right w:val="nil"/>
            </w:tcBorders>
            <w:shd w:val="clear" w:color="000000" w:fill="8DB4E2"/>
            <w:vAlign w:val="center"/>
            <w:hideMark/>
          </w:tcPr>
          <w:p w14:paraId="247A580F" w14:textId="77777777" w:rsidR="00A752AB" w:rsidRPr="007C2728" w:rsidRDefault="00A752AB" w:rsidP="00C20BC6">
            <w:pPr>
              <w:rPr>
                <w:rFonts w:cs="Calibri"/>
                <w:b/>
                <w:bCs/>
              </w:rPr>
            </w:pPr>
            <w:r w:rsidRPr="007C2728">
              <w:rPr>
                <w:rFonts w:cs="Calibri"/>
                <w:b/>
                <w:bCs/>
              </w:rPr>
              <w:t> </w:t>
            </w:r>
          </w:p>
        </w:tc>
        <w:tc>
          <w:tcPr>
            <w:tcW w:w="1967" w:type="dxa"/>
            <w:vMerge/>
            <w:tcBorders>
              <w:top w:val="nil"/>
              <w:left w:val="single" w:sz="4" w:space="0" w:color="auto"/>
              <w:bottom w:val="single" w:sz="4" w:space="0" w:color="000000"/>
              <w:right w:val="single" w:sz="4" w:space="0" w:color="auto"/>
            </w:tcBorders>
            <w:vAlign w:val="center"/>
            <w:hideMark/>
          </w:tcPr>
          <w:p w14:paraId="0490FE43" w14:textId="77777777" w:rsidR="00A752AB" w:rsidRPr="003208A8" w:rsidRDefault="00A752AB" w:rsidP="00C20BC6">
            <w:pPr>
              <w:rPr>
                <w:rFonts w:cs="Calibri"/>
                <w:b/>
                <w:bCs/>
              </w:rPr>
            </w:pPr>
          </w:p>
        </w:tc>
      </w:tr>
      <w:tr w:rsidR="00A752AB" w:rsidRPr="003208A8" w14:paraId="0DACC20E" w14:textId="77777777" w:rsidTr="00C20BC6">
        <w:trPr>
          <w:trHeight w:val="288"/>
        </w:trPr>
        <w:tc>
          <w:tcPr>
            <w:tcW w:w="11095" w:type="dxa"/>
            <w:gridSpan w:val="4"/>
            <w:tcBorders>
              <w:top w:val="nil"/>
              <w:left w:val="nil"/>
              <w:bottom w:val="nil"/>
              <w:right w:val="nil"/>
            </w:tcBorders>
            <w:shd w:val="clear" w:color="auto" w:fill="auto"/>
            <w:noWrap/>
            <w:vAlign w:val="bottom"/>
            <w:hideMark/>
          </w:tcPr>
          <w:p w14:paraId="73D7B1BE" w14:textId="77777777" w:rsidR="00A752AB" w:rsidRDefault="00A752AB" w:rsidP="00C20BC6">
            <w:pPr>
              <w:rPr>
                <w:sz w:val="20"/>
                <w:szCs w:val="20"/>
              </w:rPr>
            </w:pPr>
          </w:p>
          <w:p w14:paraId="34CACE8B" w14:textId="77777777" w:rsidR="00A752AB" w:rsidRPr="00790AC1" w:rsidRDefault="00A752AB" w:rsidP="00C20BC6">
            <w:pPr>
              <w:rPr>
                <w:b/>
                <w:bCs/>
              </w:rPr>
            </w:pPr>
            <w:r w:rsidRPr="00790AC1">
              <w:rPr>
                <w:b/>
                <w:bCs/>
              </w:rPr>
              <w:t>Signature of Fiscal Sponsor: _____________________________________________</w:t>
            </w:r>
          </w:p>
          <w:p w14:paraId="63628289" w14:textId="77777777" w:rsidR="00A752AB" w:rsidRPr="00790AC1" w:rsidRDefault="00A752AB" w:rsidP="00C20BC6">
            <w:pPr>
              <w:rPr>
                <w:b/>
                <w:bCs/>
              </w:rPr>
            </w:pPr>
          </w:p>
          <w:p w14:paraId="5536AC04" w14:textId="77777777" w:rsidR="00A752AB" w:rsidRDefault="00A752AB" w:rsidP="00C20BC6">
            <w:pPr>
              <w:rPr>
                <w:b/>
                <w:bCs/>
              </w:rPr>
            </w:pPr>
            <w:r w:rsidRPr="00790AC1">
              <w:rPr>
                <w:b/>
                <w:bCs/>
              </w:rPr>
              <w:t>Signature of Corresponding Partner: ______________________________________</w:t>
            </w:r>
          </w:p>
          <w:p w14:paraId="2D720506" w14:textId="77777777" w:rsidR="00A752AB" w:rsidRDefault="00A752AB" w:rsidP="00C20BC6">
            <w:pPr>
              <w:rPr>
                <w:b/>
                <w:bCs/>
              </w:rPr>
            </w:pPr>
          </w:p>
          <w:p w14:paraId="0A377C6B" w14:textId="77777777" w:rsidR="00A752AB" w:rsidRPr="00264974" w:rsidRDefault="00A752AB" w:rsidP="00C20BC6"/>
        </w:tc>
      </w:tr>
      <w:tr w:rsidR="00A752AB" w:rsidRPr="003208A8" w14:paraId="4F635C4E" w14:textId="77777777" w:rsidTr="00C20BC6">
        <w:trPr>
          <w:trHeight w:val="288"/>
        </w:trPr>
        <w:tc>
          <w:tcPr>
            <w:tcW w:w="9128" w:type="dxa"/>
            <w:gridSpan w:val="3"/>
            <w:tcBorders>
              <w:top w:val="nil"/>
              <w:left w:val="nil"/>
              <w:bottom w:val="nil"/>
              <w:right w:val="nil"/>
            </w:tcBorders>
            <w:shd w:val="clear" w:color="auto" w:fill="auto"/>
            <w:noWrap/>
            <w:vAlign w:val="bottom"/>
            <w:hideMark/>
          </w:tcPr>
          <w:p w14:paraId="379D5ADE" w14:textId="77777777" w:rsidR="00A752AB" w:rsidRPr="00806067" w:rsidRDefault="00A752AB" w:rsidP="00C20BC6">
            <w:pPr>
              <w:rPr>
                <w:rFonts w:cs="Calibri"/>
                <w:highlight w:val="yellow"/>
              </w:rPr>
            </w:pPr>
          </w:p>
        </w:tc>
        <w:tc>
          <w:tcPr>
            <w:tcW w:w="1967" w:type="dxa"/>
            <w:tcBorders>
              <w:top w:val="nil"/>
              <w:left w:val="nil"/>
              <w:bottom w:val="nil"/>
              <w:right w:val="nil"/>
            </w:tcBorders>
            <w:shd w:val="clear" w:color="auto" w:fill="auto"/>
            <w:noWrap/>
            <w:vAlign w:val="bottom"/>
            <w:hideMark/>
          </w:tcPr>
          <w:p w14:paraId="2AB3D0F0" w14:textId="77777777" w:rsidR="00A752AB" w:rsidRPr="007C2728" w:rsidRDefault="00A752AB" w:rsidP="00C20BC6">
            <w:pPr>
              <w:rPr>
                <w:rFonts w:cs="Calibri"/>
              </w:rPr>
            </w:pPr>
          </w:p>
        </w:tc>
      </w:tr>
    </w:tbl>
    <w:p w14:paraId="31D9035D" w14:textId="77777777" w:rsidR="00A752AB" w:rsidRPr="005F5D46" w:rsidRDefault="00A752AB" w:rsidP="00A752AB">
      <w:pPr>
        <w:contextualSpacing/>
        <w:rPr>
          <w:sz w:val="18"/>
          <w:szCs w:val="18"/>
        </w:rPr>
      </w:pPr>
      <w:r w:rsidRPr="005F5D46">
        <w:rPr>
          <w:rFonts w:cs="Calibri"/>
          <w:sz w:val="16"/>
          <w:szCs w:val="16"/>
        </w:rPr>
        <w:t>*Please note equipment (inclusive of computer hardware, e.g. laptops) and student stipends may not be funded by this planning grant.</w:t>
      </w:r>
    </w:p>
    <w:p w14:paraId="6D62D741" w14:textId="77777777" w:rsidR="00A752AB" w:rsidRDefault="00A752AB">
      <w:pPr>
        <w:rPr>
          <w:sz w:val="20"/>
        </w:rPr>
      </w:pPr>
    </w:p>
    <w:sectPr w:rsidR="00A752AB">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CD48D" w14:textId="77777777" w:rsidR="00276BD2" w:rsidRDefault="00276BD2" w:rsidP="00A752AB">
      <w:r>
        <w:separator/>
      </w:r>
    </w:p>
  </w:endnote>
  <w:endnote w:type="continuationSeparator" w:id="0">
    <w:p w14:paraId="2C5B55B8" w14:textId="77777777" w:rsidR="00276BD2" w:rsidRDefault="00276BD2" w:rsidP="00A75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0B164" w14:textId="77777777" w:rsidR="00276BD2" w:rsidRDefault="00276BD2" w:rsidP="00A752AB">
      <w:r>
        <w:separator/>
      </w:r>
    </w:p>
  </w:footnote>
  <w:footnote w:type="continuationSeparator" w:id="0">
    <w:p w14:paraId="7D1D6F6D" w14:textId="77777777" w:rsidR="00276BD2" w:rsidRDefault="00276BD2" w:rsidP="00A752AB">
      <w:r>
        <w:continuationSeparator/>
      </w:r>
    </w:p>
  </w:footnote>
  <w:footnote w:id="1">
    <w:p w14:paraId="3253024B" w14:textId="77777777" w:rsidR="00A752AB" w:rsidRDefault="00A752AB" w:rsidP="00A752AB">
      <w:pPr>
        <w:pStyle w:val="FootnoteText"/>
      </w:pPr>
      <w:r>
        <w:rPr>
          <w:rStyle w:val="FootnoteReference"/>
        </w:rPr>
        <w:footnoteRef/>
      </w:r>
      <w:r>
        <w:t xml:space="preserve"> </w:t>
      </w:r>
      <w:r w:rsidRPr="00A752AB">
        <w:t xml:space="preserve">To learn more about the EC model, refer to the EC </w:t>
      </w:r>
      <w:hyperlink r:id="rId1" w:history="1">
        <w:r w:rsidRPr="00A752AB">
          <w:rPr>
            <w:rStyle w:val="Hyperlink"/>
          </w:rPr>
          <w:t>summary</w:t>
        </w:r>
      </w:hyperlink>
      <w:r w:rsidRPr="00A752AB">
        <w:t xml:space="preserve"> and </w:t>
      </w:r>
      <w:hyperlink r:id="rId2" w:history="1">
        <w:r w:rsidRPr="00A752AB">
          <w:rPr>
            <w:rStyle w:val="Hyperlink"/>
          </w:rPr>
          <w:t>designation criteria</w:t>
        </w:r>
      </w:hyperlink>
      <w:r w:rsidRPr="00A752AB">
        <w:t xml:space="preserve">. </w:t>
      </w:r>
    </w:p>
  </w:footnote>
  <w:footnote w:id="2">
    <w:p w14:paraId="358BCCE4" w14:textId="77777777" w:rsidR="00A752AB" w:rsidRPr="008C46D1" w:rsidRDefault="00A752AB" w:rsidP="00A752AB">
      <w:pPr>
        <w:pStyle w:val="FootnoteText"/>
        <w:rPr>
          <w:rFonts w:ascii="Times New Roman" w:hAnsi="Times New Roman"/>
        </w:rPr>
      </w:pPr>
      <w:r w:rsidRPr="008C46D1">
        <w:rPr>
          <w:rStyle w:val="FootnoteReference"/>
          <w:rFonts w:ascii="Times New Roman" w:hAnsi="Times New Roman"/>
        </w:rPr>
        <w:footnoteRef/>
      </w:r>
      <w:r w:rsidRPr="008C46D1">
        <w:rPr>
          <w:rFonts w:ascii="Times New Roman" w:hAnsi="Times New Roman"/>
        </w:rPr>
        <w:t xml:space="preserve"> American Institutes for Research, </w:t>
      </w:r>
      <w:r w:rsidRPr="008C46D1">
        <w:rPr>
          <w:rFonts w:ascii="Times New Roman" w:hAnsi="Times New Roman"/>
          <w:i/>
        </w:rPr>
        <w:t>Early College, Continued Success:  Early College High School Initiative Impact Study</w:t>
      </w:r>
      <w:r w:rsidRPr="008C46D1">
        <w:rPr>
          <w:rFonts w:ascii="Times New Roman" w:hAnsi="Times New Roman"/>
        </w:rPr>
        <w:t xml:space="preserve">, January 2014. </w:t>
      </w:r>
    </w:p>
  </w:footnote>
  <w:footnote w:id="3">
    <w:p w14:paraId="4F4011E8" w14:textId="77777777" w:rsidR="00A752AB" w:rsidRPr="008C46D1" w:rsidRDefault="00A752AB" w:rsidP="00A752AB">
      <w:pPr>
        <w:pStyle w:val="FootnoteText"/>
        <w:rPr>
          <w:rFonts w:ascii="Times New Roman" w:hAnsi="Times New Roman"/>
        </w:rPr>
      </w:pPr>
      <w:r w:rsidRPr="008C46D1">
        <w:rPr>
          <w:rStyle w:val="FootnoteReference"/>
          <w:rFonts w:ascii="Times New Roman" w:hAnsi="Times New Roman"/>
        </w:rPr>
        <w:footnoteRef/>
      </w:r>
      <w:r w:rsidRPr="008C46D1">
        <w:rPr>
          <w:rFonts w:ascii="Times New Roman" w:hAnsi="Times New Roman"/>
        </w:rPr>
        <w:t xml:space="preserve"> Early college students are far more likely to earn a college degree by high school graduation—30% of early college students earn an Associate’s degree vs. very few students nationally.  Early college students are also more likely to earn substantial college credit in high school (94% v. 10% nationally).  These students are more likely to enroll in college immediately after high school (71% vs. 54%), and return to college for a second year (86% v. 72%). Jobs for the Future, </w:t>
      </w:r>
      <w:r w:rsidRPr="008C46D1">
        <w:rPr>
          <w:rFonts w:ascii="Times New Roman" w:hAnsi="Times New Roman"/>
          <w:i/>
        </w:rPr>
        <w:t>Early College Expansion:  Propelling Students to Postsecondary Success at a School Near You, Executive Summary</w:t>
      </w:r>
      <w:r w:rsidRPr="008C46D1">
        <w:rPr>
          <w:rFonts w:ascii="Times New Roman" w:hAnsi="Times New Roman"/>
        </w:rPr>
        <w:t>, 2014.</w:t>
      </w:r>
    </w:p>
  </w:footnote>
  <w:footnote w:id="4">
    <w:p w14:paraId="67FBCB45" w14:textId="77777777" w:rsidR="00A752AB" w:rsidRPr="0014245D" w:rsidRDefault="00A752AB" w:rsidP="00A752AB">
      <w:pPr>
        <w:pStyle w:val="FootnoteText"/>
        <w:rPr>
          <w:rFonts w:ascii="Arial" w:hAnsi="Arial"/>
        </w:rPr>
      </w:pPr>
      <w:r w:rsidRPr="008C46D1">
        <w:rPr>
          <w:rStyle w:val="FootnoteReference"/>
          <w:rFonts w:ascii="Times New Roman" w:hAnsi="Times New Roman"/>
        </w:rPr>
        <w:footnoteRef/>
      </w:r>
      <w:r w:rsidRPr="008C46D1">
        <w:rPr>
          <w:rFonts w:ascii="Times New Roman" w:hAnsi="Times New Roman"/>
        </w:rPr>
        <w:t xml:space="preserve"> American Institutes for Research, </w:t>
      </w:r>
      <w:r w:rsidRPr="008C46D1">
        <w:rPr>
          <w:rFonts w:ascii="Times New Roman" w:hAnsi="Times New Roman"/>
          <w:i/>
        </w:rPr>
        <w:t>Early College, Continued Success:  Early College High School Initiative Impact Study</w:t>
      </w:r>
      <w:r w:rsidRPr="008C46D1">
        <w:rPr>
          <w:rFonts w:ascii="Times New Roman" w:hAnsi="Times New Roman"/>
        </w:rPr>
        <w:t>, January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EA0A5E"/>
    <w:multiLevelType w:val="hybridMultilevel"/>
    <w:tmpl w:val="08E0D26C"/>
    <w:lvl w:ilvl="0" w:tplc="C9BCEABE">
      <w:start w:val="9"/>
      <w:numFmt w:val="upperLetter"/>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630F7C"/>
    <w:multiLevelType w:val="hybridMultilevel"/>
    <w:tmpl w:val="8E0A9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2AF0630"/>
    <w:multiLevelType w:val="hybridMultilevel"/>
    <w:tmpl w:val="28B889D6"/>
    <w:lvl w:ilvl="0" w:tplc="3DE271E2">
      <w:start w:val="2"/>
      <w:numFmt w:val="upperRoman"/>
      <w:lvlText w:val="%1."/>
      <w:lvlJc w:val="left"/>
      <w:pPr>
        <w:ind w:left="990" w:hanging="720"/>
      </w:pPr>
      <w:rPr>
        <w:rFonts w:hint="default"/>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111EEA"/>
    <w:rsid w:val="00276BD2"/>
    <w:rsid w:val="002960C3"/>
    <w:rsid w:val="00330874"/>
    <w:rsid w:val="003D0D0A"/>
    <w:rsid w:val="00454850"/>
    <w:rsid w:val="005E09D8"/>
    <w:rsid w:val="006B0666"/>
    <w:rsid w:val="006E4A62"/>
    <w:rsid w:val="007D19E8"/>
    <w:rsid w:val="00856E15"/>
    <w:rsid w:val="008804EB"/>
    <w:rsid w:val="00893B71"/>
    <w:rsid w:val="00914CD3"/>
    <w:rsid w:val="00A33A50"/>
    <w:rsid w:val="00A752AB"/>
    <w:rsid w:val="00AB681B"/>
    <w:rsid w:val="00C20BC6"/>
    <w:rsid w:val="00CA71D8"/>
    <w:rsid w:val="00D563FE"/>
    <w:rsid w:val="00D84EBB"/>
    <w:rsid w:val="00D92E69"/>
    <w:rsid w:val="00E351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0B9C"/>
  <w15:chartTrackingRefBased/>
  <w15:docId w15:val="{58746F48-9824-47C8-A46A-ADE9AD2A4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0"/>
      <w:szCs w:val="20"/>
    </w:rPr>
  </w:style>
  <w:style w:type="paragraph" w:styleId="Heading2">
    <w:name w:val="heading 2"/>
    <w:basedOn w:val="Normal"/>
    <w:next w:val="Normal"/>
    <w:link w:val="Heading2Char"/>
    <w:uiPriority w:val="9"/>
    <w:unhideWhenUsed/>
    <w:qFormat/>
    <w:rsid w:val="00A752AB"/>
    <w:pPr>
      <w:keepNext/>
      <w:keepLines/>
      <w:spacing w:before="40"/>
      <w:outlineLvl w:val="1"/>
    </w:pPr>
    <w:rPr>
      <w:rFonts w:ascii="Calibri Light"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customStyle="1" w:styleId="Heading2Char">
    <w:name w:val="Heading 2 Char"/>
    <w:link w:val="Heading2"/>
    <w:uiPriority w:val="9"/>
    <w:rsid w:val="00A752AB"/>
    <w:rPr>
      <w:rFonts w:ascii="Calibri Light" w:hAnsi="Calibri Light"/>
      <w:color w:val="2E74B5"/>
      <w:sz w:val="26"/>
      <w:szCs w:val="26"/>
    </w:rPr>
  </w:style>
  <w:style w:type="paragraph" w:styleId="ListParagraph">
    <w:name w:val="List Paragraph"/>
    <w:basedOn w:val="Normal"/>
    <w:uiPriority w:val="34"/>
    <w:qFormat/>
    <w:rsid w:val="00A752AB"/>
    <w:pPr>
      <w:ind w:left="720"/>
    </w:pPr>
    <w:rPr>
      <w:rFonts w:ascii="Calibri" w:eastAsia="Calibri" w:hAnsi="Calibri"/>
      <w:sz w:val="22"/>
      <w:szCs w:val="22"/>
    </w:rPr>
  </w:style>
  <w:style w:type="character" w:styleId="Hyperlink">
    <w:name w:val="Hyperlink"/>
    <w:uiPriority w:val="99"/>
    <w:unhideWhenUsed/>
    <w:rsid w:val="00A752AB"/>
    <w:rPr>
      <w:color w:val="0563C1"/>
      <w:u w:val="single"/>
    </w:rPr>
  </w:style>
  <w:style w:type="paragraph" w:styleId="FootnoteText">
    <w:name w:val="footnote text"/>
    <w:basedOn w:val="Normal"/>
    <w:link w:val="FootnoteTextChar"/>
    <w:uiPriority w:val="99"/>
    <w:unhideWhenUsed/>
    <w:rsid w:val="00A752AB"/>
    <w:rPr>
      <w:rFonts w:ascii="Calibri" w:eastAsia="Calibri" w:hAnsi="Calibri"/>
      <w:sz w:val="20"/>
      <w:szCs w:val="20"/>
    </w:rPr>
  </w:style>
  <w:style w:type="character" w:customStyle="1" w:styleId="FootnoteTextChar">
    <w:name w:val="Footnote Text Char"/>
    <w:link w:val="FootnoteText"/>
    <w:uiPriority w:val="99"/>
    <w:rsid w:val="00A752AB"/>
    <w:rPr>
      <w:rFonts w:ascii="Calibri" w:eastAsia="Calibri" w:hAnsi="Calibri"/>
    </w:rPr>
  </w:style>
  <w:style w:type="character" w:styleId="FootnoteReference">
    <w:name w:val="footnote reference"/>
    <w:uiPriority w:val="99"/>
    <w:unhideWhenUsed/>
    <w:rsid w:val="00A752AB"/>
    <w:rPr>
      <w:vertAlign w:val="superscript"/>
    </w:rPr>
  </w:style>
  <w:style w:type="table" w:styleId="TableGrid">
    <w:name w:val="Table Grid"/>
    <w:basedOn w:val="TableNormal"/>
    <w:uiPriority w:val="59"/>
    <w:rsid w:val="00A752AB"/>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752AB"/>
    <w:rPr>
      <w:rFonts w:ascii="Calibri" w:hAnsi="Calibri" w:cs="Arial"/>
      <w:sz w:val="22"/>
      <w:szCs w:val="22"/>
    </w:rPr>
    <w:tblPr>
      <w:tblCellMar>
        <w:top w:w="0" w:type="dxa"/>
        <w:left w:w="0" w:type="dxa"/>
        <w:bottom w:w="0" w:type="dxa"/>
        <w:right w:w="0" w:type="dxa"/>
      </w:tblCellMar>
    </w:tblPr>
  </w:style>
  <w:style w:type="character" w:styleId="CommentReference">
    <w:name w:val="annotation reference"/>
    <w:rsid w:val="00111EEA"/>
    <w:rPr>
      <w:sz w:val="16"/>
      <w:szCs w:val="16"/>
    </w:rPr>
  </w:style>
  <w:style w:type="paragraph" w:styleId="CommentText">
    <w:name w:val="annotation text"/>
    <w:basedOn w:val="Normal"/>
    <w:link w:val="CommentTextChar"/>
    <w:rsid w:val="00111EEA"/>
    <w:rPr>
      <w:sz w:val="20"/>
      <w:szCs w:val="20"/>
    </w:rPr>
  </w:style>
  <w:style w:type="character" w:customStyle="1" w:styleId="CommentTextChar">
    <w:name w:val="Comment Text Char"/>
    <w:basedOn w:val="DefaultParagraphFont"/>
    <w:link w:val="CommentText"/>
    <w:rsid w:val="00111EEA"/>
  </w:style>
  <w:style w:type="paragraph" w:styleId="CommentSubject">
    <w:name w:val="annotation subject"/>
    <w:basedOn w:val="CommentText"/>
    <w:next w:val="CommentText"/>
    <w:link w:val="CommentSubjectChar"/>
    <w:rsid w:val="00111EEA"/>
    <w:rPr>
      <w:b/>
      <w:bCs/>
    </w:rPr>
  </w:style>
  <w:style w:type="character" w:customStyle="1" w:styleId="CommentSubjectChar">
    <w:name w:val="Comment Subject Char"/>
    <w:link w:val="CommentSubject"/>
    <w:rsid w:val="00111E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amx/AppData/Local/Microsoft/Windows/Temporary%20Internet%20Files/Content.Outlook/Y91ZRRS7/cdn.ey.com/parthenon/pdf/perspectives/Early-college_Report_final_web.122016.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ass.gov/governor/press-office/press-releases/fy2015/exec-order-to-address-workforkforce-skills-gap-signed.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urveygizmo.com/s3/5071634/Early-College-Planning-Grant"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cwilliams\AppData\Local\Microsoft\Windows\INetCache\Content.Outlook\DQSGJIVG\Kristin.hunt@doe.mass.ed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doe.mass.edu/ccr/resources/EarlyCollegeCriteria.docx" TargetMode="External"/><Relationship Id="rId1" Type="http://schemas.openxmlformats.org/officeDocument/2006/relationships/hyperlink" Target="http://www.mass.edu/strategic/ec_hom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DESE-231-63070</_dlc_DocId>
    <_dlc_DocIdUrl xmlns="733efe1c-5bbe-4968-87dc-d400e65c879f">
      <Url>https://sharepoint.doemass.org/ese/webteam/cps/_layouts/DocIdRedir.aspx?ID=DESE-231-63070</Url>
      <Description>DESE-231-63070</Description>
    </_dlc_DocIdUrl>
  </documentManagement>
</p:properties>
</file>

<file path=customXml/itemProps1.xml><?xml version="1.0" encoding="utf-8"?>
<ds:datastoreItem xmlns:ds="http://schemas.openxmlformats.org/officeDocument/2006/customXml" ds:itemID="{1D6C552E-AFC0-4B12-A019-AA69CE609B97}">
  <ds:schemaRefs>
    <ds:schemaRef ds:uri="http://schemas.microsoft.com/office/2006/metadata/longProperties"/>
  </ds:schemaRefs>
</ds:datastoreItem>
</file>

<file path=customXml/itemProps2.xml><?xml version="1.0" encoding="utf-8"?>
<ds:datastoreItem xmlns:ds="http://schemas.openxmlformats.org/officeDocument/2006/customXml" ds:itemID="{485A1F56-FABA-4D25-92B6-1A754D98142A}">
  <ds:schemaRefs>
    <ds:schemaRef ds:uri="http://schemas.microsoft.com/sharepoint/events"/>
  </ds:schemaRefs>
</ds:datastoreItem>
</file>

<file path=customXml/itemProps3.xml><?xml version="1.0" encoding="utf-8"?>
<ds:datastoreItem xmlns:ds="http://schemas.openxmlformats.org/officeDocument/2006/customXml" ds:itemID="{7769AEBC-AAD5-4517-883B-3116AC474838}">
  <ds:schemaRefs>
    <ds:schemaRef ds:uri="http://schemas.microsoft.com/sharepoint/v3/contenttype/forms"/>
  </ds:schemaRefs>
</ds:datastoreItem>
</file>

<file path=customXml/itemProps4.xml><?xml version="1.0" encoding="utf-8"?>
<ds:datastoreItem xmlns:ds="http://schemas.openxmlformats.org/officeDocument/2006/customXml" ds:itemID="{75EE99BF-49A0-4751-864A-8CB8429EF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1C0129-A336-47F0-90B4-DD3B2AC923E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3403</Words>
  <Characters>19436</Characters>
  <Application>Microsoft Office Word</Application>
  <DocSecurity>0</DocSecurity>
  <Lines>539</Lines>
  <Paragraphs>211</Paragraphs>
  <ScaleCrop>false</ScaleCrop>
  <HeadingPairs>
    <vt:vector size="2" baseType="variant">
      <vt:variant>
        <vt:lpstr>Title</vt:lpstr>
      </vt:variant>
      <vt:variant>
        <vt:i4>1</vt:i4>
      </vt:variant>
    </vt:vector>
  </HeadingPairs>
  <TitlesOfParts>
    <vt:vector size="1" baseType="lpstr">
      <vt:lpstr>FY20 FC461 Early College Planning Part III - Required Program Information</vt:lpstr>
    </vt:vector>
  </TitlesOfParts>
  <Company/>
  <LinksUpToDate>false</LinksUpToDate>
  <CharactersWithSpaces>22628</CharactersWithSpaces>
  <SharedDoc>false</SharedDoc>
  <HLinks>
    <vt:vector size="42" baseType="variant">
      <vt:variant>
        <vt:i4>2752634</vt:i4>
      </vt:variant>
      <vt:variant>
        <vt:i4>12</vt:i4>
      </vt:variant>
      <vt:variant>
        <vt:i4>0</vt:i4>
      </vt:variant>
      <vt:variant>
        <vt:i4>5</vt:i4>
      </vt:variant>
      <vt:variant>
        <vt:lpwstr>https://www.surveygizmo.com/s3/5071634/Early-College-Planning-Grant</vt:lpwstr>
      </vt:variant>
      <vt:variant>
        <vt:lpwstr/>
      </vt:variant>
      <vt:variant>
        <vt:i4>983157</vt:i4>
      </vt:variant>
      <vt:variant>
        <vt:i4>9</vt:i4>
      </vt:variant>
      <vt:variant>
        <vt:i4>0</vt:i4>
      </vt:variant>
      <vt:variant>
        <vt:i4>5</vt:i4>
      </vt:variant>
      <vt:variant>
        <vt:lpwstr>C:\Users\cwilliams\AppData\Local\Microsoft\Windows\INetCache\Content.Outlook\DQSGJIVG\Kristin.hunt@doe.mass.edu</vt:lpwstr>
      </vt:variant>
      <vt:variant>
        <vt:lpwstr/>
      </vt:variant>
      <vt:variant>
        <vt:i4>6160405</vt:i4>
      </vt:variant>
      <vt:variant>
        <vt:i4>6</vt:i4>
      </vt:variant>
      <vt:variant>
        <vt:i4>0</vt:i4>
      </vt:variant>
      <vt:variant>
        <vt:i4>5</vt:i4>
      </vt:variant>
      <vt:variant>
        <vt:lpwstr>http://www.doe.mass.edu/boe/docs/FY2017/2017-01/joint-itemI1.html</vt:lpwstr>
      </vt:variant>
      <vt:variant>
        <vt:lpwstr/>
      </vt:variant>
      <vt:variant>
        <vt:i4>5374062</vt:i4>
      </vt:variant>
      <vt:variant>
        <vt:i4>3</vt:i4>
      </vt:variant>
      <vt:variant>
        <vt:i4>0</vt:i4>
      </vt:variant>
      <vt:variant>
        <vt:i4>5</vt:i4>
      </vt:variant>
      <vt:variant>
        <vt:lpwstr>C:\Users\amx\AppData\Local\Microsoft\Windows\Temporary Internet Files\Content.Outlook\Y91ZRRS7\cdn.ey.com\parthenon\pdf\perspectives\Early-college_Report_final_web.122016.pdf</vt:lpwstr>
      </vt:variant>
      <vt:variant>
        <vt:lpwstr/>
      </vt:variant>
      <vt:variant>
        <vt:i4>8257635</vt:i4>
      </vt:variant>
      <vt:variant>
        <vt:i4>0</vt:i4>
      </vt:variant>
      <vt:variant>
        <vt:i4>0</vt:i4>
      </vt:variant>
      <vt:variant>
        <vt:i4>5</vt:i4>
      </vt:variant>
      <vt:variant>
        <vt:lpwstr>http://www.mass.gov/governor/press-office/press-releases/fy2015/exec-order-to-address-workforkforce-skills-gap-signed.html</vt:lpwstr>
      </vt:variant>
      <vt:variant>
        <vt:lpwstr/>
      </vt:variant>
      <vt:variant>
        <vt:i4>4128811</vt:i4>
      </vt:variant>
      <vt:variant>
        <vt:i4>3</vt:i4>
      </vt:variant>
      <vt:variant>
        <vt:i4>0</vt:i4>
      </vt:variant>
      <vt:variant>
        <vt:i4>5</vt:i4>
      </vt:variant>
      <vt:variant>
        <vt:lpwstr>http://www.doe.mass.edu/ccr/resources/EarlyCollegeCriteria.docx</vt:lpwstr>
      </vt:variant>
      <vt:variant>
        <vt:lpwstr/>
      </vt:variant>
      <vt:variant>
        <vt:i4>6094962</vt:i4>
      </vt:variant>
      <vt:variant>
        <vt:i4>0</vt:i4>
      </vt:variant>
      <vt:variant>
        <vt:i4>0</vt:i4>
      </vt:variant>
      <vt:variant>
        <vt:i4>5</vt:i4>
      </vt:variant>
      <vt:variant>
        <vt:lpwstr>http://www.mass.edu/strategic/ec_home.asp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FC461 Early College Planning Part III - Required Program Information</dc:title>
  <dc:subject/>
  <dc:creator>DESE</dc:creator>
  <cp:keywords/>
  <cp:lastModifiedBy>Zou, Dong (EOE)</cp:lastModifiedBy>
  <cp:revision>4</cp:revision>
  <cp:lastPrinted>2009-08-14T19:17:00Z</cp:lastPrinted>
  <dcterms:created xsi:type="dcterms:W3CDTF">2020-01-23T18:29:00Z</dcterms:created>
  <dcterms:modified xsi:type="dcterms:W3CDTF">2020-08-03T18:02:00Z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3 2020</vt:lpwstr>
  </property>
</Properties>
</file>