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980"/>
      </w:tblGrid>
      <w:tr w:rsidR="00DC0873" w:rsidRPr="0073343C" w:rsidTr="005E3778">
        <w:tblPrEx>
          <w:tblCellMar>
            <w:top w:w="0" w:type="dxa"/>
            <w:bottom w:w="0" w:type="dxa"/>
          </w:tblCellMar>
        </w:tblPrEx>
        <w:tc>
          <w:tcPr>
            <w:tcW w:w="8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0873" w:rsidRPr="0073343C" w:rsidRDefault="00DC0873" w:rsidP="00CC18D4">
            <w:pPr>
              <w:tabs>
                <w:tab w:val="left" w:pos="27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Name of Grant Program: </w:t>
            </w:r>
            <w:bookmarkStart w:id="0" w:name="OLE_LINK4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Charter School </w:t>
            </w:r>
            <w:r w:rsidR="00CC18D4">
              <w:rPr>
                <w:rFonts w:ascii="Calibri" w:hAnsi="Calibri" w:cs="Calibri"/>
                <w:sz w:val="22"/>
                <w:szCs w:val="22"/>
              </w:rPr>
              <w:t>Significant Expansion</w:t>
            </w:r>
            <w:r w:rsidRPr="0073343C">
              <w:rPr>
                <w:rFonts w:ascii="Calibri" w:hAnsi="Calibri" w:cs="Calibri"/>
                <w:sz w:val="22"/>
                <w:szCs w:val="22"/>
              </w:rPr>
              <w:t xml:space="preserve"> Program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bookmarkEnd w:id="0"/>
            <w:r w:rsidRPr="0073343C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0873" w:rsidRPr="0073343C" w:rsidRDefault="00DC0873">
            <w:pPr>
              <w:tabs>
                <w:tab w:val="left" w:pos="1332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3778"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Fund Code:  </w:t>
            </w:r>
            <w:r w:rsidR="00CC18D4">
              <w:rPr>
                <w:rFonts w:ascii="Calibri" w:hAnsi="Calibri" w:cs="Calibri"/>
                <w:sz w:val="22"/>
                <w:szCs w:val="22"/>
              </w:rPr>
              <w:t>532</w:t>
            </w:r>
            <w:r w:rsidRPr="0073343C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:rsidR="00DC0873" w:rsidRPr="0073343C" w:rsidRDefault="00DC08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0873" w:rsidRPr="0073343C" w:rsidRDefault="00DC0873" w:rsidP="005E3778">
      <w:pPr>
        <w:spacing w:before="1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DC0873" w:rsidRPr="0073343C" w:rsidTr="005E3778">
        <w:tblPrEx>
          <w:tblCellMar>
            <w:top w:w="0" w:type="dxa"/>
            <w:bottom w:w="0" w:type="dxa"/>
          </w:tblCellMar>
        </w:tblPrEx>
        <w:tc>
          <w:tcPr>
            <w:tcW w:w="10368" w:type="dxa"/>
          </w:tcPr>
          <w:p w:rsidR="00DC0873" w:rsidRPr="0073343C" w:rsidRDefault="002B4E3D" w:rsidP="00897923">
            <w:pPr>
              <w:pStyle w:val="Heading1"/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343C">
              <w:rPr>
                <w:rFonts w:ascii="Calibri" w:hAnsi="Calibri" w:cs="Calibri"/>
                <w:sz w:val="22"/>
                <w:szCs w:val="22"/>
              </w:rPr>
              <w:t>PART I</w:t>
            </w:r>
            <w:r w:rsidR="00AF2EAB" w:rsidRPr="0073343C">
              <w:rPr>
                <w:rFonts w:ascii="Calibri" w:hAnsi="Calibri" w:cs="Calibri"/>
                <w:sz w:val="22"/>
                <w:szCs w:val="22"/>
              </w:rPr>
              <w:t>I</w:t>
            </w:r>
            <w:r w:rsidR="00DC0873" w:rsidRPr="0073343C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 xml:space="preserve">Information on applying for the new flexibilities allowed by the USED under ESSA </w:t>
            </w:r>
            <w:r w:rsidR="00CF314E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minor facility repairs, necessary renovations, and one</w:t>
            </w:r>
            <w:r w:rsidR="00CF314E">
              <w:rPr>
                <w:rFonts w:ascii="Calibri" w:hAnsi="Calibri" w:cs="Calibri"/>
                <w:sz w:val="22"/>
                <w:szCs w:val="22"/>
              </w:rPr>
              <w:t>-</w:t>
            </w:r>
            <w:r w:rsidR="00576B35" w:rsidRPr="0073343C">
              <w:rPr>
                <w:rFonts w:ascii="Calibri" w:hAnsi="Calibri" w:cs="Calibri"/>
                <w:sz w:val="22"/>
                <w:szCs w:val="22"/>
              </w:rPr>
              <w:t>time transportation cost.</w:t>
            </w:r>
          </w:p>
        </w:tc>
      </w:tr>
    </w:tbl>
    <w:p w:rsidR="00DC0873" w:rsidRPr="0073343C" w:rsidRDefault="00DC0873">
      <w:pPr>
        <w:pStyle w:val="BodyText3"/>
        <w:ind w:right="0"/>
        <w:rPr>
          <w:rFonts w:ascii="Calibri" w:hAnsi="Calibri" w:cs="Calibri"/>
          <w:szCs w:val="22"/>
        </w:rPr>
      </w:pPr>
      <w:r w:rsidRPr="0073343C">
        <w:rPr>
          <w:rFonts w:ascii="Calibri" w:hAnsi="Calibri" w:cs="Calibri"/>
          <w:szCs w:val="22"/>
        </w:rPr>
        <w:t xml:space="preserve"> </w:t>
      </w:r>
    </w:p>
    <w:p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051F2" w:rsidRPr="0073343C" w:rsidRDefault="00D051F2" w:rsidP="00AD6D88">
      <w:pPr>
        <w:pStyle w:val="ListParagraph"/>
        <w:rPr>
          <w:rFonts w:ascii="Calibri" w:hAnsi="Calibri" w:cs="Calibri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>Please note: a</w:t>
      </w:r>
      <w:r w:rsidR="00A2792B" w:rsidRPr="0073343C">
        <w:rPr>
          <w:rFonts w:ascii="Calibri" w:hAnsi="Calibri" w:cs="Calibri"/>
          <w:sz w:val="22"/>
          <w:szCs w:val="22"/>
        </w:rPr>
        <w:t xml:space="preserve">s with all grant expenditures, minor repairs, renovation and transportation costs, must be necessary, reasonable, and allocable to the grant in accordance with the cost principles in </w:t>
      </w:r>
      <w:hyperlink r:id="rId10" w:history="1">
        <w:r w:rsidR="00A2792B" w:rsidRPr="00E063B6">
          <w:rPr>
            <w:rStyle w:val="Hyperlink"/>
            <w:rFonts w:ascii="Calibri" w:hAnsi="Calibri" w:cs="Calibri"/>
            <w:sz w:val="22"/>
            <w:szCs w:val="22"/>
          </w:rPr>
          <w:t>2 C.F.R. part 200, subpart E;</w:t>
        </w:r>
      </w:hyperlink>
      <w:r w:rsidRPr="0073343C">
        <w:rPr>
          <w:rFonts w:ascii="Calibri" w:hAnsi="Calibri" w:cs="Calibri"/>
          <w:sz w:val="22"/>
          <w:szCs w:val="22"/>
        </w:rPr>
        <w:t xml:space="preserve"> </w:t>
      </w:r>
    </w:p>
    <w:p w:rsidR="00D051F2" w:rsidRPr="0073343C" w:rsidRDefault="00D051F2" w:rsidP="00D051F2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D051F2" w:rsidRPr="0073343C" w:rsidRDefault="00D051F2" w:rsidP="00D051F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sz w:val="22"/>
          <w:szCs w:val="22"/>
        </w:rPr>
        <w:t xml:space="preserve">The new flexibilities will require 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revisions to the </w:t>
      </w:r>
      <w:hyperlink r:id="rId11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audit guide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including changes to the CSP </w:t>
      </w:r>
      <w:r w:rsidRPr="0073343C">
        <w:rPr>
          <w:rFonts w:ascii="Calibri" w:hAnsi="Calibri" w:cs="Calibri"/>
          <w:color w:val="000000"/>
          <w:sz w:val="22"/>
          <w:szCs w:val="22"/>
        </w:rPr>
        <w:t>Agreed Upon Procedures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.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It will also require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changes to the </w:t>
      </w:r>
      <w:hyperlink r:id="rId12" w:history="1">
        <w:r w:rsidRPr="0073343C">
          <w:rPr>
            <w:rStyle w:val="Hyperlink"/>
            <w:rFonts w:ascii="Calibri" w:hAnsi="Calibri" w:cs="Calibri"/>
            <w:bCs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AD6D88" w:rsidRPr="0073343C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. We will inform all schools of these changes as they occur.</w:t>
      </w:r>
    </w:p>
    <w:p w:rsidR="00A2792B" w:rsidRPr="0073343C" w:rsidRDefault="00A2792B" w:rsidP="00A2792B">
      <w:pPr>
        <w:pStyle w:val="PlainText"/>
        <w:rPr>
          <w:rFonts w:cs="Calibri"/>
          <w:i/>
          <w:szCs w:val="22"/>
        </w:rPr>
      </w:pPr>
    </w:p>
    <w:p w:rsidR="00A2792B" w:rsidRPr="0073343C" w:rsidRDefault="00A2792B" w:rsidP="00A2792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Minor Facilities Repairs (excluding construction) (ESEA § 4303(h)(3)):</w:t>
      </w:r>
      <w:bookmarkStart w:id="1" w:name="_GoBack"/>
      <w:bookmarkEnd w:id="1"/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D051F2" w:rsidP="00576B35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Definition 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based on Uniform Guidance, 2 C.F.R. 200.452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>:</w:t>
      </w:r>
      <w:r w:rsidR="00576B35"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D88" w:rsidRPr="0073343C">
        <w:rPr>
          <w:rFonts w:ascii="Calibri" w:hAnsi="Calibri" w:cs="Calibri"/>
          <w:i/>
          <w:color w:val="000000"/>
          <w:sz w:val="22"/>
          <w:szCs w:val="22"/>
        </w:rPr>
        <w:t>M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inor facilities repairs neither add to the permanent value of the property nor appreciably prolong its intended life, but rather, keep it in efficient operating condition.” 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review minor repair proposals on a case-by-case basis as the size of the repair will be measured relative to the property being repaired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. The Department</w:t>
      </w:r>
      <w:r w:rsidR="00A2792B" w:rsidRPr="0073343C">
        <w:rPr>
          <w:rFonts w:ascii="Calibri" w:hAnsi="Calibri" w:cs="Calibri"/>
          <w:i/>
          <w:color w:val="000000"/>
          <w:sz w:val="22"/>
          <w:szCs w:val="22"/>
        </w:rPr>
        <w:t xml:space="preserve"> will scrutinize more closely any proposed expenditure that exceeds $5,000, which is the threshold for capital expenditures for charter schools.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minor repairs are necessary, reasonable and allocable to the CSP subgrant (assuming they have passed review for “minor”), </w:t>
      </w:r>
      <w:r w:rsidR="00CF314E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factors: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repair is needed to carry out the subgrantee’s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repair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of the repair as both a percentage of the subgrantee’s CSP grant and the cost basis of the underlying property;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5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F314E">
        <w:rPr>
          <w:rFonts w:ascii="Calibri" w:hAnsi="Calibri" w:cs="Calibri"/>
          <w:i/>
          <w:color w:val="000000"/>
          <w:sz w:val="22"/>
          <w:szCs w:val="22"/>
        </w:rPr>
        <w:t>the Department will</w:t>
      </w:r>
      <w:r w:rsidRPr="0073343C">
        <w:rPr>
          <w:rFonts w:ascii="Calibri" w:hAnsi="Calibri" w:cs="Calibri"/>
          <w:i/>
          <w:color w:val="000000"/>
          <w:sz w:val="22"/>
          <w:szCs w:val="22"/>
        </w:rPr>
        <w:t xml:space="preserve"> ask the subgrantee to assure that it followed its internal practices and policies associated with the cost.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Necessary Renovations to Ensure Compliance with Applicable Statute and Regulation (ESEA § 4303(h)(3)):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renovations are required to comply with applicable statutes and regulations and are necessary, reasonable and allocable to the CSP subgrant, </w:t>
      </w:r>
      <w:r w:rsidR="00C3744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</w:t>
      </w:r>
      <w:r w:rsidR="00AD6D88" w:rsidRPr="0073343C">
        <w:rPr>
          <w:rFonts w:ascii="Calibri" w:hAnsi="Calibri" w:cs="Calibri"/>
          <w:color w:val="000000"/>
          <w:sz w:val="22"/>
          <w:szCs w:val="22"/>
        </w:rPr>
        <w:t xml:space="preserve"> the following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for each subgrant applicant:</w:t>
      </w: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renovation is required to comply with statutory or regulatory requirements (including identification of the statute or regulation, particularly those included in Massachusetts’ </w:t>
      </w:r>
      <w:hyperlink r:id="rId13" w:history="1">
        <w:r w:rsidRPr="0073343C">
          <w:rPr>
            <w:rStyle w:val="Hyperlink"/>
            <w:rFonts w:ascii="Calibri" w:hAnsi="Calibri" w:cs="Calibri"/>
            <w:sz w:val="22"/>
            <w:szCs w:val="22"/>
          </w:rPr>
          <w:t>Opening Procedures Handbook</w:t>
        </w:r>
      </w:hyperlink>
      <w:r w:rsidRPr="0073343C">
        <w:rPr>
          <w:rFonts w:ascii="Calibri" w:hAnsi="Calibri" w:cs="Calibri"/>
          <w:color w:val="000000"/>
          <w:sz w:val="22"/>
          <w:szCs w:val="22"/>
        </w:rPr>
        <w:t>);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renovation is needed to carry out subgrantee’s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of the renovation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lastRenderedPageBreak/>
        <w:t>The relative cost of the renovation as both a percentage of the subgrantee’s CSP grant and the cost basis of the underlying property;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6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one-time versus continuing (such as a non-recurring cost associated with the start-up or expansion of the charter school).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252E12" w:rsidRPr="005D4790" w:rsidRDefault="00AD6D88" w:rsidP="00252E12">
      <w:pPr>
        <w:pStyle w:val="CommentText"/>
        <w:rPr>
          <w:rFonts w:ascii="Calibri" w:hAnsi="Calibri" w:cs="Calibri"/>
          <w:i/>
          <w:sz w:val="22"/>
          <w:szCs w:val="22"/>
        </w:rPr>
      </w:pP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In addition, 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the Department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>ask</w:t>
      </w:r>
      <w:r w:rsidR="00C3744B" w:rsidRPr="005D4790">
        <w:rPr>
          <w:rFonts w:ascii="Calibri" w:hAnsi="Calibri" w:cs="Calibri"/>
          <w:i/>
          <w:color w:val="000000"/>
          <w:sz w:val="22"/>
          <w:szCs w:val="22"/>
        </w:rPr>
        <w:t>s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the </w:t>
      </w:r>
      <w:r w:rsidRPr="005D4790">
        <w:rPr>
          <w:rFonts w:ascii="Calibri" w:hAnsi="Calibri" w:cs="Calibri"/>
          <w:i/>
          <w:color w:val="000000"/>
          <w:sz w:val="22"/>
          <w:szCs w:val="22"/>
        </w:rPr>
        <w:t>school</w:t>
      </w:r>
      <w:r w:rsidR="00A2792B" w:rsidRPr="005D4790">
        <w:rPr>
          <w:rFonts w:ascii="Calibri" w:hAnsi="Calibri" w:cs="Calibri"/>
          <w:i/>
          <w:color w:val="000000"/>
          <w:sz w:val="22"/>
          <w:szCs w:val="22"/>
        </w:rPr>
        <w:t xml:space="preserve"> to assure that it followed its internal practices and policies associated with the cost.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 xml:space="preserve"> For those proposed renovations determined to be capital expenditures (one costing greater than $5,000 or lasting more than one year, see </w:t>
      </w:r>
      <w:hyperlink r:id="rId14" w:history="1">
        <w:r w:rsidR="00252E12" w:rsidRPr="005D4790">
          <w:rPr>
            <w:rStyle w:val="Hyperlink"/>
            <w:rFonts w:ascii="Calibri" w:hAnsi="Calibri" w:cs="Calibri"/>
            <w:bCs/>
            <w:i/>
            <w:sz w:val="22"/>
            <w:szCs w:val="22"/>
            <w:shd w:val="clear" w:color="auto" w:fill="FFFFFF"/>
          </w:rPr>
          <w:t>Massachusetts Charter School Recommended Fiscal Policies and Procedures Guide – June 2015</w:t>
        </w:r>
      </w:hyperlink>
      <w:r w:rsidR="00252E12" w:rsidRPr="005D4790">
        <w:rPr>
          <w:rFonts w:ascii="Calibri" w:hAnsi="Calibri" w:cs="Calibri"/>
          <w:bCs/>
          <w:i/>
          <w:color w:val="000000"/>
          <w:sz w:val="22"/>
          <w:szCs w:val="22"/>
          <w:shd w:val="clear" w:color="auto" w:fill="FFFFFF"/>
        </w:rPr>
        <w:t>, pp. 20; 49-53 for recommended procedures for capital assets)</w:t>
      </w:r>
      <w:r w:rsidR="00252E12" w:rsidRPr="005D4790">
        <w:rPr>
          <w:rFonts w:ascii="Calibri" w:hAnsi="Calibri" w:cs="Calibri"/>
          <w:i/>
          <w:color w:val="000000"/>
          <w:sz w:val="22"/>
          <w:szCs w:val="22"/>
        </w:rPr>
        <w:t>, written approval from DESE will be required prior to expending funds and sufficient information to allow Massachusetts to comply with its federal reporting requirements will be required annually.</w:t>
      </w:r>
    </w:p>
    <w:p w:rsidR="00A2792B" w:rsidRPr="0073343C" w:rsidRDefault="00A2792B" w:rsidP="00A2792B">
      <w:pPr>
        <w:ind w:left="1080"/>
        <w:rPr>
          <w:rFonts w:ascii="Calibri" w:hAnsi="Calibri" w:cs="Calibri"/>
          <w:i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1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b/>
          <w:bCs/>
          <w:color w:val="000000"/>
          <w:sz w:val="22"/>
          <w:szCs w:val="22"/>
        </w:rPr>
        <w:t>One-Time Startup Costs Associated with Transporting Students to and from a Charter School (ESEA § 4303(h)(4)):</w:t>
      </w:r>
    </w:p>
    <w:p w:rsidR="00A2792B" w:rsidRPr="0073343C" w:rsidRDefault="00A2792B" w:rsidP="00A2792B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D6D88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Su</w:t>
      </w:r>
      <w:r w:rsidR="00A2792B" w:rsidRPr="0073343C">
        <w:rPr>
          <w:rFonts w:ascii="Calibri" w:hAnsi="Calibri" w:cs="Calibri"/>
          <w:color w:val="000000"/>
          <w:sz w:val="22"/>
          <w:szCs w:val="22"/>
        </w:rPr>
        <w:t>bgrantees may only use CSP funds for initia</w:t>
      </w:r>
      <w:r w:rsidRPr="0073343C">
        <w:rPr>
          <w:rFonts w:ascii="Calibri" w:hAnsi="Calibri" w:cs="Calibri"/>
          <w:color w:val="000000"/>
          <w:sz w:val="22"/>
          <w:szCs w:val="22"/>
        </w:rPr>
        <w:t>l start-up transportation costs.</w:t>
      </w:r>
    </w:p>
    <w:p w:rsidR="008A171F" w:rsidRPr="0073343C" w:rsidRDefault="008A171F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To determine whether funds for initial start-up transportation costs are necessary, reasonable (per 2 C.F.R. § 200.404) and allocable to the CSP subgrant, </w:t>
      </w:r>
      <w:r w:rsidR="00B660AB">
        <w:rPr>
          <w:rFonts w:ascii="Calibri" w:hAnsi="Calibri" w:cs="Calibri"/>
          <w:color w:val="000000"/>
          <w:sz w:val="22"/>
          <w:szCs w:val="22"/>
        </w:rPr>
        <w:t>the Department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will consider 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 xml:space="preserve">the following </w:t>
      </w:r>
      <w:r w:rsidRPr="0073343C">
        <w:rPr>
          <w:rFonts w:ascii="Calibri" w:hAnsi="Calibri" w:cs="Calibri"/>
          <w:color w:val="000000"/>
          <w:sz w:val="22"/>
          <w:szCs w:val="22"/>
        </w:rPr>
        <w:t>factors</w:t>
      </w:r>
      <w:r w:rsidR="008A171F" w:rsidRPr="0073343C">
        <w:rPr>
          <w:rFonts w:ascii="Calibri" w:hAnsi="Calibri" w:cs="Calibri"/>
          <w:color w:val="000000"/>
          <w:sz w:val="22"/>
          <w:szCs w:val="22"/>
        </w:rPr>
        <w:t>:</w:t>
      </w:r>
      <w:r w:rsidRPr="0073343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needed to carry out subgrantee’s CSP objectives properly and efficiently;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 xml:space="preserve">Whether the cost is commensurate with market rates; 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The relative cost as both a percentage of the subgrantee’s CSP grant; and</w:t>
      </w:r>
    </w:p>
    <w:p w:rsidR="00A2792B" w:rsidRPr="0073343C" w:rsidRDefault="00A2792B" w:rsidP="00A2792B">
      <w:pPr>
        <w:pStyle w:val="ListParagraph"/>
        <w:widowControl w:val="0"/>
        <w:numPr>
          <w:ilvl w:val="0"/>
          <w:numId w:val="1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Whether the cost is a one-time event associated with the start-up or expansion of the charter school.</w:t>
      </w:r>
    </w:p>
    <w:p w:rsidR="00A2792B" w:rsidRPr="0073343C" w:rsidRDefault="00A2792B" w:rsidP="00A2792B">
      <w:pPr>
        <w:pStyle w:val="ListParagraph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A2792B" w:rsidRPr="0073343C" w:rsidRDefault="00A2792B" w:rsidP="00A2792B">
      <w:pPr>
        <w:ind w:left="1080"/>
        <w:rPr>
          <w:rFonts w:ascii="Calibri" w:hAnsi="Calibri" w:cs="Calibri"/>
          <w:color w:val="000000"/>
          <w:sz w:val="22"/>
          <w:szCs w:val="22"/>
        </w:rPr>
      </w:pPr>
      <w:r w:rsidRPr="0073343C">
        <w:rPr>
          <w:rFonts w:ascii="Calibri" w:hAnsi="Calibri" w:cs="Calibri"/>
          <w:color w:val="000000"/>
          <w:sz w:val="22"/>
          <w:szCs w:val="22"/>
        </w:rPr>
        <w:t>In addition, we would ask the subgrantee to assure that it followed its internal practices and policies associated with the cost.</w:t>
      </w:r>
    </w:p>
    <w:p w:rsidR="00B038C0" w:rsidRPr="00897923" w:rsidRDefault="00B038C0" w:rsidP="00897923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sectPr w:rsidR="00B038C0" w:rsidRPr="00897923" w:rsidSect="005E3778">
      <w:pgSz w:w="12240" w:h="15840"/>
      <w:pgMar w:top="720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3F1"/>
    <w:multiLevelType w:val="hybridMultilevel"/>
    <w:tmpl w:val="6B3A068E"/>
    <w:lvl w:ilvl="0" w:tplc="86D416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14F9"/>
    <w:multiLevelType w:val="hybridMultilevel"/>
    <w:tmpl w:val="C94E684C"/>
    <w:lvl w:ilvl="0" w:tplc="67247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61E7"/>
    <w:multiLevelType w:val="hybridMultilevel"/>
    <w:tmpl w:val="3934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4EC"/>
    <w:multiLevelType w:val="hybridMultilevel"/>
    <w:tmpl w:val="CD98B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91241"/>
    <w:multiLevelType w:val="hybridMultilevel"/>
    <w:tmpl w:val="DF9C0178"/>
    <w:lvl w:ilvl="0" w:tplc="58DECB1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7A77AF"/>
    <w:multiLevelType w:val="hybridMultilevel"/>
    <w:tmpl w:val="999C8B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31528A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047583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38336D"/>
    <w:multiLevelType w:val="hybridMultilevel"/>
    <w:tmpl w:val="0FE08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C34C52"/>
    <w:multiLevelType w:val="hybridMultilevel"/>
    <w:tmpl w:val="D7685118"/>
    <w:lvl w:ilvl="0" w:tplc="64160E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C923E0"/>
    <w:multiLevelType w:val="hybridMultilevel"/>
    <w:tmpl w:val="502AF22A"/>
    <w:lvl w:ilvl="0" w:tplc="51521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0CEB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B6BD9"/>
    <w:multiLevelType w:val="hybridMultilevel"/>
    <w:tmpl w:val="1EDC348E"/>
    <w:lvl w:ilvl="0" w:tplc="CBC01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80020A"/>
    <w:multiLevelType w:val="hybridMultilevel"/>
    <w:tmpl w:val="BA3C0434"/>
    <w:lvl w:ilvl="0" w:tplc="E868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F5F4C"/>
    <w:multiLevelType w:val="hybridMultilevel"/>
    <w:tmpl w:val="4EA0D1D4"/>
    <w:lvl w:ilvl="0" w:tplc="0409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11F3CE3"/>
    <w:multiLevelType w:val="hybridMultilevel"/>
    <w:tmpl w:val="7DC45A5C"/>
    <w:lvl w:ilvl="0" w:tplc="BEFEA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A06B4"/>
    <w:multiLevelType w:val="hybridMultilevel"/>
    <w:tmpl w:val="7024B6E6"/>
    <w:lvl w:ilvl="0" w:tplc="51663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F72ACB"/>
    <w:multiLevelType w:val="hybridMultilevel"/>
    <w:tmpl w:val="F57E7BD0"/>
    <w:lvl w:ilvl="0" w:tplc="FFFFFFFF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2376" w:hanging="360"/>
      </w:pPr>
    </w:lvl>
    <w:lvl w:ilvl="2" w:tplc="FFFFFFFF" w:tentative="1">
      <w:start w:val="1"/>
      <w:numFmt w:val="lowerRoman"/>
      <w:lvlText w:val="%3."/>
      <w:lvlJc w:val="right"/>
      <w:pPr>
        <w:ind w:left="3096" w:hanging="180"/>
      </w:pPr>
    </w:lvl>
    <w:lvl w:ilvl="3" w:tplc="FFFFFFFF" w:tentative="1">
      <w:start w:val="1"/>
      <w:numFmt w:val="decimal"/>
      <w:lvlText w:val="%4."/>
      <w:lvlJc w:val="left"/>
      <w:pPr>
        <w:ind w:left="3816" w:hanging="360"/>
      </w:pPr>
    </w:lvl>
    <w:lvl w:ilvl="4" w:tplc="FFFFFFFF" w:tentative="1">
      <w:start w:val="1"/>
      <w:numFmt w:val="lowerLetter"/>
      <w:lvlText w:val="%5."/>
      <w:lvlJc w:val="left"/>
      <w:pPr>
        <w:ind w:left="4536" w:hanging="360"/>
      </w:pPr>
    </w:lvl>
    <w:lvl w:ilvl="5" w:tplc="FFFFFFFF" w:tentative="1">
      <w:start w:val="1"/>
      <w:numFmt w:val="lowerRoman"/>
      <w:lvlText w:val="%6."/>
      <w:lvlJc w:val="right"/>
      <w:pPr>
        <w:ind w:left="5256" w:hanging="180"/>
      </w:pPr>
    </w:lvl>
    <w:lvl w:ilvl="6" w:tplc="FFFFFFFF" w:tentative="1">
      <w:start w:val="1"/>
      <w:numFmt w:val="decimal"/>
      <w:lvlText w:val="%7."/>
      <w:lvlJc w:val="left"/>
      <w:pPr>
        <w:ind w:left="5976" w:hanging="360"/>
      </w:pPr>
    </w:lvl>
    <w:lvl w:ilvl="7" w:tplc="FFFFFFFF" w:tentative="1">
      <w:start w:val="1"/>
      <w:numFmt w:val="lowerLetter"/>
      <w:lvlText w:val="%8."/>
      <w:lvlJc w:val="left"/>
      <w:pPr>
        <w:ind w:left="6696" w:hanging="360"/>
      </w:pPr>
    </w:lvl>
    <w:lvl w:ilvl="8" w:tplc="FFFFFFFF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6A4A69EA"/>
    <w:multiLevelType w:val="hybridMultilevel"/>
    <w:tmpl w:val="0B004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068A1"/>
    <w:multiLevelType w:val="hybridMultilevel"/>
    <w:tmpl w:val="8B085C8E"/>
    <w:lvl w:ilvl="0" w:tplc="299CBE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9782E"/>
    <w:multiLevelType w:val="hybridMultilevel"/>
    <w:tmpl w:val="8D9E90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973FFD"/>
    <w:multiLevelType w:val="hybridMultilevel"/>
    <w:tmpl w:val="FFD2A9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200C4"/>
    <w:multiLevelType w:val="hybridMultilevel"/>
    <w:tmpl w:val="C0A4D83C"/>
    <w:lvl w:ilvl="0" w:tplc="5B8687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274A98"/>
    <w:multiLevelType w:val="hybridMultilevel"/>
    <w:tmpl w:val="FA3C5E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BB007E"/>
    <w:multiLevelType w:val="hybridMultilevel"/>
    <w:tmpl w:val="6F28AA5A"/>
    <w:lvl w:ilvl="0" w:tplc="B4B2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23"/>
  </w:num>
  <w:num w:numId="10">
    <w:abstractNumId w:val="20"/>
  </w:num>
  <w:num w:numId="11">
    <w:abstractNumId w:val="10"/>
  </w:num>
  <w:num w:numId="12">
    <w:abstractNumId w:val="18"/>
  </w:num>
  <w:num w:numId="13">
    <w:abstractNumId w:val="12"/>
  </w:num>
  <w:num w:numId="14">
    <w:abstractNumId w:val="22"/>
  </w:num>
  <w:num w:numId="15">
    <w:abstractNumId w:val="6"/>
  </w:num>
  <w:num w:numId="16">
    <w:abstractNumId w:val="9"/>
  </w:num>
  <w:num w:numId="17">
    <w:abstractNumId w:val="7"/>
  </w:num>
  <w:num w:numId="18">
    <w:abstractNumId w:val="4"/>
  </w:num>
  <w:num w:numId="19">
    <w:abstractNumId w:val="15"/>
  </w:num>
  <w:num w:numId="20">
    <w:abstractNumId w:val="11"/>
  </w:num>
  <w:num w:numId="21">
    <w:abstractNumId w:val="14"/>
  </w:num>
  <w:num w:numId="22">
    <w:abstractNumId w:val="21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2B"/>
    <w:rsid w:val="00023B97"/>
    <w:rsid w:val="00044153"/>
    <w:rsid w:val="00046CD1"/>
    <w:rsid w:val="0005652B"/>
    <w:rsid w:val="00092CDE"/>
    <w:rsid w:val="000B0CFB"/>
    <w:rsid w:val="000E4782"/>
    <w:rsid w:val="000F2540"/>
    <w:rsid w:val="00137B07"/>
    <w:rsid w:val="00142714"/>
    <w:rsid w:val="00181140"/>
    <w:rsid w:val="001E16A8"/>
    <w:rsid w:val="00252E12"/>
    <w:rsid w:val="002958A5"/>
    <w:rsid w:val="002B4E3D"/>
    <w:rsid w:val="002B7559"/>
    <w:rsid w:val="002C0B4A"/>
    <w:rsid w:val="002D1A31"/>
    <w:rsid w:val="002E262A"/>
    <w:rsid w:val="002F03FF"/>
    <w:rsid w:val="00301A74"/>
    <w:rsid w:val="00301B78"/>
    <w:rsid w:val="00330A6F"/>
    <w:rsid w:val="003400A0"/>
    <w:rsid w:val="00352627"/>
    <w:rsid w:val="00386FF0"/>
    <w:rsid w:val="003E693E"/>
    <w:rsid w:val="00477D89"/>
    <w:rsid w:val="004824EA"/>
    <w:rsid w:val="004A2D67"/>
    <w:rsid w:val="004A453C"/>
    <w:rsid w:val="004B0969"/>
    <w:rsid w:val="004B7BA8"/>
    <w:rsid w:val="004E66EA"/>
    <w:rsid w:val="00513577"/>
    <w:rsid w:val="00554BAD"/>
    <w:rsid w:val="00570689"/>
    <w:rsid w:val="00576B35"/>
    <w:rsid w:val="005C0E6C"/>
    <w:rsid w:val="005D31D5"/>
    <w:rsid w:val="005D4790"/>
    <w:rsid w:val="005E0A92"/>
    <w:rsid w:val="005E3778"/>
    <w:rsid w:val="006316DB"/>
    <w:rsid w:val="006B0AF7"/>
    <w:rsid w:val="006B33C9"/>
    <w:rsid w:val="006F4C01"/>
    <w:rsid w:val="00710581"/>
    <w:rsid w:val="00727B3A"/>
    <w:rsid w:val="0073343C"/>
    <w:rsid w:val="0074496A"/>
    <w:rsid w:val="0077386D"/>
    <w:rsid w:val="00774DF5"/>
    <w:rsid w:val="007C0CA7"/>
    <w:rsid w:val="007C5D2C"/>
    <w:rsid w:val="008358C4"/>
    <w:rsid w:val="00897923"/>
    <w:rsid w:val="008A171F"/>
    <w:rsid w:val="008B3C98"/>
    <w:rsid w:val="00914657"/>
    <w:rsid w:val="00933475"/>
    <w:rsid w:val="009430C1"/>
    <w:rsid w:val="00972946"/>
    <w:rsid w:val="00990846"/>
    <w:rsid w:val="00A2792B"/>
    <w:rsid w:val="00AD6D88"/>
    <w:rsid w:val="00AE6464"/>
    <w:rsid w:val="00AF2EAB"/>
    <w:rsid w:val="00B038C0"/>
    <w:rsid w:val="00B32CE2"/>
    <w:rsid w:val="00B660AB"/>
    <w:rsid w:val="00BB06A7"/>
    <w:rsid w:val="00C2321C"/>
    <w:rsid w:val="00C3744B"/>
    <w:rsid w:val="00C4238B"/>
    <w:rsid w:val="00CA39D1"/>
    <w:rsid w:val="00CC18D4"/>
    <w:rsid w:val="00CF314E"/>
    <w:rsid w:val="00D051F2"/>
    <w:rsid w:val="00D15197"/>
    <w:rsid w:val="00D506DA"/>
    <w:rsid w:val="00D7611E"/>
    <w:rsid w:val="00DA680B"/>
    <w:rsid w:val="00DB05D0"/>
    <w:rsid w:val="00DC0873"/>
    <w:rsid w:val="00DF07D7"/>
    <w:rsid w:val="00E037C6"/>
    <w:rsid w:val="00E063B6"/>
    <w:rsid w:val="00E12B2A"/>
    <w:rsid w:val="00E266E8"/>
    <w:rsid w:val="00E314BD"/>
    <w:rsid w:val="00EB17B9"/>
    <w:rsid w:val="00F134B9"/>
    <w:rsid w:val="00F93269"/>
    <w:rsid w:val="00FA0437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DD3E1"/>
  <w15:chartTrackingRefBased/>
  <w15:docId w15:val="{E135A199-D64B-4D56-A310-E7733714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360" w:right="-270" w:hanging="36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odyTextIndent">
    <w:name w:val="Body Text Indent"/>
    <w:basedOn w:val="Normal"/>
    <w:pPr>
      <w:ind w:left="360"/>
    </w:pPr>
    <w:rPr>
      <w:rFonts w:ascii="AGaramond" w:hAnsi="AGaramond"/>
      <w:sz w:val="24"/>
    </w:rPr>
  </w:style>
  <w:style w:type="paragraph" w:styleId="BodyTextIndent2">
    <w:name w:val="Body Text Indent 2"/>
    <w:basedOn w:val="Normal"/>
    <w:pPr>
      <w:ind w:left="360"/>
      <w:jc w:val="both"/>
    </w:pPr>
    <w:rPr>
      <w:sz w:val="22"/>
    </w:rPr>
  </w:style>
  <w:style w:type="paragraph" w:styleId="BodyText2">
    <w:name w:val="Body Text 2"/>
    <w:basedOn w:val="Normal"/>
    <w:pPr>
      <w:ind w:right="-270"/>
      <w:jc w:val="both"/>
    </w:pPr>
    <w:rPr>
      <w:sz w:val="22"/>
    </w:rPr>
  </w:style>
  <w:style w:type="paragraph" w:styleId="BlockText">
    <w:name w:val="Block Text"/>
    <w:basedOn w:val="Normal"/>
    <w:pPr>
      <w:ind w:left="360" w:right="-270"/>
      <w:jc w:val="both"/>
    </w:pPr>
    <w:rPr>
      <w:sz w:val="22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ind w:right="-450"/>
      <w:jc w:val="both"/>
    </w:pPr>
    <w:rPr>
      <w:sz w:val="22"/>
    </w:rPr>
  </w:style>
  <w:style w:type="paragraph" w:styleId="BodyTextIndent3">
    <w:name w:val="Body Text Indent 3"/>
    <w:basedOn w:val="Normal"/>
    <w:pPr>
      <w:spacing w:after="120"/>
      <w:ind w:left="702" w:hanging="342"/>
    </w:pPr>
    <w:rPr>
      <w:rFonts w:ascii="Arial" w:eastAsia="Batang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652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13577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74496A"/>
    <w:pPr>
      <w:ind w:left="720"/>
    </w:pPr>
  </w:style>
  <w:style w:type="character" w:customStyle="1" w:styleId="FooterChar">
    <w:name w:val="Footer Char"/>
    <w:link w:val="Footer"/>
    <w:uiPriority w:val="99"/>
    <w:locked/>
    <w:rsid w:val="00181140"/>
    <w:rPr>
      <w:sz w:val="24"/>
      <w:szCs w:val="24"/>
    </w:rPr>
  </w:style>
  <w:style w:type="character" w:styleId="CommentReference">
    <w:name w:val="annotation reference"/>
    <w:uiPriority w:val="99"/>
    <w:rsid w:val="00181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1140"/>
  </w:style>
  <w:style w:type="character" w:customStyle="1" w:styleId="CommentTextChar">
    <w:name w:val="Comment Text Char"/>
    <w:basedOn w:val="DefaultParagraphFont"/>
    <w:link w:val="CommentText"/>
    <w:uiPriority w:val="99"/>
    <w:rsid w:val="00181140"/>
  </w:style>
  <w:style w:type="paragraph" w:styleId="CommentSubject">
    <w:name w:val="annotation subject"/>
    <w:basedOn w:val="CommentText"/>
    <w:next w:val="CommentText"/>
    <w:link w:val="CommentSubjectChar"/>
    <w:rsid w:val="00181140"/>
    <w:rPr>
      <w:b/>
      <w:bCs/>
    </w:rPr>
  </w:style>
  <w:style w:type="character" w:customStyle="1" w:styleId="CommentSubjectChar">
    <w:name w:val="Comment Subject Char"/>
    <w:link w:val="CommentSubject"/>
    <w:rsid w:val="0018114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266E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66E8"/>
    <w:rPr>
      <w:rFonts w:ascii="Calibri" w:eastAsia="Calibri" w:hAnsi="Calibri"/>
      <w:sz w:val="22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A2792B"/>
  </w:style>
  <w:style w:type="character" w:customStyle="1" w:styleId="BalloonTextChar">
    <w:name w:val="Balloon Text Char"/>
    <w:link w:val="BalloonText"/>
    <w:uiPriority w:val="99"/>
    <w:semiHidden/>
    <w:rsid w:val="009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harter/new/?section=handboo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charter/finance/auditing/FPPguid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charter/finance/auditing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gi-bin/retrieveECFR?gp=&amp;SID=ee4cc10f11140076f7017b96dcc6a171&amp;mc=true&amp;n=pt2.1.200&amp;r=PART&amp;ty=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harter/finance/auditing/FPP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46CDC6B-F740-4E90-B674-CE67A210F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22B7A-7788-475F-A22D-4745A259D6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6E444B-F728-4B56-9EC4-726DE7B12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119AA-D07A-4886-BDFB-F289891872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0EDA48-B889-43C8-9DE4-5BDD564173E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FC532 Charter School Significant Expansion Program Part III</vt:lpstr>
    </vt:vector>
  </TitlesOfParts>
  <Company/>
  <LinksUpToDate>false</LinksUpToDate>
  <CharactersWithSpaces>5099</CharactersWithSpaces>
  <SharedDoc>false</SharedDoc>
  <HLinks>
    <vt:vector size="30" baseType="variant"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5701656</vt:i4>
      </vt:variant>
      <vt:variant>
        <vt:i4>9</vt:i4>
      </vt:variant>
      <vt:variant>
        <vt:i4>0</vt:i4>
      </vt:variant>
      <vt:variant>
        <vt:i4>5</vt:i4>
      </vt:variant>
      <vt:variant>
        <vt:lpwstr>http://www.doe.mass.edu/charter/new/?section=handbook</vt:lpwstr>
      </vt:variant>
      <vt:variant>
        <vt:lpwstr/>
      </vt:variant>
      <vt:variant>
        <vt:i4>6881336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http://www.doe.mass.edu/charter/finance/auditing/FPPguide.docx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http://www.doe.mass.edu/charter/finance/auditing/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https://www.ecfr.gov/cgi-bin/retrieveECFR?gp=&amp;SID=ee4cc10f11140076f7017b96dcc6a171&amp;mc=true&amp;n=pt2.1.200&amp;r=PART&amp;ty=HTML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FC532 Charter School Significant Expansion Program Part III</dc:title>
  <dc:subject/>
  <dc:creator>DESE</dc:creator>
  <cp:keywords/>
  <cp:lastModifiedBy>Zou, Dong (EOE)</cp:lastModifiedBy>
  <cp:revision>3</cp:revision>
  <cp:lastPrinted>2008-06-20T15:16:00Z</cp:lastPrinted>
  <dcterms:created xsi:type="dcterms:W3CDTF">2019-06-03T15:53:00Z</dcterms:created>
  <dcterms:modified xsi:type="dcterms:W3CDTF">2019-06-03T15:54:00Z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 2019</vt:lpwstr>
  </property>
</Properties>
</file>