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B9042" w14:textId="77777777" w:rsidR="00001EA5" w:rsidRDefault="00001EA5" w:rsidP="002641CC">
      <w:pPr>
        <w:jc w:val="center"/>
        <w:rPr>
          <w:rFonts w:ascii="Arial" w:hAnsi="Arial" w:cs="Arial"/>
          <w:b/>
          <w:iCs/>
          <w:sz w:val="28"/>
          <w:szCs w:val="28"/>
        </w:rPr>
      </w:pPr>
      <w:r>
        <w:rPr>
          <w:rFonts w:ascii="Arial" w:hAnsi="Arial" w:cs="Arial"/>
          <w:b/>
          <w:iCs/>
          <w:sz w:val="28"/>
          <w:szCs w:val="28"/>
        </w:rPr>
        <w:t>Appendix A</w:t>
      </w:r>
    </w:p>
    <w:p w14:paraId="26FA141D" w14:textId="77777777" w:rsidR="00CA345F" w:rsidRDefault="002641CC" w:rsidP="002641CC">
      <w:pPr>
        <w:jc w:val="center"/>
        <w:rPr>
          <w:rFonts w:ascii="Arial" w:hAnsi="Arial" w:cs="Arial"/>
          <w:b/>
          <w:iCs/>
          <w:sz w:val="28"/>
          <w:szCs w:val="28"/>
        </w:rPr>
      </w:pPr>
      <w:r w:rsidRPr="00CA345F">
        <w:rPr>
          <w:rFonts w:ascii="Arial" w:hAnsi="Arial" w:cs="Arial"/>
          <w:b/>
          <w:iCs/>
          <w:sz w:val="28"/>
          <w:szCs w:val="28"/>
        </w:rPr>
        <w:t xml:space="preserve">Research-Based Strategies for Dropout Prevention and </w:t>
      </w:r>
    </w:p>
    <w:p w14:paraId="62E251CF" w14:textId="77777777" w:rsidR="003746D7" w:rsidRDefault="002641CC" w:rsidP="00CA345F">
      <w:pPr>
        <w:jc w:val="center"/>
        <w:rPr>
          <w:b/>
          <w:i/>
        </w:rPr>
      </w:pPr>
      <w:r w:rsidRPr="00CA345F">
        <w:rPr>
          <w:rFonts w:ascii="Arial" w:hAnsi="Arial" w:cs="Arial"/>
          <w:b/>
          <w:iCs/>
          <w:sz w:val="28"/>
          <w:szCs w:val="28"/>
        </w:rPr>
        <w:t>Re-Engage</w:t>
      </w:r>
      <w:r w:rsidR="00CA345F">
        <w:rPr>
          <w:rFonts w:ascii="Arial" w:hAnsi="Arial" w:cs="Arial"/>
          <w:b/>
          <w:iCs/>
          <w:sz w:val="28"/>
          <w:szCs w:val="28"/>
        </w:rPr>
        <w:t>ment</w:t>
      </w:r>
    </w:p>
    <w:p w14:paraId="1F6951A9" w14:textId="77777777" w:rsidR="003746D7" w:rsidRDefault="003746D7" w:rsidP="00090D83">
      <w:pPr>
        <w:rPr>
          <w:b/>
          <w:i/>
        </w:rPr>
      </w:pPr>
    </w:p>
    <w:p w14:paraId="0A563037" w14:textId="77777777" w:rsidR="00624B39" w:rsidRDefault="00624B39" w:rsidP="00624B39">
      <w:r w:rsidRPr="00586BC3">
        <w:rPr>
          <w:b/>
          <w:i/>
        </w:rPr>
        <w:t xml:space="preserve">Flexible Learning Options: </w:t>
      </w:r>
      <w:r w:rsidRPr="000E3A94">
        <w:t xml:space="preserve">For at-risk students, </w:t>
      </w:r>
      <w:r>
        <w:t xml:space="preserve">the realities of their lives may often be the difficulty in engaging in school. Smaller class size, more personalized environment, meaningful relationships with staff and peers, variable schedules, support for in- and out-of-school challenges can help mitigate the roadblocks to success.  </w:t>
      </w:r>
    </w:p>
    <w:p w14:paraId="278459E4" w14:textId="0FA92BED" w:rsidR="00624B39" w:rsidRDefault="00624B39" w:rsidP="00624B39">
      <w:pPr>
        <w:pStyle w:val="Default"/>
        <w:rPr>
          <w:rFonts w:ascii="Times New Roman" w:hAnsi="Times New Roman" w:cs="Times New Roman"/>
        </w:rPr>
      </w:pPr>
      <w:r w:rsidRPr="000E3A94">
        <w:rPr>
          <w:rFonts w:ascii="Times New Roman" w:hAnsi="Times New Roman" w:cs="Times New Roman"/>
        </w:rPr>
        <w:t xml:space="preserve">Existing </w:t>
      </w:r>
      <w:r>
        <w:rPr>
          <w:rFonts w:ascii="Times New Roman" w:hAnsi="Times New Roman" w:cs="Times New Roman"/>
        </w:rPr>
        <w:t>flexible</w:t>
      </w:r>
      <w:r w:rsidRPr="000E3A94">
        <w:rPr>
          <w:rFonts w:ascii="Times New Roman" w:hAnsi="Times New Roman" w:cs="Times New Roman"/>
        </w:rPr>
        <w:t xml:space="preserve"> education </w:t>
      </w:r>
      <w:r>
        <w:rPr>
          <w:rFonts w:ascii="Times New Roman" w:hAnsi="Times New Roman" w:cs="Times New Roman"/>
        </w:rPr>
        <w:t>options</w:t>
      </w:r>
      <w:r w:rsidRPr="000E3A94">
        <w:rPr>
          <w:rFonts w:ascii="Times New Roman" w:hAnsi="Times New Roman" w:cs="Times New Roman"/>
        </w:rPr>
        <w:t xml:space="preserve"> in Massachusetts include </w:t>
      </w:r>
      <w:r w:rsidR="00E81935">
        <w:rPr>
          <w:rFonts w:ascii="Times New Roman" w:hAnsi="Times New Roman" w:cs="Times New Roman"/>
        </w:rPr>
        <w:t xml:space="preserve">alternative </w:t>
      </w:r>
      <w:r w:rsidRPr="00013AEF">
        <w:rPr>
          <w:rFonts w:ascii="Times New Roman" w:hAnsi="Times New Roman" w:cs="Times New Roman"/>
          <w:u w:val="single"/>
        </w:rPr>
        <w:t>programs</w:t>
      </w:r>
      <w:r>
        <w:rPr>
          <w:rFonts w:ascii="Times New Roman" w:hAnsi="Times New Roman" w:cs="Times New Roman"/>
        </w:rPr>
        <w:t>:</w:t>
      </w:r>
    </w:p>
    <w:p w14:paraId="1B79443D"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 xml:space="preserve">Targeting </w:t>
      </w:r>
      <w:r w:rsidRPr="000E3A94">
        <w:rPr>
          <w:rFonts w:ascii="Times New Roman" w:hAnsi="Times New Roman" w:cs="Times New Roman"/>
        </w:rPr>
        <w:t>specific populations e.g., parenting teens, expelled students, students retained in grade nine</w:t>
      </w:r>
      <w:r>
        <w:rPr>
          <w:rFonts w:ascii="Times New Roman" w:hAnsi="Times New Roman" w:cs="Times New Roman"/>
        </w:rPr>
        <w:t>;</w:t>
      </w:r>
    </w:p>
    <w:p w14:paraId="163BABC8"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Targeting m</w:t>
      </w:r>
      <w:r w:rsidRPr="000E3A94">
        <w:rPr>
          <w:rFonts w:ascii="Times New Roman" w:hAnsi="Times New Roman" w:cs="Times New Roman"/>
        </w:rPr>
        <w:t>ore general enrollment that includes a broader base of students that have risk facto</w:t>
      </w:r>
      <w:r>
        <w:rPr>
          <w:rFonts w:ascii="Times New Roman" w:hAnsi="Times New Roman" w:cs="Times New Roman"/>
        </w:rPr>
        <w:t>rs for dropping out of school e.g., behavior, chronic absence, course failures;</w:t>
      </w:r>
    </w:p>
    <w:p w14:paraId="0A39E669"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Established within the traditional school during the regular day;</w:t>
      </w:r>
    </w:p>
    <w:p w14:paraId="6A48F9F2"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Offered in the traditional school outside of the regular school day;</w:t>
      </w:r>
    </w:p>
    <w:p w14:paraId="0CA9B4C6"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Offered in a separate, off-site location including at a community-based organization;</w:t>
      </w:r>
    </w:p>
    <w:p w14:paraId="6588CD12" w14:textId="77777777"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 xml:space="preserve">Offering traditional grading and credit accumulation </w:t>
      </w:r>
    </w:p>
    <w:p w14:paraId="4C300DC5" w14:textId="55958633" w:rsidR="00624B39" w:rsidRDefault="00624B39" w:rsidP="00624B39">
      <w:pPr>
        <w:pStyle w:val="Default"/>
        <w:numPr>
          <w:ilvl w:val="0"/>
          <w:numId w:val="5"/>
        </w:numPr>
        <w:rPr>
          <w:rFonts w:ascii="Times New Roman" w:hAnsi="Times New Roman" w:cs="Times New Roman"/>
        </w:rPr>
      </w:pPr>
      <w:r>
        <w:rPr>
          <w:rFonts w:ascii="Times New Roman" w:hAnsi="Times New Roman" w:cs="Times New Roman"/>
        </w:rPr>
        <w:t xml:space="preserve">Offering a competency-based education where </w:t>
      </w:r>
      <w:r>
        <w:t>clearly defined competencies and measurable learning objectives</w:t>
      </w:r>
      <w:r>
        <w:rPr>
          <w:rFonts w:ascii="Times New Roman" w:hAnsi="Times New Roman" w:cs="Times New Roman"/>
        </w:rPr>
        <w:t xml:space="preserve"> allow students to work to demonstrate mastery</w:t>
      </w:r>
      <w:r w:rsidR="00FF2EFD">
        <w:rPr>
          <w:rFonts w:ascii="Times New Roman" w:hAnsi="Times New Roman" w:cs="Times New Roman"/>
        </w:rPr>
        <w:t>.</w:t>
      </w:r>
    </w:p>
    <w:p w14:paraId="6A8D1D6C" w14:textId="77777777" w:rsidR="00624B39" w:rsidRDefault="00624B39" w:rsidP="00624B39">
      <w:pPr>
        <w:pStyle w:val="Default"/>
        <w:ind w:left="360"/>
        <w:rPr>
          <w:rFonts w:ascii="Times New Roman" w:hAnsi="Times New Roman" w:cs="Times New Roman"/>
        </w:rPr>
      </w:pPr>
    </w:p>
    <w:p w14:paraId="42AEB6CA" w14:textId="69E7784C" w:rsidR="00624B39" w:rsidRDefault="00624B39" w:rsidP="00624B39">
      <w:pPr>
        <w:pStyle w:val="Default"/>
        <w:ind w:left="360"/>
        <w:rPr>
          <w:rFonts w:ascii="Times New Roman" w:hAnsi="Times New Roman" w:cs="Times New Roman"/>
        </w:rPr>
      </w:pPr>
      <w:r w:rsidRPr="00013AEF">
        <w:rPr>
          <w:rFonts w:ascii="Times New Roman" w:hAnsi="Times New Roman" w:cs="Times New Roman"/>
        </w:rPr>
        <w:t>Districts may also elect to create a separate official</w:t>
      </w:r>
      <w:r>
        <w:rPr>
          <w:rFonts w:ascii="Times New Roman" w:hAnsi="Times New Roman" w:cs="Times New Roman"/>
        </w:rPr>
        <w:t xml:space="preserve"> alternative</w:t>
      </w:r>
      <w:r w:rsidRPr="00013AEF">
        <w:rPr>
          <w:rFonts w:ascii="Times New Roman" w:hAnsi="Times New Roman" w:cs="Times New Roman"/>
        </w:rPr>
        <w:t xml:space="preserve"> </w:t>
      </w:r>
      <w:r w:rsidRPr="00586BC3">
        <w:rPr>
          <w:rFonts w:ascii="Times New Roman" w:hAnsi="Times New Roman" w:cs="Times New Roman"/>
          <w:u w:val="single"/>
        </w:rPr>
        <w:t>school</w:t>
      </w:r>
      <w:r w:rsidRPr="00586BC3">
        <w:rPr>
          <w:rFonts w:ascii="Times New Roman" w:hAnsi="Times New Roman" w:cs="Times New Roman"/>
        </w:rPr>
        <w:t xml:space="preserve"> </w:t>
      </w:r>
      <w:r>
        <w:rPr>
          <w:rFonts w:ascii="Times New Roman" w:hAnsi="Times New Roman" w:cs="Times New Roman"/>
        </w:rPr>
        <w:t>which</w:t>
      </w:r>
      <w:r w:rsidR="00E81935">
        <w:rPr>
          <w:rFonts w:ascii="Times New Roman" w:hAnsi="Times New Roman" w:cs="Times New Roman"/>
        </w:rPr>
        <w:t xml:space="preserve"> must meet all state regulations for a public school and</w:t>
      </w:r>
      <w:r>
        <w:rPr>
          <w:rFonts w:ascii="Times New Roman" w:hAnsi="Times New Roman" w:cs="Times New Roman"/>
        </w:rPr>
        <w:t xml:space="preserve"> may include:</w:t>
      </w:r>
    </w:p>
    <w:p w14:paraId="43A73534" w14:textId="77777777" w:rsidR="00624B39" w:rsidRDefault="00624B39" w:rsidP="00624B39">
      <w:pPr>
        <w:pStyle w:val="Default"/>
        <w:numPr>
          <w:ilvl w:val="0"/>
          <w:numId w:val="6"/>
        </w:numPr>
        <w:rPr>
          <w:rFonts w:ascii="Times New Roman" w:hAnsi="Times New Roman" w:cs="Times New Roman"/>
        </w:rPr>
      </w:pPr>
      <w:r w:rsidRPr="00013AEF">
        <w:rPr>
          <w:rFonts w:ascii="Times New Roman" w:hAnsi="Times New Roman" w:cs="Times New Roman"/>
        </w:rPr>
        <w:t xml:space="preserve">credit recovery options for overage and under credit students,  </w:t>
      </w:r>
    </w:p>
    <w:p w14:paraId="00B0F339" w14:textId="77777777" w:rsidR="00624B39" w:rsidRDefault="00624B39" w:rsidP="00624B39">
      <w:pPr>
        <w:pStyle w:val="Default"/>
        <w:numPr>
          <w:ilvl w:val="0"/>
          <w:numId w:val="6"/>
        </w:numPr>
        <w:rPr>
          <w:rFonts w:ascii="Times New Roman" w:hAnsi="Times New Roman" w:cs="Times New Roman"/>
        </w:rPr>
      </w:pPr>
      <w:r w:rsidRPr="00013AEF">
        <w:rPr>
          <w:rFonts w:ascii="Times New Roman" w:hAnsi="Times New Roman" w:cs="Times New Roman"/>
        </w:rPr>
        <w:t xml:space="preserve">flexible scheduling/hours, </w:t>
      </w:r>
    </w:p>
    <w:p w14:paraId="1F6F7154" w14:textId="77777777" w:rsidR="00624B39" w:rsidRDefault="00624B39" w:rsidP="00624B39">
      <w:pPr>
        <w:pStyle w:val="Default"/>
        <w:numPr>
          <w:ilvl w:val="0"/>
          <w:numId w:val="6"/>
        </w:numPr>
        <w:rPr>
          <w:rFonts w:ascii="Times New Roman" w:hAnsi="Times New Roman" w:cs="Times New Roman"/>
        </w:rPr>
      </w:pPr>
      <w:r w:rsidRPr="00013AEF">
        <w:rPr>
          <w:rFonts w:ascii="Times New Roman" w:hAnsi="Times New Roman" w:cs="Times New Roman"/>
        </w:rPr>
        <w:t xml:space="preserve">smaller class sizes, </w:t>
      </w:r>
    </w:p>
    <w:p w14:paraId="115B7006" w14:textId="77777777" w:rsidR="00624B39" w:rsidRDefault="00624B39" w:rsidP="00624B39">
      <w:pPr>
        <w:pStyle w:val="Default"/>
        <w:numPr>
          <w:ilvl w:val="0"/>
          <w:numId w:val="6"/>
        </w:numPr>
        <w:rPr>
          <w:rFonts w:ascii="Times New Roman" w:hAnsi="Times New Roman" w:cs="Times New Roman"/>
        </w:rPr>
      </w:pPr>
      <w:r w:rsidRPr="00013AEF">
        <w:rPr>
          <w:rFonts w:ascii="Times New Roman" w:hAnsi="Times New Roman" w:cs="Times New Roman"/>
        </w:rPr>
        <w:t xml:space="preserve">strong emphasis on building supportive relationships among students and adults </w:t>
      </w:r>
    </w:p>
    <w:p w14:paraId="7BE54040" w14:textId="77777777" w:rsidR="00624B39" w:rsidRPr="00013AEF" w:rsidRDefault="00624B39" w:rsidP="00624B39">
      <w:pPr>
        <w:pStyle w:val="Default"/>
        <w:numPr>
          <w:ilvl w:val="0"/>
          <w:numId w:val="6"/>
        </w:numPr>
        <w:rPr>
          <w:rFonts w:ascii="Times New Roman" w:hAnsi="Times New Roman" w:cs="Times New Roman"/>
        </w:rPr>
      </w:pPr>
      <w:r w:rsidRPr="00013AEF">
        <w:rPr>
          <w:rFonts w:ascii="Times New Roman" w:hAnsi="Times New Roman" w:cs="Times New Roman"/>
        </w:rPr>
        <w:t xml:space="preserve">opportunities for contextual learning in order to be college and career ready.      </w:t>
      </w:r>
    </w:p>
    <w:p w14:paraId="24DEC3EF" w14:textId="77777777" w:rsidR="00624B39" w:rsidRPr="00DE2D59" w:rsidRDefault="00624B39" w:rsidP="00624B39">
      <w:pPr>
        <w:pStyle w:val="Default"/>
        <w:rPr>
          <w:rFonts w:ascii="Times New Roman" w:hAnsi="Times New Roman" w:cs="Times New Roman"/>
        </w:rPr>
      </w:pPr>
    </w:p>
    <w:p w14:paraId="110F809E" w14:textId="77777777" w:rsidR="00624B39" w:rsidRDefault="00624B39" w:rsidP="00624B39">
      <w:r w:rsidRPr="000E3A94">
        <w:rPr>
          <w:color w:val="000000"/>
        </w:rPr>
        <w:t xml:space="preserve">Program implementation funds will provide support and infrastructure to increase the number of </w:t>
      </w:r>
      <w:r>
        <w:rPr>
          <w:color w:val="000000"/>
        </w:rPr>
        <w:t xml:space="preserve">flexible learning </w:t>
      </w:r>
      <w:r w:rsidRPr="000E3A94">
        <w:rPr>
          <w:color w:val="000000"/>
        </w:rPr>
        <w:t>options available to students who need to reconnect to a pathway to graduation.</w:t>
      </w:r>
      <w:r>
        <w:rPr>
          <w:color w:val="000000"/>
        </w:rPr>
        <w:t xml:space="preserve">  </w:t>
      </w:r>
      <w:r w:rsidRPr="000E3A94">
        <w:rPr>
          <w:color w:val="000000"/>
        </w:rPr>
        <w:t xml:space="preserve">Specifically, there is a need for increased </w:t>
      </w:r>
      <w:r>
        <w:rPr>
          <w:color w:val="000000"/>
        </w:rPr>
        <w:t xml:space="preserve">options </w:t>
      </w:r>
      <w:r w:rsidRPr="000E3A94">
        <w:t xml:space="preserve">for students </w:t>
      </w:r>
      <w:r>
        <w:t xml:space="preserve">who are: facing </w:t>
      </w:r>
      <w:r w:rsidRPr="000E3A94">
        <w:t>school ex</w:t>
      </w:r>
      <w:r>
        <w:t>pulsion or long-term suspension; homeless, migrant and immigrant;</w:t>
      </w:r>
      <w:r w:rsidRPr="000E3A94">
        <w:t xml:space="preserve"> “over-aged and under-cred</w:t>
      </w:r>
      <w:r>
        <w:t>ited” compared with their peers;</w:t>
      </w:r>
      <w:r w:rsidRPr="000E3A94">
        <w:t xml:space="preserve"> </w:t>
      </w:r>
      <w:r>
        <w:t xml:space="preserve">expectant and parenting teens; and/or at-risk as identified through EWIS or local knowledge/data.  </w:t>
      </w:r>
    </w:p>
    <w:p w14:paraId="1AC5EA3E" w14:textId="77777777" w:rsidR="00624B39" w:rsidRDefault="00624B39" w:rsidP="00624B39"/>
    <w:p w14:paraId="7510CC8D" w14:textId="77777777" w:rsidR="00DE2D59" w:rsidRDefault="00DE2D59" w:rsidP="00DE2D59">
      <w:r w:rsidRPr="00CA345F">
        <w:rPr>
          <w:b/>
          <w:i/>
          <w:u w:val="single"/>
        </w:rPr>
        <w:t>Adul</w:t>
      </w:r>
      <w:r w:rsidR="008B640E" w:rsidRPr="00CA345F">
        <w:rPr>
          <w:b/>
          <w:i/>
          <w:u w:val="single"/>
        </w:rPr>
        <w:t xml:space="preserve">t </w:t>
      </w:r>
      <w:r w:rsidR="00CA345F">
        <w:rPr>
          <w:b/>
          <w:i/>
          <w:u w:val="single"/>
        </w:rPr>
        <w:t>A</w:t>
      </w:r>
      <w:r w:rsidR="008B640E" w:rsidRPr="00CA345F">
        <w:rPr>
          <w:b/>
          <w:i/>
          <w:u w:val="single"/>
        </w:rPr>
        <w:t xml:space="preserve">dvocates for </w:t>
      </w:r>
      <w:r w:rsidR="00CA345F">
        <w:rPr>
          <w:b/>
          <w:i/>
          <w:u w:val="single"/>
        </w:rPr>
        <w:t>S</w:t>
      </w:r>
      <w:r w:rsidR="008B640E" w:rsidRPr="00CA345F">
        <w:rPr>
          <w:b/>
          <w:i/>
          <w:u w:val="single"/>
        </w:rPr>
        <w:t xml:space="preserve">tudent </w:t>
      </w:r>
      <w:r w:rsidR="00CA345F">
        <w:rPr>
          <w:b/>
          <w:i/>
          <w:u w:val="single"/>
        </w:rPr>
        <w:t>S</w:t>
      </w:r>
      <w:r w:rsidR="008B640E" w:rsidRPr="00CA345F">
        <w:rPr>
          <w:b/>
          <w:i/>
          <w:u w:val="single"/>
        </w:rPr>
        <w:t>upport:</w:t>
      </w:r>
      <w:r w:rsidRPr="000E3A94">
        <w:rPr>
          <w:b/>
          <w:i/>
        </w:rPr>
        <w:t xml:space="preserve"> </w:t>
      </w:r>
      <w:r>
        <w:t xml:space="preserve"> Research tells us that every student needs a caring adult to connect with in the school.  Funds for the FC 320 may be used to support the addition of professional staff to work with at-risk students to improve </w:t>
      </w:r>
      <w:r w:rsidRPr="000E3A94">
        <w:t>student outcomes through the support prevention, intervention, and reco</w:t>
      </w:r>
      <w:r>
        <w:t>very efforts at the local level. T</w:t>
      </w:r>
      <w:r w:rsidRPr="000E3A94">
        <w:t>he adult should be responsible for addressing academic and social needs, communicating with families,</w:t>
      </w:r>
      <w:r w:rsidR="00570948">
        <w:t xml:space="preserve"> advocating for the student, and supporting college and career preparation</w:t>
      </w:r>
      <w:r w:rsidRPr="000E3A94">
        <w:t>. Training for adults serving students is integral to this design to ensure that they have the depth of expertise to effectively support at-risk stude</w:t>
      </w:r>
      <w:r>
        <w:t>nts.  The staff person</w:t>
      </w:r>
      <w:r w:rsidRPr="000E3A94">
        <w:t xml:space="preserve"> can </w:t>
      </w:r>
      <w:r>
        <w:t>be (but not limited to) a social worker, case manager, graduation coach, re-engagement coach, mentor or advisor. In addition to providing academic and</w:t>
      </w:r>
      <w:r w:rsidR="008B640E">
        <w:t xml:space="preserve"> personal support </w:t>
      </w:r>
      <w:r w:rsidRPr="000E3A94">
        <w:t>for students at risk of not obtaining a high scho</w:t>
      </w:r>
      <w:r w:rsidR="008B640E">
        <w:t>ol diploma, t</w:t>
      </w:r>
      <w:r w:rsidRPr="000E3A94">
        <w:t>hese staff can assist with parent and family engagement strategies and individualized plans for graduation and beyond.</w:t>
      </w:r>
    </w:p>
    <w:p w14:paraId="20842E84" w14:textId="77777777" w:rsidR="008B640E" w:rsidRDefault="008B640E" w:rsidP="00DE2D59"/>
    <w:p w14:paraId="09F94A02" w14:textId="77777777" w:rsidR="009C5C21" w:rsidRDefault="009C5C21" w:rsidP="008B640E">
      <w:r w:rsidRPr="00CA345F">
        <w:rPr>
          <w:b/>
          <w:i/>
          <w:u w:val="single"/>
        </w:rPr>
        <w:t>Contextual Learning Opportunities</w:t>
      </w:r>
      <w:r>
        <w:rPr>
          <w:b/>
          <w:i/>
        </w:rPr>
        <w:t xml:space="preserve">: </w:t>
      </w:r>
      <w:r w:rsidRPr="00AD4554">
        <w:t>Contextual learning occurs when teachers relate subject matter to real world situations. Students are motivated to make connections between knowledge and its applications to their lives as family members, citizens, and workers.</w:t>
      </w:r>
      <w:r w:rsidR="00AD4554">
        <w:t xml:space="preserve">  </w:t>
      </w:r>
      <w:r w:rsidR="00AD4554" w:rsidRPr="000E3A94">
        <w:t xml:space="preserve">When students recognize the connection between their schooling and the impact that it has on their success in the workforce, they tend to become more focused and engaged learners.  </w:t>
      </w:r>
    </w:p>
    <w:p w14:paraId="3B98F037" w14:textId="77777777" w:rsidR="00AD4554" w:rsidRDefault="00AD4554" w:rsidP="008B640E"/>
    <w:p w14:paraId="75443E60" w14:textId="77777777" w:rsidR="00AD4554" w:rsidRPr="000E3A94" w:rsidRDefault="00AD4554" w:rsidP="00AD4554">
      <w:pPr>
        <w:rPr>
          <w:b/>
          <w:i/>
        </w:rPr>
      </w:pPr>
      <w:r>
        <w:t xml:space="preserve">Examples of these opportunities include but are not limited to </w:t>
      </w:r>
      <w:r w:rsidRPr="000E3A94">
        <w:rPr>
          <w:color w:val="000000"/>
        </w:rPr>
        <w:t>service-learning programs, internships, and work-based learning opportunities, each of which can be a</w:t>
      </w:r>
      <w:r w:rsidR="00362EDA">
        <w:rPr>
          <w:color w:val="000000"/>
        </w:rPr>
        <w:t xml:space="preserve"> key dropout reduction strategy</w:t>
      </w:r>
      <w:r w:rsidRPr="000E3A94">
        <w:rPr>
          <w:color w:val="000000"/>
        </w:rPr>
        <w:t xml:space="preserve"> through which students demonstrate the knowledge and skills required by various state curriculum frameworks, the Common Core of Learning, and 21st century skills. </w:t>
      </w:r>
    </w:p>
    <w:p w14:paraId="5619E541" w14:textId="77777777" w:rsidR="00AD4554" w:rsidRDefault="00AD4554" w:rsidP="008B640E"/>
    <w:p w14:paraId="3A7CDC89" w14:textId="5CACB76D" w:rsidR="00AD4554" w:rsidRPr="00AD4554" w:rsidRDefault="00AD4554" w:rsidP="008B640E">
      <w:r w:rsidRPr="00CD6F49">
        <w:t>Service-learning</w:t>
      </w:r>
      <w:r w:rsidRPr="000E3A94">
        <w:t xml:space="preserve"> is a teaching and learning approach that integrates community service with academic study to enrich learning, teach civic responsibility, and strengthen communities.  By connecting service to academic coursework, students are afforded the chance to apply newly acquired knowledge and skills to make a difference in their communities, making learning more relevant.</w:t>
      </w:r>
    </w:p>
    <w:p w14:paraId="63253927" w14:textId="77777777" w:rsidR="009C5C21" w:rsidRDefault="009C5C21" w:rsidP="008B640E"/>
    <w:p w14:paraId="260E6EA7" w14:textId="77777777" w:rsidR="00AD4554" w:rsidRDefault="00417D44" w:rsidP="008B640E">
      <w:pPr>
        <w:rPr>
          <w:rStyle w:val="tgc"/>
          <w:color w:val="222222"/>
        </w:rPr>
      </w:pPr>
      <w:hyperlink r:id="rId9" w:history="1">
        <w:r w:rsidR="00AD4554" w:rsidRPr="007E28CD">
          <w:rPr>
            <w:rStyle w:val="Hyperlink"/>
          </w:rPr>
          <w:t>Work-based Learning</w:t>
        </w:r>
      </w:hyperlink>
      <w:r w:rsidR="00AD4554">
        <w:rPr>
          <w:rStyle w:val="tgc"/>
          <w:color w:val="222222"/>
        </w:rPr>
        <w:t xml:space="preserve"> </w:t>
      </w:r>
      <w:r w:rsidR="00AD4554" w:rsidRPr="00AD4554">
        <w:rPr>
          <w:rStyle w:val="tgc"/>
          <w:color w:val="222222"/>
        </w:rPr>
        <w:t xml:space="preserve">is an educational strategy that provides students with real-life </w:t>
      </w:r>
      <w:r w:rsidR="00AD4554" w:rsidRPr="003746D7">
        <w:rPr>
          <w:rStyle w:val="tgc"/>
          <w:bCs/>
          <w:color w:val="222222"/>
        </w:rPr>
        <w:t>work</w:t>
      </w:r>
      <w:r w:rsidR="00AD4554">
        <w:rPr>
          <w:rStyle w:val="tgc"/>
          <w:color w:val="222222"/>
        </w:rPr>
        <w:t xml:space="preserve"> experiences</w:t>
      </w:r>
      <w:r w:rsidR="003746D7">
        <w:rPr>
          <w:rStyle w:val="tgc"/>
          <w:color w:val="222222"/>
        </w:rPr>
        <w:t xml:space="preserve"> (paid)</w:t>
      </w:r>
      <w:r w:rsidR="00AD4554">
        <w:rPr>
          <w:rStyle w:val="tgc"/>
          <w:color w:val="222222"/>
        </w:rPr>
        <w:t xml:space="preserve"> </w:t>
      </w:r>
      <w:r w:rsidR="00AD4554" w:rsidRPr="00AD4554">
        <w:rPr>
          <w:rStyle w:val="tgc"/>
          <w:color w:val="222222"/>
        </w:rPr>
        <w:t>where they can apply academic and technical skills and develop their employability</w:t>
      </w:r>
      <w:r w:rsidR="00D27AF9">
        <w:rPr>
          <w:rStyle w:val="tgc"/>
          <w:color w:val="222222"/>
        </w:rPr>
        <w:t xml:space="preserve">.  The work experience fills the gap between learning and doing and may increase student engagement in school.  </w:t>
      </w:r>
    </w:p>
    <w:p w14:paraId="12B7BC36" w14:textId="77777777" w:rsidR="00D27AF9" w:rsidRDefault="00D27AF9" w:rsidP="008B640E">
      <w:pPr>
        <w:rPr>
          <w:rStyle w:val="tgc"/>
          <w:color w:val="222222"/>
        </w:rPr>
      </w:pPr>
    </w:p>
    <w:p w14:paraId="2DBC184B" w14:textId="77777777" w:rsidR="00D27AF9" w:rsidRPr="00AD4554" w:rsidRDefault="00D27AF9" w:rsidP="008B640E">
      <w:r w:rsidRPr="0040086F">
        <w:rPr>
          <w:rStyle w:val="tgc"/>
          <w:color w:val="222222"/>
          <w:u w:val="single"/>
        </w:rPr>
        <w:t>Internships</w:t>
      </w:r>
      <w:r>
        <w:rPr>
          <w:rStyle w:val="tgc"/>
          <w:color w:val="222222"/>
        </w:rPr>
        <w:t xml:space="preserve"> are another opportunity for students i</w:t>
      </w:r>
      <w:r>
        <w:t xml:space="preserve">n high school to try on a career and gain work experience. An internship can either confirm a career interest or lead a student in a new direction. Internships are often for a prescribed time period and may be either paid or unpaid. </w:t>
      </w:r>
    </w:p>
    <w:p w14:paraId="23FCC353" w14:textId="77777777" w:rsidR="009C5C21" w:rsidRPr="00AD4554" w:rsidRDefault="009C5C21" w:rsidP="008B640E"/>
    <w:p w14:paraId="32DE04F8" w14:textId="77777777" w:rsidR="00F074CB" w:rsidRDefault="00D27AF9" w:rsidP="008B640E">
      <w:pPr>
        <w:autoSpaceDE w:val="0"/>
        <w:autoSpaceDN w:val="0"/>
        <w:adjustRightInd w:val="0"/>
        <w:rPr>
          <w:b/>
          <w:i/>
        </w:rPr>
      </w:pPr>
      <w:r w:rsidRPr="00CA345F">
        <w:rPr>
          <w:b/>
          <w:i/>
          <w:u w:val="single"/>
        </w:rPr>
        <w:t>E</w:t>
      </w:r>
      <w:r w:rsidR="008B640E" w:rsidRPr="00CA345F">
        <w:rPr>
          <w:b/>
          <w:i/>
          <w:u w:val="single"/>
        </w:rPr>
        <w:t>xpansion of the school year/ structured learning time</w:t>
      </w:r>
      <w:r w:rsidR="002457CC" w:rsidRPr="00CA345F">
        <w:rPr>
          <w:b/>
          <w:i/>
          <w:u w:val="single"/>
        </w:rPr>
        <w:t xml:space="preserve"> and summer transition programs</w:t>
      </w:r>
      <w:r w:rsidR="002457CC">
        <w:rPr>
          <w:b/>
          <w:i/>
        </w:rPr>
        <w:t>:</w:t>
      </w:r>
      <w:r w:rsidR="008B640E" w:rsidRPr="000E3A94">
        <w:rPr>
          <w:b/>
          <w:i/>
        </w:rPr>
        <w:t xml:space="preserve"> </w:t>
      </w:r>
    </w:p>
    <w:p w14:paraId="0A717251" w14:textId="77777777" w:rsidR="00F074CB" w:rsidRDefault="008B640E" w:rsidP="008B640E">
      <w:pPr>
        <w:autoSpaceDE w:val="0"/>
        <w:autoSpaceDN w:val="0"/>
        <w:adjustRightInd w:val="0"/>
      </w:pPr>
      <w:r w:rsidRPr="000E3A94">
        <w:t xml:space="preserve">Many students who are in danger of </w:t>
      </w:r>
      <w:r w:rsidR="00F074CB">
        <w:t xml:space="preserve">or who have dropped out </w:t>
      </w:r>
      <w:r w:rsidR="002457CC">
        <w:t xml:space="preserve">are often overage and </w:t>
      </w:r>
      <w:r w:rsidRPr="000E3A94">
        <w:t>have severe academic deficits, such as being under</w:t>
      </w:r>
      <w:r w:rsidR="0040086F">
        <w:t>-</w:t>
      </w:r>
      <w:r w:rsidRPr="000E3A94">
        <w:t xml:space="preserve">credited toward high school graduation or lacking literacy, numeracy, and other academic skills – all necessary to be successful in class work </w:t>
      </w:r>
      <w:r w:rsidRPr="000E3A94">
        <w:rPr>
          <w:color w:val="211D1E"/>
        </w:rPr>
        <w:t>and to meet high academic standards.</w:t>
      </w:r>
    </w:p>
    <w:p w14:paraId="3D3B4732" w14:textId="77777777" w:rsidR="00F074CB" w:rsidRDefault="00F074CB" w:rsidP="008B640E">
      <w:pPr>
        <w:autoSpaceDE w:val="0"/>
        <w:autoSpaceDN w:val="0"/>
        <w:adjustRightInd w:val="0"/>
      </w:pPr>
    </w:p>
    <w:p w14:paraId="262724BA" w14:textId="77777777" w:rsidR="00F074CB" w:rsidRDefault="00F074CB" w:rsidP="008B640E">
      <w:pPr>
        <w:autoSpaceDE w:val="0"/>
        <w:autoSpaceDN w:val="0"/>
        <w:adjustRightInd w:val="0"/>
      </w:pPr>
      <w:r>
        <w:t xml:space="preserve">Funds may be used to provide </w:t>
      </w:r>
      <w:r w:rsidRPr="000E3A94">
        <w:t>programming aimed at providing support to develop academic skills</w:t>
      </w:r>
      <w:r w:rsidR="00362EDA">
        <w:t>,</w:t>
      </w:r>
      <w:r w:rsidRPr="000E3A94">
        <w:t xml:space="preserve"> accelerate learning or earn credits toward graduation</w:t>
      </w:r>
      <w:r>
        <w:t xml:space="preserve"> </w:t>
      </w:r>
      <w:r w:rsidR="00362EDA">
        <w:t xml:space="preserve">in a structured program that is run </w:t>
      </w:r>
      <w:r>
        <w:t>beyond the school day</w:t>
      </w:r>
      <w:r w:rsidR="00362EDA">
        <w:t xml:space="preserve"> or in the summer.  T</w:t>
      </w:r>
      <w:r w:rsidR="008B640E" w:rsidRPr="000E3A94">
        <w:rPr>
          <w:color w:val="000000"/>
        </w:rPr>
        <w:t xml:space="preserve">hese expanded learning time opportunities may also provide enrichment and socio-emotional supports to increase school engagement and prepare students for academic success. </w:t>
      </w:r>
      <w:r w:rsidR="008B640E" w:rsidRPr="000E3A94">
        <w:t xml:space="preserve"> These interventions should be designed to promote and maintain positive</w:t>
      </w:r>
      <w:r>
        <w:t xml:space="preserve"> attitudes</w:t>
      </w:r>
      <w:r w:rsidR="008B640E" w:rsidRPr="000E3A94">
        <w:t xml:space="preserve">, anticipate and prevent problems and provide special assistance to those whose problems may manifest themselves more greatly at the high school level.  </w:t>
      </w:r>
    </w:p>
    <w:p w14:paraId="46B8CC0F" w14:textId="77777777" w:rsidR="00F074CB" w:rsidRDefault="00F074CB" w:rsidP="008B640E">
      <w:pPr>
        <w:autoSpaceDE w:val="0"/>
        <w:autoSpaceDN w:val="0"/>
        <w:adjustRightInd w:val="0"/>
      </w:pPr>
    </w:p>
    <w:p w14:paraId="3A794925" w14:textId="77777777" w:rsidR="008B640E" w:rsidRDefault="00F074CB" w:rsidP="002457CC">
      <w:pPr>
        <w:autoSpaceDE w:val="0"/>
        <w:autoSpaceDN w:val="0"/>
        <w:adjustRightInd w:val="0"/>
        <w:contextualSpacing/>
      </w:pPr>
      <w:r>
        <w:t xml:space="preserve">Funds may also be used to provide summer transition programs </w:t>
      </w:r>
      <w:r w:rsidR="009C5C21">
        <w:t xml:space="preserve">for students entering high school for the first time </w:t>
      </w:r>
      <w:r w:rsidR="008B640E" w:rsidRPr="000E3A94">
        <w:t xml:space="preserve">to provide a bridge toward what can often be a more complex and less nurturing high school environment and provide students at-risk for dropping out with tools and support to be successful. </w:t>
      </w:r>
    </w:p>
    <w:p w14:paraId="71B93114" w14:textId="77777777" w:rsidR="00624B39" w:rsidRDefault="00624B39" w:rsidP="002457CC"/>
    <w:p w14:paraId="1670A301" w14:textId="41FF1403" w:rsidR="002457CC" w:rsidRDefault="00417D44" w:rsidP="002457CC">
      <w:hyperlink r:id="rId10" w:history="1">
        <w:r w:rsidR="00877788" w:rsidRPr="001A1CC5">
          <w:rPr>
            <w:rStyle w:val="Hyperlink"/>
            <w:b/>
            <w:i/>
          </w:rPr>
          <w:t>My Career and Academic Plan (</w:t>
        </w:r>
        <w:proofErr w:type="spellStart"/>
        <w:r w:rsidR="00877788" w:rsidRPr="001A1CC5">
          <w:rPr>
            <w:rStyle w:val="Hyperlink"/>
            <w:b/>
            <w:i/>
          </w:rPr>
          <w:t>MyCAP</w:t>
        </w:r>
        <w:proofErr w:type="spellEnd"/>
      </w:hyperlink>
      <w:bookmarkStart w:id="0" w:name="_GoBack"/>
      <w:bookmarkEnd w:id="0"/>
      <w:r w:rsidR="00877788">
        <w:rPr>
          <w:b/>
          <w:i/>
          <w:u w:val="single"/>
        </w:rPr>
        <w:t>)</w:t>
      </w:r>
      <w:r w:rsidR="002457CC" w:rsidRPr="00CA345F">
        <w:rPr>
          <w:b/>
          <w:i/>
          <w:u w:val="single"/>
        </w:rPr>
        <w:t>:</w:t>
      </w:r>
      <w:r w:rsidR="002457CC" w:rsidRPr="002457CC">
        <w:rPr>
          <w:b/>
          <w:i/>
        </w:rPr>
        <w:t xml:space="preserve"> </w:t>
      </w:r>
      <w:proofErr w:type="spellStart"/>
      <w:r w:rsidR="00877788">
        <w:t>MyCAP</w:t>
      </w:r>
      <w:proofErr w:type="spellEnd"/>
      <w:r w:rsidR="00877788">
        <w:t xml:space="preserve"> </w:t>
      </w:r>
      <w:r w:rsidR="00032D80">
        <w:t xml:space="preserve">(formerly ILP) </w:t>
      </w:r>
      <w:r w:rsidR="00877788">
        <w:t>is</w:t>
      </w:r>
      <w:r w:rsidR="002457CC">
        <w:t xml:space="preserve"> </w:t>
      </w:r>
      <w:r w:rsidR="001E12F9">
        <w:t xml:space="preserve">a student-directed, multi-year planning tool designed to provide students with ongoing opportunities to plan for their academic, personal/social and career success.  Because it </w:t>
      </w:r>
      <w:r w:rsidR="002457CC">
        <w:t xml:space="preserve">is </w:t>
      </w:r>
      <w:r w:rsidR="001E12F9">
        <w:t>primarily</w:t>
      </w:r>
      <w:r w:rsidR="0040086F">
        <w:t xml:space="preserve"> </w:t>
      </w:r>
      <w:r w:rsidR="001E12F9">
        <w:t>authored by students themselves with guidance from at least one identified caring adult</w:t>
      </w:r>
      <w:r w:rsidR="00362EDA">
        <w:t xml:space="preserve"> and in consultation with </w:t>
      </w:r>
      <w:r w:rsidR="001E12F9">
        <w:t xml:space="preserve">parents/guardians, students are empowered to seek out learning opportunities that align with career interests and self-defined </w:t>
      </w:r>
      <w:r w:rsidR="003746D7">
        <w:t>goals.</w:t>
      </w:r>
      <w:r w:rsidR="001E12F9">
        <w:t xml:space="preserve">  </w:t>
      </w:r>
      <w:proofErr w:type="spellStart"/>
      <w:r w:rsidR="00877788">
        <w:t>MyCAP</w:t>
      </w:r>
      <w:proofErr w:type="spellEnd"/>
      <w:r w:rsidR="002457CC">
        <w:t xml:space="preserve"> </w:t>
      </w:r>
      <w:r w:rsidR="003746D7">
        <w:t>may improve student engagement as the student come</w:t>
      </w:r>
      <w:r w:rsidR="00362EDA">
        <w:t>s</w:t>
      </w:r>
      <w:r w:rsidR="003746D7">
        <w:t xml:space="preserve"> to </w:t>
      </w:r>
      <w:r w:rsidR="002457CC">
        <w:t xml:space="preserve">own his/her future.  Through identification of interests and goals along with an acknowledgement </w:t>
      </w:r>
      <w:r w:rsidR="003746D7">
        <w:t>of</w:t>
      </w:r>
      <w:r w:rsidR="002457CC">
        <w:t xml:space="preserve"> any barriers to success and supports necessary</w:t>
      </w:r>
      <w:r w:rsidR="00877788">
        <w:t xml:space="preserve"> to overcome those barriers,</w:t>
      </w:r>
      <w:r w:rsidR="002457CC">
        <w:t xml:space="preserve"> </w:t>
      </w:r>
      <w:proofErr w:type="spellStart"/>
      <w:r w:rsidR="00877788">
        <w:t>MyCAP</w:t>
      </w:r>
      <w:proofErr w:type="spellEnd"/>
      <w:r w:rsidR="002457CC">
        <w:t xml:space="preserve"> maps the academic plan, personal/social skill attainment, and workplace readiness activities required for post-secondary success.  </w:t>
      </w:r>
      <w:r w:rsidR="003746D7">
        <w:t>Funds may</w:t>
      </w:r>
      <w:r w:rsidR="00877788">
        <w:t xml:space="preserve"> </w:t>
      </w:r>
      <w:r w:rsidR="003746D7">
        <w:t>be used for either planning or implementation of</w:t>
      </w:r>
      <w:r w:rsidR="00877788">
        <w:t xml:space="preserve"> </w:t>
      </w:r>
      <w:proofErr w:type="spellStart"/>
      <w:r w:rsidR="00877788">
        <w:t>MyCAP</w:t>
      </w:r>
      <w:proofErr w:type="spellEnd"/>
      <w:r w:rsidR="003746D7">
        <w:t xml:space="preserve">.  </w:t>
      </w:r>
      <w:r w:rsidR="002457CC">
        <w:t xml:space="preserve">      </w:t>
      </w:r>
      <w:r w:rsidR="003746D7">
        <w:t xml:space="preserve">  </w:t>
      </w:r>
    </w:p>
    <w:p w14:paraId="7A2A1BC6" w14:textId="77777777" w:rsidR="0040086F" w:rsidRDefault="0040086F" w:rsidP="002457CC"/>
    <w:p w14:paraId="3C7886E5" w14:textId="54AA217B" w:rsidR="00C63DB4" w:rsidRDefault="001B1D11" w:rsidP="0040086F">
      <w:pPr>
        <w:rPr>
          <w:b/>
          <w:u w:val="single"/>
        </w:rPr>
      </w:pPr>
      <w:r>
        <w:rPr>
          <w:b/>
          <w:u w:val="single"/>
        </w:rPr>
        <w:t>All applicants</w:t>
      </w:r>
      <w:r w:rsidR="00DD5260">
        <w:rPr>
          <w:b/>
          <w:u w:val="single"/>
        </w:rPr>
        <w:t xml:space="preserve">: </w:t>
      </w:r>
      <w:proofErr w:type="spellStart"/>
      <w:r>
        <w:rPr>
          <w:b/>
          <w:u w:val="single"/>
        </w:rPr>
        <w:t>indentify</w:t>
      </w:r>
      <w:proofErr w:type="spellEnd"/>
      <w:r>
        <w:rPr>
          <w:b/>
          <w:u w:val="single"/>
        </w:rPr>
        <w:t xml:space="preserve"> how social emotional and mental health needs are addressed</w:t>
      </w:r>
      <w:r w:rsidR="00C63DB4">
        <w:rPr>
          <w:b/>
          <w:u w:val="single"/>
        </w:rPr>
        <w:t>:</w:t>
      </w:r>
    </w:p>
    <w:p w14:paraId="76DBE4B7" w14:textId="77777777" w:rsidR="00C63DB4" w:rsidRPr="00C63DB4" w:rsidRDefault="00C63DB4" w:rsidP="0040086F">
      <w:pPr>
        <w:rPr>
          <w:b/>
          <w:u w:val="single"/>
        </w:rPr>
      </w:pPr>
    </w:p>
    <w:p w14:paraId="6CE24567" w14:textId="77777777" w:rsidR="0040086F" w:rsidRPr="000E3A94" w:rsidRDefault="004C0954" w:rsidP="0040086F">
      <w:r>
        <w:rPr>
          <w:b/>
          <w:i/>
        </w:rPr>
        <w:t xml:space="preserve">Social, </w:t>
      </w:r>
      <w:r w:rsidR="0040086F" w:rsidRPr="00C63DB4">
        <w:rPr>
          <w:b/>
          <w:i/>
        </w:rPr>
        <w:t>Emotional</w:t>
      </w:r>
      <w:r>
        <w:rPr>
          <w:b/>
          <w:i/>
        </w:rPr>
        <w:t xml:space="preserve"> and Health Needs: </w:t>
      </w:r>
      <w:r w:rsidR="0040086F" w:rsidRPr="000E3A94">
        <w:rPr>
          <w:b/>
          <w:i/>
        </w:rPr>
        <w:t xml:space="preserve"> </w:t>
      </w:r>
      <w:r w:rsidR="0040086F" w:rsidRPr="000E3A94">
        <w:t>Many issues with disengaged students and those who may be at risk of dropping out are not academic in nature and therefore require non-academic systems of support. Students’ behavioral health is intricately connected to academic, social, and emotional success at school. Establishing a school climate that promotes students’ behavioral health can also help promote positive and productive</w:t>
      </w:r>
      <w:r w:rsidR="0040086F">
        <w:t xml:space="preserve"> functioning and school success.</w:t>
      </w:r>
      <w:r w:rsidR="0040086F" w:rsidRPr="000E3A94">
        <w:t xml:space="preserve"> Behavioral health refers to the social, emotional, and behavioral well-being of all students, including stud</w:t>
      </w:r>
      <w:r w:rsidR="00F224F8">
        <w:t xml:space="preserve">ents with mental health needs. It is important that these needs are being met and all applicants are asked to include a description of the services available in their school.  </w:t>
      </w:r>
    </w:p>
    <w:p w14:paraId="3F8D6340" w14:textId="77777777" w:rsidR="0040086F" w:rsidRDefault="0040086F" w:rsidP="0040086F"/>
    <w:p w14:paraId="2E255835" w14:textId="77777777" w:rsidR="001B1D11" w:rsidRDefault="001B1D11" w:rsidP="0040086F">
      <w:r>
        <w:t xml:space="preserve">If funds will be used to address these needs they </w:t>
      </w:r>
      <w:r w:rsidR="00F224F8">
        <w:t xml:space="preserve">may be </w:t>
      </w:r>
      <w:r>
        <w:t xml:space="preserve">used to: </w:t>
      </w:r>
    </w:p>
    <w:p w14:paraId="69B5A771" w14:textId="77777777" w:rsidR="0040086F" w:rsidRPr="000E3A94" w:rsidRDefault="001B1D11" w:rsidP="001B1D11">
      <w:pPr>
        <w:pStyle w:val="ListParagraph"/>
        <w:numPr>
          <w:ilvl w:val="0"/>
          <w:numId w:val="4"/>
        </w:numPr>
      </w:pPr>
      <w:r>
        <w:t>A</w:t>
      </w:r>
      <w:r w:rsidR="0040086F" w:rsidRPr="000E3A94">
        <w:t xml:space="preserve">ssist students to identify, understand, and self-regulate their emotions and interactions with peers and adults. These skills can help to mitigate problematic and disruptive behavior both in and out of the classroom by teaching students how to positively interact and communicate. This programming </w:t>
      </w:r>
      <w:r w:rsidR="0040086F">
        <w:t>may</w:t>
      </w:r>
      <w:r w:rsidR="0040086F" w:rsidRPr="000E3A94">
        <w:t xml:space="preserve"> also be used to teach students strategies to strengthen problem solving and decision-making skills.  </w:t>
      </w:r>
    </w:p>
    <w:p w14:paraId="78E5911C" w14:textId="77777777" w:rsidR="00C63DB4" w:rsidRDefault="00C63DB4" w:rsidP="0040086F"/>
    <w:p w14:paraId="19FCD111" w14:textId="77777777" w:rsidR="0040086F" w:rsidRPr="001B1D11" w:rsidRDefault="001B1D11" w:rsidP="001B1D11">
      <w:pPr>
        <w:pStyle w:val="ListParagraph"/>
        <w:numPr>
          <w:ilvl w:val="0"/>
          <w:numId w:val="4"/>
        </w:numPr>
        <w:rPr>
          <w:b/>
          <w:i/>
        </w:rPr>
      </w:pPr>
      <w:r>
        <w:t>E</w:t>
      </w:r>
      <w:r w:rsidR="0040086F" w:rsidRPr="000E3A94">
        <w:t xml:space="preserve">stablish partnerships with community based program providers and other agencies such as social services, child welfare, mental </w:t>
      </w:r>
      <w:r w:rsidR="004C0954">
        <w:t xml:space="preserve">and physical </w:t>
      </w:r>
      <w:r w:rsidR="0040086F" w:rsidRPr="000E3A94">
        <w:t>health, and law enforcement. The intent of this programming will be to address the root causes of problematic classroom and school behavior or mental he</w:t>
      </w:r>
      <w:r w:rsidR="00C63DB4">
        <w:t>alth needs for students who have risk factors as described in this RFP and are at high risk</w:t>
      </w:r>
      <w:r w:rsidR="0040086F" w:rsidRPr="000E3A94">
        <w:t xml:space="preserve"> of dropping out. This work may also address external social factors such as family concerns or substance abuse issues.</w:t>
      </w:r>
    </w:p>
    <w:p w14:paraId="12ED3040" w14:textId="77777777" w:rsidR="0040086F" w:rsidRPr="000E3A94" w:rsidRDefault="0040086F" w:rsidP="0040086F"/>
    <w:p w14:paraId="0CD0C1C0" w14:textId="0C2CFB79" w:rsidR="0040086F" w:rsidRDefault="001B1D11" w:rsidP="0040086F">
      <w:pPr>
        <w:pStyle w:val="ListParagraph"/>
        <w:numPr>
          <w:ilvl w:val="0"/>
          <w:numId w:val="4"/>
        </w:numPr>
      </w:pPr>
      <w:r>
        <w:t>I</w:t>
      </w:r>
      <w:r w:rsidR="0040086F" w:rsidRPr="000E3A94">
        <w:t xml:space="preserve">ncrease their capacity to implement the </w:t>
      </w:r>
      <w:hyperlink r:id="rId11" w:history="1">
        <w:r w:rsidR="0040086F" w:rsidRPr="00BC779A">
          <w:rPr>
            <w:rStyle w:val="Hyperlink"/>
          </w:rPr>
          <w:t>Behavioral Health and Public Schools Framework</w:t>
        </w:r>
      </w:hyperlink>
      <w:r w:rsidR="0040086F">
        <w:t>.</w:t>
      </w:r>
      <w:r w:rsidR="0040086F" w:rsidRPr="000E3A94">
        <w:t xml:space="preserve"> </w:t>
      </w:r>
      <w:r w:rsidR="0040086F">
        <w:t xml:space="preserve"> </w:t>
      </w:r>
      <w:r w:rsidR="0040086F" w:rsidRPr="000E3A94">
        <w:t>The Framework emphasizes the importance of establishing and enhancing the three levels of behavioral health, which mirror the layered approach of dropout prevention, intervention, and recovery</w:t>
      </w:r>
      <w:r w:rsidR="0040086F">
        <w:t>.</w:t>
      </w:r>
      <w:r w:rsidR="0040086F" w:rsidRPr="000E3A94">
        <w:t xml:space="preserve">  The three levels of activities included in the Framework are: 1) </w:t>
      </w:r>
      <w:r w:rsidR="0040086F" w:rsidRPr="00DD5260">
        <w:rPr>
          <w:i/>
          <w:iCs/>
        </w:rPr>
        <w:t>supportive school environments</w:t>
      </w:r>
      <w:r w:rsidR="0040086F" w:rsidRPr="000E3A94">
        <w:t xml:space="preserve"> that promote the behavioral health of all students through whole-school supportive environments, 2) </w:t>
      </w:r>
      <w:r w:rsidR="0040086F" w:rsidRPr="00DD5260">
        <w:rPr>
          <w:i/>
          <w:iCs/>
        </w:rPr>
        <w:t>early interventions</w:t>
      </w:r>
      <w:r w:rsidR="0040086F" w:rsidRPr="000E3A94">
        <w:t xml:space="preserve"> that provide collaborative approaches to identify and address behavioral health symptoms early, and 3) </w:t>
      </w:r>
      <w:r w:rsidR="0040086F" w:rsidRPr="00DD5260">
        <w:rPr>
          <w:i/>
          <w:iCs/>
        </w:rPr>
        <w:t>intensive services</w:t>
      </w:r>
      <w:r w:rsidR="0040086F" w:rsidRPr="000E3A94">
        <w:t xml:space="preserve"> that coordinate intensive interventions for students with significant needs.</w:t>
      </w:r>
    </w:p>
    <w:sectPr w:rsidR="0040086F" w:rsidSect="00730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065EF"/>
    <w:multiLevelType w:val="hybridMultilevel"/>
    <w:tmpl w:val="8152C9C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1711B2"/>
    <w:multiLevelType w:val="hybridMultilevel"/>
    <w:tmpl w:val="214A6860"/>
    <w:lvl w:ilvl="0" w:tplc="B5BC648E">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E0007"/>
    <w:multiLevelType w:val="hybridMultilevel"/>
    <w:tmpl w:val="BDE821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E84ABA"/>
    <w:multiLevelType w:val="hybridMultilevel"/>
    <w:tmpl w:val="CC463268"/>
    <w:lvl w:ilvl="0" w:tplc="9AB69E2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835C2"/>
    <w:multiLevelType w:val="multilevel"/>
    <w:tmpl w:val="2D6E4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47617F"/>
    <w:multiLevelType w:val="hybridMultilevel"/>
    <w:tmpl w:val="75CA3F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D59"/>
    <w:rsid w:val="00001EA5"/>
    <w:rsid w:val="00032D80"/>
    <w:rsid w:val="00042F4D"/>
    <w:rsid w:val="00090D83"/>
    <w:rsid w:val="0010432E"/>
    <w:rsid w:val="001A1CC5"/>
    <w:rsid w:val="001B1D11"/>
    <w:rsid w:val="001E12F9"/>
    <w:rsid w:val="002457CC"/>
    <w:rsid w:val="002463CB"/>
    <w:rsid w:val="002641CC"/>
    <w:rsid w:val="002B76EB"/>
    <w:rsid w:val="003454F4"/>
    <w:rsid w:val="00362EDA"/>
    <w:rsid w:val="003746D7"/>
    <w:rsid w:val="003766C8"/>
    <w:rsid w:val="00382102"/>
    <w:rsid w:val="0040086F"/>
    <w:rsid w:val="00417D44"/>
    <w:rsid w:val="004C0954"/>
    <w:rsid w:val="0051343A"/>
    <w:rsid w:val="00516B48"/>
    <w:rsid w:val="005310E7"/>
    <w:rsid w:val="005506E0"/>
    <w:rsid w:val="00570948"/>
    <w:rsid w:val="00622623"/>
    <w:rsid w:val="00624B39"/>
    <w:rsid w:val="006F556A"/>
    <w:rsid w:val="00730C64"/>
    <w:rsid w:val="00747DBF"/>
    <w:rsid w:val="007B7E90"/>
    <w:rsid w:val="007D5896"/>
    <w:rsid w:val="007E28CD"/>
    <w:rsid w:val="00877788"/>
    <w:rsid w:val="008935DE"/>
    <w:rsid w:val="0089445A"/>
    <w:rsid w:val="008B640E"/>
    <w:rsid w:val="008C2F5C"/>
    <w:rsid w:val="00912AED"/>
    <w:rsid w:val="009137FD"/>
    <w:rsid w:val="0092307A"/>
    <w:rsid w:val="009720A2"/>
    <w:rsid w:val="009C5C21"/>
    <w:rsid w:val="00A226B3"/>
    <w:rsid w:val="00A24DDC"/>
    <w:rsid w:val="00AD4554"/>
    <w:rsid w:val="00B277AA"/>
    <w:rsid w:val="00B67692"/>
    <w:rsid w:val="00BC779A"/>
    <w:rsid w:val="00BE67BE"/>
    <w:rsid w:val="00BF7795"/>
    <w:rsid w:val="00C037FD"/>
    <w:rsid w:val="00C63DB4"/>
    <w:rsid w:val="00CA345F"/>
    <w:rsid w:val="00CD6F49"/>
    <w:rsid w:val="00D27AF9"/>
    <w:rsid w:val="00D41377"/>
    <w:rsid w:val="00DD5260"/>
    <w:rsid w:val="00DE2D59"/>
    <w:rsid w:val="00E55A15"/>
    <w:rsid w:val="00E81935"/>
    <w:rsid w:val="00F074CB"/>
    <w:rsid w:val="00F224F8"/>
    <w:rsid w:val="00F2535A"/>
    <w:rsid w:val="00F41DBF"/>
    <w:rsid w:val="00FD71C6"/>
    <w:rsid w:val="00FF2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555C0"/>
  <w15:docId w15:val="{650F1667-402C-4D72-B8F2-542AEF41E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D5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D59"/>
    <w:pPr>
      <w:ind w:left="720"/>
      <w:contextualSpacing/>
    </w:pPr>
  </w:style>
  <w:style w:type="paragraph" w:customStyle="1" w:styleId="Default">
    <w:name w:val="Default"/>
    <w:rsid w:val="00DE2D59"/>
    <w:pPr>
      <w:autoSpaceDE w:val="0"/>
      <w:autoSpaceDN w:val="0"/>
      <w:adjustRightInd w:val="0"/>
      <w:spacing w:after="0" w:line="240" w:lineRule="auto"/>
    </w:pPr>
    <w:rPr>
      <w:rFonts w:ascii="Cambria" w:eastAsia="Times New Roman" w:hAnsi="Cambria" w:cs="Cambria"/>
      <w:color w:val="000000"/>
      <w:sz w:val="24"/>
      <w:szCs w:val="24"/>
    </w:rPr>
  </w:style>
  <w:style w:type="character" w:styleId="FootnoteReference">
    <w:name w:val="footnote reference"/>
    <w:basedOn w:val="DefaultParagraphFont"/>
    <w:semiHidden/>
    <w:rsid w:val="008B640E"/>
    <w:rPr>
      <w:vertAlign w:val="superscript"/>
    </w:rPr>
  </w:style>
  <w:style w:type="character" w:customStyle="1" w:styleId="tgc">
    <w:name w:val="_tgc"/>
    <w:basedOn w:val="DefaultParagraphFont"/>
    <w:rsid w:val="00AD4554"/>
  </w:style>
  <w:style w:type="character" w:styleId="Hyperlink">
    <w:name w:val="Hyperlink"/>
    <w:basedOn w:val="DefaultParagraphFont"/>
    <w:uiPriority w:val="99"/>
    <w:unhideWhenUsed/>
    <w:rsid w:val="002457CC"/>
    <w:rPr>
      <w:color w:val="0000FF" w:themeColor="hyperlink"/>
      <w:u w:val="single"/>
    </w:rPr>
  </w:style>
  <w:style w:type="character" w:styleId="FollowedHyperlink">
    <w:name w:val="FollowedHyperlink"/>
    <w:basedOn w:val="DefaultParagraphFont"/>
    <w:uiPriority w:val="99"/>
    <w:semiHidden/>
    <w:unhideWhenUsed/>
    <w:rsid w:val="004008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bhps321.org/" TargetMode="External"/><Relationship Id="rId5" Type="http://schemas.openxmlformats.org/officeDocument/2006/relationships/numbering" Target="numbering.xml"/><Relationship Id="rId10" Type="http://schemas.openxmlformats.org/officeDocument/2006/relationships/hyperlink" Target="https://www.doe.mass.edu/ccte/ccr/mycap/" TargetMode="External"/><Relationship Id="rId4" Type="http://schemas.openxmlformats.org/officeDocument/2006/relationships/customXml" Target="../customXml/item4.xml"/><Relationship Id="rId9" Type="http://schemas.openxmlformats.org/officeDocument/2006/relationships/hyperlink" Target="http://www.skillslibrary.com/wb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DESE-231-63740</_dlc_DocId>
    <_dlc_DocIdUrl xmlns="733efe1c-5bbe-4968-87dc-d400e65c879f">
      <Url>https://sharepoint.doemass.org/ese/webteam/cps/_layouts/DocIdRedir.aspx?ID=DESE-231-63740</Url>
      <Description>DESE-231-63740</Description>
    </_dlc_DocIdUrl>
  </documentManagement>
</p:properties>
</file>

<file path=customXml/itemProps1.xml><?xml version="1.0" encoding="utf-8"?>
<ds:datastoreItem xmlns:ds="http://schemas.openxmlformats.org/officeDocument/2006/customXml" ds:itemID="{D45D6B5C-BE8A-4100-AA89-1A3A06AA8CCF}">
  <ds:schemaRefs>
    <ds:schemaRef ds:uri="http://schemas.microsoft.com/sharepoint/events"/>
  </ds:schemaRefs>
</ds:datastoreItem>
</file>

<file path=customXml/itemProps2.xml><?xml version="1.0" encoding="utf-8"?>
<ds:datastoreItem xmlns:ds="http://schemas.openxmlformats.org/officeDocument/2006/customXml" ds:itemID="{67E9EF10-1018-4F59-A8B1-888FA290C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36CE8-9C68-4F00-9AD1-6AA70C030550}">
  <ds:schemaRefs>
    <ds:schemaRef ds:uri="http://schemas.microsoft.com/sharepoint/v3/contenttype/forms"/>
  </ds:schemaRefs>
</ds:datastoreItem>
</file>

<file path=customXml/itemProps4.xml><?xml version="1.0" encoding="utf-8"?>
<ds:datastoreItem xmlns:ds="http://schemas.openxmlformats.org/officeDocument/2006/customXml" ds:itemID="{88C096F6-8BC3-4D8D-B66C-3976C497E0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Appendix A: Research-Based Strategies for Dropout Prevention and Re-engagement</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Research-Based Strategies for Dropout Prevention and Re-engagement</dc:title>
  <dc:creator>DESE</dc:creator>
  <cp:lastModifiedBy>Dong Zou</cp:lastModifiedBy>
  <cp:revision>6</cp:revision>
  <dcterms:created xsi:type="dcterms:W3CDTF">2020-07-28T15:08:00Z</dcterms:created>
  <dcterms:modified xsi:type="dcterms:W3CDTF">2020-11-21T01:40:00Z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19 2020</vt:lpwstr>
  </property>
</Properties>
</file>