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E543" w14:textId="63C3A04A" w:rsidR="00907F9C" w:rsidRDefault="00907F9C" w:rsidP="007E238E">
      <w:bookmarkStart w:id="0" w:name="_Hlk3890644"/>
      <w:r>
        <w:t>April 21, 2021</w:t>
      </w:r>
    </w:p>
    <w:p w14:paraId="62E9137E" w14:textId="77777777" w:rsidR="00907F9C" w:rsidRDefault="00907F9C" w:rsidP="007E238E"/>
    <w:p w14:paraId="63E5AF2D" w14:textId="738C9FC3" w:rsidR="007E238E" w:rsidRDefault="007E238E" w:rsidP="007E238E">
      <w:r>
        <w:t>Business Managers, Fiscal and Program Staff,</w:t>
      </w:r>
    </w:p>
    <w:p w14:paraId="7D7E4E66" w14:textId="77777777" w:rsidR="007E238E" w:rsidRDefault="007E238E" w:rsidP="007E238E"/>
    <w:p w14:paraId="7192A553" w14:textId="71C9A327" w:rsidR="00245066" w:rsidRDefault="00245066" w:rsidP="00C701DA">
      <w:pPr>
        <w:rPr>
          <w:b/>
          <w:bCs/>
        </w:rPr>
      </w:pPr>
      <w:r>
        <w:rPr>
          <w:b/>
          <w:bCs/>
        </w:rPr>
        <w:t xml:space="preserve">IMPORTANT </w:t>
      </w:r>
      <w:r w:rsidR="00D40966">
        <w:rPr>
          <w:b/>
          <w:bCs/>
        </w:rPr>
        <w:t xml:space="preserve">INFORMATION REGARDING FY2021 </w:t>
      </w:r>
      <w:r>
        <w:rPr>
          <w:b/>
          <w:bCs/>
        </w:rPr>
        <w:t xml:space="preserve">MULTI-YEAR </w:t>
      </w:r>
    </w:p>
    <w:p w14:paraId="1E0A7883" w14:textId="77777777" w:rsidR="007C3C8E" w:rsidRPr="007C3C8E" w:rsidRDefault="007C3C8E" w:rsidP="00C701DA"/>
    <w:p w14:paraId="34A3E818" w14:textId="5D3C803C" w:rsidR="00D40966" w:rsidRDefault="00D40966" w:rsidP="00C701DA">
      <w:r>
        <w:t xml:space="preserve">Last May, </w:t>
      </w:r>
      <w:r w:rsidR="007C3C8E" w:rsidRPr="007C3C8E">
        <w:t>DESE submi</w:t>
      </w:r>
      <w:r>
        <w:t>t</w:t>
      </w:r>
      <w:r w:rsidR="007C3C8E" w:rsidRPr="007C3C8E">
        <w:t>t</w:t>
      </w:r>
      <w:r>
        <w:t>ed</w:t>
      </w:r>
      <w:r w:rsidR="007C3C8E" w:rsidRPr="007C3C8E">
        <w:t xml:space="preserve"> multi-year request</w:t>
      </w:r>
      <w:r>
        <w:t>s</w:t>
      </w:r>
      <w:r w:rsidR="007C3C8E" w:rsidRPr="007C3C8E">
        <w:t xml:space="preserve"> on behalf of </w:t>
      </w:r>
      <w:r w:rsidR="00FE3D9C">
        <w:t xml:space="preserve">FY2020 </w:t>
      </w:r>
      <w:r w:rsidR="007C3C8E" w:rsidRPr="007C3C8E">
        <w:t>app</w:t>
      </w:r>
      <w:r w:rsidR="00FE3D9C">
        <w:t>l</w:t>
      </w:r>
      <w:r w:rsidR="007C3C8E" w:rsidRPr="007C3C8E">
        <w:t>icants</w:t>
      </w:r>
      <w:r w:rsidR="00FE3D9C">
        <w:t xml:space="preserve"> in order to roll funds into FY2021 and extend out the end date of the grant.  </w:t>
      </w:r>
      <w:r w:rsidR="007C3C8E" w:rsidRPr="007C3C8E">
        <w:t>DESE is going to do this again for FY2021</w:t>
      </w:r>
      <w:r w:rsidR="00FE3D9C">
        <w:t xml:space="preserve"> federal entitlement awards</w:t>
      </w:r>
      <w:r w:rsidR="007C3C8E" w:rsidRPr="007C3C8E">
        <w:t>.</w:t>
      </w:r>
    </w:p>
    <w:p w14:paraId="6EEDBB83" w14:textId="7F59EFEF" w:rsidR="00D40966" w:rsidRDefault="00D40966" w:rsidP="00C701DA"/>
    <w:p w14:paraId="3856A826" w14:textId="35C0DAE0" w:rsidR="00D40966" w:rsidRDefault="00D40966" w:rsidP="00D40966">
      <w:pPr>
        <w:jc w:val="center"/>
        <w:rPr>
          <w:b/>
          <w:bCs/>
        </w:rPr>
      </w:pPr>
      <w:r w:rsidRPr="00D40966">
        <w:rPr>
          <w:b/>
          <w:bCs/>
        </w:rPr>
        <w:t>FY202</w:t>
      </w:r>
      <w:r>
        <w:rPr>
          <w:b/>
          <w:bCs/>
        </w:rPr>
        <w:t>0 and FY2021</w:t>
      </w:r>
      <w:r w:rsidRPr="00D40966">
        <w:rPr>
          <w:b/>
          <w:bCs/>
        </w:rPr>
        <w:t xml:space="preserve"> Multi-Year Grants</w:t>
      </w:r>
      <w:r w:rsidR="00FE3D9C">
        <w:rPr>
          <w:b/>
          <w:bCs/>
        </w:rPr>
        <w:t xml:space="preserve"> (Federal Entitlement Awards)</w:t>
      </w:r>
      <w:r w:rsidRPr="00D40966">
        <w:rPr>
          <w:b/>
          <w:bCs/>
        </w:rPr>
        <w:t>:</w:t>
      </w:r>
    </w:p>
    <w:p w14:paraId="4373ECDD" w14:textId="77777777" w:rsidR="00D40966" w:rsidRPr="00D40966" w:rsidRDefault="00D40966" w:rsidP="00D40966">
      <w:pPr>
        <w:jc w:val="center"/>
        <w:rPr>
          <w:b/>
          <w:bCs/>
        </w:rPr>
      </w:pPr>
    </w:p>
    <w:tbl>
      <w:tblPr>
        <w:tblW w:w="102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990"/>
        <w:gridCol w:w="2070"/>
        <w:gridCol w:w="1125"/>
        <w:gridCol w:w="2250"/>
      </w:tblGrid>
      <w:tr w:rsidR="00D40966" w:rsidRPr="00BE0AE3" w14:paraId="484D2EFA" w14:textId="3377E77A" w:rsidTr="00D40966">
        <w:tc>
          <w:tcPr>
            <w:tcW w:w="3825" w:type="dxa"/>
            <w:shd w:val="clear" w:color="auto" w:fill="auto"/>
          </w:tcPr>
          <w:p w14:paraId="55FC3324" w14:textId="77777777" w:rsidR="00D40966" w:rsidRPr="00BE0AE3" w:rsidRDefault="00D40966" w:rsidP="00D407A8">
            <w:pPr>
              <w:rPr>
                <w:b/>
                <w:bCs/>
              </w:rPr>
            </w:pPr>
            <w:r w:rsidRPr="00BE0AE3">
              <w:rPr>
                <w:b/>
                <w:bCs/>
              </w:rPr>
              <w:t>Grant Program</w:t>
            </w:r>
          </w:p>
        </w:tc>
        <w:tc>
          <w:tcPr>
            <w:tcW w:w="990" w:type="dxa"/>
            <w:shd w:val="clear" w:color="auto" w:fill="auto"/>
          </w:tcPr>
          <w:p w14:paraId="4742DEDE" w14:textId="77777777" w:rsidR="00D40966" w:rsidRPr="00BE0AE3" w:rsidRDefault="00D40966" w:rsidP="00D407A8">
            <w:pPr>
              <w:rPr>
                <w:b/>
                <w:bCs/>
              </w:rPr>
            </w:pPr>
            <w:r w:rsidRPr="00BE0AE3">
              <w:rPr>
                <w:b/>
                <w:bCs/>
              </w:rPr>
              <w:t>Federal Award Year</w:t>
            </w:r>
          </w:p>
        </w:tc>
        <w:tc>
          <w:tcPr>
            <w:tcW w:w="2070" w:type="dxa"/>
          </w:tcPr>
          <w:p w14:paraId="6B6CCEFA" w14:textId="669A6DFF" w:rsidR="00D40966" w:rsidRPr="00BE0AE3" w:rsidRDefault="00D40966" w:rsidP="00D40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End Date Post Multi-Year </w:t>
            </w:r>
            <w:r w:rsidR="00FE3D9C">
              <w:rPr>
                <w:b/>
                <w:bCs/>
              </w:rPr>
              <w:t>(Year 2)</w:t>
            </w:r>
          </w:p>
        </w:tc>
        <w:tc>
          <w:tcPr>
            <w:tcW w:w="1125" w:type="dxa"/>
          </w:tcPr>
          <w:p w14:paraId="4F3DB211" w14:textId="21EC5234" w:rsidR="00D40966" w:rsidRDefault="00D40966" w:rsidP="00D407A8">
            <w:pPr>
              <w:rPr>
                <w:b/>
                <w:bCs/>
              </w:rPr>
            </w:pPr>
            <w:r>
              <w:rPr>
                <w:b/>
                <w:bCs/>
              </w:rPr>
              <w:t>Federal Award Year</w:t>
            </w:r>
          </w:p>
        </w:tc>
        <w:tc>
          <w:tcPr>
            <w:tcW w:w="2250" w:type="dxa"/>
          </w:tcPr>
          <w:p w14:paraId="19F808E4" w14:textId="0D1A6822" w:rsidR="00D40966" w:rsidRDefault="00D40966" w:rsidP="00D407A8">
            <w:pPr>
              <w:rPr>
                <w:b/>
                <w:bCs/>
              </w:rPr>
            </w:pPr>
            <w:r>
              <w:rPr>
                <w:b/>
                <w:bCs/>
              </w:rPr>
              <w:t>New End Date Post Multi-Year</w:t>
            </w:r>
            <w:r w:rsidR="00FE3D9C">
              <w:rPr>
                <w:b/>
                <w:bCs/>
              </w:rPr>
              <w:t xml:space="preserve"> (Year 3)</w:t>
            </w:r>
          </w:p>
        </w:tc>
      </w:tr>
      <w:tr w:rsidR="00D40966" w14:paraId="225BD072" w14:textId="77777777" w:rsidTr="00D40966">
        <w:tc>
          <w:tcPr>
            <w:tcW w:w="3825" w:type="dxa"/>
            <w:shd w:val="clear" w:color="auto" w:fill="auto"/>
          </w:tcPr>
          <w:p w14:paraId="1FC25EC8" w14:textId="375BAAD0" w:rsidR="00D40966" w:rsidRDefault="00D40966" w:rsidP="00D407A8">
            <w:r>
              <w:t>ESSER I (FC: 113)</w:t>
            </w:r>
          </w:p>
        </w:tc>
        <w:tc>
          <w:tcPr>
            <w:tcW w:w="990" w:type="dxa"/>
            <w:shd w:val="clear" w:color="auto" w:fill="auto"/>
          </w:tcPr>
          <w:p w14:paraId="7EBADEF1" w14:textId="77501AFD" w:rsidR="00D40966" w:rsidRDefault="00D40966" w:rsidP="00D407A8">
            <w:r>
              <w:t>2021</w:t>
            </w:r>
          </w:p>
        </w:tc>
        <w:tc>
          <w:tcPr>
            <w:tcW w:w="2070" w:type="dxa"/>
          </w:tcPr>
          <w:p w14:paraId="6207BDE8" w14:textId="6D59BC9A" w:rsidR="00D40966" w:rsidRDefault="00D40966" w:rsidP="00D407A8">
            <w:r>
              <w:t>6/30/2022</w:t>
            </w:r>
          </w:p>
        </w:tc>
        <w:tc>
          <w:tcPr>
            <w:tcW w:w="1125" w:type="dxa"/>
          </w:tcPr>
          <w:p w14:paraId="5E0D5EF2" w14:textId="67B1F8AA" w:rsidR="00D40966" w:rsidRDefault="00D40966" w:rsidP="00D407A8">
            <w:r>
              <w:t>2020</w:t>
            </w:r>
          </w:p>
        </w:tc>
        <w:tc>
          <w:tcPr>
            <w:tcW w:w="2250" w:type="dxa"/>
          </w:tcPr>
          <w:p w14:paraId="420058CF" w14:textId="6FA1314D" w:rsidR="00D40966" w:rsidRDefault="00E647C8" w:rsidP="00D407A8">
            <w:r>
              <w:t>6</w:t>
            </w:r>
            <w:r w:rsidR="00D40966">
              <w:t>/30/202</w:t>
            </w:r>
            <w:r>
              <w:t>2</w:t>
            </w:r>
          </w:p>
        </w:tc>
      </w:tr>
      <w:tr w:rsidR="00D40966" w14:paraId="7C63A84C" w14:textId="77777777" w:rsidTr="00D40966">
        <w:tc>
          <w:tcPr>
            <w:tcW w:w="3825" w:type="dxa"/>
            <w:shd w:val="clear" w:color="auto" w:fill="auto"/>
          </w:tcPr>
          <w:p w14:paraId="266C9D45" w14:textId="77777777" w:rsidR="00907F9C" w:rsidRDefault="00907F9C" w:rsidP="00D407A8"/>
          <w:p w14:paraId="4FC3E77C" w14:textId="77F8FF71" w:rsidR="00D40966" w:rsidRDefault="00D40966" w:rsidP="00D407A8">
            <w:r>
              <w:t>ESSER II (FC: 115)</w:t>
            </w:r>
          </w:p>
        </w:tc>
        <w:tc>
          <w:tcPr>
            <w:tcW w:w="990" w:type="dxa"/>
            <w:shd w:val="clear" w:color="auto" w:fill="auto"/>
          </w:tcPr>
          <w:p w14:paraId="5F00EC94" w14:textId="77777777" w:rsidR="00907F9C" w:rsidRDefault="00907F9C" w:rsidP="00D407A8"/>
          <w:p w14:paraId="299454DE" w14:textId="2FDA266D" w:rsidR="00D40966" w:rsidRDefault="00D40966" w:rsidP="00D407A8">
            <w:r>
              <w:t>2021</w:t>
            </w:r>
          </w:p>
        </w:tc>
        <w:tc>
          <w:tcPr>
            <w:tcW w:w="2070" w:type="dxa"/>
          </w:tcPr>
          <w:p w14:paraId="0364286B" w14:textId="77777777" w:rsidR="00907F9C" w:rsidRDefault="00907F9C" w:rsidP="00D407A8"/>
          <w:p w14:paraId="3A8893CD" w14:textId="4180C075" w:rsidR="00D40966" w:rsidRDefault="00D40966" w:rsidP="00D407A8">
            <w:r>
              <w:t>6/30/2022</w:t>
            </w:r>
          </w:p>
        </w:tc>
        <w:tc>
          <w:tcPr>
            <w:tcW w:w="1125" w:type="dxa"/>
          </w:tcPr>
          <w:p w14:paraId="28BDFD1D" w14:textId="77777777" w:rsidR="00907F9C" w:rsidRDefault="00907F9C" w:rsidP="00D407A8"/>
          <w:p w14:paraId="249B006F" w14:textId="346F312B" w:rsidR="00D40966" w:rsidRDefault="00D40966" w:rsidP="00D407A8">
            <w:r>
              <w:t>NA</w:t>
            </w:r>
          </w:p>
        </w:tc>
        <w:tc>
          <w:tcPr>
            <w:tcW w:w="2250" w:type="dxa"/>
          </w:tcPr>
          <w:p w14:paraId="696C5772" w14:textId="42A2BB52" w:rsidR="00D40966" w:rsidRDefault="00D40966" w:rsidP="00D407A8">
            <w:r>
              <w:t>NA</w:t>
            </w:r>
            <w:r w:rsidR="00907F9C">
              <w:t xml:space="preserve"> all 115s are entering Year 2</w:t>
            </w:r>
          </w:p>
        </w:tc>
      </w:tr>
      <w:tr w:rsidR="00D40966" w14:paraId="19D4E00A" w14:textId="5B79D6F0" w:rsidTr="00D40966">
        <w:tc>
          <w:tcPr>
            <w:tcW w:w="3825" w:type="dxa"/>
            <w:shd w:val="clear" w:color="auto" w:fill="auto"/>
          </w:tcPr>
          <w:p w14:paraId="541004DC" w14:textId="77777777" w:rsidR="00D40966" w:rsidRDefault="00D40966" w:rsidP="00D407A8">
            <w:r>
              <w:t>Title I (FC: 305)</w:t>
            </w:r>
          </w:p>
        </w:tc>
        <w:tc>
          <w:tcPr>
            <w:tcW w:w="990" w:type="dxa"/>
            <w:shd w:val="clear" w:color="auto" w:fill="auto"/>
          </w:tcPr>
          <w:p w14:paraId="0597562D" w14:textId="630A2E41" w:rsidR="00D40966" w:rsidRDefault="00D40966" w:rsidP="00D407A8">
            <w:r>
              <w:t>2021</w:t>
            </w:r>
          </w:p>
        </w:tc>
        <w:tc>
          <w:tcPr>
            <w:tcW w:w="2070" w:type="dxa"/>
          </w:tcPr>
          <w:p w14:paraId="19D19F31" w14:textId="65974DF9" w:rsidR="00D40966" w:rsidRDefault="00D40966" w:rsidP="00D407A8">
            <w:r>
              <w:t>6/30/2022</w:t>
            </w:r>
          </w:p>
        </w:tc>
        <w:tc>
          <w:tcPr>
            <w:tcW w:w="1125" w:type="dxa"/>
          </w:tcPr>
          <w:p w14:paraId="4D9DF8DA" w14:textId="4A3D38A9" w:rsidR="00D40966" w:rsidRDefault="00D40966" w:rsidP="00D407A8">
            <w:r>
              <w:t>2020</w:t>
            </w:r>
          </w:p>
        </w:tc>
        <w:tc>
          <w:tcPr>
            <w:tcW w:w="2250" w:type="dxa"/>
          </w:tcPr>
          <w:p w14:paraId="6C37934C" w14:textId="1B0F26E6" w:rsidR="00D40966" w:rsidRDefault="00D40966" w:rsidP="00D407A8">
            <w:r>
              <w:t>9/30/2021</w:t>
            </w:r>
          </w:p>
        </w:tc>
      </w:tr>
      <w:tr w:rsidR="00D40966" w:rsidRPr="00B8721E" w14:paraId="0D56AA1E" w14:textId="2B1AA9D8" w:rsidTr="00D40966">
        <w:tc>
          <w:tcPr>
            <w:tcW w:w="3825" w:type="dxa"/>
            <w:shd w:val="clear" w:color="auto" w:fill="auto"/>
          </w:tcPr>
          <w:p w14:paraId="16A38CD1" w14:textId="77777777" w:rsidR="00D40966" w:rsidRDefault="00D40966" w:rsidP="00D40966">
            <w:r>
              <w:t>Title II-A (FC: 140)</w:t>
            </w:r>
          </w:p>
        </w:tc>
        <w:tc>
          <w:tcPr>
            <w:tcW w:w="990" w:type="dxa"/>
            <w:shd w:val="clear" w:color="auto" w:fill="auto"/>
          </w:tcPr>
          <w:p w14:paraId="1B5DF5B6" w14:textId="593E742F" w:rsidR="00D40966" w:rsidRDefault="00D40966" w:rsidP="00D40966">
            <w:r>
              <w:t>2021</w:t>
            </w:r>
          </w:p>
        </w:tc>
        <w:tc>
          <w:tcPr>
            <w:tcW w:w="2070" w:type="dxa"/>
          </w:tcPr>
          <w:p w14:paraId="7EA7FB0A" w14:textId="2108527F" w:rsidR="00D40966" w:rsidRPr="00B8721E" w:rsidRDefault="00D40966" w:rsidP="00D40966">
            <w:r>
              <w:t>6/30/2022</w:t>
            </w:r>
          </w:p>
        </w:tc>
        <w:tc>
          <w:tcPr>
            <w:tcW w:w="1125" w:type="dxa"/>
          </w:tcPr>
          <w:p w14:paraId="5874B169" w14:textId="15270A52" w:rsidR="00D40966" w:rsidRDefault="00D40966" w:rsidP="00D40966">
            <w:r w:rsidRPr="007E0EB8">
              <w:t>2020</w:t>
            </w:r>
          </w:p>
        </w:tc>
        <w:tc>
          <w:tcPr>
            <w:tcW w:w="2250" w:type="dxa"/>
          </w:tcPr>
          <w:p w14:paraId="38F29837" w14:textId="43E17571" w:rsidR="00D40966" w:rsidRDefault="00D40966" w:rsidP="00D40966">
            <w:r w:rsidRPr="00E609F7">
              <w:t>9/30/2021</w:t>
            </w:r>
          </w:p>
        </w:tc>
      </w:tr>
      <w:tr w:rsidR="00D40966" w:rsidRPr="00B8721E" w14:paraId="189C252A" w14:textId="4DC63A2A" w:rsidTr="00D40966">
        <w:tc>
          <w:tcPr>
            <w:tcW w:w="3825" w:type="dxa"/>
            <w:shd w:val="clear" w:color="auto" w:fill="auto"/>
          </w:tcPr>
          <w:p w14:paraId="50C90190" w14:textId="77777777" w:rsidR="00D40966" w:rsidRDefault="00D40966" w:rsidP="00D40966">
            <w:r>
              <w:t>Title III (FC: 180 and 186)</w:t>
            </w:r>
          </w:p>
        </w:tc>
        <w:tc>
          <w:tcPr>
            <w:tcW w:w="990" w:type="dxa"/>
            <w:shd w:val="clear" w:color="auto" w:fill="auto"/>
          </w:tcPr>
          <w:p w14:paraId="4A4DC1C9" w14:textId="606E23B8" w:rsidR="00D40966" w:rsidRDefault="00D40966" w:rsidP="00D40966">
            <w:r>
              <w:t>2021</w:t>
            </w:r>
          </w:p>
        </w:tc>
        <w:tc>
          <w:tcPr>
            <w:tcW w:w="2070" w:type="dxa"/>
          </w:tcPr>
          <w:p w14:paraId="24101902" w14:textId="20E04C31" w:rsidR="00D40966" w:rsidRPr="00B8721E" w:rsidRDefault="00D40966" w:rsidP="00D40966">
            <w:r>
              <w:t>6/30/2022</w:t>
            </w:r>
          </w:p>
        </w:tc>
        <w:tc>
          <w:tcPr>
            <w:tcW w:w="1125" w:type="dxa"/>
          </w:tcPr>
          <w:p w14:paraId="5DC1FAEA" w14:textId="15C3A663" w:rsidR="00D40966" w:rsidRDefault="00D40966" w:rsidP="00D40966">
            <w:r w:rsidRPr="007E0EB8">
              <w:t>2020</w:t>
            </w:r>
          </w:p>
        </w:tc>
        <w:tc>
          <w:tcPr>
            <w:tcW w:w="2250" w:type="dxa"/>
          </w:tcPr>
          <w:p w14:paraId="48B24256" w14:textId="68815F3E" w:rsidR="00D40966" w:rsidRDefault="00D40966" w:rsidP="00D40966">
            <w:r w:rsidRPr="00E609F7">
              <w:t>9/30/2021</w:t>
            </w:r>
          </w:p>
        </w:tc>
      </w:tr>
      <w:tr w:rsidR="00D40966" w:rsidRPr="00B8721E" w14:paraId="289CBBD3" w14:textId="79A7B85A" w:rsidTr="00D40966">
        <w:tc>
          <w:tcPr>
            <w:tcW w:w="3825" w:type="dxa"/>
            <w:shd w:val="clear" w:color="auto" w:fill="auto"/>
          </w:tcPr>
          <w:p w14:paraId="394A8204" w14:textId="77777777" w:rsidR="00D40966" w:rsidRDefault="00D40966" w:rsidP="00D40966">
            <w:r>
              <w:t>Title IV (FC: 309)</w:t>
            </w:r>
          </w:p>
        </w:tc>
        <w:tc>
          <w:tcPr>
            <w:tcW w:w="990" w:type="dxa"/>
            <w:shd w:val="clear" w:color="auto" w:fill="auto"/>
          </w:tcPr>
          <w:p w14:paraId="7A6AB169" w14:textId="73B674E5" w:rsidR="00D40966" w:rsidRDefault="00D40966" w:rsidP="00D40966">
            <w:r>
              <w:t>2021</w:t>
            </w:r>
          </w:p>
        </w:tc>
        <w:tc>
          <w:tcPr>
            <w:tcW w:w="2070" w:type="dxa"/>
          </w:tcPr>
          <w:p w14:paraId="6A2500CE" w14:textId="1B401521" w:rsidR="00D40966" w:rsidRPr="00B8721E" w:rsidRDefault="00D40966" w:rsidP="00D40966">
            <w:r>
              <w:t>6/30/2022</w:t>
            </w:r>
          </w:p>
        </w:tc>
        <w:tc>
          <w:tcPr>
            <w:tcW w:w="1125" w:type="dxa"/>
          </w:tcPr>
          <w:p w14:paraId="71E5BA5B" w14:textId="0DD2D918" w:rsidR="00D40966" w:rsidRDefault="00D40966" w:rsidP="00D40966">
            <w:r w:rsidRPr="007E0EB8">
              <w:t>2020</w:t>
            </w:r>
          </w:p>
        </w:tc>
        <w:tc>
          <w:tcPr>
            <w:tcW w:w="2250" w:type="dxa"/>
          </w:tcPr>
          <w:p w14:paraId="3258501A" w14:textId="3133BE6B" w:rsidR="00D40966" w:rsidRDefault="00D40966" w:rsidP="00D40966">
            <w:r w:rsidRPr="00E609F7">
              <w:t>9/30/2021</w:t>
            </w:r>
          </w:p>
        </w:tc>
      </w:tr>
      <w:tr w:rsidR="00D40966" w:rsidRPr="003C7A8C" w14:paraId="11180470" w14:textId="0105D595" w:rsidTr="00D40966">
        <w:tc>
          <w:tcPr>
            <w:tcW w:w="3825" w:type="dxa"/>
            <w:shd w:val="clear" w:color="auto" w:fill="auto"/>
          </w:tcPr>
          <w:p w14:paraId="1FDE5117" w14:textId="77777777" w:rsidR="00D40966" w:rsidRPr="00D40966" w:rsidRDefault="00D40966" w:rsidP="00D40966">
            <w:r w:rsidRPr="00D40966">
              <w:t>IDEA (FC: 240)</w:t>
            </w:r>
          </w:p>
        </w:tc>
        <w:tc>
          <w:tcPr>
            <w:tcW w:w="990" w:type="dxa"/>
            <w:shd w:val="clear" w:color="auto" w:fill="auto"/>
          </w:tcPr>
          <w:p w14:paraId="2ED9A51D" w14:textId="58DB5562" w:rsidR="00D40966" w:rsidRPr="00D40966" w:rsidRDefault="00D40966" w:rsidP="00D40966">
            <w:r w:rsidRPr="00D40966">
              <w:t>2021</w:t>
            </w:r>
          </w:p>
        </w:tc>
        <w:tc>
          <w:tcPr>
            <w:tcW w:w="2070" w:type="dxa"/>
          </w:tcPr>
          <w:p w14:paraId="6EA0277E" w14:textId="3D9C6CD1" w:rsidR="00D40966" w:rsidRPr="00D40966" w:rsidRDefault="00D40966" w:rsidP="00D40966">
            <w:r w:rsidRPr="00D40966">
              <w:t>6/30/2022</w:t>
            </w:r>
          </w:p>
        </w:tc>
        <w:tc>
          <w:tcPr>
            <w:tcW w:w="1125" w:type="dxa"/>
          </w:tcPr>
          <w:p w14:paraId="312F108F" w14:textId="6CDF18E0" w:rsidR="00D40966" w:rsidRPr="00D40966" w:rsidRDefault="00D40966" w:rsidP="00D40966">
            <w:r w:rsidRPr="00D40966">
              <w:t>2020</w:t>
            </w:r>
          </w:p>
        </w:tc>
        <w:tc>
          <w:tcPr>
            <w:tcW w:w="2250" w:type="dxa"/>
          </w:tcPr>
          <w:p w14:paraId="57DF6A54" w14:textId="53A2B09A" w:rsidR="00D40966" w:rsidRPr="00D40966" w:rsidRDefault="00D40966" w:rsidP="00D40966">
            <w:pPr>
              <w:rPr>
                <w:highlight w:val="yellow"/>
              </w:rPr>
            </w:pPr>
            <w:r w:rsidRPr="00D40966">
              <w:t>9/30/2021</w:t>
            </w:r>
          </w:p>
        </w:tc>
      </w:tr>
      <w:tr w:rsidR="00D40966" w:rsidRPr="003C7A8C" w14:paraId="3A5CECDD" w14:textId="60975F81" w:rsidTr="00D40966">
        <w:tc>
          <w:tcPr>
            <w:tcW w:w="3825" w:type="dxa"/>
            <w:shd w:val="clear" w:color="auto" w:fill="auto"/>
          </w:tcPr>
          <w:p w14:paraId="6F2D7C5A" w14:textId="77777777" w:rsidR="00D40966" w:rsidRPr="00D40966" w:rsidRDefault="00D40966" w:rsidP="00D40966">
            <w:r w:rsidRPr="00D40966">
              <w:t>Early Childhood Special Ed (FC: 262)</w:t>
            </w:r>
          </w:p>
        </w:tc>
        <w:tc>
          <w:tcPr>
            <w:tcW w:w="990" w:type="dxa"/>
            <w:shd w:val="clear" w:color="auto" w:fill="auto"/>
          </w:tcPr>
          <w:p w14:paraId="3F0887D9" w14:textId="767D6B35" w:rsidR="00D40966" w:rsidRPr="00D40966" w:rsidRDefault="00D40966" w:rsidP="00D40966">
            <w:r w:rsidRPr="00D40966">
              <w:t>2021</w:t>
            </w:r>
          </w:p>
        </w:tc>
        <w:tc>
          <w:tcPr>
            <w:tcW w:w="2070" w:type="dxa"/>
          </w:tcPr>
          <w:p w14:paraId="4550731D" w14:textId="035C85CE" w:rsidR="00D40966" w:rsidRPr="00D40966" w:rsidRDefault="00D40966" w:rsidP="00D40966">
            <w:r w:rsidRPr="00D40966">
              <w:t>6/30/2022</w:t>
            </w:r>
          </w:p>
        </w:tc>
        <w:tc>
          <w:tcPr>
            <w:tcW w:w="1125" w:type="dxa"/>
          </w:tcPr>
          <w:p w14:paraId="5FAB2A82" w14:textId="7A4D9D57" w:rsidR="00D40966" w:rsidRPr="00D40966" w:rsidRDefault="00D40966" w:rsidP="00D40966">
            <w:r w:rsidRPr="00D40966">
              <w:t>2020</w:t>
            </w:r>
          </w:p>
        </w:tc>
        <w:tc>
          <w:tcPr>
            <w:tcW w:w="2250" w:type="dxa"/>
          </w:tcPr>
          <w:p w14:paraId="2A37B500" w14:textId="45CB13A9" w:rsidR="00D40966" w:rsidRPr="00D40966" w:rsidRDefault="00D40966" w:rsidP="00D40966">
            <w:pPr>
              <w:rPr>
                <w:highlight w:val="yellow"/>
              </w:rPr>
            </w:pPr>
            <w:r w:rsidRPr="00D40966">
              <w:t>9/30/2021</w:t>
            </w:r>
          </w:p>
        </w:tc>
      </w:tr>
    </w:tbl>
    <w:p w14:paraId="313EEC4E" w14:textId="77777777" w:rsidR="00D40966" w:rsidRDefault="00D40966" w:rsidP="00C701DA"/>
    <w:p w14:paraId="4BBABDA0" w14:textId="4D70C047" w:rsidR="007C3C8E" w:rsidRDefault="007C3C8E" w:rsidP="00C701DA">
      <w:r w:rsidRPr="007C3C8E">
        <w:t xml:space="preserve"> </w:t>
      </w:r>
      <w:r w:rsidR="005C1598" w:rsidRPr="00FE3D9C">
        <w:rPr>
          <w:b/>
          <w:bCs/>
        </w:rPr>
        <w:t>FY2021</w:t>
      </w:r>
      <w:r w:rsidR="005C1598">
        <w:t xml:space="preserve"> </w:t>
      </w:r>
      <w:proofErr w:type="spellStart"/>
      <w:r w:rsidR="00FE3D9C">
        <w:t>Muli</w:t>
      </w:r>
      <w:proofErr w:type="spellEnd"/>
      <w:r w:rsidR="00FE3D9C">
        <w:t xml:space="preserve">-Year grants </w:t>
      </w:r>
      <w:r w:rsidR="005C1598">
        <w:t xml:space="preserve">with a balance of </w:t>
      </w:r>
      <w:r w:rsidR="005C1598" w:rsidRPr="00907F9C">
        <w:rPr>
          <w:b/>
          <w:bCs/>
        </w:rPr>
        <w:t>over $</w:t>
      </w:r>
      <w:r w:rsidR="00FE3D9C" w:rsidRPr="00907F9C">
        <w:rPr>
          <w:b/>
          <w:bCs/>
        </w:rPr>
        <w:t>5,000</w:t>
      </w:r>
      <w:r w:rsidR="00FE3D9C">
        <w:t xml:space="preserve">, </w:t>
      </w:r>
      <w:r w:rsidR="005C1598">
        <w:t>DESE will move $100 into Year 2</w:t>
      </w:r>
      <w:r w:rsidR="00FE3D9C">
        <w:t xml:space="preserve"> </w:t>
      </w:r>
      <w:r w:rsidR="005C1598">
        <w:t xml:space="preserve">(FY2022) in order to extend your grant obligation period through </w:t>
      </w:r>
      <w:r w:rsidR="005C1598" w:rsidRPr="00FE3D9C">
        <w:rPr>
          <w:b/>
          <w:bCs/>
        </w:rPr>
        <w:t>6/30/2022.</w:t>
      </w:r>
      <w:r w:rsidR="00FE3D9C">
        <w:t xml:space="preserve">  Grantees will be able to draw these funds down starting in the July Year 2 payment request window</w:t>
      </w:r>
      <w:r w:rsidR="00D5172E">
        <w:t xml:space="preserve"> (7/1/-7/10)</w:t>
      </w:r>
      <w:r w:rsidR="00FE3D9C">
        <w:t>.</w:t>
      </w:r>
    </w:p>
    <w:p w14:paraId="44DDE379" w14:textId="18A9C609" w:rsidR="007C3C8E" w:rsidRDefault="007C3C8E" w:rsidP="00C701DA">
      <w:pPr>
        <w:rPr>
          <w:b/>
          <w:bCs/>
        </w:rPr>
      </w:pPr>
    </w:p>
    <w:p w14:paraId="6A9B5119" w14:textId="25001B2A" w:rsidR="00FE3D9C" w:rsidRDefault="00FE3D9C" w:rsidP="00FE3D9C">
      <w:r w:rsidRPr="00FE3D9C">
        <w:rPr>
          <w:b/>
          <w:bCs/>
        </w:rPr>
        <w:t>FY2020</w:t>
      </w:r>
      <w:r>
        <w:rPr>
          <w:b/>
          <w:bCs/>
        </w:rPr>
        <w:t xml:space="preserve"> </w:t>
      </w:r>
      <w:proofErr w:type="spellStart"/>
      <w:r>
        <w:t>Muli</w:t>
      </w:r>
      <w:proofErr w:type="spellEnd"/>
      <w:r>
        <w:t xml:space="preserve">-Year grants with a balance of </w:t>
      </w:r>
      <w:r w:rsidRPr="00907F9C">
        <w:rPr>
          <w:b/>
          <w:bCs/>
        </w:rPr>
        <w:t>over $5,000</w:t>
      </w:r>
      <w:r>
        <w:t xml:space="preserve">, DESE will move $100 into Year 3 (FY2022) in order to extend your grant obligation period through </w:t>
      </w:r>
      <w:r w:rsidRPr="00FE3D9C">
        <w:rPr>
          <w:b/>
          <w:bCs/>
        </w:rPr>
        <w:t>9/30/2021.</w:t>
      </w:r>
      <w:r>
        <w:t xml:space="preserve">  Grantees will be able to draw these funds down starting in the July Year 3 payment request window</w:t>
      </w:r>
      <w:r w:rsidR="00D5172E">
        <w:t xml:space="preserve"> (7/1-7/10)</w:t>
      </w:r>
      <w:r>
        <w:t>.</w:t>
      </w:r>
    </w:p>
    <w:p w14:paraId="24A243D0" w14:textId="00103824" w:rsidR="000D2CDA" w:rsidRDefault="000D2CDA" w:rsidP="00FE3D9C"/>
    <w:p w14:paraId="5C1879D2" w14:textId="5DFF5C7F" w:rsidR="000D2CDA" w:rsidRPr="000D2CDA" w:rsidRDefault="000D2CDA" w:rsidP="000D2CDA">
      <w:pPr>
        <w:rPr>
          <w:rFonts w:asciiTheme="minorHAnsi" w:eastAsiaTheme="minorHAnsi" w:hAnsiTheme="minorHAnsi" w:cstheme="minorHAnsi"/>
          <w:i/>
          <w:iCs/>
        </w:rPr>
      </w:pPr>
      <w:r w:rsidRPr="000D2CDA">
        <w:rPr>
          <w:rFonts w:asciiTheme="minorHAnsi" w:hAnsiTheme="minorHAnsi" w:cstheme="minorHAnsi"/>
          <w:i/>
          <w:iCs/>
        </w:rPr>
        <w:t xml:space="preserve">Please note: Title I Part D funds (Fund Code: 306/307) may extend grant funds into FY2022 through an ISA amendment.  Communication to grantees who receive these grants </w:t>
      </w:r>
      <w:r w:rsidR="00894DDC">
        <w:rPr>
          <w:rFonts w:asciiTheme="minorHAnsi" w:hAnsiTheme="minorHAnsi" w:cstheme="minorHAnsi"/>
          <w:i/>
          <w:iCs/>
        </w:rPr>
        <w:t>will be going out.  P</w:t>
      </w:r>
      <w:r w:rsidRPr="000D2CDA">
        <w:rPr>
          <w:rFonts w:asciiTheme="minorHAnsi" w:hAnsiTheme="minorHAnsi" w:cstheme="minorHAnsi"/>
          <w:i/>
          <w:iCs/>
        </w:rPr>
        <w:t>lease</w:t>
      </w:r>
      <w:r w:rsidRPr="000D2CDA">
        <w:rPr>
          <w:rFonts w:asciiTheme="minorHAnsi" w:hAnsiTheme="minorHAnsi" w:cstheme="minorHAnsi"/>
          <w:i/>
          <w:iCs/>
          <w:color w:val="202020"/>
        </w:rPr>
        <w:t xml:space="preserve"> contact</w:t>
      </w:r>
      <w:r w:rsidR="00894DDC">
        <w:rPr>
          <w:rFonts w:asciiTheme="minorHAnsi" w:hAnsiTheme="minorHAnsi" w:cstheme="minorHAnsi"/>
          <w:i/>
          <w:iCs/>
          <w:color w:val="202020"/>
        </w:rPr>
        <w:t xml:space="preserve"> </w:t>
      </w:r>
      <w:hyperlink r:id="rId12" w:history="1">
        <w:r w:rsidR="00894DDC" w:rsidRPr="009A3418">
          <w:rPr>
            <w:rStyle w:val="Hyperlink"/>
            <w:rFonts w:asciiTheme="minorHAnsi" w:hAnsiTheme="minorHAnsi" w:cstheme="minorHAnsi"/>
            <w:i/>
            <w:iCs/>
          </w:rPr>
          <w:t>eric.souza@mass.gov</w:t>
        </w:r>
      </w:hyperlink>
      <w:r w:rsidR="00894DDC">
        <w:rPr>
          <w:rFonts w:asciiTheme="minorHAnsi" w:hAnsiTheme="minorHAnsi" w:cstheme="minorHAnsi"/>
          <w:i/>
          <w:iCs/>
          <w:color w:val="202020"/>
        </w:rPr>
        <w:t xml:space="preserve"> </w:t>
      </w:r>
      <w:r w:rsidRPr="000D2CDA">
        <w:rPr>
          <w:rFonts w:asciiTheme="minorHAnsi" w:hAnsiTheme="minorHAnsi" w:cstheme="minorHAnsi"/>
          <w:i/>
          <w:iCs/>
          <w:color w:val="202020"/>
        </w:rPr>
        <w:t>if you have any questions.</w:t>
      </w:r>
    </w:p>
    <w:p w14:paraId="05BE8271" w14:textId="77777777" w:rsidR="000834AD" w:rsidRDefault="000834AD" w:rsidP="00FE3D9C"/>
    <w:p w14:paraId="2A3EC328" w14:textId="77777777" w:rsidR="000834AD" w:rsidRPr="008B22BB" w:rsidRDefault="000834AD" w:rsidP="000834AD">
      <w:pPr>
        <w:jc w:val="center"/>
        <w:rPr>
          <w:b/>
          <w:bCs/>
          <w:color w:val="CC0000"/>
        </w:rPr>
      </w:pPr>
      <w:r w:rsidRPr="008B22BB">
        <w:rPr>
          <w:b/>
          <w:bCs/>
          <w:color w:val="CC0000"/>
        </w:rPr>
        <w:t>ACTION ITEM: By MAY 5</w:t>
      </w:r>
      <w:r w:rsidRPr="008B22BB">
        <w:rPr>
          <w:b/>
          <w:bCs/>
          <w:color w:val="CC0000"/>
          <w:vertAlign w:val="superscript"/>
        </w:rPr>
        <w:t>th</w:t>
      </w:r>
    </w:p>
    <w:p w14:paraId="441EF3ED" w14:textId="03777AE9" w:rsidR="00FE3D9C" w:rsidRDefault="000834AD" w:rsidP="00C701DA">
      <w:pPr>
        <w:rPr>
          <w:b/>
          <w:bCs/>
        </w:rPr>
      </w:pPr>
      <w:r w:rsidRPr="000834AD">
        <w:t xml:space="preserve">Applicants that </w:t>
      </w:r>
      <w:r w:rsidRPr="008B22BB">
        <w:rPr>
          <w:b/>
          <w:bCs/>
          <w:color w:val="CC0000"/>
        </w:rPr>
        <w:t>DO NOT</w:t>
      </w:r>
      <w:r w:rsidRPr="000834AD">
        <w:rPr>
          <w:color w:val="FF0000"/>
        </w:rPr>
        <w:t xml:space="preserve"> </w:t>
      </w:r>
      <w:r w:rsidRPr="000834AD">
        <w:t xml:space="preserve">want us to roll any funds into FY2022, because all funds will be obligated by June 30, 2021 must email </w:t>
      </w:r>
      <w:hyperlink r:id="rId13" w:history="1">
        <w:r w:rsidRPr="000834AD">
          <w:rPr>
            <w:rStyle w:val="Hyperlink"/>
          </w:rPr>
          <w:t>Jennifer.M.Ahern@mass.gov</w:t>
        </w:r>
      </w:hyperlink>
      <w:r w:rsidRPr="000834AD">
        <w:t xml:space="preserve"> asap and no later than May 5</w:t>
      </w:r>
      <w:r w:rsidRPr="000834AD">
        <w:rPr>
          <w:vertAlign w:val="superscript"/>
        </w:rPr>
        <w:t>th</w:t>
      </w:r>
      <w:r w:rsidRPr="000834AD">
        <w:t>.</w:t>
      </w:r>
    </w:p>
    <w:p w14:paraId="66E82C1F" w14:textId="77777777" w:rsidR="00FE3D9C" w:rsidRPr="00FE3D9C" w:rsidRDefault="007C3C8E" w:rsidP="00FE3D9C">
      <w:pPr>
        <w:jc w:val="center"/>
        <w:rPr>
          <w:b/>
          <w:bCs/>
          <w:color w:val="FF0000"/>
          <w:vertAlign w:val="superscript"/>
        </w:rPr>
      </w:pPr>
      <w:r w:rsidRPr="008B22BB">
        <w:rPr>
          <w:b/>
          <w:bCs/>
          <w:color w:val="CC0000"/>
        </w:rPr>
        <w:t>ACTION ITEM: MAY 1</w:t>
      </w:r>
      <w:r w:rsidRPr="008B22BB">
        <w:rPr>
          <w:b/>
          <w:bCs/>
          <w:color w:val="CC0000"/>
          <w:vertAlign w:val="superscript"/>
        </w:rPr>
        <w:t>st</w:t>
      </w:r>
      <w:r w:rsidRPr="008B22BB">
        <w:rPr>
          <w:b/>
          <w:bCs/>
          <w:color w:val="CC0000"/>
        </w:rPr>
        <w:t xml:space="preserve"> through May 7</w:t>
      </w:r>
      <w:r w:rsidRPr="008B22BB">
        <w:rPr>
          <w:b/>
          <w:bCs/>
          <w:color w:val="CC0000"/>
          <w:vertAlign w:val="superscript"/>
        </w:rPr>
        <w:t>th</w:t>
      </w:r>
    </w:p>
    <w:p w14:paraId="373AA2D8" w14:textId="1BA407BF" w:rsidR="005C1598" w:rsidRPr="00907F9C" w:rsidRDefault="007C3C8E" w:rsidP="00C701DA">
      <w:r w:rsidRPr="000834AD">
        <w:t xml:space="preserve"> Applicants </w:t>
      </w:r>
      <w:r w:rsidR="00FE3D9C" w:rsidRPr="000834AD">
        <w:t xml:space="preserve">that </w:t>
      </w:r>
      <w:bookmarkStart w:id="1" w:name="_GoBack"/>
      <w:r w:rsidR="00FE3D9C" w:rsidRPr="008B22BB">
        <w:rPr>
          <w:b/>
          <w:bCs/>
          <w:color w:val="CC0000"/>
        </w:rPr>
        <w:t xml:space="preserve">would like to </w:t>
      </w:r>
      <w:r w:rsidRPr="008B22BB">
        <w:rPr>
          <w:b/>
          <w:bCs/>
          <w:color w:val="CC0000"/>
        </w:rPr>
        <w:t xml:space="preserve">file their own </w:t>
      </w:r>
      <w:bookmarkEnd w:id="1"/>
      <w:r w:rsidRPr="000834AD">
        <w:t xml:space="preserve">multi-year </w:t>
      </w:r>
      <w:r w:rsidR="00FE3D9C" w:rsidRPr="000834AD">
        <w:t xml:space="preserve">delegation </w:t>
      </w:r>
      <w:r w:rsidRPr="000834AD">
        <w:t xml:space="preserve">moving </w:t>
      </w:r>
      <w:r w:rsidR="00FE3D9C" w:rsidRPr="000834AD">
        <w:t xml:space="preserve">more than $100 </w:t>
      </w:r>
      <w:r w:rsidRPr="000834AD">
        <w:t xml:space="preserve">over to </w:t>
      </w:r>
      <w:r w:rsidR="000834AD" w:rsidRPr="000834AD">
        <w:t>FY2022</w:t>
      </w:r>
      <w:r w:rsidRPr="000834AD">
        <w:t xml:space="preserve"> may do so</w:t>
      </w:r>
      <w:r w:rsidR="00FE3D9C" w:rsidRPr="000834AD">
        <w:t xml:space="preserve"> </w:t>
      </w:r>
      <w:r w:rsidR="000834AD">
        <w:t xml:space="preserve">May 1, 2021 through May 7, 2021.  </w:t>
      </w:r>
      <w:r w:rsidR="00FE3D9C" w:rsidRPr="000834AD">
        <w:t>Grantees will be able to draw these funds down starting in the July Year 2 payment request window</w:t>
      </w:r>
      <w:r w:rsidR="000834AD" w:rsidRPr="000834AD">
        <w:t xml:space="preserve"> (FY2021 awards) and/or the July Year 3 payment request window (FY2020 awards)</w:t>
      </w:r>
      <w:r w:rsidR="00FE3D9C" w:rsidRPr="000834AD">
        <w:t xml:space="preserve">.  </w:t>
      </w:r>
      <w:r w:rsidR="005C1598" w:rsidRPr="000834AD">
        <w:t>Otherwise, for those with an unclaimed balance of over $</w:t>
      </w:r>
      <w:r w:rsidR="00FE3D9C" w:rsidRPr="000834AD">
        <w:t>5,000</w:t>
      </w:r>
      <w:r w:rsidR="005C1598" w:rsidRPr="000834AD">
        <w:t>, we will move $100 into FY2022.</w:t>
      </w:r>
      <w:bookmarkEnd w:id="0"/>
    </w:p>
    <w:sectPr w:rsidR="005C1598" w:rsidRPr="00907F9C" w:rsidSect="00A242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5FBA" w14:textId="77777777" w:rsidR="00F629F2" w:rsidRDefault="00F629F2" w:rsidP="00FB230F">
      <w:r>
        <w:separator/>
      </w:r>
    </w:p>
  </w:endnote>
  <w:endnote w:type="continuationSeparator" w:id="0">
    <w:p w14:paraId="6900F864" w14:textId="77777777" w:rsidR="00F629F2" w:rsidRDefault="00F629F2" w:rsidP="00F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ABC8" w14:textId="77777777" w:rsidR="007C3C8E" w:rsidRDefault="007C3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1103" w14:textId="77777777" w:rsidR="007C3C8E" w:rsidRDefault="007C3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2CD4" w14:textId="77777777" w:rsidR="007C3C8E" w:rsidRDefault="007C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BE6B" w14:textId="77777777" w:rsidR="00F629F2" w:rsidRDefault="00F629F2" w:rsidP="00FB230F">
      <w:r>
        <w:separator/>
      </w:r>
    </w:p>
  </w:footnote>
  <w:footnote w:type="continuationSeparator" w:id="0">
    <w:p w14:paraId="2CFF5BB5" w14:textId="77777777" w:rsidR="00F629F2" w:rsidRDefault="00F629F2" w:rsidP="00FB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7626" w14:textId="77777777" w:rsidR="007C3C8E" w:rsidRDefault="007C3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0CEC" w14:textId="77777777" w:rsidR="007C3C8E" w:rsidRDefault="007C3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9B9C" w14:textId="77777777" w:rsidR="007C3C8E" w:rsidRDefault="007C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19E5"/>
    <w:multiLevelType w:val="hybridMultilevel"/>
    <w:tmpl w:val="4758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02E7"/>
    <w:multiLevelType w:val="hybridMultilevel"/>
    <w:tmpl w:val="060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zM3tDQyNDM1MjdQ0lEKTi0uzszPAykwrAUAQEm8hSwAAAA="/>
  </w:docVars>
  <w:rsids>
    <w:rsidRoot w:val="007E238E"/>
    <w:rsid w:val="00011B80"/>
    <w:rsid w:val="00013C8E"/>
    <w:rsid w:val="0004788A"/>
    <w:rsid w:val="000834AD"/>
    <w:rsid w:val="00084127"/>
    <w:rsid w:val="000965D6"/>
    <w:rsid w:val="000D2CDA"/>
    <w:rsid w:val="0010691E"/>
    <w:rsid w:val="00133695"/>
    <w:rsid w:val="00166E34"/>
    <w:rsid w:val="00195845"/>
    <w:rsid w:val="001A6127"/>
    <w:rsid w:val="001C47B7"/>
    <w:rsid w:val="001D0E70"/>
    <w:rsid w:val="001E036B"/>
    <w:rsid w:val="001E0F24"/>
    <w:rsid w:val="00206848"/>
    <w:rsid w:val="00212AF7"/>
    <w:rsid w:val="00245066"/>
    <w:rsid w:val="0026507C"/>
    <w:rsid w:val="00284EA7"/>
    <w:rsid w:val="002E2ECD"/>
    <w:rsid w:val="00325D6A"/>
    <w:rsid w:val="003370A1"/>
    <w:rsid w:val="00344D23"/>
    <w:rsid w:val="0038586A"/>
    <w:rsid w:val="003973BA"/>
    <w:rsid w:val="003A67CD"/>
    <w:rsid w:val="003A6C66"/>
    <w:rsid w:val="003C7A8C"/>
    <w:rsid w:val="00463985"/>
    <w:rsid w:val="004F5618"/>
    <w:rsid w:val="0051771E"/>
    <w:rsid w:val="0052234C"/>
    <w:rsid w:val="00542743"/>
    <w:rsid w:val="005C1598"/>
    <w:rsid w:val="005C6A06"/>
    <w:rsid w:val="005D3D15"/>
    <w:rsid w:val="005D7213"/>
    <w:rsid w:val="00650467"/>
    <w:rsid w:val="006A1DED"/>
    <w:rsid w:val="00701E48"/>
    <w:rsid w:val="00746775"/>
    <w:rsid w:val="007C3C8E"/>
    <w:rsid w:val="007E238E"/>
    <w:rsid w:val="0085540A"/>
    <w:rsid w:val="00894DDC"/>
    <w:rsid w:val="008B22BB"/>
    <w:rsid w:val="00907F9C"/>
    <w:rsid w:val="00930F94"/>
    <w:rsid w:val="00961A0B"/>
    <w:rsid w:val="009B3D10"/>
    <w:rsid w:val="009E1E3D"/>
    <w:rsid w:val="00A24207"/>
    <w:rsid w:val="00A44900"/>
    <w:rsid w:val="00A764FA"/>
    <w:rsid w:val="00A91101"/>
    <w:rsid w:val="00AA6DEF"/>
    <w:rsid w:val="00AB56CE"/>
    <w:rsid w:val="00B45046"/>
    <w:rsid w:val="00B50279"/>
    <w:rsid w:val="00B641EC"/>
    <w:rsid w:val="00BE0AE3"/>
    <w:rsid w:val="00C701DA"/>
    <w:rsid w:val="00CA5644"/>
    <w:rsid w:val="00CD1D11"/>
    <w:rsid w:val="00CE06A7"/>
    <w:rsid w:val="00D40966"/>
    <w:rsid w:val="00D460AD"/>
    <w:rsid w:val="00D5172E"/>
    <w:rsid w:val="00D66E97"/>
    <w:rsid w:val="00D75AC1"/>
    <w:rsid w:val="00E647C8"/>
    <w:rsid w:val="00E811FF"/>
    <w:rsid w:val="00E94752"/>
    <w:rsid w:val="00EA4D8E"/>
    <w:rsid w:val="00ED478F"/>
    <w:rsid w:val="00F05195"/>
    <w:rsid w:val="00F401E6"/>
    <w:rsid w:val="00F629F2"/>
    <w:rsid w:val="00F703F7"/>
    <w:rsid w:val="00FB230F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7E928"/>
  <w15:chartTrackingRefBased/>
  <w15:docId w15:val="{4FF17375-F94A-4274-AF94-1EB29919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38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48"/>
    <w:pPr>
      <w:ind w:left="720"/>
      <w:contextualSpacing/>
    </w:pPr>
  </w:style>
  <w:style w:type="table" w:styleId="TableGrid">
    <w:name w:val="Table Grid"/>
    <w:basedOn w:val="TableNormal"/>
    <w:rsid w:val="0026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12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F7"/>
    <w:rPr>
      <w:sz w:val="20"/>
      <w:szCs w:val="20"/>
    </w:rPr>
  </w:style>
  <w:style w:type="character" w:customStyle="1" w:styleId="CommentTextChar">
    <w:name w:val="Comment Text Char"/>
    <w:link w:val="CommentText"/>
    <w:rsid w:val="00212A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12AF7"/>
    <w:rPr>
      <w:b/>
      <w:bCs/>
    </w:rPr>
  </w:style>
  <w:style w:type="character" w:customStyle="1" w:styleId="CommentSubjectChar">
    <w:name w:val="Comment Subject Char"/>
    <w:link w:val="CommentSubject"/>
    <w:rsid w:val="00212AF7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21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AF7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3A6C66"/>
    <w:rPr>
      <w:color w:val="0563C1"/>
      <w:u w:val="single"/>
    </w:rPr>
  </w:style>
  <w:style w:type="character" w:styleId="FollowedHyperlink">
    <w:name w:val="FollowedHyperlink"/>
    <w:rsid w:val="003A6C66"/>
    <w:rPr>
      <w:color w:val="954F72"/>
      <w:u w:val="single"/>
    </w:rPr>
  </w:style>
  <w:style w:type="paragraph" w:styleId="Header">
    <w:name w:val="header"/>
    <w:basedOn w:val="Normal"/>
    <w:link w:val="HeaderChar"/>
    <w:rsid w:val="00FB2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230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B23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230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E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nnifer.M.Ahern@mas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ric.souza@mas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DESE-231-69994</_dlc_DocId>
    <_dlc_DocIdUrl xmlns="733efe1c-5bbe-4968-87dc-d400e65c879f">
      <Url>https://sharepoint.doemass.org/ese/webteam/cps/_layouts/DocIdRedir.aspx?ID=DESE-231-69994</Url>
      <Description>DESE-231-69994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7FD905-E833-4ABB-B91E-3A4464BBC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72C6F-EEDB-407A-A7A0-4B3003D7A6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9C25FCA-A5CD-4D41-93F7-A8A61FA94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DCC957-44D5-4C39-A2CE-9A14A22EF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4AC709-50B5-4678-99AC-A315EE51C4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Multi-Year Information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Multi-Year Information</dc:title>
  <dc:subject/>
  <dc:creator>DESE</dc:creator>
  <cp:keywords/>
  <cp:lastModifiedBy>Zou, Dong (EOE)</cp:lastModifiedBy>
  <cp:revision>4</cp:revision>
  <dcterms:created xsi:type="dcterms:W3CDTF">2021-04-21T16:11:00Z</dcterms:created>
  <dcterms:modified xsi:type="dcterms:W3CDTF">2021-04-22T19:50:00Z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2021</vt:lpwstr>
  </property>
</Properties>
</file>