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1B04E1" w14:paraId="6AD15546" w14:textId="77777777" w:rsidTr="00EA0C6F">
        <w:trPr>
          <w:trHeight w:val="609"/>
        </w:trPr>
        <w:tc>
          <w:tcPr>
            <w:tcW w:w="7578" w:type="dxa"/>
          </w:tcPr>
          <w:p w14:paraId="5F8511FB" w14:textId="7D64A76E" w:rsidR="001B04E1" w:rsidRPr="008F1860" w:rsidRDefault="001B04E1" w:rsidP="001B04E1">
            <w:pPr>
              <w:pStyle w:val="Header"/>
              <w:ind w:left="2670" w:hanging="2670"/>
              <w:jc w:val="both"/>
              <w:rPr>
                <w:rFonts w:ascii="Arial" w:hAnsi="Arial" w:cs="Arial"/>
                <w:sz w:val="20"/>
              </w:rPr>
            </w:pPr>
            <w:bookmarkStart w:id="0" w:name="_GoBack"/>
            <w:bookmarkEnd w:id="0"/>
            <w:r w:rsidRPr="008F1860">
              <w:rPr>
                <w:rFonts w:ascii="Arial" w:hAnsi="Arial" w:cs="Arial"/>
                <w:b/>
                <w:sz w:val="20"/>
              </w:rPr>
              <w:t xml:space="preserve">Name of Grant Program: </w:t>
            </w:r>
            <w:bookmarkStart w:id="1" w:name="OLE_LINK1"/>
            <w:bookmarkStart w:id="2" w:name="OLE_LINK2"/>
            <w:r w:rsidRPr="008F1860">
              <w:rPr>
                <w:rFonts w:ascii="Arial" w:hAnsi="Arial" w:cs="Arial"/>
                <w:sz w:val="20"/>
              </w:rPr>
              <w:t>Massachusetts 21</w:t>
            </w:r>
            <w:r w:rsidRPr="008F1860">
              <w:rPr>
                <w:rFonts w:ascii="Arial" w:hAnsi="Arial" w:cs="Arial"/>
                <w:sz w:val="20"/>
                <w:vertAlign w:val="superscript"/>
              </w:rPr>
              <w:t>st</w:t>
            </w:r>
            <w:r w:rsidRPr="008F1860">
              <w:rPr>
                <w:rFonts w:ascii="Arial" w:hAnsi="Arial" w:cs="Arial"/>
                <w:sz w:val="20"/>
              </w:rPr>
              <w:t xml:space="preserve"> Century Community Learning Centers</w:t>
            </w:r>
            <w:bookmarkEnd w:id="1"/>
            <w:bookmarkEnd w:id="2"/>
            <w:r>
              <w:rPr>
                <w:rFonts w:ascii="Arial" w:hAnsi="Arial" w:cs="Arial"/>
                <w:sz w:val="20"/>
              </w:rPr>
              <w:t xml:space="preserve"> </w:t>
            </w:r>
            <w:r w:rsidRPr="008F1860">
              <w:rPr>
                <w:rFonts w:ascii="Arial" w:hAnsi="Arial" w:cs="Arial"/>
                <w:sz w:val="20"/>
              </w:rPr>
              <w:t xml:space="preserve">Supporting Additional Learning Time (for new sites)                                                         </w:t>
            </w:r>
          </w:p>
        </w:tc>
        <w:tc>
          <w:tcPr>
            <w:tcW w:w="1998" w:type="dxa"/>
          </w:tcPr>
          <w:p w14:paraId="0F0FC3A5" w14:textId="77777777" w:rsidR="001B04E1" w:rsidRDefault="001B04E1" w:rsidP="00EA0C6F">
            <w:pPr>
              <w:tabs>
                <w:tab w:val="left" w:pos="1332"/>
              </w:tabs>
              <w:rPr>
                <w:rFonts w:ascii="Arial" w:hAnsi="Arial" w:cs="Arial"/>
              </w:rPr>
            </w:pPr>
            <w:r w:rsidRPr="00233AB0">
              <w:rPr>
                <w:rFonts w:ascii="Arial" w:hAnsi="Arial" w:cs="Arial"/>
                <w:b/>
                <w:sz w:val="20"/>
                <w:szCs w:val="20"/>
              </w:rPr>
              <w:t>Fund Code:</w:t>
            </w:r>
            <w:r>
              <w:rPr>
                <w:rFonts w:ascii="Arial" w:hAnsi="Arial" w:cs="Arial"/>
              </w:rPr>
              <w:t xml:space="preserve">  </w:t>
            </w:r>
            <w:r w:rsidRPr="005525F4">
              <w:rPr>
                <w:rFonts w:ascii="Arial" w:hAnsi="Arial" w:cs="Arial"/>
                <w:sz w:val="20"/>
                <w:szCs w:val="20"/>
              </w:rPr>
              <w:t>647</w:t>
            </w:r>
            <w:r w:rsidRPr="005525F4" w:rsidDel="00147EEB">
              <w:rPr>
                <w:rFonts w:ascii="Arial" w:hAnsi="Arial" w:cs="Arial"/>
                <w:sz w:val="20"/>
                <w:szCs w:val="20"/>
              </w:rPr>
              <w:t xml:space="preserve"> </w:t>
            </w:r>
            <w:r>
              <w:rPr>
                <w:rFonts w:ascii="Arial" w:hAnsi="Arial" w:cs="Arial"/>
              </w:rPr>
              <w:t xml:space="preserve">       </w:t>
            </w:r>
            <w:r>
              <w:rPr>
                <w:rFonts w:ascii="Arial" w:hAnsi="Arial" w:cs="Arial"/>
                <w:b/>
              </w:rPr>
              <w:t xml:space="preserve">  </w:t>
            </w:r>
          </w:p>
        </w:tc>
      </w:tr>
    </w:tbl>
    <w:p w14:paraId="7BC15171" w14:textId="77777777" w:rsidR="001B04E1" w:rsidRDefault="001B04E1" w:rsidP="001B04E1">
      <w:pPr>
        <w:pStyle w:val="Heading1"/>
        <w:jc w:val="left"/>
        <w:rPr>
          <w:rFonts w:ascii="Arial" w:hAnsi="Arial" w:cs="Arial"/>
          <w:sz w:val="22"/>
          <w:szCs w:val="22"/>
        </w:rPr>
      </w:pPr>
    </w:p>
    <w:p w14:paraId="425E555C" w14:textId="3EA940F1" w:rsidR="001B04E1" w:rsidRPr="003F152C" w:rsidRDefault="001B04E1" w:rsidP="001B04E1">
      <w:pPr>
        <w:pStyle w:val="Heading1"/>
        <w:rPr>
          <w:rFonts w:ascii="Arial" w:hAnsi="Arial" w:cs="Arial"/>
          <w:sz w:val="22"/>
          <w:szCs w:val="22"/>
        </w:rPr>
      </w:pPr>
      <w:bookmarkStart w:id="3" w:name="_Hlk64887678"/>
      <w:r w:rsidRPr="003F152C">
        <w:rPr>
          <w:rFonts w:ascii="Arial" w:hAnsi="Arial" w:cs="Arial"/>
          <w:sz w:val="22"/>
          <w:szCs w:val="22"/>
        </w:rPr>
        <w:t xml:space="preserve">Addendum </w:t>
      </w:r>
      <w:r>
        <w:rPr>
          <w:rFonts w:ascii="Arial" w:hAnsi="Arial" w:cs="Arial"/>
          <w:sz w:val="22"/>
          <w:szCs w:val="22"/>
        </w:rPr>
        <w:t>A</w:t>
      </w:r>
      <w:r w:rsidRPr="003F152C">
        <w:rPr>
          <w:rFonts w:ascii="Arial" w:hAnsi="Arial" w:cs="Arial"/>
          <w:sz w:val="22"/>
          <w:szCs w:val="22"/>
        </w:rPr>
        <w:t xml:space="preserve"> </w:t>
      </w:r>
      <w:r>
        <w:rPr>
          <w:rFonts w:ascii="Arial" w:hAnsi="Arial" w:cs="Arial"/>
          <w:sz w:val="22"/>
          <w:szCs w:val="22"/>
        </w:rPr>
        <w:t>–</w:t>
      </w:r>
      <w:r w:rsidRPr="003F152C">
        <w:rPr>
          <w:rFonts w:ascii="Arial" w:hAnsi="Arial" w:cs="Arial"/>
          <w:sz w:val="22"/>
          <w:szCs w:val="22"/>
        </w:rPr>
        <w:t xml:space="preserve"> </w:t>
      </w:r>
      <w:r>
        <w:rPr>
          <w:rFonts w:ascii="Arial" w:hAnsi="Arial" w:cs="Arial"/>
          <w:sz w:val="22"/>
          <w:szCs w:val="22"/>
        </w:rPr>
        <w:t xml:space="preserve">Additional Requirements and Competitive Priorities </w:t>
      </w:r>
    </w:p>
    <w:bookmarkEnd w:id="3"/>
    <w:p w14:paraId="46EA8B66" w14:textId="77777777" w:rsidR="001B04E1" w:rsidRDefault="001B04E1" w:rsidP="001B04E1">
      <w:pPr>
        <w:rPr>
          <w:rFonts w:ascii="Arial" w:hAnsi="Arial" w:cs="Arial"/>
          <w:b/>
        </w:rPr>
      </w:pPr>
    </w:p>
    <w:p w14:paraId="1C7D68EC" w14:textId="3656B80F" w:rsidR="001B04E1" w:rsidRPr="001B04E1" w:rsidRDefault="001B04E1" w:rsidP="001B04E1">
      <w:pPr>
        <w:rPr>
          <w:rFonts w:ascii="Arial Bold" w:hAnsi="Arial Bold" w:cs="Arial"/>
          <w:b/>
          <w:caps/>
        </w:rPr>
      </w:pPr>
      <w:r w:rsidRPr="001B04E1">
        <w:rPr>
          <w:rFonts w:ascii="Arial Bold" w:hAnsi="Arial Bold" w:cs="Arial"/>
          <w:b/>
          <w:caps/>
        </w:rPr>
        <w:t>Throughout the duration of the grant, recipients are required to:</w:t>
      </w:r>
    </w:p>
    <w:p w14:paraId="2AFF1667" w14:textId="4E4457B5" w:rsidR="001B04E1" w:rsidRPr="001B04E1" w:rsidRDefault="001B04E1" w:rsidP="001B04E1">
      <w:pPr>
        <w:numPr>
          <w:ilvl w:val="0"/>
          <w:numId w:val="13"/>
        </w:numPr>
        <w:spacing w:before="120"/>
        <w:ind w:left="540"/>
        <w:rPr>
          <w:rFonts w:ascii="Arial" w:hAnsi="Arial" w:cs="Arial"/>
          <w:sz w:val="20"/>
          <w:szCs w:val="20"/>
        </w:rPr>
      </w:pPr>
      <w:bookmarkStart w:id="4" w:name="_Hlk61947823"/>
      <w:r>
        <w:rPr>
          <w:rFonts w:ascii="Arial" w:hAnsi="Arial" w:cs="Arial"/>
          <w:sz w:val="20"/>
          <w:szCs w:val="20"/>
        </w:rPr>
        <w:t>T</w:t>
      </w:r>
      <w:r w:rsidRPr="001B04E1">
        <w:rPr>
          <w:rFonts w:ascii="Arial" w:hAnsi="Arial" w:cs="Arial"/>
          <w:sz w:val="20"/>
          <w:szCs w:val="20"/>
        </w:rPr>
        <w:t xml:space="preserve">o </w:t>
      </w:r>
      <w:r>
        <w:rPr>
          <w:rFonts w:ascii="Arial" w:hAnsi="Arial" w:cs="Arial"/>
          <w:sz w:val="20"/>
          <w:szCs w:val="20"/>
        </w:rPr>
        <w:t xml:space="preserve">hire/employ </w:t>
      </w:r>
      <w:r w:rsidRPr="001B04E1">
        <w:rPr>
          <w:rFonts w:ascii="Arial" w:hAnsi="Arial" w:cs="Arial"/>
          <w:sz w:val="20"/>
          <w:szCs w:val="20"/>
        </w:rPr>
        <w:t>a full time coordinator</w:t>
      </w:r>
      <w:r>
        <w:rPr>
          <w:rFonts w:ascii="Arial" w:hAnsi="Arial" w:cs="Arial"/>
          <w:sz w:val="20"/>
          <w:szCs w:val="20"/>
        </w:rPr>
        <w:t xml:space="preserve"> for districts/agencies that are or have been awarded more then 2 schools/sites and for </w:t>
      </w:r>
      <w:r w:rsidRPr="001B04E1">
        <w:rPr>
          <w:rFonts w:ascii="Arial" w:hAnsi="Arial" w:cs="Arial"/>
          <w:sz w:val="20"/>
          <w:szCs w:val="20"/>
        </w:rPr>
        <w:t xml:space="preserve">all others at minimum </w:t>
      </w:r>
      <w:r>
        <w:rPr>
          <w:rFonts w:ascii="Arial" w:hAnsi="Arial" w:cs="Arial"/>
          <w:sz w:val="20"/>
          <w:szCs w:val="20"/>
        </w:rPr>
        <w:t xml:space="preserve">of </w:t>
      </w:r>
      <w:r w:rsidRPr="001B04E1">
        <w:rPr>
          <w:rFonts w:ascii="Arial" w:hAnsi="Arial" w:cs="Arial"/>
          <w:sz w:val="20"/>
          <w:szCs w:val="20"/>
        </w:rPr>
        <w:t>a 25-30 hour/week coordinator who is directly responsible for the successful implementation of the proposed program(s). The coordinator salary maybe supported in full or part through grant funds.</w:t>
      </w:r>
    </w:p>
    <w:bookmarkEnd w:id="4"/>
    <w:p w14:paraId="170B319B" w14:textId="77777777" w:rsidR="001B04E1" w:rsidRPr="001B04E1" w:rsidRDefault="001B04E1" w:rsidP="001B04E1">
      <w:pPr>
        <w:numPr>
          <w:ilvl w:val="0"/>
          <w:numId w:val="12"/>
        </w:numPr>
        <w:ind w:left="540"/>
        <w:rPr>
          <w:rFonts w:ascii="Arial" w:hAnsi="Arial" w:cs="Arial"/>
          <w:bCs/>
          <w:sz w:val="20"/>
          <w:szCs w:val="20"/>
        </w:rPr>
      </w:pPr>
      <w:r w:rsidRPr="001B04E1">
        <w:rPr>
          <w:rFonts w:ascii="Arial" w:hAnsi="Arial" w:cs="Arial"/>
          <w:bCs/>
          <w:sz w:val="20"/>
          <w:szCs w:val="20"/>
        </w:rPr>
        <w:t>Provide staff with the planning time needed to implement high quality academically enriching programming.</w:t>
      </w:r>
    </w:p>
    <w:p w14:paraId="380BAF4B" w14:textId="77777777" w:rsidR="001B04E1" w:rsidRPr="001B04E1" w:rsidRDefault="001B04E1" w:rsidP="001B04E1">
      <w:pPr>
        <w:numPr>
          <w:ilvl w:val="0"/>
          <w:numId w:val="12"/>
        </w:numPr>
        <w:ind w:left="540"/>
        <w:rPr>
          <w:rFonts w:ascii="Arial" w:hAnsi="Arial" w:cs="Arial"/>
          <w:b/>
          <w:sz w:val="20"/>
          <w:szCs w:val="20"/>
        </w:rPr>
      </w:pPr>
      <w:r w:rsidRPr="001B04E1">
        <w:rPr>
          <w:rFonts w:ascii="Arial" w:hAnsi="Arial" w:cs="Arial"/>
          <w:sz w:val="20"/>
          <w:szCs w:val="20"/>
        </w:rPr>
        <w:t>Offer an ELT and/or OST schedule that meets the minimum number of required hours based on the chosen model. See the</w:t>
      </w:r>
      <w:r w:rsidRPr="001B04E1">
        <w:rPr>
          <w:rFonts w:ascii="Arial" w:hAnsi="Arial" w:cs="Arial"/>
          <w:i/>
          <w:sz w:val="20"/>
          <w:szCs w:val="20"/>
        </w:rPr>
        <w:t xml:space="preserve"> Priorities </w:t>
      </w:r>
      <w:r w:rsidRPr="001B04E1">
        <w:rPr>
          <w:rFonts w:ascii="Arial" w:hAnsi="Arial" w:cs="Arial"/>
          <w:sz w:val="20"/>
          <w:szCs w:val="20"/>
        </w:rPr>
        <w:t>section above for details.</w:t>
      </w:r>
    </w:p>
    <w:p w14:paraId="3350A54A" w14:textId="77777777" w:rsidR="001B04E1" w:rsidRPr="001B04E1" w:rsidRDefault="001B04E1" w:rsidP="001B04E1">
      <w:pPr>
        <w:numPr>
          <w:ilvl w:val="0"/>
          <w:numId w:val="12"/>
        </w:numPr>
        <w:ind w:left="540"/>
        <w:rPr>
          <w:rFonts w:ascii="Arial" w:hAnsi="Arial" w:cs="Arial"/>
          <w:sz w:val="20"/>
          <w:szCs w:val="20"/>
        </w:rPr>
      </w:pPr>
      <w:r w:rsidRPr="001B04E1">
        <w:rPr>
          <w:rFonts w:ascii="Arial" w:hAnsi="Arial" w:cs="Arial"/>
          <w:sz w:val="20"/>
          <w:szCs w:val="20"/>
        </w:rPr>
        <w:t>Attend trainings and implement Department-designated program evaluation tools.</w:t>
      </w:r>
    </w:p>
    <w:p w14:paraId="37E1E7F1" w14:textId="77777777" w:rsidR="001B04E1" w:rsidRPr="001B04E1" w:rsidRDefault="001B04E1" w:rsidP="001B04E1">
      <w:pPr>
        <w:numPr>
          <w:ilvl w:val="0"/>
          <w:numId w:val="12"/>
        </w:numPr>
        <w:ind w:left="540"/>
        <w:rPr>
          <w:rFonts w:ascii="Arial" w:hAnsi="Arial" w:cs="Arial"/>
          <w:sz w:val="20"/>
          <w:szCs w:val="20"/>
        </w:rPr>
      </w:pPr>
      <w:r w:rsidRPr="001B04E1">
        <w:rPr>
          <w:rFonts w:ascii="Arial" w:hAnsi="Arial" w:cs="Arial"/>
          <w:sz w:val="20"/>
          <w:szCs w:val="20"/>
        </w:rPr>
        <w:t>Submit required reporting by the due dates posted (including student data and narrative).</w:t>
      </w:r>
    </w:p>
    <w:p w14:paraId="40AFB10E" w14:textId="563322CE" w:rsidR="001B04E1" w:rsidRPr="001B04E1" w:rsidRDefault="001B04E1" w:rsidP="001B04E1">
      <w:pPr>
        <w:spacing w:before="120"/>
        <w:ind w:left="86" w:firstLine="0"/>
        <w:rPr>
          <w:rFonts w:ascii="Arial" w:hAnsi="Arial" w:cs="Arial"/>
          <w:sz w:val="20"/>
          <w:szCs w:val="20"/>
        </w:rPr>
      </w:pPr>
      <w:r w:rsidRPr="001B04E1">
        <w:rPr>
          <w:rFonts w:ascii="Arial" w:hAnsi="Arial" w:cs="Arial"/>
          <w:sz w:val="20"/>
          <w:szCs w:val="20"/>
        </w:rPr>
        <w:t>See</w:t>
      </w:r>
      <w:r w:rsidRPr="001B04E1">
        <w:rPr>
          <w:rFonts w:ascii="Arial" w:hAnsi="Arial" w:cs="Arial"/>
          <w:i/>
          <w:sz w:val="20"/>
          <w:szCs w:val="20"/>
        </w:rPr>
        <w:t xml:space="preserve"> Addendum A – Grant Assurances </w:t>
      </w:r>
      <w:r w:rsidRPr="001B04E1">
        <w:rPr>
          <w:rFonts w:ascii="Arial" w:hAnsi="Arial" w:cs="Arial"/>
          <w:sz w:val="20"/>
          <w:szCs w:val="20"/>
        </w:rPr>
        <w:t xml:space="preserve">in the </w:t>
      </w:r>
      <w:r w:rsidRPr="001B04E1">
        <w:rPr>
          <w:rFonts w:ascii="Arial" w:hAnsi="Arial" w:cs="Arial"/>
          <w:i/>
          <w:sz w:val="20"/>
          <w:szCs w:val="20"/>
        </w:rPr>
        <w:t>Required Forms</w:t>
      </w:r>
      <w:r w:rsidRPr="001B04E1">
        <w:rPr>
          <w:rFonts w:ascii="Arial" w:hAnsi="Arial" w:cs="Arial"/>
          <w:sz w:val="20"/>
          <w:szCs w:val="20"/>
        </w:rPr>
        <w:t xml:space="preserve"> section below for additional grant</w:t>
      </w:r>
      <w:r>
        <w:rPr>
          <w:rFonts w:ascii="Arial" w:hAnsi="Arial" w:cs="Arial"/>
          <w:sz w:val="20"/>
          <w:szCs w:val="20"/>
        </w:rPr>
        <w:t xml:space="preserve"> </w:t>
      </w:r>
      <w:r w:rsidRPr="001B04E1">
        <w:rPr>
          <w:rFonts w:ascii="Arial" w:hAnsi="Arial" w:cs="Arial"/>
          <w:sz w:val="20"/>
          <w:szCs w:val="20"/>
        </w:rPr>
        <w:t>requirements.</w:t>
      </w:r>
    </w:p>
    <w:p w14:paraId="5A6184DA" w14:textId="77777777" w:rsidR="001B04E1" w:rsidRPr="001B04E1" w:rsidRDefault="001B04E1" w:rsidP="001B04E1">
      <w:pPr>
        <w:widowControl w:val="0"/>
        <w:autoSpaceDE w:val="0"/>
        <w:autoSpaceDN w:val="0"/>
        <w:adjustRightInd w:val="0"/>
        <w:spacing w:before="120"/>
        <w:ind w:left="248" w:hanging="158"/>
        <w:rPr>
          <w:rFonts w:ascii="Arial Bold" w:hAnsi="Arial Bold" w:cs="Arial"/>
          <w:b/>
          <w:bCs/>
          <w:caps/>
          <w:sz w:val="20"/>
          <w:szCs w:val="20"/>
        </w:rPr>
      </w:pPr>
      <w:r w:rsidRPr="001B04E1">
        <w:rPr>
          <w:rFonts w:ascii="Arial Bold" w:hAnsi="Arial Bold" w:cs="Arial"/>
          <w:b/>
          <w:bCs/>
          <w:caps/>
          <w:sz w:val="20"/>
          <w:szCs w:val="20"/>
        </w:rPr>
        <w:t>All Applicants must:</w:t>
      </w:r>
    </w:p>
    <w:p w14:paraId="6A328E63" w14:textId="77777777" w:rsidR="001B04E1" w:rsidRPr="001B04E1" w:rsidRDefault="001B04E1" w:rsidP="001B04E1">
      <w:pPr>
        <w:pStyle w:val="ListParagraph"/>
        <w:numPr>
          <w:ilvl w:val="0"/>
          <w:numId w:val="1"/>
        </w:numPr>
        <w:spacing w:before="120"/>
        <w:ind w:left="540"/>
        <w:contextualSpacing w:val="0"/>
        <w:jc w:val="both"/>
        <w:rPr>
          <w:rFonts w:ascii="Arial" w:hAnsi="Arial" w:cs="Arial"/>
          <w:sz w:val="20"/>
        </w:rPr>
      </w:pPr>
      <w:r w:rsidRPr="001B04E1">
        <w:rPr>
          <w:rFonts w:ascii="Arial" w:hAnsi="Arial" w:cs="Arial"/>
          <w:sz w:val="20"/>
        </w:rPr>
        <w:t>Demonstrate the activities proposed are not otherwise accessible to students who would be served, and/or would expand access to high-quality services in the community.</w:t>
      </w:r>
    </w:p>
    <w:p w14:paraId="308D5B16" w14:textId="77777777" w:rsidR="001B04E1" w:rsidRPr="001B04E1" w:rsidRDefault="001B04E1" w:rsidP="001B04E1">
      <w:pPr>
        <w:pStyle w:val="ListParagraph"/>
        <w:numPr>
          <w:ilvl w:val="0"/>
          <w:numId w:val="1"/>
        </w:numPr>
        <w:spacing w:before="120"/>
        <w:ind w:left="540"/>
        <w:contextualSpacing w:val="0"/>
        <w:jc w:val="both"/>
        <w:rPr>
          <w:rFonts w:ascii="Arial" w:hAnsi="Arial" w:cs="Arial"/>
          <w:sz w:val="20"/>
        </w:rPr>
      </w:pPr>
      <w:r w:rsidRPr="001B04E1">
        <w:rPr>
          <w:rFonts w:ascii="Arial" w:hAnsi="Arial" w:cs="Arial"/>
          <w:sz w:val="20"/>
        </w:rPr>
        <w:t xml:space="preserve">Provide a summer program that is engaging and enriching and supports students transitioning successfully into elementary, middle, and high school. </w:t>
      </w:r>
    </w:p>
    <w:p w14:paraId="39EC1CC8" w14:textId="77777777" w:rsidR="001B04E1" w:rsidRPr="001B04E1" w:rsidRDefault="001B04E1" w:rsidP="001B04E1">
      <w:pPr>
        <w:pStyle w:val="ListParagraph"/>
        <w:numPr>
          <w:ilvl w:val="0"/>
          <w:numId w:val="1"/>
        </w:numPr>
        <w:spacing w:before="120"/>
        <w:ind w:left="540"/>
        <w:contextualSpacing w:val="0"/>
        <w:jc w:val="both"/>
        <w:rPr>
          <w:rFonts w:ascii="Arial" w:hAnsi="Arial" w:cs="Arial"/>
          <w:sz w:val="20"/>
        </w:rPr>
      </w:pPr>
      <w:r w:rsidRPr="001B04E1">
        <w:rPr>
          <w:rFonts w:ascii="Arial" w:hAnsi="Arial" w:cs="Arial"/>
          <w:color w:val="000000"/>
          <w:sz w:val="20"/>
        </w:rPr>
        <w:t>Develop effective family engagement strategies that are culturally responsive, collaborative, and demonstrates an understanding of different languages, norms, and values with a goal of contributing to improved student outcomes</w:t>
      </w:r>
      <w:r w:rsidRPr="001B04E1">
        <w:rPr>
          <w:rFonts w:ascii="Arial" w:hAnsi="Arial" w:cs="Arial"/>
          <w:sz w:val="20"/>
        </w:rPr>
        <w:t xml:space="preserve"> in all developmental areas as described abov</w:t>
      </w:r>
    </w:p>
    <w:p w14:paraId="3218EA91" w14:textId="77777777" w:rsidR="001B04E1" w:rsidRPr="001B04E1" w:rsidRDefault="001B04E1" w:rsidP="001B04E1">
      <w:pPr>
        <w:pStyle w:val="ListParagraph"/>
        <w:numPr>
          <w:ilvl w:val="0"/>
          <w:numId w:val="1"/>
        </w:numPr>
        <w:spacing w:before="120"/>
        <w:ind w:left="540"/>
        <w:contextualSpacing w:val="0"/>
        <w:jc w:val="both"/>
        <w:rPr>
          <w:rFonts w:ascii="Arial" w:hAnsi="Arial" w:cs="Arial"/>
          <w:sz w:val="20"/>
        </w:rPr>
      </w:pPr>
      <w:r w:rsidRPr="001B04E1">
        <w:rPr>
          <w:rFonts w:ascii="Arial" w:hAnsi="Arial" w:cs="Arial"/>
          <w:bCs/>
          <w:sz w:val="20"/>
        </w:rPr>
        <w:t>Develop plans to ensure that the activities and initiatives that are supported through these funds will be sustained beyond the grant period.</w:t>
      </w:r>
    </w:p>
    <w:p w14:paraId="0F04283A" w14:textId="49097474" w:rsidR="001B04E1" w:rsidRPr="001B04E1" w:rsidRDefault="001B04E1" w:rsidP="001B04E1">
      <w:pPr>
        <w:spacing w:before="120"/>
        <w:ind w:left="180" w:hanging="90"/>
        <w:rPr>
          <w:rFonts w:ascii="Arial Bold" w:hAnsi="Arial Bold" w:cs="Arial"/>
          <w:b/>
          <w:bCs/>
          <w:iCs/>
          <w:caps/>
          <w:sz w:val="20"/>
          <w:szCs w:val="20"/>
        </w:rPr>
      </w:pPr>
      <w:r w:rsidRPr="001B04E1">
        <w:rPr>
          <w:rFonts w:ascii="Arial Bold" w:hAnsi="Arial Bold" w:cs="Arial"/>
          <w:b/>
          <w:bCs/>
          <w:iCs/>
          <w:caps/>
          <w:sz w:val="20"/>
          <w:szCs w:val="20"/>
          <w:highlight w:val="cyan"/>
        </w:rPr>
        <w:t>Model 1 OST Applicants</w:t>
      </w:r>
    </w:p>
    <w:p w14:paraId="0F30C27C" w14:textId="637B5F4E" w:rsidR="001B04E1" w:rsidRPr="001B04E1" w:rsidRDefault="001B04E1" w:rsidP="001B04E1">
      <w:pPr>
        <w:spacing w:before="120"/>
        <w:ind w:left="180" w:firstLine="0"/>
        <w:rPr>
          <w:rFonts w:ascii="Arial" w:hAnsi="Arial" w:cs="Arial"/>
          <w:color w:val="333333"/>
          <w:sz w:val="20"/>
          <w:szCs w:val="20"/>
        </w:rPr>
      </w:pPr>
      <w:r w:rsidRPr="001B04E1">
        <w:rPr>
          <w:rFonts w:ascii="Arial" w:hAnsi="Arial" w:cs="Arial"/>
          <w:iCs/>
          <w:sz w:val="20"/>
          <w:szCs w:val="20"/>
        </w:rPr>
        <w:t>Applicants with an existing OST program must demonstrate that the funds from this grant will be used to significantly expand and enhance current  programming and students served. These funds cannot be used for the purpose of providing scholarships for students to attend OST school year or summer programs.</w:t>
      </w:r>
    </w:p>
    <w:p w14:paraId="24D547D4" w14:textId="47AC0050" w:rsidR="001B04E1" w:rsidRPr="001B04E1" w:rsidRDefault="001B04E1" w:rsidP="001B04E1">
      <w:pPr>
        <w:spacing w:before="120"/>
        <w:ind w:left="90" w:firstLine="90"/>
        <w:rPr>
          <w:rFonts w:ascii="Arial" w:hAnsi="Arial" w:cs="Arial"/>
          <w:iCs/>
          <w:sz w:val="20"/>
          <w:szCs w:val="20"/>
        </w:rPr>
      </w:pPr>
      <w:r w:rsidRPr="001B04E1">
        <w:rPr>
          <w:rFonts w:ascii="Arial" w:hAnsi="Arial" w:cs="Arial"/>
          <w:iCs/>
          <w:sz w:val="20"/>
          <w:szCs w:val="20"/>
        </w:rPr>
        <w:t>Additional eligibility parameters for agencies and organizations other than a school district, city, or town;</w:t>
      </w:r>
    </w:p>
    <w:p w14:paraId="25316536" w14:textId="77777777" w:rsidR="001B04E1" w:rsidRPr="001B04E1" w:rsidRDefault="001B04E1" w:rsidP="001B04E1">
      <w:pPr>
        <w:pStyle w:val="ListParagraph"/>
        <w:numPr>
          <w:ilvl w:val="0"/>
          <w:numId w:val="10"/>
        </w:numPr>
        <w:spacing w:before="120"/>
        <w:ind w:left="540"/>
        <w:rPr>
          <w:rFonts w:ascii="Arial" w:hAnsi="Arial" w:cs="Arial"/>
          <w:iCs/>
          <w:sz w:val="20"/>
        </w:rPr>
      </w:pPr>
      <w:r w:rsidRPr="001B04E1">
        <w:rPr>
          <w:rFonts w:ascii="Arial" w:hAnsi="Arial" w:cs="Arial"/>
          <w:iCs/>
          <w:sz w:val="20"/>
        </w:rPr>
        <w:t>Applicants with an existing OST program must demonstrate that the funds from this grant will be used to significantly expand and enhance current  programming and students served. These funds cannot be used for the purpose of providing scholarships for students to attend OST school year or summer programs.</w:t>
      </w:r>
    </w:p>
    <w:p w14:paraId="111EB39B" w14:textId="77777777" w:rsidR="001B04E1" w:rsidRPr="001B04E1" w:rsidRDefault="001B04E1" w:rsidP="001B04E1">
      <w:pPr>
        <w:pStyle w:val="ListParagraph"/>
        <w:numPr>
          <w:ilvl w:val="0"/>
          <w:numId w:val="6"/>
        </w:numPr>
        <w:tabs>
          <w:tab w:val="clear" w:pos="720"/>
        </w:tabs>
        <w:spacing w:before="60"/>
        <w:ind w:left="540"/>
        <w:contextualSpacing w:val="0"/>
        <w:jc w:val="both"/>
        <w:rPr>
          <w:rFonts w:ascii="Arial" w:hAnsi="Arial" w:cs="Arial"/>
          <w:iCs/>
          <w:sz w:val="20"/>
        </w:rPr>
      </w:pPr>
      <w:r w:rsidRPr="001B04E1">
        <w:rPr>
          <w:rFonts w:ascii="Arial" w:hAnsi="Arial" w:cs="Arial"/>
          <w:iCs/>
          <w:sz w:val="20"/>
        </w:rPr>
        <w:t xml:space="preserve">Must demonstrate application submitted in full partnership with an eligible school/district. </w:t>
      </w:r>
    </w:p>
    <w:p w14:paraId="61DCF861" w14:textId="77777777" w:rsidR="001B04E1" w:rsidRPr="001B04E1" w:rsidRDefault="001B04E1" w:rsidP="001B04E1">
      <w:pPr>
        <w:pStyle w:val="ListParagraph"/>
        <w:numPr>
          <w:ilvl w:val="0"/>
          <w:numId w:val="6"/>
        </w:numPr>
        <w:tabs>
          <w:tab w:val="clear" w:pos="720"/>
        </w:tabs>
        <w:spacing w:before="60"/>
        <w:ind w:left="540"/>
        <w:contextualSpacing w:val="0"/>
        <w:jc w:val="both"/>
        <w:rPr>
          <w:rFonts w:ascii="Arial" w:hAnsi="Arial" w:cs="Arial"/>
          <w:iCs/>
          <w:sz w:val="20"/>
        </w:rPr>
      </w:pPr>
      <w:r w:rsidRPr="001B04E1">
        <w:rPr>
          <w:rFonts w:ascii="Arial" w:hAnsi="Arial" w:cs="Arial"/>
          <w:iCs/>
          <w:sz w:val="20"/>
        </w:rPr>
        <w:t>Will be screened for capacity to administer the program and must complete Addendum C – Documentation of Organizational Capacity, which includes a required letter of support and MOU for data sharing from the school/district. See Required Forms section below.</w:t>
      </w:r>
    </w:p>
    <w:p w14:paraId="07C89974" w14:textId="08DF1E78" w:rsidR="001B04E1" w:rsidRPr="001B04E1" w:rsidRDefault="001B04E1" w:rsidP="001B04E1">
      <w:pPr>
        <w:tabs>
          <w:tab w:val="num" w:pos="360"/>
        </w:tabs>
        <w:spacing w:before="120" w:after="80"/>
        <w:ind w:hanging="180"/>
        <w:rPr>
          <w:rFonts w:ascii="Arial Bold" w:hAnsi="Arial Bold" w:cs="Arial"/>
          <w:b/>
          <w:bCs/>
          <w:caps/>
          <w:sz w:val="20"/>
          <w:szCs w:val="20"/>
        </w:rPr>
      </w:pPr>
      <w:r w:rsidRPr="001B04E1">
        <w:rPr>
          <w:rFonts w:ascii="Arial Bold" w:hAnsi="Arial Bold" w:cs="Arial"/>
          <w:b/>
          <w:bCs/>
          <w:caps/>
          <w:sz w:val="20"/>
          <w:szCs w:val="20"/>
          <w:highlight w:val="green"/>
        </w:rPr>
        <w:t>Model 2 ELT Applicants</w:t>
      </w:r>
    </w:p>
    <w:p w14:paraId="146BA800" w14:textId="4770CB1E" w:rsidR="000B1FD1" w:rsidRPr="001B04E1" w:rsidRDefault="000B1FD1" w:rsidP="001B04E1">
      <w:pPr>
        <w:pStyle w:val="ListParagraph"/>
        <w:numPr>
          <w:ilvl w:val="0"/>
          <w:numId w:val="9"/>
        </w:numPr>
        <w:spacing w:before="120"/>
        <w:ind w:left="540"/>
        <w:contextualSpacing w:val="0"/>
        <w:jc w:val="both"/>
        <w:rPr>
          <w:rFonts w:ascii="Arial" w:hAnsi="Arial" w:cs="Arial"/>
          <w:b/>
          <w:sz w:val="20"/>
        </w:rPr>
      </w:pPr>
      <w:r w:rsidRPr="001B04E1">
        <w:rPr>
          <w:rFonts w:ascii="Arial" w:hAnsi="Arial" w:cs="Arial"/>
          <w:sz w:val="20"/>
        </w:rPr>
        <w:t>The applicant must demonstrate a plan to support other anticipated costs associated with implementing a longer school day that will not be covered using grant funds. These costs can be covered using a variety of sources including, but not limited to: Title I, local funds, existing state, or federal grants, etc.</w:t>
      </w:r>
    </w:p>
    <w:p w14:paraId="4D2D1989" w14:textId="0796C5DC" w:rsidR="001B04E1" w:rsidRPr="001B04E1" w:rsidRDefault="001B04E1" w:rsidP="001B04E1">
      <w:pPr>
        <w:pStyle w:val="ListParagraph"/>
        <w:widowControl/>
        <w:numPr>
          <w:ilvl w:val="0"/>
          <w:numId w:val="9"/>
        </w:numPr>
        <w:spacing w:before="120"/>
        <w:ind w:left="540"/>
        <w:contextualSpacing w:val="0"/>
        <w:jc w:val="both"/>
        <w:rPr>
          <w:rFonts w:ascii="Arial" w:hAnsi="Arial" w:cs="Arial"/>
          <w:sz w:val="20"/>
        </w:rPr>
      </w:pPr>
      <w:r w:rsidRPr="00A22B39">
        <w:rPr>
          <w:rFonts w:ascii="Arial" w:hAnsi="Arial" w:cs="Arial"/>
          <w:bCs/>
          <w:sz w:val="20"/>
        </w:rPr>
        <w:lastRenderedPageBreak/>
        <w:t xml:space="preserve">Grant supported programming must predominately take place at the school.  </w:t>
      </w:r>
      <w:r>
        <w:rPr>
          <w:rFonts w:ascii="Arial" w:hAnsi="Arial" w:cs="Arial"/>
          <w:sz w:val="20"/>
        </w:rPr>
        <w:t>F</w:t>
      </w:r>
      <w:r w:rsidRPr="00A22B39">
        <w:rPr>
          <w:rFonts w:ascii="Arial" w:hAnsi="Arial" w:cs="Arial"/>
          <w:sz w:val="20"/>
        </w:rPr>
        <w:t>unds may only be used to transport students during the school day to offsite locations only for programming that school does not have the proper facilities to support (e.g. swim lessons</w:t>
      </w:r>
      <w:r>
        <w:rPr>
          <w:rFonts w:ascii="Arial" w:hAnsi="Arial" w:cs="Arial"/>
          <w:sz w:val="20"/>
        </w:rPr>
        <w:t>, media lab</w:t>
      </w:r>
      <w:r w:rsidRPr="00A22B39">
        <w:rPr>
          <w:rFonts w:ascii="Arial" w:hAnsi="Arial" w:cs="Arial"/>
          <w:sz w:val="20"/>
        </w:rPr>
        <w:t>).</w:t>
      </w:r>
    </w:p>
    <w:p w14:paraId="57DDB199" w14:textId="6EF31F82" w:rsidR="001B04E1" w:rsidRPr="001B04E1" w:rsidRDefault="001B04E1" w:rsidP="001B04E1">
      <w:pPr>
        <w:pStyle w:val="ListParagraph"/>
        <w:numPr>
          <w:ilvl w:val="0"/>
          <w:numId w:val="9"/>
        </w:numPr>
        <w:spacing w:before="120"/>
        <w:ind w:left="540"/>
        <w:contextualSpacing w:val="0"/>
        <w:jc w:val="both"/>
        <w:rPr>
          <w:rFonts w:ascii="Arial" w:hAnsi="Arial" w:cs="Arial"/>
          <w:b/>
          <w:sz w:val="20"/>
        </w:rPr>
      </w:pPr>
      <w:r w:rsidRPr="001B04E1">
        <w:rPr>
          <w:rFonts w:ascii="Arial" w:hAnsi="Arial" w:cs="Arial"/>
          <w:iCs/>
          <w:sz w:val="20"/>
        </w:rPr>
        <w:t>Applicants requesting ELT funds at a school that is eligible to receive aFY2022 continuation funding for OST through Fund Code 645 must demonstrate they will continue to meet all requirements of that existing grant award, including the required number of OST hours</w:t>
      </w:r>
    </w:p>
    <w:p w14:paraId="6B35C70A" w14:textId="77777777" w:rsidR="001B04E1" w:rsidRPr="001B04E1" w:rsidRDefault="001B04E1" w:rsidP="001B04E1">
      <w:pPr>
        <w:spacing w:before="120"/>
        <w:rPr>
          <w:rFonts w:ascii="Arial Bold" w:hAnsi="Arial Bold" w:cs="Arial"/>
          <w:b/>
          <w:bCs/>
          <w:caps/>
          <w:sz w:val="20"/>
          <w:szCs w:val="20"/>
        </w:rPr>
      </w:pPr>
      <w:r w:rsidRPr="001B04E1">
        <w:rPr>
          <w:rFonts w:ascii="Arial Bold" w:hAnsi="Arial Bold" w:cs="Arial"/>
          <w:b/>
          <w:bCs/>
          <w:caps/>
          <w:sz w:val="20"/>
          <w:szCs w:val="20"/>
        </w:rPr>
        <w:t>Competitive Priority</w:t>
      </w:r>
    </w:p>
    <w:p w14:paraId="1908F001" w14:textId="5E6CBA0B" w:rsidR="001B04E1" w:rsidRPr="001B04E1" w:rsidRDefault="001B04E1" w:rsidP="001B04E1">
      <w:pPr>
        <w:spacing w:before="120"/>
        <w:rPr>
          <w:rFonts w:ascii="Arial" w:hAnsi="Arial" w:cs="Arial"/>
          <w:sz w:val="20"/>
          <w:szCs w:val="20"/>
        </w:rPr>
      </w:pPr>
      <w:r w:rsidRPr="001B04E1">
        <w:rPr>
          <w:rFonts w:ascii="Arial" w:hAnsi="Arial" w:cs="Arial"/>
          <w:sz w:val="20"/>
          <w:szCs w:val="20"/>
        </w:rPr>
        <w:t xml:space="preserve"> Priority will be given to applicants that </w:t>
      </w:r>
      <w:r w:rsidRPr="001B04E1">
        <w:rPr>
          <w:rFonts w:ascii="Arial" w:hAnsi="Arial" w:cs="Arial"/>
          <w:b/>
          <w:bCs/>
          <w:sz w:val="20"/>
          <w:szCs w:val="20"/>
        </w:rPr>
        <w:t>meet at least one (1) of the following criteria:</w:t>
      </w:r>
    </w:p>
    <w:p w14:paraId="06EC1814" w14:textId="77777777" w:rsidR="001B04E1" w:rsidRPr="001B04E1" w:rsidRDefault="001B04E1" w:rsidP="001B04E1">
      <w:pPr>
        <w:pStyle w:val="ListParagraph"/>
        <w:widowControl/>
        <w:numPr>
          <w:ilvl w:val="0"/>
          <w:numId w:val="3"/>
        </w:numPr>
        <w:spacing w:before="120"/>
        <w:ind w:left="338" w:hanging="338"/>
        <w:contextualSpacing w:val="0"/>
        <w:jc w:val="both"/>
        <w:rPr>
          <w:rFonts w:ascii="Arial" w:hAnsi="Arial" w:cs="Arial"/>
          <w:sz w:val="20"/>
        </w:rPr>
      </w:pPr>
      <w:r w:rsidRPr="001B04E1">
        <w:rPr>
          <w:rFonts w:ascii="Arial" w:hAnsi="Arial" w:cs="Arial"/>
          <w:sz w:val="20"/>
        </w:rPr>
        <w:t>Propose to provide programming to students in schools designated as Title I School-Wide (SW) programs</w:t>
      </w:r>
      <w:r w:rsidRPr="001B04E1">
        <w:rPr>
          <w:rFonts w:ascii="Arial" w:hAnsi="Arial" w:cs="Arial"/>
          <w:spacing w:val="-1"/>
          <w:sz w:val="20"/>
        </w:rPr>
        <w:t xml:space="preserve">. </w:t>
      </w:r>
    </w:p>
    <w:p w14:paraId="2A647635" w14:textId="77777777" w:rsidR="001B04E1" w:rsidRPr="001B04E1" w:rsidRDefault="001B04E1" w:rsidP="001B04E1">
      <w:pPr>
        <w:pStyle w:val="ListParagraph"/>
        <w:widowControl/>
        <w:numPr>
          <w:ilvl w:val="0"/>
          <w:numId w:val="3"/>
        </w:numPr>
        <w:spacing w:before="120"/>
        <w:ind w:left="338" w:hanging="270"/>
        <w:contextualSpacing w:val="0"/>
        <w:jc w:val="both"/>
        <w:rPr>
          <w:rFonts w:ascii="Arial" w:hAnsi="Arial" w:cs="Arial"/>
          <w:sz w:val="20"/>
        </w:rPr>
      </w:pPr>
      <w:r w:rsidRPr="001B04E1">
        <w:rPr>
          <w:rFonts w:ascii="Arial" w:hAnsi="Arial" w:cs="Arial"/>
          <w:sz w:val="20"/>
        </w:rPr>
        <w:t xml:space="preserve">Propose to serve youth from schools/communities with </w:t>
      </w:r>
      <w:r w:rsidRPr="001B04E1">
        <w:rPr>
          <w:rFonts w:ascii="Arial" w:hAnsi="Arial" w:cs="Arial"/>
          <w:sz w:val="20"/>
          <w:u w:val="single"/>
        </w:rPr>
        <w:t>&gt;</w:t>
      </w:r>
      <w:r w:rsidRPr="001B04E1">
        <w:rPr>
          <w:rFonts w:ascii="Arial" w:hAnsi="Arial" w:cs="Arial"/>
          <w:sz w:val="20"/>
        </w:rPr>
        <w:t xml:space="preserve">40 percent of students who are ED, as indicated at the </w:t>
      </w:r>
      <w:hyperlink r:id="rId9" w:history="1">
        <w:r w:rsidRPr="001B04E1">
          <w:rPr>
            <w:rStyle w:val="Hyperlink"/>
            <w:rFonts w:ascii="Arial" w:hAnsi="Arial" w:cs="Arial"/>
            <w:sz w:val="20"/>
          </w:rPr>
          <w:t>Department's School and District profiles page</w:t>
        </w:r>
      </w:hyperlink>
      <w:r w:rsidRPr="001B04E1">
        <w:rPr>
          <w:rFonts w:ascii="Arial" w:hAnsi="Arial" w:cs="Arial"/>
          <w:sz w:val="20"/>
        </w:rPr>
        <w:t xml:space="preserve">. </w:t>
      </w:r>
    </w:p>
    <w:p w14:paraId="6B1798E8" w14:textId="77777777" w:rsidR="001B04E1" w:rsidRPr="001B04E1" w:rsidRDefault="001B04E1" w:rsidP="001B04E1">
      <w:pPr>
        <w:pStyle w:val="ListParagraph"/>
        <w:widowControl/>
        <w:numPr>
          <w:ilvl w:val="0"/>
          <w:numId w:val="3"/>
        </w:numPr>
        <w:spacing w:before="120"/>
        <w:ind w:left="338" w:hanging="270"/>
        <w:contextualSpacing w:val="0"/>
        <w:jc w:val="both"/>
        <w:rPr>
          <w:rFonts w:ascii="Arial" w:hAnsi="Arial" w:cs="Arial"/>
          <w:sz w:val="20"/>
        </w:rPr>
      </w:pPr>
      <w:bookmarkStart w:id="5" w:name="_Hlk63154167"/>
      <w:r w:rsidRPr="001B04E1">
        <w:rPr>
          <w:rFonts w:ascii="Arial" w:hAnsi="Arial" w:cs="Arial"/>
          <w:sz w:val="20"/>
        </w:rPr>
        <w:t xml:space="preserve">Propose to implement more time in, or in partnership with, </w:t>
      </w:r>
      <w:bookmarkStart w:id="6" w:name="_Hlk61246855"/>
      <w:r w:rsidRPr="001B04E1">
        <w:rPr>
          <w:rFonts w:ascii="Arial" w:hAnsi="Arial" w:cs="Arial"/>
          <w:color w:val="333333"/>
          <w:sz w:val="20"/>
        </w:rPr>
        <w:t xml:space="preserve">schools and districts </w:t>
      </w:r>
      <w:r w:rsidRPr="001B04E1">
        <w:rPr>
          <w:rFonts w:ascii="Arial" w:hAnsi="Arial" w:cs="Arial"/>
          <w:sz w:val="20"/>
        </w:rPr>
        <w:t xml:space="preserve">designated as </w:t>
      </w:r>
      <w:r w:rsidRPr="001B04E1">
        <w:rPr>
          <w:rFonts w:ascii="Arial" w:hAnsi="Arial" w:cs="Arial"/>
          <w:color w:val="333333"/>
          <w:sz w:val="20"/>
        </w:rPr>
        <w:t>requiring assistance or intervention</w:t>
      </w:r>
      <w:r w:rsidRPr="001B04E1">
        <w:rPr>
          <w:rFonts w:ascii="Arial" w:hAnsi="Arial" w:cs="Arial"/>
          <w:sz w:val="20"/>
        </w:rPr>
        <w:t xml:space="preserve"> in 2019 </w:t>
      </w:r>
      <w:bookmarkEnd w:id="6"/>
      <w:r w:rsidRPr="001B04E1">
        <w:rPr>
          <w:rFonts w:ascii="Arial" w:hAnsi="Arial" w:cs="Arial"/>
          <w:sz w:val="20"/>
        </w:rPr>
        <w:t xml:space="preserve">(to view school </w:t>
      </w:r>
      <w:hyperlink r:id="rId10" w:history="1">
        <w:r w:rsidRPr="001B04E1">
          <w:rPr>
            <w:rStyle w:val="Hyperlink"/>
            <w:rFonts w:ascii="Arial" w:hAnsi="Arial" w:cs="Arial"/>
            <w:sz w:val="20"/>
          </w:rPr>
          <w:t>accountability data</w:t>
        </w:r>
      </w:hyperlink>
      <w:r w:rsidRPr="001B04E1">
        <w:rPr>
          <w:rFonts w:ascii="Arial" w:hAnsi="Arial" w:cs="Arial"/>
          <w:sz w:val="20"/>
        </w:rPr>
        <w:t xml:space="preserve"> – </w:t>
      </w:r>
      <w:r w:rsidRPr="001B04E1">
        <w:rPr>
          <w:rFonts w:ascii="Arial" w:hAnsi="Arial" w:cs="Arial"/>
          <w:i/>
          <w:iCs/>
          <w:sz w:val="20"/>
        </w:rPr>
        <w:t xml:space="preserve">select “district” or “school” and “2019” and then “view report”). </w:t>
      </w:r>
    </w:p>
    <w:bookmarkEnd w:id="5"/>
    <w:p w14:paraId="0351EB54" w14:textId="77777777" w:rsidR="001B04E1" w:rsidRPr="001B04E1" w:rsidRDefault="001B04E1" w:rsidP="001B04E1">
      <w:pPr>
        <w:pStyle w:val="BodyText"/>
        <w:numPr>
          <w:ilvl w:val="0"/>
          <w:numId w:val="3"/>
        </w:numPr>
        <w:spacing w:before="120" w:after="0"/>
        <w:ind w:left="338" w:right="634" w:hanging="270"/>
        <w:rPr>
          <w:rFonts w:ascii="Arial" w:hAnsi="Arial" w:cs="Arial"/>
          <w:sz w:val="20"/>
        </w:rPr>
      </w:pPr>
      <w:r w:rsidRPr="001B04E1">
        <w:rPr>
          <w:rFonts w:ascii="Arial" w:hAnsi="Arial" w:cs="Arial"/>
          <w:sz w:val="20"/>
        </w:rPr>
        <w:t>Submit the application in full partnership, including a school district as well as one or more community-based organizations and/or other public or private organizations. A s</w:t>
      </w:r>
      <w:r w:rsidRPr="001B04E1">
        <w:rPr>
          <w:rFonts w:ascii="Arial" w:hAnsi="Arial" w:cs="Arial"/>
          <w:spacing w:val="-3"/>
          <w:sz w:val="20"/>
        </w:rPr>
        <w:t xml:space="preserve">chool district may </w:t>
      </w:r>
      <w:r w:rsidRPr="001B04E1">
        <w:rPr>
          <w:rFonts w:ascii="Arial" w:hAnsi="Arial" w:cs="Arial"/>
          <w:spacing w:val="-1"/>
          <w:sz w:val="20"/>
        </w:rPr>
        <w:t>receive</w:t>
      </w:r>
      <w:r w:rsidRPr="001B04E1">
        <w:rPr>
          <w:rFonts w:ascii="Arial" w:hAnsi="Arial" w:cs="Arial"/>
          <w:sz w:val="20"/>
        </w:rPr>
        <w:t xml:space="preserve"> </w:t>
      </w:r>
      <w:r w:rsidRPr="001B04E1">
        <w:rPr>
          <w:rFonts w:ascii="Arial" w:hAnsi="Arial" w:cs="Arial"/>
          <w:spacing w:val="-1"/>
          <w:sz w:val="20"/>
        </w:rPr>
        <w:t>priority</w:t>
      </w:r>
      <w:r w:rsidRPr="001B04E1">
        <w:rPr>
          <w:rFonts w:ascii="Arial" w:hAnsi="Arial" w:cs="Arial"/>
          <w:spacing w:val="1"/>
          <w:sz w:val="20"/>
        </w:rPr>
        <w:t xml:space="preserve"> </w:t>
      </w:r>
      <w:r w:rsidRPr="001B04E1">
        <w:rPr>
          <w:rFonts w:ascii="Arial" w:hAnsi="Arial" w:cs="Arial"/>
          <w:spacing w:val="-1"/>
          <w:sz w:val="20"/>
        </w:rPr>
        <w:t>points</w:t>
      </w:r>
      <w:r w:rsidRPr="001B04E1">
        <w:rPr>
          <w:rFonts w:ascii="Arial" w:hAnsi="Arial" w:cs="Arial"/>
          <w:spacing w:val="-2"/>
          <w:sz w:val="20"/>
        </w:rPr>
        <w:t xml:space="preserve"> </w:t>
      </w:r>
      <w:r w:rsidRPr="001B04E1">
        <w:rPr>
          <w:rFonts w:ascii="Arial" w:hAnsi="Arial" w:cs="Arial"/>
          <w:spacing w:val="-1"/>
          <w:sz w:val="20"/>
        </w:rPr>
        <w:t>without</w:t>
      </w:r>
      <w:r w:rsidRPr="001B04E1">
        <w:rPr>
          <w:rFonts w:ascii="Arial" w:hAnsi="Arial" w:cs="Arial"/>
          <w:spacing w:val="-2"/>
          <w:sz w:val="20"/>
        </w:rPr>
        <w:t xml:space="preserve"> </w:t>
      </w:r>
      <w:r w:rsidRPr="001B04E1">
        <w:rPr>
          <w:rFonts w:ascii="Arial" w:hAnsi="Arial" w:cs="Arial"/>
          <w:sz w:val="20"/>
        </w:rPr>
        <w:t>a</w:t>
      </w:r>
      <w:r w:rsidRPr="001B04E1">
        <w:rPr>
          <w:rFonts w:ascii="Arial" w:hAnsi="Arial" w:cs="Arial"/>
          <w:spacing w:val="75"/>
          <w:sz w:val="20"/>
        </w:rPr>
        <w:t xml:space="preserve"> </w:t>
      </w:r>
      <w:r w:rsidRPr="001B04E1">
        <w:rPr>
          <w:rFonts w:ascii="Arial" w:hAnsi="Arial" w:cs="Arial"/>
          <w:spacing w:val="-1"/>
          <w:sz w:val="20"/>
        </w:rPr>
        <w:t>partner</w:t>
      </w:r>
      <w:r w:rsidRPr="001B04E1">
        <w:rPr>
          <w:rFonts w:ascii="Arial" w:hAnsi="Arial" w:cs="Arial"/>
          <w:sz w:val="20"/>
        </w:rPr>
        <w:t xml:space="preserve"> if </w:t>
      </w:r>
      <w:r w:rsidRPr="001B04E1">
        <w:rPr>
          <w:rFonts w:ascii="Arial" w:hAnsi="Arial" w:cs="Arial"/>
          <w:spacing w:val="-1"/>
          <w:sz w:val="20"/>
        </w:rPr>
        <w:t>they are able to show</w:t>
      </w:r>
      <w:r w:rsidRPr="001B04E1">
        <w:rPr>
          <w:rFonts w:ascii="Arial" w:hAnsi="Arial" w:cs="Arial"/>
          <w:spacing w:val="1"/>
          <w:sz w:val="20"/>
        </w:rPr>
        <w:t xml:space="preserve"> </w:t>
      </w:r>
      <w:r w:rsidRPr="001B04E1">
        <w:rPr>
          <w:rFonts w:ascii="Arial" w:hAnsi="Arial" w:cs="Arial"/>
          <w:spacing w:val="-1"/>
          <w:sz w:val="20"/>
        </w:rPr>
        <w:t>that</w:t>
      </w:r>
      <w:r w:rsidRPr="001B04E1">
        <w:rPr>
          <w:rFonts w:ascii="Arial" w:hAnsi="Arial" w:cs="Arial"/>
          <w:sz w:val="20"/>
        </w:rPr>
        <w:t xml:space="preserve"> </w:t>
      </w:r>
      <w:r w:rsidRPr="001B04E1">
        <w:rPr>
          <w:rFonts w:ascii="Arial" w:hAnsi="Arial" w:cs="Arial"/>
          <w:spacing w:val="-1"/>
          <w:sz w:val="20"/>
        </w:rPr>
        <w:t>they</w:t>
      </w:r>
      <w:r w:rsidRPr="001B04E1">
        <w:rPr>
          <w:rFonts w:ascii="Arial" w:hAnsi="Arial" w:cs="Arial"/>
          <w:spacing w:val="2"/>
          <w:sz w:val="20"/>
        </w:rPr>
        <w:t xml:space="preserve"> </w:t>
      </w:r>
      <w:r w:rsidRPr="001B04E1">
        <w:rPr>
          <w:rFonts w:ascii="Arial" w:hAnsi="Arial" w:cs="Arial"/>
          <w:sz w:val="20"/>
        </w:rPr>
        <w:t>are</w:t>
      </w:r>
      <w:r w:rsidRPr="001B04E1">
        <w:rPr>
          <w:rFonts w:ascii="Arial" w:hAnsi="Arial" w:cs="Arial"/>
          <w:spacing w:val="-3"/>
          <w:sz w:val="20"/>
        </w:rPr>
        <w:t xml:space="preserve"> </w:t>
      </w:r>
      <w:r w:rsidRPr="001B04E1">
        <w:rPr>
          <w:rFonts w:ascii="Arial" w:hAnsi="Arial" w:cs="Arial"/>
          <w:spacing w:val="-1"/>
          <w:sz w:val="20"/>
        </w:rPr>
        <w:t>unable</w:t>
      </w:r>
      <w:r w:rsidRPr="001B04E1">
        <w:rPr>
          <w:rFonts w:ascii="Arial" w:hAnsi="Arial" w:cs="Arial"/>
          <w:sz w:val="20"/>
        </w:rPr>
        <w:t xml:space="preserve"> </w:t>
      </w:r>
      <w:r w:rsidRPr="001B04E1">
        <w:rPr>
          <w:rFonts w:ascii="Arial" w:hAnsi="Arial" w:cs="Arial"/>
          <w:spacing w:val="-1"/>
          <w:sz w:val="20"/>
        </w:rPr>
        <w:t>to</w:t>
      </w:r>
      <w:r w:rsidRPr="001B04E1">
        <w:rPr>
          <w:rFonts w:ascii="Arial" w:hAnsi="Arial" w:cs="Arial"/>
          <w:spacing w:val="1"/>
          <w:sz w:val="20"/>
        </w:rPr>
        <w:t xml:space="preserve"> </w:t>
      </w:r>
      <w:r w:rsidRPr="001B04E1">
        <w:rPr>
          <w:rFonts w:ascii="Arial" w:hAnsi="Arial" w:cs="Arial"/>
          <w:spacing w:val="-2"/>
          <w:sz w:val="20"/>
        </w:rPr>
        <w:t>partner</w:t>
      </w:r>
      <w:r w:rsidRPr="001B04E1">
        <w:rPr>
          <w:rFonts w:ascii="Arial" w:hAnsi="Arial" w:cs="Arial"/>
          <w:sz w:val="20"/>
        </w:rPr>
        <w:t xml:space="preserve"> with</w:t>
      </w:r>
      <w:r w:rsidRPr="001B04E1">
        <w:rPr>
          <w:rFonts w:ascii="Arial" w:hAnsi="Arial" w:cs="Arial"/>
          <w:spacing w:val="-3"/>
          <w:sz w:val="20"/>
        </w:rPr>
        <w:t xml:space="preserve"> </w:t>
      </w:r>
      <w:r w:rsidRPr="001B04E1">
        <w:rPr>
          <w:rFonts w:ascii="Arial" w:hAnsi="Arial" w:cs="Arial"/>
          <w:sz w:val="20"/>
        </w:rPr>
        <w:t xml:space="preserve">a </w:t>
      </w:r>
      <w:r w:rsidRPr="001B04E1">
        <w:rPr>
          <w:rFonts w:ascii="Arial" w:hAnsi="Arial" w:cs="Arial"/>
          <w:spacing w:val="-1"/>
          <w:sz w:val="20"/>
        </w:rPr>
        <w:t>community-based</w:t>
      </w:r>
      <w:r w:rsidRPr="001B04E1">
        <w:rPr>
          <w:rFonts w:ascii="Arial" w:hAnsi="Arial" w:cs="Arial"/>
          <w:spacing w:val="-3"/>
          <w:sz w:val="20"/>
        </w:rPr>
        <w:t xml:space="preserve"> </w:t>
      </w:r>
      <w:r w:rsidRPr="001B04E1">
        <w:rPr>
          <w:rFonts w:ascii="Arial" w:hAnsi="Arial" w:cs="Arial"/>
          <w:spacing w:val="-1"/>
          <w:sz w:val="20"/>
        </w:rPr>
        <w:t>organization</w:t>
      </w:r>
      <w:r w:rsidRPr="001B04E1">
        <w:rPr>
          <w:rFonts w:ascii="Arial" w:hAnsi="Arial" w:cs="Arial"/>
          <w:spacing w:val="-3"/>
          <w:sz w:val="20"/>
        </w:rPr>
        <w:t xml:space="preserve"> </w:t>
      </w:r>
      <w:r w:rsidRPr="001B04E1">
        <w:rPr>
          <w:rFonts w:ascii="Arial" w:hAnsi="Arial" w:cs="Arial"/>
          <w:sz w:val="20"/>
        </w:rPr>
        <w:t>in a</w:t>
      </w:r>
      <w:r w:rsidRPr="001B04E1">
        <w:rPr>
          <w:rFonts w:ascii="Arial" w:hAnsi="Arial" w:cs="Arial"/>
          <w:spacing w:val="61"/>
          <w:sz w:val="20"/>
        </w:rPr>
        <w:t xml:space="preserve"> </w:t>
      </w:r>
      <w:r w:rsidRPr="001B04E1">
        <w:rPr>
          <w:rFonts w:ascii="Arial" w:hAnsi="Arial" w:cs="Arial"/>
          <w:spacing w:val="-1"/>
          <w:sz w:val="20"/>
        </w:rPr>
        <w:t>reasonable</w:t>
      </w:r>
      <w:r w:rsidRPr="001B04E1">
        <w:rPr>
          <w:rFonts w:ascii="Arial" w:hAnsi="Arial" w:cs="Arial"/>
          <w:spacing w:val="-3"/>
          <w:sz w:val="20"/>
        </w:rPr>
        <w:t xml:space="preserve"> </w:t>
      </w:r>
      <w:r w:rsidRPr="001B04E1">
        <w:rPr>
          <w:rFonts w:ascii="Arial" w:hAnsi="Arial" w:cs="Arial"/>
          <w:spacing w:val="-1"/>
          <w:sz w:val="20"/>
        </w:rPr>
        <w:t>geographic</w:t>
      </w:r>
      <w:r w:rsidRPr="001B04E1">
        <w:rPr>
          <w:rFonts w:ascii="Arial" w:hAnsi="Arial" w:cs="Arial"/>
          <w:sz w:val="20"/>
        </w:rPr>
        <w:t xml:space="preserve"> </w:t>
      </w:r>
      <w:r w:rsidRPr="001B04E1">
        <w:rPr>
          <w:rFonts w:ascii="Arial" w:hAnsi="Arial" w:cs="Arial"/>
          <w:spacing w:val="-1"/>
          <w:sz w:val="20"/>
        </w:rPr>
        <w:t>proximity</w:t>
      </w:r>
      <w:r w:rsidRPr="001B04E1">
        <w:rPr>
          <w:rFonts w:ascii="Arial" w:hAnsi="Arial" w:cs="Arial"/>
          <w:sz w:val="20"/>
        </w:rPr>
        <w:t xml:space="preserve"> and</w:t>
      </w:r>
      <w:r w:rsidRPr="001B04E1">
        <w:rPr>
          <w:rFonts w:ascii="Arial" w:hAnsi="Arial" w:cs="Arial"/>
          <w:spacing w:val="-4"/>
          <w:sz w:val="20"/>
        </w:rPr>
        <w:t xml:space="preserve"> </w:t>
      </w:r>
      <w:r w:rsidRPr="001B04E1">
        <w:rPr>
          <w:rFonts w:ascii="Arial" w:hAnsi="Arial" w:cs="Arial"/>
          <w:sz w:val="20"/>
        </w:rPr>
        <w:t xml:space="preserve">of </w:t>
      </w:r>
      <w:r w:rsidRPr="001B04E1">
        <w:rPr>
          <w:rFonts w:ascii="Arial" w:hAnsi="Arial" w:cs="Arial"/>
          <w:spacing w:val="-1"/>
          <w:sz w:val="20"/>
        </w:rPr>
        <w:t>sufficient quality.</w:t>
      </w:r>
    </w:p>
    <w:p w14:paraId="78BDB07B" w14:textId="77777777" w:rsidR="001B04E1" w:rsidRPr="001B04E1" w:rsidRDefault="001B04E1" w:rsidP="001B04E1">
      <w:pPr>
        <w:pStyle w:val="ListParagraph"/>
        <w:numPr>
          <w:ilvl w:val="0"/>
          <w:numId w:val="11"/>
        </w:numPr>
        <w:spacing w:before="120"/>
        <w:ind w:left="338" w:hanging="270"/>
        <w:contextualSpacing w:val="0"/>
        <w:jc w:val="both"/>
        <w:rPr>
          <w:rFonts w:ascii="Arial" w:hAnsi="Arial" w:cs="Arial"/>
          <w:sz w:val="20"/>
        </w:rPr>
      </w:pPr>
      <w:r w:rsidRPr="001B04E1">
        <w:rPr>
          <w:rFonts w:ascii="Arial" w:hAnsi="Arial" w:cs="Arial"/>
          <w:sz w:val="20"/>
        </w:rPr>
        <w:t>Districts/Agencies that have not previously received 21</w:t>
      </w:r>
      <w:r w:rsidRPr="001B04E1">
        <w:rPr>
          <w:rFonts w:ascii="Arial" w:hAnsi="Arial" w:cs="Arial"/>
          <w:sz w:val="20"/>
          <w:vertAlign w:val="superscript"/>
        </w:rPr>
        <w:t>st</w:t>
      </w:r>
      <w:r w:rsidRPr="001B04E1">
        <w:rPr>
          <w:rFonts w:ascii="Arial" w:hAnsi="Arial" w:cs="Arial"/>
          <w:sz w:val="20"/>
        </w:rPr>
        <w:t xml:space="preserve"> CCLC funding.</w:t>
      </w:r>
    </w:p>
    <w:p w14:paraId="20285D04" w14:textId="77777777" w:rsidR="001B04E1" w:rsidRPr="001B04E1" w:rsidRDefault="001B04E1" w:rsidP="001B04E1">
      <w:pPr>
        <w:pStyle w:val="ListParagraph"/>
        <w:numPr>
          <w:ilvl w:val="0"/>
          <w:numId w:val="11"/>
        </w:numPr>
        <w:spacing w:before="120"/>
        <w:ind w:left="338" w:hanging="270"/>
        <w:contextualSpacing w:val="0"/>
        <w:jc w:val="both"/>
        <w:rPr>
          <w:rFonts w:ascii="Arial" w:hAnsi="Arial" w:cs="Arial"/>
          <w:sz w:val="20"/>
        </w:rPr>
      </w:pPr>
      <w:r w:rsidRPr="001B04E1">
        <w:rPr>
          <w:rFonts w:ascii="Arial" w:hAnsi="Arial" w:cs="Arial"/>
          <w:sz w:val="20"/>
        </w:rPr>
        <w:t xml:space="preserve">ELT applicants that infuse the enrichment into the weekly student schedule (offered every day) and/or includes a project based learning (PBL) block as a teaching and learning strategy. </w:t>
      </w:r>
    </w:p>
    <w:p w14:paraId="53EC5142" w14:textId="0C2A2F5C" w:rsidR="001B04E1" w:rsidRPr="001B04E1" w:rsidRDefault="001B04E1" w:rsidP="001B04E1">
      <w:pPr>
        <w:widowControl w:val="0"/>
        <w:autoSpaceDE w:val="0"/>
        <w:autoSpaceDN w:val="0"/>
        <w:adjustRightInd w:val="0"/>
        <w:spacing w:before="120"/>
        <w:ind w:left="248" w:hanging="68"/>
        <w:rPr>
          <w:rFonts w:ascii="Arial" w:hAnsi="Arial" w:cs="Arial"/>
          <w:b/>
          <w:bCs/>
          <w:sz w:val="20"/>
          <w:szCs w:val="20"/>
        </w:rPr>
      </w:pPr>
      <w:r w:rsidRPr="001B04E1">
        <w:rPr>
          <w:rFonts w:ascii="Arial" w:hAnsi="Arial" w:cs="Arial"/>
          <w:i/>
          <w:sz w:val="20"/>
          <w:szCs w:val="20"/>
        </w:rPr>
        <w:t>The Department reserves the right to consider additional factors such as geographic distribution and diversity of applicant type in making final award decisions.</w:t>
      </w:r>
    </w:p>
    <w:p w14:paraId="2059F1B4" w14:textId="4B715C54" w:rsidR="001B04E1" w:rsidRPr="001B04E1" w:rsidRDefault="001B04E1" w:rsidP="001B04E1">
      <w:pPr>
        <w:widowControl w:val="0"/>
        <w:autoSpaceDE w:val="0"/>
        <w:autoSpaceDN w:val="0"/>
        <w:adjustRightInd w:val="0"/>
        <w:spacing w:before="120"/>
        <w:ind w:left="90" w:firstLine="0"/>
        <w:rPr>
          <w:rFonts w:ascii="Arial Bold" w:hAnsi="Arial Bold" w:cs="Arial"/>
          <w:b/>
          <w:iCs/>
          <w:caps/>
          <w:sz w:val="20"/>
          <w:szCs w:val="20"/>
        </w:rPr>
      </w:pPr>
      <w:r w:rsidRPr="001B04E1">
        <w:rPr>
          <w:rFonts w:ascii="Arial Bold" w:hAnsi="Arial Bold" w:cs="Arial"/>
          <w:b/>
          <w:iCs/>
          <w:caps/>
          <w:sz w:val="20"/>
          <w:szCs w:val="20"/>
        </w:rPr>
        <w:t>Programming supported through this grant include, but are not limited to, the following:</w:t>
      </w:r>
    </w:p>
    <w:p w14:paraId="6386D3F8"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Project Based Learning (PBL)</w:t>
      </w:r>
    </w:p>
    <w:p w14:paraId="1F01FA2C"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Creative Arts including Art, Theater, Music, Dance</w:t>
      </w:r>
    </w:p>
    <w:p w14:paraId="2E684C77"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Nutrition and Health Education/Wellness Programs</w:t>
      </w:r>
    </w:p>
    <w:p w14:paraId="10CEDB43"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Financial and Environmental Literacy</w:t>
      </w:r>
    </w:p>
    <w:p w14:paraId="1D8744A0"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STEM (Science, Technology, Engineering and Math)</w:t>
      </w:r>
    </w:p>
    <w:p w14:paraId="26F20169"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Homework/Academic Support</w:t>
      </w:r>
    </w:p>
    <w:p w14:paraId="462344FF"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 xml:space="preserve">Career and Technical Programs, Internships or Apprenticeship Programs, and other ties to an in-demand industry sector or occupation for high school students that are designed to reinforce and complement the regular academic program of participating students. (Note grant funds may not be used to stipend students to attend the program.) </w:t>
      </w:r>
    </w:p>
    <w:p w14:paraId="3AB3F8CC"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 xml:space="preserve">Opportunities for credit recovery, (new or expanded), utilizing creative approaches such as PBL.  </w:t>
      </w:r>
    </w:p>
    <w:p w14:paraId="70E57916" w14:textId="77777777" w:rsid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Mental Health/Substance Use and Violence Prevention Programs/Counseling Programs</w:t>
      </w:r>
    </w:p>
    <w:p w14:paraId="306E18CD" w14:textId="0195F505" w:rsidR="001B04E1" w:rsidRPr="001B04E1" w:rsidRDefault="001B04E1" w:rsidP="001B04E1">
      <w:pPr>
        <w:pStyle w:val="ListParagraph"/>
        <w:numPr>
          <w:ilvl w:val="0"/>
          <w:numId w:val="1"/>
        </w:numPr>
        <w:tabs>
          <w:tab w:val="left" w:pos="540"/>
        </w:tabs>
        <w:autoSpaceDE w:val="0"/>
        <w:autoSpaceDN w:val="0"/>
        <w:adjustRightInd w:val="0"/>
        <w:spacing w:before="120"/>
        <w:ind w:left="540"/>
        <w:contextualSpacing w:val="0"/>
        <w:rPr>
          <w:rFonts w:ascii="Arial" w:hAnsi="Arial" w:cs="Arial"/>
          <w:iCs/>
          <w:sz w:val="20"/>
        </w:rPr>
      </w:pPr>
      <w:r w:rsidRPr="001B04E1">
        <w:rPr>
          <w:rFonts w:ascii="Arial" w:hAnsi="Arial" w:cs="Arial"/>
          <w:iCs/>
          <w:sz w:val="20"/>
        </w:rPr>
        <w:t>Offer families of students served by the 21st CCLC opportunities for active and meaningful engagement in their children’s education, including opportunities for literacy and related educational development</w:t>
      </w:r>
      <w:r w:rsidRPr="001B04E1">
        <w:rPr>
          <w:rFonts w:ascii="Arial" w:hAnsi="Arial" w:cs="Arial"/>
          <w:sz w:val="20"/>
        </w:rPr>
        <w:t xml:space="preserve"> </w:t>
      </w:r>
    </w:p>
    <w:p w14:paraId="2279729F" w14:textId="4D1AB0FB" w:rsidR="00772648" w:rsidRPr="001B04E1" w:rsidRDefault="00772648" w:rsidP="001B04E1">
      <w:pPr>
        <w:widowControl w:val="0"/>
        <w:autoSpaceDE w:val="0"/>
        <w:autoSpaceDN w:val="0"/>
        <w:adjustRightInd w:val="0"/>
        <w:spacing w:before="120"/>
        <w:ind w:left="248" w:hanging="68"/>
        <w:rPr>
          <w:rFonts w:ascii="Arial Bold" w:hAnsi="Arial Bold" w:cs="Arial"/>
          <w:b/>
          <w:bCs/>
          <w:iCs/>
          <w:caps/>
          <w:sz w:val="20"/>
          <w:szCs w:val="20"/>
        </w:rPr>
      </w:pPr>
      <w:r w:rsidRPr="001B04E1">
        <w:rPr>
          <w:rFonts w:ascii="Arial Bold" w:hAnsi="Arial Bold" w:cs="Arial"/>
          <w:b/>
          <w:bCs/>
          <w:caps/>
          <w:sz w:val="20"/>
          <w:szCs w:val="20"/>
        </w:rPr>
        <w:t>Indirect Cost Rates</w:t>
      </w:r>
    </w:p>
    <w:p w14:paraId="282F0F5C" w14:textId="3B1824C2" w:rsidR="00772648" w:rsidRPr="001B04E1" w:rsidRDefault="00772648" w:rsidP="001B04E1">
      <w:pPr>
        <w:autoSpaceDE w:val="0"/>
        <w:autoSpaceDN w:val="0"/>
        <w:adjustRightInd w:val="0"/>
        <w:spacing w:before="120"/>
        <w:ind w:left="0" w:firstLine="180"/>
        <w:rPr>
          <w:rFonts w:ascii="Arial" w:hAnsi="Arial" w:cs="Arial"/>
          <w:iCs/>
          <w:sz w:val="20"/>
          <w:szCs w:val="20"/>
        </w:rPr>
      </w:pPr>
      <w:r w:rsidRPr="001B04E1">
        <w:rPr>
          <w:rFonts w:ascii="Arial" w:hAnsi="Arial" w:cs="Arial"/>
          <w:iCs/>
          <w:sz w:val="20"/>
          <w:szCs w:val="20"/>
        </w:rPr>
        <w:t xml:space="preserve">Applicants requesting indirect costs must have an  approved rate. </w:t>
      </w:r>
    </w:p>
    <w:p w14:paraId="4D5EE970" w14:textId="77777777" w:rsidR="001B04E1" w:rsidRDefault="00772648" w:rsidP="001B04E1">
      <w:pPr>
        <w:pStyle w:val="ListParagraph"/>
        <w:numPr>
          <w:ilvl w:val="0"/>
          <w:numId w:val="3"/>
        </w:numPr>
        <w:tabs>
          <w:tab w:val="left" w:pos="720"/>
        </w:tabs>
        <w:autoSpaceDE w:val="0"/>
        <w:autoSpaceDN w:val="0"/>
        <w:adjustRightInd w:val="0"/>
        <w:spacing w:before="120"/>
        <w:ind w:left="540"/>
        <w:contextualSpacing w:val="0"/>
        <w:jc w:val="both"/>
        <w:rPr>
          <w:rFonts w:ascii="Arial" w:hAnsi="Arial" w:cs="Arial"/>
          <w:iCs/>
          <w:sz w:val="20"/>
        </w:rPr>
      </w:pPr>
      <w:r w:rsidRPr="001B04E1">
        <w:rPr>
          <w:rFonts w:ascii="Arial" w:hAnsi="Arial" w:cs="Arial"/>
          <w:iCs/>
          <w:sz w:val="20"/>
        </w:rPr>
        <w:t>For community based applicants that have an approved indirect cost rate, no more than 5% may be budgeted for indirect costs.</w:t>
      </w:r>
    </w:p>
    <w:p w14:paraId="6A7F4007" w14:textId="38270E5D" w:rsidR="00372DFE" w:rsidRPr="001B04E1" w:rsidRDefault="00372DFE" w:rsidP="001B04E1">
      <w:pPr>
        <w:pStyle w:val="ListParagraph"/>
        <w:numPr>
          <w:ilvl w:val="0"/>
          <w:numId w:val="3"/>
        </w:numPr>
        <w:tabs>
          <w:tab w:val="left" w:pos="720"/>
        </w:tabs>
        <w:autoSpaceDE w:val="0"/>
        <w:autoSpaceDN w:val="0"/>
        <w:adjustRightInd w:val="0"/>
        <w:spacing w:before="120"/>
        <w:ind w:left="540"/>
        <w:contextualSpacing w:val="0"/>
        <w:jc w:val="both"/>
        <w:rPr>
          <w:rFonts w:ascii="Arial" w:hAnsi="Arial" w:cs="Arial"/>
          <w:iCs/>
          <w:sz w:val="20"/>
        </w:rPr>
      </w:pPr>
      <w:r w:rsidRPr="001B04E1">
        <w:rPr>
          <w:rFonts w:ascii="Arial" w:hAnsi="Arial" w:cs="Arial"/>
          <w:iCs/>
          <w:sz w:val="20"/>
        </w:rPr>
        <w:lastRenderedPageBreak/>
        <w:t xml:space="preserve">Community based  applicants that wish to request indirect but do not have an approved indirect cost rate may apply to the Department for one. This rate is only for grants issued by the Department and is not to be considered as an overall indirect cost rate to be used with any other funding sources. </w:t>
      </w:r>
      <w:hyperlink r:id="rId11" w:history="1">
        <w:r w:rsidRPr="001B04E1">
          <w:rPr>
            <w:rStyle w:val="Hyperlink"/>
            <w:rFonts w:ascii="Arial" w:hAnsi="Arial" w:cs="Arial"/>
            <w:iCs/>
            <w:sz w:val="20"/>
          </w:rPr>
          <w:t>Click here to access a list of approved rates or download an application</w:t>
        </w:r>
      </w:hyperlink>
      <w:r w:rsidRPr="001B04E1">
        <w:rPr>
          <w:rFonts w:ascii="Arial" w:hAnsi="Arial" w:cs="Arial"/>
          <w:iCs/>
          <w:sz w:val="20"/>
        </w:rPr>
        <w:t xml:space="preserve">. </w:t>
      </w:r>
    </w:p>
    <w:p w14:paraId="26A47348" w14:textId="77777777" w:rsidR="004555C3" w:rsidRDefault="004555C3"/>
    <w:sectPr w:rsidR="004555C3" w:rsidSect="000449E9">
      <w:pgSz w:w="12240" w:h="15840"/>
      <w:pgMar w:top="63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1" w15:restartNumberingAfterBreak="0">
    <w:nsid w:val="28FB6198"/>
    <w:multiLevelType w:val="hybridMultilevel"/>
    <w:tmpl w:val="B0A08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A66F03"/>
    <w:multiLevelType w:val="hybridMultilevel"/>
    <w:tmpl w:val="371A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D6C4F"/>
    <w:multiLevelType w:val="hybridMultilevel"/>
    <w:tmpl w:val="AEBE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B399C"/>
    <w:multiLevelType w:val="hybridMultilevel"/>
    <w:tmpl w:val="2632D890"/>
    <w:lvl w:ilvl="0" w:tplc="04090001">
      <w:start w:val="1"/>
      <w:numFmt w:val="bullet"/>
      <w:lvlText w:val=""/>
      <w:lvlJc w:val="left"/>
      <w:pPr>
        <w:ind w:left="720" w:hanging="360"/>
      </w:pPr>
      <w:rPr>
        <w:rFonts w:ascii="Symbol" w:hAnsi="Symbol" w:hint="default"/>
      </w:rPr>
    </w:lvl>
    <w:lvl w:ilvl="1" w:tplc="ABAA3A54">
      <w:numFmt w:val="bullet"/>
      <w:lvlText w:val="•"/>
      <w:lvlJc w:val="left"/>
      <w:pPr>
        <w:ind w:left="1800" w:hanging="720"/>
      </w:pPr>
      <w:rPr>
        <w:rFonts w:ascii="Arial" w:eastAsia="Times New Roman"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80DDD"/>
    <w:multiLevelType w:val="hybridMultilevel"/>
    <w:tmpl w:val="E408923C"/>
    <w:lvl w:ilvl="0" w:tplc="A322FE8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6442D04"/>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B762AD"/>
    <w:multiLevelType w:val="hybridMultilevel"/>
    <w:tmpl w:val="833277B4"/>
    <w:lvl w:ilvl="0" w:tplc="E48431C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032740"/>
    <w:multiLevelType w:val="multilevel"/>
    <w:tmpl w:val="FAD8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D223C0"/>
    <w:multiLevelType w:val="hybridMultilevel"/>
    <w:tmpl w:val="2446E0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9189D"/>
    <w:multiLevelType w:val="hybridMultilevel"/>
    <w:tmpl w:val="86C6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B87008"/>
    <w:multiLevelType w:val="hybridMultilevel"/>
    <w:tmpl w:val="8AE4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3"/>
  </w:num>
  <w:num w:numId="5">
    <w:abstractNumId w:val="0"/>
  </w:num>
  <w:num w:numId="6">
    <w:abstractNumId w:val="7"/>
  </w:num>
  <w:num w:numId="7">
    <w:abstractNumId w:val="6"/>
  </w:num>
  <w:num w:numId="8">
    <w:abstractNumId w:val="8"/>
  </w:num>
  <w:num w:numId="9">
    <w:abstractNumId w:val="1"/>
  </w:num>
  <w:num w:numId="10">
    <w:abstractNumId w:val="2"/>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EB"/>
    <w:rsid w:val="000449E9"/>
    <w:rsid w:val="000B1FD1"/>
    <w:rsid w:val="000C09EB"/>
    <w:rsid w:val="001B04E1"/>
    <w:rsid w:val="00323EBF"/>
    <w:rsid w:val="00372DFE"/>
    <w:rsid w:val="003733E2"/>
    <w:rsid w:val="003B64A0"/>
    <w:rsid w:val="004555C3"/>
    <w:rsid w:val="004821E7"/>
    <w:rsid w:val="00684259"/>
    <w:rsid w:val="00754C24"/>
    <w:rsid w:val="00772648"/>
    <w:rsid w:val="009B15B3"/>
    <w:rsid w:val="00CB40E7"/>
    <w:rsid w:val="00D40446"/>
    <w:rsid w:val="00E55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EDBE"/>
  <w15:chartTrackingRefBased/>
  <w15:docId w15:val="{4C3EDAC3-746E-43C9-870A-F9AC0C53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qFormat/>
    <w:rsid w:val="001B04E1"/>
    <w:pPr>
      <w:keepNext/>
      <w:spacing w:before="0"/>
      <w:ind w:left="0" w:firstLine="0"/>
      <w:jc w:val="center"/>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EB"/>
    <w:pPr>
      <w:widowControl w:val="0"/>
      <w:spacing w:before="0"/>
      <w:ind w:left="720" w:firstLine="0"/>
      <w:contextualSpacing/>
      <w:jc w:val="left"/>
    </w:pPr>
    <w:rPr>
      <w:rFonts w:ascii="Times New Roman" w:eastAsia="Times New Roman" w:hAnsi="Times New Roman" w:cs="Times New Roman"/>
      <w:snapToGrid w:val="0"/>
      <w:sz w:val="24"/>
      <w:szCs w:val="20"/>
    </w:rPr>
  </w:style>
  <w:style w:type="character" w:styleId="Hyperlink">
    <w:name w:val="Hyperlink"/>
    <w:uiPriority w:val="99"/>
    <w:rsid w:val="00372DFE"/>
    <w:rPr>
      <w:color w:val="0000FF"/>
      <w:u w:val="single"/>
    </w:rPr>
  </w:style>
  <w:style w:type="character" w:customStyle="1" w:styleId="Heading1Char">
    <w:name w:val="Heading 1 Char"/>
    <w:basedOn w:val="DefaultParagraphFont"/>
    <w:link w:val="Heading1"/>
    <w:rsid w:val="001B04E1"/>
    <w:rPr>
      <w:rFonts w:ascii="Times New Roman" w:eastAsia="Times New Roman" w:hAnsi="Times New Roman" w:cs="Times New Roman"/>
      <w:b/>
      <w:sz w:val="20"/>
      <w:szCs w:val="20"/>
    </w:rPr>
  </w:style>
  <w:style w:type="paragraph" w:styleId="Header">
    <w:name w:val="header"/>
    <w:basedOn w:val="Normal"/>
    <w:link w:val="HeaderChar"/>
    <w:rsid w:val="001B04E1"/>
    <w:pPr>
      <w:tabs>
        <w:tab w:val="center" w:pos="4320"/>
        <w:tab w:val="right" w:pos="8640"/>
      </w:tabs>
      <w:spacing w:before="0"/>
      <w:ind w:left="0" w:firstLine="0"/>
      <w:jc w:val="left"/>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B04E1"/>
    <w:rPr>
      <w:rFonts w:ascii="Times New Roman" w:eastAsia="Times New Roman" w:hAnsi="Times New Roman" w:cs="Times New Roman"/>
      <w:sz w:val="24"/>
      <w:szCs w:val="20"/>
    </w:rPr>
  </w:style>
  <w:style w:type="paragraph" w:styleId="BodyText">
    <w:name w:val="Body Text"/>
    <w:basedOn w:val="Normal"/>
    <w:link w:val="BodyTextChar"/>
    <w:rsid w:val="001B04E1"/>
    <w:pPr>
      <w:spacing w:before="0" w:after="60"/>
      <w:ind w:left="0" w:firstLine="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B04E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essential.html" TargetMode="External"/><Relationship Id="rId5" Type="http://schemas.openxmlformats.org/officeDocument/2006/relationships/numbering" Target="numbering.xml"/><Relationship Id="rId10" Type="http://schemas.openxmlformats.org/officeDocument/2006/relationships/hyperlink" Target="http://profiles.doe.mass.edu/statereport/accountability.aspx" TargetMode="External"/><Relationship Id="rId4" Type="http://schemas.openxmlformats.org/officeDocument/2006/relationships/customXml" Target="../customXml/item4.xml"/><Relationship Id="rId9" Type="http://schemas.openxmlformats.org/officeDocument/2006/relationships/hyperlink" Target="http://profiles.doe.mass.edu/search/search.aspx?leftNavId=11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DESE-231-68612</_dlc_DocId>
    <_dlc_DocIdUrl xmlns="733efe1c-5bbe-4968-87dc-d400e65c879f">
      <Url>https://sharepoint.doemass.org/ese/webteam/cps/_layouts/DocIdRedir.aspx?ID=DESE-231-68612</Url>
      <Description>DESE-231-68612</Description>
    </_dlc_DocIdUrl>
  </documentManagement>
</p:properties>
</file>

<file path=customXml/itemProps1.xml><?xml version="1.0" encoding="utf-8"?>
<ds:datastoreItem xmlns:ds="http://schemas.openxmlformats.org/officeDocument/2006/customXml" ds:itemID="{97D17606-82FF-45E6-BE90-9C8197FBBEAF}">
  <ds:schemaRefs>
    <ds:schemaRef ds:uri="http://schemas.microsoft.com/sharepoint/v3/contenttype/forms"/>
  </ds:schemaRefs>
</ds:datastoreItem>
</file>

<file path=customXml/itemProps2.xml><?xml version="1.0" encoding="utf-8"?>
<ds:datastoreItem xmlns:ds="http://schemas.openxmlformats.org/officeDocument/2006/customXml" ds:itemID="{BA7F2675-EDB9-4838-A855-9E585DB1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62AB2-A382-4B7D-9AFB-6DA225595B56}">
  <ds:schemaRefs>
    <ds:schemaRef ds:uri="http://schemas.microsoft.com/sharepoint/events"/>
  </ds:schemaRefs>
</ds:datastoreItem>
</file>

<file path=customXml/itemProps4.xml><?xml version="1.0" encoding="utf-8"?>
<ds:datastoreItem xmlns:ds="http://schemas.openxmlformats.org/officeDocument/2006/customXml" ds:itemID="{384DADD8-A1BD-4A85-BBDC-8B8D99E6E5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4159</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FY22 FC647 MA 21st CCLC Supporting Additional Learning Time Grant Addendum A</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FC647 MA 21st CCLC Supporting Additional Learning Time Grant Addendum A</dc:title>
  <dc:subject/>
  <dc:creator>DESE</dc:creator>
  <cp:keywords/>
  <dc:description/>
  <cp:lastModifiedBy>Zou, Dong (EOE)</cp:lastModifiedBy>
  <cp:revision>6</cp:revision>
  <dcterms:created xsi:type="dcterms:W3CDTF">2021-02-19T16:24:00Z</dcterms:created>
  <dcterms:modified xsi:type="dcterms:W3CDTF">2021-03-02T17:54:00Z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2021</vt:lpwstr>
  </property>
</Properties>
</file>