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877EF3" w14:paraId="0C3258D4" w14:textId="77777777">
        <w:trPr>
          <w:cantSplit/>
        </w:trPr>
        <w:tc>
          <w:tcPr>
            <w:tcW w:w="3438" w:type="dxa"/>
            <w:tcBorders>
              <w:top w:val="nil"/>
              <w:left w:val="nil"/>
              <w:bottom w:val="nil"/>
              <w:right w:val="nil"/>
            </w:tcBorders>
          </w:tcPr>
          <w:p w14:paraId="2E8555FB" w14:textId="77777777" w:rsidR="00410797" w:rsidRPr="00877EF3" w:rsidRDefault="00410797">
            <w:pPr>
              <w:spacing w:after="120"/>
              <w:jc w:val="both"/>
              <w:rPr>
                <w:b/>
                <w:sz w:val="22"/>
                <w:szCs w:val="22"/>
              </w:rPr>
            </w:pPr>
            <w:r w:rsidRPr="00877EF3">
              <w:rPr>
                <w:b/>
                <w:sz w:val="22"/>
                <w:szCs w:val="22"/>
              </w:rPr>
              <w:t xml:space="preserve">NAME OF GRANT PROGRAM:   </w:t>
            </w:r>
          </w:p>
        </w:tc>
        <w:tc>
          <w:tcPr>
            <w:tcW w:w="5040" w:type="dxa"/>
            <w:gridSpan w:val="2"/>
            <w:tcBorders>
              <w:top w:val="nil"/>
              <w:left w:val="nil"/>
              <w:bottom w:val="nil"/>
              <w:right w:val="nil"/>
            </w:tcBorders>
          </w:tcPr>
          <w:p w14:paraId="4C40413E" w14:textId="2E1E97D6" w:rsidR="00410797" w:rsidRPr="00877EF3" w:rsidRDefault="00E94084" w:rsidP="00B958AA">
            <w:pPr>
              <w:pStyle w:val="Heading1"/>
              <w:spacing w:after="0"/>
              <w:jc w:val="both"/>
              <w:rPr>
                <w:kern w:val="36"/>
                <w:sz w:val="22"/>
                <w:szCs w:val="22"/>
              </w:rPr>
            </w:pPr>
            <w:r w:rsidRPr="00877EF3">
              <w:rPr>
                <w:kern w:val="36"/>
                <w:sz w:val="22"/>
                <w:szCs w:val="22"/>
              </w:rPr>
              <w:t xml:space="preserve">Proficiency-based Outcomes </w:t>
            </w:r>
            <w:r w:rsidR="00877EF3" w:rsidRPr="00877EF3">
              <w:rPr>
                <w:kern w:val="36"/>
                <w:sz w:val="22"/>
                <w:szCs w:val="22"/>
              </w:rPr>
              <w:t>f</w:t>
            </w:r>
            <w:r w:rsidRPr="00877EF3">
              <w:rPr>
                <w:kern w:val="36"/>
                <w:sz w:val="22"/>
                <w:szCs w:val="22"/>
              </w:rPr>
              <w:t xml:space="preserve">or Languages Other Than English </w:t>
            </w:r>
          </w:p>
        </w:tc>
        <w:tc>
          <w:tcPr>
            <w:tcW w:w="2430" w:type="dxa"/>
            <w:tcBorders>
              <w:top w:val="nil"/>
              <w:left w:val="nil"/>
              <w:bottom w:val="nil"/>
              <w:right w:val="nil"/>
            </w:tcBorders>
          </w:tcPr>
          <w:p w14:paraId="5813D72A" w14:textId="6194A757" w:rsidR="00410797" w:rsidRPr="00877EF3" w:rsidRDefault="00410797" w:rsidP="007B2582">
            <w:pPr>
              <w:spacing w:after="120"/>
              <w:jc w:val="both"/>
              <w:rPr>
                <w:sz w:val="22"/>
                <w:szCs w:val="22"/>
              </w:rPr>
            </w:pPr>
            <w:r w:rsidRPr="00877EF3">
              <w:rPr>
                <w:b/>
                <w:sz w:val="22"/>
                <w:szCs w:val="22"/>
              </w:rPr>
              <w:t>FUND CODE:</w:t>
            </w:r>
            <w:r w:rsidR="00372996" w:rsidRPr="00877EF3">
              <w:rPr>
                <w:sz w:val="22"/>
                <w:szCs w:val="22"/>
              </w:rPr>
              <w:t xml:space="preserve"> </w:t>
            </w:r>
            <w:r w:rsidR="00101F23" w:rsidRPr="00877EF3">
              <w:rPr>
                <w:sz w:val="22"/>
                <w:szCs w:val="22"/>
              </w:rPr>
              <w:t>18</w:t>
            </w:r>
            <w:r w:rsidR="00E94084" w:rsidRPr="00877EF3">
              <w:rPr>
                <w:sz w:val="22"/>
                <w:szCs w:val="22"/>
              </w:rPr>
              <w:t>9</w:t>
            </w:r>
          </w:p>
        </w:tc>
      </w:tr>
      <w:tr w:rsidR="00410797" w:rsidRPr="00877EF3" w14:paraId="16366702" w14:textId="77777777">
        <w:trPr>
          <w:cantSplit/>
        </w:trPr>
        <w:tc>
          <w:tcPr>
            <w:tcW w:w="3438" w:type="dxa"/>
            <w:tcBorders>
              <w:top w:val="nil"/>
              <w:left w:val="nil"/>
              <w:bottom w:val="nil"/>
              <w:right w:val="nil"/>
            </w:tcBorders>
          </w:tcPr>
          <w:p w14:paraId="02866615" w14:textId="77777777" w:rsidR="00410797" w:rsidRPr="00877EF3" w:rsidRDefault="00410797">
            <w:pPr>
              <w:spacing w:after="120"/>
              <w:jc w:val="both"/>
              <w:rPr>
                <w:b/>
                <w:sz w:val="22"/>
                <w:szCs w:val="22"/>
              </w:rPr>
            </w:pPr>
            <w:r w:rsidRPr="00877EF3">
              <w:rPr>
                <w:b/>
                <w:sz w:val="22"/>
                <w:szCs w:val="22"/>
              </w:rPr>
              <w:t xml:space="preserve">FUNDS ALLOCATED:     </w:t>
            </w:r>
          </w:p>
        </w:tc>
        <w:tc>
          <w:tcPr>
            <w:tcW w:w="7470" w:type="dxa"/>
            <w:gridSpan w:val="3"/>
            <w:tcBorders>
              <w:top w:val="nil"/>
              <w:left w:val="nil"/>
              <w:bottom w:val="nil"/>
              <w:right w:val="nil"/>
            </w:tcBorders>
          </w:tcPr>
          <w:p w14:paraId="7906D56B" w14:textId="74F0A3D0" w:rsidR="00410797" w:rsidRPr="00877EF3" w:rsidRDefault="00EB5FE7" w:rsidP="000A41FE">
            <w:pPr>
              <w:spacing w:after="120"/>
              <w:jc w:val="both"/>
              <w:rPr>
                <w:sz w:val="22"/>
                <w:szCs w:val="22"/>
              </w:rPr>
            </w:pPr>
            <w:r w:rsidRPr="00877EF3">
              <w:rPr>
                <w:snapToGrid w:val="0"/>
                <w:color w:val="000000"/>
                <w:sz w:val="22"/>
                <w:szCs w:val="22"/>
              </w:rPr>
              <w:t>$</w:t>
            </w:r>
            <w:r w:rsidR="00E94084" w:rsidRPr="00877EF3">
              <w:rPr>
                <w:snapToGrid w:val="0"/>
                <w:color w:val="000000"/>
                <w:sz w:val="22"/>
                <w:szCs w:val="22"/>
              </w:rPr>
              <w:t>500,000</w:t>
            </w:r>
            <w:r w:rsidRPr="00877EF3">
              <w:rPr>
                <w:sz w:val="22"/>
                <w:szCs w:val="22"/>
              </w:rPr>
              <w:t xml:space="preserve"> </w:t>
            </w:r>
            <w:r w:rsidR="00410797" w:rsidRPr="00877EF3">
              <w:rPr>
                <w:sz w:val="22"/>
                <w:szCs w:val="22"/>
              </w:rPr>
              <w:t>(</w:t>
            </w:r>
            <w:r w:rsidR="007B2582" w:rsidRPr="00877EF3">
              <w:rPr>
                <w:sz w:val="22"/>
                <w:szCs w:val="22"/>
              </w:rPr>
              <w:t>State</w:t>
            </w:r>
            <w:r w:rsidR="00410797" w:rsidRPr="00877EF3">
              <w:rPr>
                <w:sz w:val="22"/>
                <w:szCs w:val="22"/>
              </w:rPr>
              <w:t>)</w:t>
            </w:r>
          </w:p>
        </w:tc>
      </w:tr>
      <w:tr w:rsidR="00410797" w:rsidRPr="00877EF3" w14:paraId="3F43B3FC" w14:textId="77777777">
        <w:trPr>
          <w:cantSplit/>
        </w:trPr>
        <w:tc>
          <w:tcPr>
            <w:tcW w:w="3438" w:type="dxa"/>
            <w:tcBorders>
              <w:top w:val="nil"/>
              <w:left w:val="nil"/>
              <w:bottom w:val="nil"/>
              <w:right w:val="nil"/>
            </w:tcBorders>
          </w:tcPr>
          <w:p w14:paraId="401A68F4" w14:textId="77777777" w:rsidR="00410797" w:rsidRPr="00877EF3" w:rsidRDefault="00410797">
            <w:pPr>
              <w:spacing w:after="120"/>
              <w:jc w:val="both"/>
              <w:rPr>
                <w:b/>
                <w:sz w:val="22"/>
                <w:szCs w:val="22"/>
              </w:rPr>
            </w:pPr>
            <w:r w:rsidRPr="00877EF3">
              <w:rPr>
                <w:b/>
                <w:sz w:val="22"/>
                <w:szCs w:val="22"/>
              </w:rPr>
              <w:t>FUNDS REQUESTED:</w:t>
            </w:r>
          </w:p>
        </w:tc>
        <w:tc>
          <w:tcPr>
            <w:tcW w:w="7470" w:type="dxa"/>
            <w:gridSpan w:val="3"/>
            <w:tcBorders>
              <w:top w:val="nil"/>
              <w:left w:val="nil"/>
              <w:bottom w:val="nil"/>
              <w:right w:val="nil"/>
            </w:tcBorders>
          </w:tcPr>
          <w:p w14:paraId="50393F71" w14:textId="0A6690E4" w:rsidR="00410797" w:rsidRPr="00877EF3" w:rsidRDefault="00410797" w:rsidP="00101F23">
            <w:pPr>
              <w:spacing w:after="120"/>
              <w:jc w:val="both"/>
              <w:rPr>
                <w:sz w:val="22"/>
                <w:szCs w:val="22"/>
              </w:rPr>
            </w:pPr>
            <w:r w:rsidRPr="00877EF3">
              <w:rPr>
                <w:sz w:val="22"/>
                <w:szCs w:val="22"/>
              </w:rPr>
              <w:t>$</w:t>
            </w:r>
            <w:r w:rsidR="00B958AA" w:rsidRPr="00877EF3">
              <w:rPr>
                <w:color w:val="000000"/>
                <w:sz w:val="22"/>
                <w:szCs w:val="22"/>
              </w:rPr>
              <w:t>968,456</w:t>
            </w:r>
          </w:p>
        </w:tc>
      </w:tr>
      <w:tr w:rsidR="00410797" w:rsidRPr="00877EF3" w14:paraId="30AE8315" w14:textId="77777777">
        <w:trPr>
          <w:cantSplit/>
        </w:trPr>
        <w:tc>
          <w:tcPr>
            <w:tcW w:w="10908" w:type="dxa"/>
            <w:gridSpan w:val="4"/>
            <w:tcBorders>
              <w:top w:val="nil"/>
              <w:left w:val="nil"/>
              <w:bottom w:val="nil"/>
              <w:right w:val="nil"/>
            </w:tcBorders>
          </w:tcPr>
          <w:p w14:paraId="235C8D89" w14:textId="2BFE384B" w:rsidR="00410797" w:rsidRPr="00877EF3" w:rsidRDefault="00410797" w:rsidP="00E94084">
            <w:pPr>
              <w:pStyle w:val="Heading1"/>
              <w:rPr>
                <w:sz w:val="22"/>
                <w:szCs w:val="22"/>
              </w:rPr>
            </w:pPr>
            <w:r w:rsidRPr="00877EF3">
              <w:rPr>
                <w:b/>
                <w:sz w:val="22"/>
                <w:szCs w:val="22"/>
              </w:rPr>
              <w:t xml:space="preserve">PURPOSE: </w:t>
            </w:r>
            <w:r w:rsidR="00E94084" w:rsidRPr="00877EF3">
              <w:rPr>
                <w:sz w:val="22"/>
                <w:szCs w:val="22"/>
              </w:rPr>
              <w:t>This competitive grant is one of the ways that DESE supports World Language (WL), Heritage Language (HL), and English Language Learner (ELL) programs and districts that wish to support or improve such programs in pre-K, elementary, and/or secondary schools.</w:t>
            </w:r>
          </w:p>
        </w:tc>
      </w:tr>
      <w:tr w:rsidR="00410797" w:rsidRPr="00877EF3" w14:paraId="6559C0FA" w14:textId="77777777">
        <w:tc>
          <w:tcPr>
            <w:tcW w:w="5418" w:type="dxa"/>
            <w:gridSpan w:val="2"/>
            <w:tcBorders>
              <w:top w:val="nil"/>
              <w:left w:val="nil"/>
              <w:bottom w:val="nil"/>
              <w:right w:val="nil"/>
            </w:tcBorders>
          </w:tcPr>
          <w:p w14:paraId="31E78CF4" w14:textId="77777777" w:rsidR="00410797" w:rsidRPr="00877EF3" w:rsidRDefault="00410797">
            <w:pPr>
              <w:spacing w:after="120"/>
              <w:jc w:val="both"/>
              <w:rPr>
                <w:b/>
                <w:sz w:val="22"/>
                <w:szCs w:val="22"/>
              </w:rPr>
            </w:pPr>
            <w:r w:rsidRPr="00877EF3">
              <w:rPr>
                <w:b/>
                <w:sz w:val="22"/>
                <w:szCs w:val="22"/>
              </w:rPr>
              <w:t>NUMBER OF PROPOSALS RECEIVED:</w:t>
            </w:r>
          </w:p>
        </w:tc>
        <w:tc>
          <w:tcPr>
            <w:tcW w:w="5490" w:type="dxa"/>
            <w:gridSpan w:val="2"/>
            <w:tcBorders>
              <w:top w:val="nil"/>
              <w:left w:val="nil"/>
              <w:bottom w:val="nil"/>
              <w:right w:val="nil"/>
            </w:tcBorders>
          </w:tcPr>
          <w:p w14:paraId="1B173BB1" w14:textId="04004AF2" w:rsidR="00410797" w:rsidRPr="00877EF3" w:rsidRDefault="00E94084">
            <w:pPr>
              <w:spacing w:after="120"/>
              <w:jc w:val="both"/>
              <w:rPr>
                <w:sz w:val="22"/>
                <w:szCs w:val="22"/>
              </w:rPr>
            </w:pPr>
            <w:r w:rsidRPr="00877EF3">
              <w:rPr>
                <w:sz w:val="22"/>
                <w:szCs w:val="22"/>
              </w:rPr>
              <w:t>33</w:t>
            </w:r>
          </w:p>
        </w:tc>
      </w:tr>
      <w:tr w:rsidR="00410797" w:rsidRPr="00877EF3" w14:paraId="761730FA" w14:textId="77777777">
        <w:trPr>
          <w:trHeight w:val="224"/>
        </w:trPr>
        <w:tc>
          <w:tcPr>
            <w:tcW w:w="5418" w:type="dxa"/>
            <w:gridSpan w:val="2"/>
            <w:tcBorders>
              <w:top w:val="nil"/>
              <w:left w:val="nil"/>
              <w:bottom w:val="nil"/>
              <w:right w:val="nil"/>
            </w:tcBorders>
          </w:tcPr>
          <w:p w14:paraId="3F4D2231" w14:textId="77777777" w:rsidR="00410797" w:rsidRPr="00877EF3" w:rsidRDefault="00410797">
            <w:pPr>
              <w:spacing w:after="120"/>
              <w:jc w:val="both"/>
              <w:rPr>
                <w:b/>
                <w:sz w:val="22"/>
                <w:szCs w:val="22"/>
              </w:rPr>
            </w:pPr>
            <w:r w:rsidRPr="00877EF3">
              <w:rPr>
                <w:b/>
                <w:sz w:val="22"/>
                <w:szCs w:val="22"/>
              </w:rPr>
              <w:t>NUMBER OF PROPOSALS RECOMMENDED:</w:t>
            </w:r>
          </w:p>
        </w:tc>
        <w:tc>
          <w:tcPr>
            <w:tcW w:w="5490" w:type="dxa"/>
            <w:gridSpan w:val="2"/>
            <w:tcBorders>
              <w:top w:val="nil"/>
              <w:left w:val="nil"/>
              <w:bottom w:val="nil"/>
              <w:right w:val="nil"/>
            </w:tcBorders>
          </w:tcPr>
          <w:p w14:paraId="0D2596CF" w14:textId="6CAFDAE9" w:rsidR="00410797" w:rsidRPr="00877EF3" w:rsidRDefault="00E94084">
            <w:pPr>
              <w:spacing w:after="120"/>
              <w:jc w:val="both"/>
              <w:rPr>
                <w:sz w:val="22"/>
                <w:szCs w:val="22"/>
              </w:rPr>
            </w:pPr>
            <w:r w:rsidRPr="00877EF3">
              <w:rPr>
                <w:sz w:val="22"/>
                <w:szCs w:val="22"/>
              </w:rPr>
              <w:t>24</w:t>
            </w:r>
          </w:p>
        </w:tc>
      </w:tr>
      <w:tr w:rsidR="00410797" w:rsidRPr="00877EF3" w14:paraId="794D6562" w14:textId="77777777" w:rsidTr="00B329DA">
        <w:trPr>
          <w:trHeight w:val="117"/>
        </w:trPr>
        <w:tc>
          <w:tcPr>
            <w:tcW w:w="5418" w:type="dxa"/>
            <w:gridSpan w:val="2"/>
            <w:tcBorders>
              <w:top w:val="nil"/>
              <w:left w:val="nil"/>
              <w:bottom w:val="nil"/>
              <w:right w:val="nil"/>
            </w:tcBorders>
          </w:tcPr>
          <w:p w14:paraId="72BEE658" w14:textId="77777777" w:rsidR="00410797" w:rsidRPr="00877EF3" w:rsidRDefault="00410797">
            <w:pPr>
              <w:spacing w:after="120"/>
              <w:jc w:val="both"/>
              <w:rPr>
                <w:b/>
                <w:sz w:val="22"/>
                <w:szCs w:val="22"/>
              </w:rPr>
            </w:pPr>
            <w:r w:rsidRPr="00877EF3">
              <w:rPr>
                <w:b/>
                <w:sz w:val="22"/>
                <w:szCs w:val="22"/>
              </w:rPr>
              <w:t>NUMBER OF PROPOSALS NOT RECOMMENDED:</w:t>
            </w:r>
          </w:p>
        </w:tc>
        <w:tc>
          <w:tcPr>
            <w:tcW w:w="5490" w:type="dxa"/>
            <w:gridSpan w:val="2"/>
            <w:tcBorders>
              <w:top w:val="nil"/>
              <w:left w:val="nil"/>
              <w:bottom w:val="nil"/>
              <w:right w:val="nil"/>
            </w:tcBorders>
          </w:tcPr>
          <w:p w14:paraId="2097C42B" w14:textId="6686B779" w:rsidR="00410797" w:rsidRPr="00877EF3" w:rsidRDefault="00E94084">
            <w:pPr>
              <w:spacing w:after="120"/>
              <w:jc w:val="both"/>
              <w:rPr>
                <w:sz w:val="22"/>
                <w:szCs w:val="22"/>
              </w:rPr>
            </w:pPr>
            <w:r w:rsidRPr="00877EF3">
              <w:rPr>
                <w:sz w:val="22"/>
                <w:szCs w:val="22"/>
              </w:rPr>
              <w:t>9</w:t>
            </w:r>
          </w:p>
        </w:tc>
      </w:tr>
      <w:tr w:rsidR="00410797" w:rsidRPr="00877EF3" w14:paraId="6A89E767" w14:textId="77777777" w:rsidTr="00B329DA">
        <w:trPr>
          <w:cantSplit/>
          <w:trHeight w:val="828"/>
        </w:trPr>
        <w:tc>
          <w:tcPr>
            <w:tcW w:w="10908" w:type="dxa"/>
            <w:gridSpan w:val="4"/>
            <w:tcBorders>
              <w:top w:val="nil"/>
              <w:left w:val="nil"/>
              <w:bottom w:val="nil"/>
              <w:right w:val="nil"/>
            </w:tcBorders>
          </w:tcPr>
          <w:p w14:paraId="11ACA04A" w14:textId="77777777" w:rsidR="001B31A1" w:rsidRPr="00877EF3" w:rsidRDefault="00410797" w:rsidP="00C93C1B">
            <w:pPr>
              <w:rPr>
                <w:b/>
                <w:sz w:val="22"/>
                <w:szCs w:val="22"/>
              </w:rPr>
            </w:pPr>
            <w:r w:rsidRPr="00877EF3">
              <w:rPr>
                <w:b/>
                <w:sz w:val="22"/>
                <w:szCs w:val="22"/>
              </w:rPr>
              <w:t xml:space="preserve">RESULT OF FUNDING: </w:t>
            </w:r>
          </w:p>
          <w:p w14:paraId="2C50A983" w14:textId="77777777" w:rsidR="001B31A1" w:rsidRPr="00877EF3" w:rsidRDefault="001B31A1" w:rsidP="00C93C1B">
            <w:pPr>
              <w:rPr>
                <w:b/>
                <w:sz w:val="22"/>
                <w:szCs w:val="22"/>
              </w:rPr>
            </w:pPr>
          </w:p>
          <w:p w14:paraId="5AC9285F" w14:textId="7767385E" w:rsidR="004A1E15" w:rsidRPr="00877EF3" w:rsidRDefault="004A1E15" w:rsidP="00C93C1B">
            <w:pPr>
              <w:rPr>
                <w:b/>
                <w:bCs/>
                <w:sz w:val="22"/>
                <w:szCs w:val="22"/>
              </w:rPr>
            </w:pPr>
            <w:r w:rsidRPr="00877EF3">
              <w:rPr>
                <w:b/>
                <w:bCs/>
                <w:sz w:val="22"/>
                <w:szCs w:val="22"/>
              </w:rPr>
              <w:t xml:space="preserve">The intended outcomes for this grant </w:t>
            </w:r>
            <w:r w:rsidR="001B31A1" w:rsidRPr="00877EF3">
              <w:rPr>
                <w:b/>
                <w:bCs/>
                <w:sz w:val="22"/>
                <w:szCs w:val="22"/>
              </w:rPr>
              <w:t xml:space="preserve">are- </w:t>
            </w:r>
            <w:r w:rsidRPr="00877EF3">
              <w:rPr>
                <w:b/>
                <w:bCs/>
                <w:sz w:val="22"/>
                <w:szCs w:val="22"/>
              </w:rPr>
              <w:t xml:space="preserve">as follows: </w:t>
            </w:r>
          </w:p>
          <w:p w14:paraId="35040481" w14:textId="77777777" w:rsidR="00BC6783" w:rsidRPr="00877EF3" w:rsidRDefault="00BC6783" w:rsidP="00C93C1B">
            <w:pPr>
              <w:rPr>
                <w:b/>
                <w:bCs/>
                <w:sz w:val="22"/>
                <w:szCs w:val="22"/>
              </w:rPr>
            </w:pPr>
          </w:p>
          <w:p w14:paraId="298F4336" w14:textId="77777777" w:rsidR="0021616C" w:rsidRPr="00877EF3" w:rsidRDefault="0021616C" w:rsidP="0021616C">
            <w:pPr>
              <w:rPr>
                <w:sz w:val="22"/>
                <w:szCs w:val="22"/>
              </w:rPr>
            </w:pPr>
            <w:r w:rsidRPr="00877EF3">
              <w:rPr>
                <w:b/>
                <w:bCs/>
                <w:sz w:val="22"/>
                <w:szCs w:val="22"/>
              </w:rPr>
              <w:t>For Goal 1:</w:t>
            </w:r>
            <w:r w:rsidRPr="00877EF3">
              <w:rPr>
                <w:sz w:val="22"/>
                <w:szCs w:val="22"/>
              </w:rPr>
              <w:t xml:space="preserve"> Collect and analyze data pertaining to proficiency in Languages other than English (LOTE) to improve World Language, Heritage Language, and English Learner programs.</w:t>
            </w:r>
          </w:p>
          <w:p w14:paraId="7812448F" w14:textId="77777777" w:rsidR="0021616C" w:rsidRPr="00877EF3" w:rsidRDefault="0021616C" w:rsidP="0021616C">
            <w:pPr>
              <w:numPr>
                <w:ilvl w:val="0"/>
                <w:numId w:val="6"/>
              </w:numPr>
              <w:rPr>
                <w:sz w:val="22"/>
                <w:szCs w:val="22"/>
              </w:rPr>
            </w:pPr>
            <w:r w:rsidRPr="00877EF3">
              <w:rPr>
                <w:sz w:val="22"/>
                <w:szCs w:val="22"/>
              </w:rPr>
              <w:t xml:space="preserve">Districts implement and collect data from American Council on the Teaching of Foreign Languages (ACTFL) Assessment of Performance toward Proficiency in Languages (AAPPL), </w:t>
            </w:r>
            <w:r w:rsidRPr="00877EF3">
              <w:rPr>
                <w:i/>
                <w:iCs/>
                <w:sz w:val="22"/>
                <w:szCs w:val="22"/>
              </w:rPr>
              <w:t>ACTFL Latin Interpretive Reading Assessment (ALIRA)</w:t>
            </w:r>
            <w:r w:rsidRPr="00877EF3">
              <w:rPr>
                <w:sz w:val="22"/>
                <w:szCs w:val="22"/>
              </w:rPr>
              <w:t>, and/or Standards-based Measurement of Proficiency (STAMP) assessments.</w:t>
            </w:r>
          </w:p>
          <w:p w14:paraId="6FDD08E6" w14:textId="77777777" w:rsidR="0021616C" w:rsidRPr="00877EF3" w:rsidRDefault="0021616C" w:rsidP="0021616C">
            <w:pPr>
              <w:numPr>
                <w:ilvl w:val="0"/>
                <w:numId w:val="6"/>
              </w:numPr>
              <w:spacing w:before="100" w:beforeAutospacing="1" w:after="100" w:afterAutospacing="1"/>
              <w:rPr>
                <w:sz w:val="22"/>
                <w:szCs w:val="22"/>
              </w:rPr>
            </w:pPr>
            <w:r w:rsidRPr="00877EF3">
              <w:rPr>
                <w:sz w:val="22"/>
                <w:szCs w:val="22"/>
              </w:rPr>
              <w:t>Districts participate in ongoing data-based discussions to prepare students for high levels of proficiency.</w:t>
            </w:r>
          </w:p>
          <w:p w14:paraId="0DAB4F93" w14:textId="77777777" w:rsidR="0021616C" w:rsidRPr="00877EF3" w:rsidRDefault="0021616C" w:rsidP="0021616C">
            <w:pPr>
              <w:numPr>
                <w:ilvl w:val="0"/>
                <w:numId w:val="6"/>
              </w:numPr>
              <w:spacing w:before="100" w:beforeAutospacing="1" w:after="100" w:afterAutospacing="1"/>
              <w:rPr>
                <w:sz w:val="22"/>
                <w:szCs w:val="22"/>
              </w:rPr>
            </w:pPr>
            <w:r w:rsidRPr="00877EF3">
              <w:rPr>
                <w:sz w:val="22"/>
                <w:szCs w:val="22"/>
              </w:rPr>
              <w:t>Districts participate in the MA State Seal of Biliteracy program.</w:t>
            </w:r>
          </w:p>
          <w:p w14:paraId="00188329" w14:textId="77777777" w:rsidR="0021616C" w:rsidRPr="00877EF3" w:rsidRDefault="0021616C" w:rsidP="0021616C">
            <w:pPr>
              <w:rPr>
                <w:sz w:val="22"/>
                <w:szCs w:val="22"/>
              </w:rPr>
            </w:pPr>
            <w:r w:rsidRPr="00877EF3">
              <w:rPr>
                <w:b/>
                <w:bCs/>
                <w:sz w:val="22"/>
                <w:szCs w:val="22"/>
              </w:rPr>
              <w:t>Goal 2:</w:t>
            </w:r>
            <w:r w:rsidRPr="00877EF3">
              <w:rPr>
                <w:sz w:val="22"/>
                <w:szCs w:val="22"/>
              </w:rPr>
              <w:t xml:space="preserve"> Support educators to teach for proficiency in LOTE by aligning to the proficiency-based standards and high-leverage teaching practices described in the 2021 Massachusetts World Languages Curriculum Framework.</w:t>
            </w:r>
          </w:p>
          <w:p w14:paraId="476C7DAE" w14:textId="77777777" w:rsidR="0021616C" w:rsidRPr="00877EF3" w:rsidRDefault="0021616C" w:rsidP="0021616C">
            <w:pPr>
              <w:numPr>
                <w:ilvl w:val="0"/>
                <w:numId w:val="7"/>
              </w:numPr>
              <w:spacing w:after="100" w:afterAutospacing="1"/>
              <w:rPr>
                <w:sz w:val="22"/>
                <w:szCs w:val="22"/>
              </w:rPr>
            </w:pPr>
            <w:r w:rsidRPr="00877EF3">
              <w:rPr>
                <w:sz w:val="22"/>
                <w:szCs w:val="22"/>
              </w:rPr>
              <w:t xml:space="preserve">Districts improve programs by providing access to external, proficiency-based professional development for educators who teach and/or oversee the teaching of LOTE to support teachers to: </w:t>
            </w:r>
          </w:p>
          <w:p w14:paraId="281E687C" w14:textId="77777777" w:rsidR="0021616C" w:rsidRPr="00877EF3" w:rsidRDefault="0021616C" w:rsidP="0021616C">
            <w:pPr>
              <w:numPr>
                <w:ilvl w:val="1"/>
                <w:numId w:val="7"/>
              </w:numPr>
              <w:spacing w:before="100" w:beforeAutospacing="1" w:after="100" w:afterAutospacing="1"/>
              <w:rPr>
                <w:sz w:val="22"/>
                <w:szCs w:val="22"/>
              </w:rPr>
            </w:pPr>
            <w:r w:rsidRPr="00877EF3">
              <w:rPr>
                <w:b/>
                <w:bCs/>
                <w:sz w:val="22"/>
                <w:szCs w:val="22"/>
              </w:rPr>
              <w:t>(Focus Area 1)</w:t>
            </w:r>
            <w:r w:rsidRPr="00877EF3">
              <w:rPr>
                <w:sz w:val="22"/>
                <w:szCs w:val="22"/>
              </w:rPr>
              <w:t xml:space="preserve"> Understand and identify the American Council on the Teaching of Foreign Language's (ACTFL) proficiency levels, and/or</w:t>
            </w:r>
          </w:p>
          <w:p w14:paraId="319B3038" w14:textId="77777777" w:rsidR="0021616C" w:rsidRPr="00877EF3" w:rsidRDefault="0021616C" w:rsidP="0021616C">
            <w:pPr>
              <w:numPr>
                <w:ilvl w:val="1"/>
                <w:numId w:val="7"/>
              </w:numPr>
              <w:spacing w:before="100" w:beforeAutospacing="1" w:after="100" w:afterAutospacing="1"/>
              <w:rPr>
                <w:sz w:val="22"/>
                <w:szCs w:val="22"/>
              </w:rPr>
            </w:pPr>
            <w:r w:rsidRPr="00877EF3">
              <w:rPr>
                <w:b/>
                <w:bCs/>
                <w:sz w:val="22"/>
                <w:szCs w:val="22"/>
              </w:rPr>
              <w:t>(Focus Area 2)</w:t>
            </w:r>
            <w:r w:rsidRPr="00877EF3">
              <w:rPr>
                <w:sz w:val="22"/>
                <w:szCs w:val="22"/>
              </w:rPr>
              <w:t xml:space="preserve"> Use the target/partner language (TL) and facilitate student use of the TL 90% of the time or more, and/or</w:t>
            </w:r>
          </w:p>
          <w:p w14:paraId="29959FA6" w14:textId="77777777" w:rsidR="0021616C" w:rsidRPr="00877EF3" w:rsidRDefault="0021616C" w:rsidP="0021616C">
            <w:pPr>
              <w:numPr>
                <w:ilvl w:val="1"/>
                <w:numId w:val="7"/>
              </w:numPr>
              <w:spacing w:before="100" w:beforeAutospacing="1"/>
              <w:rPr>
                <w:sz w:val="22"/>
                <w:szCs w:val="22"/>
              </w:rPr>
            </w:pPr>
            <w:r w:rsidRPr="00877EF3">
              <w:rPr>
                <w:b/>
                <w:bCs/>
                <w:sz w:val="22"/>
                <w:szCs w:val="22"/>
              </w:rPr>
              <w:t>(Focus Area 3)</w:t>
            </w:r>
            <w:r w:rsidRPr="00877EF3">
              <w:rPr>
                <w:sz w:val="22"/>
                <w:szCs w:val="22"/>
              </w:rPr>
              <w:t xml:space="preserve"> Leverage diverse and authentic texts from the TL culture for communication.</w:t>
            </w:r>
          </w:p>
          <w:p w14:paraId="5ACFA215" w14:textId="6B221A71" w:rsidR="00D85054" w:rsidRPr="00877EF3" w:rsidRDefault="0021616C" w:rsidP="0021616C">
            <w:pPr>
              <w:numPr>
                <w:ilvl w:val="0"/>
                <w:numId w:val="7"/>
              </w:numPr>
              <w:rPr>
                <w:sz w:val="22"/>
                <w:szCs w:val="22"/>
              </w:rPr>
            </w:pPr>
            <w:r w:rsidRPr="00877EF3">
              <w:rPr>
                <w:sz w:val="22"/>
                <w:szCs w:val="22"/>
              </w:rPr>
              <w:t>Districts provide appropriate time and environment to engage in ongoing, reflective conversations about professional development experiences and aligning district curriculum to the 2021 Massachusetts World Languages Curriculum Framework</w:t>
            </w:r>
          </w:p>
        </w:tc>
      </w:tr>
    </w:tbl>
    <w:p w14:paraId="477F4A36" w14:textId="77777777" w:rsidR="00410797" w:rsidRPr="00877EF3" w:rsidRDefault="00410797">
      <w:pPr>
        <w:jc w:val="both"/>
        <w:rPr>
          <w:sz w:val="22"/>
          <w:szCs w:val="22"/>
        </w:rPr>
      </w:pPr>
      <w:r w:rsidRPr="00877EF3">
        <w:rPr>
          <w:sz w:val="22"/>
          <w:szCs w:val="22"/>
        </w:rPr>
        <w:tab/>
      </w:r>
    </w:p>
    <w:tbl>
      <w:tblPr>
        <w:tblW w:w="7720" w:type="dxa"/>
        <w:jc w:val="center"/>
        <w:tblLook w:val="04A0" w:firstRow="1" w:lastRow="0" w:firstColumn="1" w:lastColumn="0" w:noHBand="0" w:noVBand="1"/>
      </w:tblPr>
      <w:tblGrid>
        <w:gridCol w:w="7465"/>
        <w:gridCol w:w="1341"/>
      </w:tblGrid>
      <w:tr w:rsidR="009D451B" w:rsidRPr="00877EF3" w14:paraId="1B845FDB" w14:textId="77777777" w:rsidTr="009D451B">
        <w:trPr>
          <w:trHeight w:val="288"/>
          <w:jc w:val="center"/>
        </w:trPr>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73FB5" w14:textId="77777777" w:rsidR="009D451B" w:rsidRPr="00877EF3" w:rsidRDefault="009D451B" w:rsidP="009D451B">
            <w:pPr>
              <w:jc w:val="center"/>
              <w:rPr>
                <w:b/>
                <w:bCs/>
                <w:color w:val="000000"/>
                <w:sz w:val="22"/>
                <w:szCs w:val="22"/>
              </w:rPr>
            </w:pPr>
            <w:r w:rsidRPr="00877EF3">
              <w:rPr>
                <w:b/>
                <w:bCs/>
                <w:color w:val="000000"/>
                <w:sz w:val="22"/>
                <w:szCs w:val="22"/>
              </w:rPr>
              <w:t>RECIPIENTS</w:t>
            </w:r>
          </w:p>
        </w:tc>
        <w:tc>
          <w:tcPr>
            <w:tcW w:w="255" w:type="dxa"/>
            <w:tcBorders>
              <w:top w:val="single" w:sz="4" w:space="0" w:color="auto"/>
              <w:left w:val="nil"/>
              <w:bottom w:val="single" w:sz="4" w:space="0" w:color="auto"/>
              <w:right w:val="single" w:sz="4" w:space="0" w:color="auto"/>
            </w:tcBorders>
            <w:shd w:val="clear" w:color="auto" w:fill="auto"/>
            <w:noWrap/>
            <w:vAlign w:val="bottom"/>
            <w:hideMark/>
          </w:tcPr>
          <w:p w14:paraId="7A9404AD" w14:textId="77777777" w:rsidR="009D451B" w:rsidRPr="00877EF3" w:rsidRDefault="009D451B" w:rsidP="009D451B">
            <w:pPr>
              <w:jc w:val="center"/>
              <w:rPr>
                <w:b/>
                <w:bCs/>
                <w:color w:val="000000"/>
                <w:sz w:val="22"/>
                <w:szCs w:val="22"/>
              </w:rPr>
            </w:pPr>
            <w:r w:rsidRPr="00877EF3">
              <w:rPr>
                <w:b/>
                <w:bCs/>
                <w:color w:val="000000"/>
                <w:sz w:val="22"/>
                <w:szCs w:val="22"/>
              </w:rPr>
              <w:t>AMOUNTS</w:t>
            </w:r>
          </w:p>
        </w:tc>
      </w:tr>
      <w:tr w:rsidR="009D451B" w:rsidRPr="00877EF3" w14:paraId="1ECDAF81"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405E038A" w14:textId="77777777" w:rsidR="009D451B" w:rsidRPr="00877EF3" w:rsidRDefault="009D451B" w:rsidP="009D451B">
            <w:pPr>
              <w:rPr>
                <w:b/>
                <w:bCs/>
                <w:color w:val="000000"/>
                <w:sz w:val="22"/>
                <w:szCs w:val="22"/>
              </w:rPr>
            </w:pPr>
            <w:r w:rsidRPr="00877EF3">
              <w:rPr>
                <w:b/>
                <w:bCs/>
                <w:color w:val="000000"/>
                <w:sz w:val="22"/>
                <w:szCs w:val="22"/>
              </w:rPr>
              <w:t>Goal 1</w:t>
            </w:r>
          </w:p>
        </w:tc>
        <w:tc>
          <w:tcPr>
            <w:tcW w:w="255" w:type="dxa"/>
            <w:tcBorders>
              <w:top w:val="nil"/>
              <w:left w:val="nil"/>
              <w:bottom w:val="single" w:sz="4" w:space="0" w:color="auto"/>
              <w:right w:val="single" w:sz="4" w:space="0" w:color="auto"/>
            </w:tcBorders>
            <w:shd w:val="clear" w:color="auto" w:fill="auto"/>
            <w:noWrap/>
            <w:vAlign w:val="bottom"/>
            <w:hideMark/>
          </w:tcPr>
          <w:p w14:paraId="71BA9AB3" w14:textId="77777777" w:rsidR="009D451B" w:rsidRPr="00877EF3" w:rsidRDefault="009D451B" w:rsidP="009D451B">
            <w:pPr>
              <w:rPr>
                <w:color w:val="000000"/>
                <w:sz w:val="22"/>
                <w:szCs w:val="22"/>
              </w:rPr>
            </w:pPr>
            <w:r w:rsidRPr="00877EF3">
              <w:rPr>
                <w:color w:val="000000"/>
                <w:sz w:val="22"/>
                <w:szCs w:val="22"/>
              </w:rPr>
              <w:t> </w:t>
            </w:r>
          </w:p>
        </w:tc>
      </w:tr>
      <w:tr w:rsidR="009D451B" w:rsidRPr="00877EF3" w14:paraId="37BCBCD7"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53D29FAF" w14:textId="77777777" w:rsidR="009D451B" w:rsidRPr="00877EF3" w:rsidRDefault="009D451B" w:rsidP="009D451B">
            <w:pPr>
              <w:rPr>
                <w:color w:val="000000"/>
                <w:sz w:val="22"/>
                <w:szCs w:val="22"/>
              </w:rPr>
            </w:pPr>
            <w:r w:rsidRPr="00877EF3">
              <w:rPr>
                <w:color w:val="000000"/>
                <w:sz w:val="22"/>
                <w:szCs w:val="22"/>
              </w:rPr>
              <w:t>Abington Public Schools</w:t>
            </w:r>
          </w:p>
        </w:tc>
        <w:tc>
          <w:tcPr>
            <w:tcW w:w="255" w:type="dxa"/>
            <w:tcBorders>
              <w:top w:val="nil"/>
              <w:left w:val="nil"/>
              <w:bottom w:val="single" w:sz="4" w:space="0" w:color="auto"/>
              <w:right w:val="single" w:sz="4" w:space="0" w:color="auto"/>
            </w:tcBorders>
            <w:shd w:val="clear" w:color="auto" w:fill="auto"/>
            <w:vAlign w:val="bottom"/>
            <w:hideMark/>
          </w:tcPr>
          <w:p w14:paraId="5244E2C7" w14:textId="508544FF" w:rsidR="009D451B" w:rsidRPr="00877EF3" w:rsidRDefault="009D451B" w:rsidP="00877EF3">
            <w:pPr>
              <w:jc w:val="right"/>
              <w:rPr>
                <w:color w:val="000000"/>
                <w:sz w:val="22"/>
                <w:szCs w:val="22"/>
              </w:rPr>
            </w:pPr>
            <w:r w:rsidRPr="00877EF3">
              <w:rPr>
                <w:color w:val="000000"/>
                <w:sz w:val="22"/>
                <w:szCs w:val="22"/>
              </w:rPr>
              <w:t>$5,550</w:t>
            </w:r>
          </w:p>
        </w:tc>
      </w:tr>
      <w:tr w:rsidR="009D451B" w:rsidRPr="00877EF3" w14:paraId="34B6D11F"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5EA5680F" w14:textId="77777777" w:rsidR="009D451B" w:rsidRPr="00877EF3" w:rsidRDefault="009D451B" w:rsidP="009D451B">
            <w:pPr>
              <w:rPr>
                <w:color w:val="000000"/>
                <w:sz w:val="22"/>
                <w:szCs w:val="22"/>
              </w:rPr>
            </w:pPr>
            <w:r w:rsidRPr="00877EF3">
              <w:rPr>
                <w:color w:val="000000"/>
                <w:sz w:val="22"/>
                <w:szCs w:val="22"/>
              </w:rPr>
              <w:t>Amherst Public Schools</w:t>
            </w:r>
          </w:p>
        </w:tc>
        <w:tc>
          <w:tcPr>
            <w:tcW w:w="255" w:type="dxa"/>
            <w:tcBorders>
              <w:top w:val="nil"/>
              <w:left w:val="nil"/>
              <w:bottom w:val="single" w:sz="4" w:space="0" w:color="auto"/>
              <w:right w:val="single" w:sz="4" w:space="0" w:color="auto"/>
            </w:tcBorders>
            <w:shd w:val="clear" w:color="auto" w:fill="auto"/>
            <w:vAlign w:val="bottom"/>
            <w:hideMark/>
          </w:tcPr>
          <w:p w14:paraId="0A95ED21" w14:textId="77777777" w:rsidR="009D451B" w:rsidRPr="00877EF3" w:rsidRDefault="009D451B" w:rsidP="00877EF3">
            <w:pPr>
              <w:jc w:val="right"/>
              <w:rPr>
                <w:color w:val="000000"/>
                <w:sz w:val="22"/>
                <w:szCs w:val="22"/>
              </w:rPr>
            </w:pPr>
            <w:r w:rsidRPr="00877EF3">
              <w:rPr>
                <w:color w:val="000000"/>
                <w:sz w:val="22"/>
                <w:szCs w:val="22"/>
              </w:rPr>
              <w:t xml:space="preserve">$8,980 </w:t>
            </w:r>
          </w:p>
        </w:tc>
      </w:tr>
      <w:tr w:rsidR="009D451B" w:rsidRPr="00877EF3" w14:paraId="67DAEE69"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64816CB3" w14:textId="77777777" w:rsidR="009D451B" w:rsidRPr="00877EF3" w:rsidRDefault="009D451B" w:rsidP="009D451B">
            <w:pPr>
              <w:rPr>
                <w:color w:val="000000"/>
                <w:sz w:val="22"/>
                <w:szCs w:val="22"/>
              </w:rPr>
            </w:pPr>
            <w:r w:rsidRPr="00877EF3">
              <w:rPr>
                <w:color w:val="000000"/>
                <w:sz w:val="22"/>
                <w:szCs w:val="22"/>
              </w:rPr>
              <w:t>Boston Public Schools</w:t>
            </w:r>
          </w:p>
        </w:tc>
        <w:tc>
          <w:tcPr>
            <w:tcW w:w="255" w:type="dxa"/>
            <w:tcBorders>
              <w:top w:val="nil"/>
              <w:left w:val="nil"/>
              <w:bottom w:val="single" w:sz="4" w:space="0" w:color="auto"/>
              <w:right w:val="single" w:sz="4" w:space="0" w:color="auto"/>
            </w:tcBorders>
            <w:shd w:val="clear" w:color="auto" w:fill="auto"/>
            <w:vAlign w:val="bottom"/>
            <w:hideMark/>
          </w:tcPr>
          <w:p w14:paraId="5433F215" w14:textId="77777777" w:rsidR="009D451B" w:rsidRPr="00877EF3" w:rsidRDefault="009D451B" w:rsidP="00877EF3">
            <w:pPr>
              <w:jc w:val="right"/>
              <w:rPr>
                <w:color w:val="000000"/>
                <w:sz w:val="22"/>
                <w:szCs w:val="22"/>
              </w:rPr>
            </w:pPr>
            <w:r w:rsidRPr="00877EF3">
              <w:rPr>
                <w:color w:val="000000"/>
                <w:sz w:val="22"/>
                <w:szCs w:val="22"/>
              </w:rPr>
              <w:t xml:space="preserve">$14,818 </w:t>
            </w:r>
          </w:p>
        </w:tc>
      </w:tr>
      <w:tr w:rsidR="009D451B" w:rsidRPr="00877EF3" w14:paraId="4B6E3853"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54F929BB" w14:textId="77777777" w:rsidR="009D451B" w:rsidRPr="00877EF3" w:rsidRDefault="009D451B" w:rsidP="009D451B">
            <w:pPr>
              <w:rPr>
                <w:color w:val="000000"/>
                <w:sz w:val="22"/>
                <w:szCs w:val="22"/>
              </w:rPr>
            </w:pPr>
            <w:r w:rsidRPr="00877EF3">
              <w:rPr>
                <w:color w:val="000000"/>
                <w:sz w:val="22"/>
                <w:szCs w:val="22"/>
              </w:rPr>
              <w:t>Brockton Public Schools</w:t>
            </w:r>
          </w:p>
        </w:tc>
        <w:tc>
          <w:tcPr>
            <w:tcW w:w="255" w:type="dxa"/>
            <w:tcBorders>
              <w:top w:val="nil"/>
              <w:left w:val="nil"/>
              <w:bottom w:val="single" w:sz="4" w:space="0" w:color="auto"/>
              <w:right w:val="single" w:sz="4" w:space="0" w:color="auto"/>
            </w:tcBorders>
            <w:shd w:val="clear" w:color="auto" w:fill="auto"/>
            <w:vAlign w:val="bottom"/>
            <w:hideMark/>
          </w:tcPr>
          <w:p w14:paraId="75C2C0E0" w14:textId="56A4C78B" w:rsidR="009D451B" w:rsidRPr="00877EF3" w:rsidRDefault="009D451B" w:rsidP="00877EF3">
            <w:pPr>
              <w:jc w:val="right"/>
              <w:rPr>
                <w:color w:val="000000"/>
                <w:sz w:val="22"/>
                <w:szCs w:val="22"/>
              </w:rPr>
            </w:pPr>
            <w:r w:rsidRPr="00877EF3">
              <w:rPr>
                <w:color w:val="000000"/>
                <w:sz w:val="22"/>
                <w:szCs w:val="22"/>
              </w:rPr>
              <w:t>$19,</w:t>
            </w:r>
            <w:r w:rsidR="00C97D06" w:rsidRPr="00877EF3">
              <w:rPr>
                <w:color w:val="000000"/>
                <w:sz w:val="22"/>
                <w:szCs w:val="22"/>
              </w:rPr>
              <w:t>609</w:t>
            </w:r>
            <w:r w:rsidRPr="00877EF3">
              <w:rPr>
                <w:color w:val="000000"/>
                <w:sz w:val="22"/>
                <w:szCs w:val="22"/>
              </w:rPr>
              <w:t xml:space="preserve"> </w:t>
            </w:r>
          </w:p>
        </w:tc>
      </w:tr>
      <w:tr w:rsidR="009D451B" w:rsidRPr="00877EF3" w14:paraId="3123B2F1"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5E73B82B" w14:textId="77777777" w:rsidR="009D451B" w:rsidRPr="00877EF3" w:rsidRDefault="009D451B" w:rsidP="009D451B">
            <w:pPr>
              <w:rPr>
                <w:color w:val="000000"/>
                <w:sz w:val="22"/>
                <w:szCs w:val="22"/>
              </w:rPr>
            </w:pPr>
            <w:r w:rsidRPr="00877EF3">
              <w:rPr>
                <w:color w:val="000000"/>
                <w:sz w:val="22"/>
                <w:szCs w:val="22"/>
              </w:rPr>
              <w:t>Canton Public Schools</w:t>
            </w:r>
          </w:p>
        </w:tc>
        <w:tc>
          <w:tcPr>
            <w:tcW w:w="255" w:type="dxa"/>
            <w:tcBorders>
              <w:top w:val="nil"/>
              <w:left w:val="nil"/>
              <w:bottom w:val="single" w:sz="4" w:space="0" w:color="auto"/>
              <w:right w:val="single" w:sz="4" w:space="0" w:color="auto"/>
            </w:tcBorders>
            <w:shd w:val="clear" w:color="auto" w:fill="auto"/>
            <w:vAlign w:val="bottom"/>
            <w:hideMark/>
          </w:tcPr>
          <w:p w14:paraId="186D38AB" w14:textId="77777777" w:rsidR="009D451B" w:rsidRPr="00877EF3" w:rsidRDefault="009D451B" w:rsidP="00877EF3">
            <w:pPr>
              <w:jc w:val="right"/>
              <w:rPr>
                <w:color w:val="000000"/>
                <w:sz w:val="22"/>
                <w:szCs w:val="22"/>
              </w:rPr>
            </w:pPr>
            <w:r w:rsidRPr="00877EF3">
              <w:rPr>
                <w:color w:val="000000"/>
                <w:sz w:val="22"/>
                <w:szCs w:val="22"/>
              </w:rPr>
              <w:t xml:space="preserve">$14,320 </w:t>
            </w:r>
          </w:p>
        </w:tc>
      </w:tr>
      <w:tr w:rsidR="009D451B" w:rsidRPr="00877EF3" w14:paraId="0840D177"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41949195" w14:textId="77777777" w:rsidR="009D451B" w:rsidRPr="00877EF3" w:rsidRDefault="009D451B" w:rsidP="009D451B">
            <w:pPr>
              <w:rPr>
                <w:color w:val="000000"/>
                <w:sz w:val="22"/>
                <w:szCs w:val="22"/>
              </w:rPr>
            </w:pPr>
            <w:r w:rsidRPr="00877EF3">
              <w:rPr>
                <w:color w:val="000000"/>
                <w:sz w:val="22"/>
                <w:szCs w:val="22"/>
              </w:rPr>
              <w:t>Chelmsford Public Schools</w:t>
            </w:r>
          </w:p>
        </w:tc>
        <w:tc>
          <w:tcPr>
            <w:tcW w:w="255" w:type="dxa"/>
            <w:tcBorders>
              <w:top w:val="nil"/>
              <w:left w:val="nil"/>
              <w:bottom w:val="single" w:sz="4" w:space="0" w:color="auto"/>
              <w:right w:val="single" w:sz="4" w:space="0" w:color="auto"/>
            </w:tcBorders>
            <w:shd w:val="clear" w:color="auto" w:fill="auto"/>
            <w:vAlign w:val="bottom"/>
            <w:hideMark/>
          </w:tcPr>
          <w:p w14:paraId="7BA1C649" w14:textId="77777777" w:rsidR="009D451B" w:rsidRPr="00877EF3" w:rsidRDefault="009D451B" w:rsidP="00877EF3">
            <w:pPr>
              <w:jc w:val="right"/>
              <w:rPr>
                <w:color w:val="000000"/>
                <w:sz w:val="22"/>
                <w:szCs w:val="22"/>
              </w:rPr>
            </w:pPr>
            <w:r w:rsidRPr="00877EF3">
              <w:rPr>
                <w:color w:val="000000"/>
                <w:sz w:val="22"/>
                <w:szCs w:val="22"/>
              </w:rPr>
              <w:t xml:space="preserve">$20,342 </w:t>
            </w:r>
          </w:p>
        </w:tc>
      </w:tr>
      <w:tr w:rsidR="009D451B" w:rsidRPr="00877EF3" w14:paraId="00B67D1C"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39B067EC" w14:textId="663D722A" w:rsidR="009D451B" w:rsidRPr="00877EF3" w:rsidRDefault="009D451B" w:rsidP="009D451B">
            <w:pPr>
              <w:rPr>
                <w:color w:val="000000"/>
                <w:sz w:val="22"/>
                <w:szCs w:val="22"/>
              </w:rPr>
            </w:pPr>
            <w:r w:rsidRPr="00877EF3">
              <w:rPr>
                <w:color w:val="000000"/>
                <w:sz w:val="22"/>
                <w:szCs w:val="22"/>
              </w:rPr>
              <w:t>East Longmeadow P</w:t>
            </w:r>
            <w:r w:rsidR="00990AA0" w:rsidRPr="00877EF3">
              <w:rPr>
                <w:color w:val="000000"/>
                <w:sz w:val="22"/>
                <w:szCs w:val="22"/>
              </w:rPr>
              <w:t xml:space="preserve">ublic </w:t>
            </w:r>
            <w:r w:rsidRPr="00877EF3">
              <w:rPr>
                <w:color w:val="000000"/>
                <w:sz w:val="22"/>
                <w:szCs w:val="22"/>
              </w:rPr>
              <w:t>S</w:t>
            </w:r>
            <w:r w:rsidR="00990AA0" w:rsidRPr="00877EF3">
              <w:rPr>
                <w:color w:val="000000"/>
                <w:sz w:val="22"/>
                <w:szCs w:val="22"/>
              </w:rPr>
              <w:t>chools</w:t>
            </w:r>
          </w:p>
        </w:tc>
        <w:tc>
          <w:tcPr>
            <w:tcW w:w="255" w:type="dxa"/>
            <w:tcBorders>
              <w:top w:val="nil"/>
              <w:left w:val="nil"/>
              <w:bottom w:val="single" w:sz="4" w:space="0" w:color="auto"/>
              <w:right w:val="single" w:sz="4" w:space="0" w:color="auto"/>
            </w:tcBorders>
            <w:shd w:val="clear" w:color="auto" w:fill="auto"/>
            <w:hideMark/>
          </w:tcPr>
          <w:p w14:paraId="3F8F8A39" w14:textId="77777777" w:rsidR="009D451B" w:rsidRPr="00877EF3" w:rsidRDefault="009D451B" w:rsidP="00877EF3">
            <w:pPr>
              <w:jc w:val="right"/>
              <w:rPr>
                <w:color w:val="000000"/>
                <w:sz w:val="22"/>
                <w:szCs w:val="22"/>
              </w:rPr>
            </w:pPr>
            <w:r w:rsidRPr="00877EF3">
              <w:rPr>
                <w:color w:val="000000"/>
                <w:sz w:val="22"/>
                <w:szCs w:val="22"/>
              </w:rPr>
              <w:t xml:space="preserve">$11,100 </w:t>
            </w:r>
          </w:p>
        </w:tc>
      </w:tr>
      <w:tr w:rsidR="009D451B" w:rsidRPr="00877EF3" w14:paraId="48AFCE66"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73EA4AD3" w14:textId="77777777" w:rsidR="009D451B" w:rsidRPr="00877EF3" w:rsidRDefault="009D451B" w:rsidP="009D451B">
            <w:pPr>
              <w:rPr>
                <w:color w:val="000000"/>
                <w:sz w:val="22"/>
                <w:szCs w:val="22"/>
              </w:rPr>
            </w:pPr>
            <w:r w:rsidRPr="00877EF3">
              <w:rPr>
                <w:color w:val="000000"/>
                <w:sz w:val="22"/>
                <w:szCs w:val="22"/>
              </w:rPr>
              <w:t>Falmouth Public Schools</w:t>
            </w:r>
          </w:p>
        </w:tc>
        <w:tc>
          <w:tcPr>
            <w:tcW w:w="255" w:type="dxa"/>
            <w:tcBorders>
              <w:top w:val="nil"/>
              <w:left w:val="nil"/>
              <w:bottom w:val="single" w:sz="4" w:space="0" w:color="auto"/>
              <w:right w:val="single" w:sz="4" w:space="0" w:color="auto"/>
            </w:tcBorders>
            <w:shd w:val="clear" w:color="auto" w:fill="auto"/>
            <w:hideMark/>
          </w:tcPr>
          <w:p w14:paraId="7E456E92" w14:textId="77777777" w:rsidR="009D451B" w:rsidRPr="00877EF3" w:rsidRDefault="009D451B" w:rsidP="00877EF3">
            <w:pPr>
              <w:jc w:val="right"/>
              <w:rPr>
                <w:color w:val="000000"/>
                <w:sz w:val="22"/>
                <w:szCs w:val="22"/>
              </w:rPr>
            </w:pPr>
            <w:r w:rsidRPr="00877EF3">
              <w:rPr>
                <w:color w:val="000000"/>
                <w:sz w:val="22"/>
                <w:szCs w:val="22"/>
              </w:rPr>
              <w:t xml:space="preserve">$10,290 </w:t>
            </w:r>
          </w:p>
        </w:tc>
      </w:tr>
      <w:tr w:rsidR="009D451B" w:rsidRPr="00877EF3" w14:paraId="5AF851C6"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1B8E0689" w14:textId="48DEF81B" w:rsidR="009D451B" w:rsidRPr="00877EF3" w:rsidRDefault="009D451B" w:rsidP="009D451B">
            <w:pPr>
              <w:rPr>
                <w:color w:val="000000"/>
                <w:sz w:val="22"/>
                <w:szCs w:val="22"/>
              </w:rPr>
            </w:pPr>
            <w:r w:rsidRPr="00877EF3">
              <w:rPr>
                <w:color w:val="000000"/>
                <w:sz w:val="22"/>
                <w:szCs w:val="22"/>
              </w:rPr>
              <w:t xml:space="preserve">Hampshire Regional </w:t>
            </w:r>
            <w:r w:rsidR="00990AA0" w:rsidRPr="00877EF3">
              <w:rPr>
                <w:color w:val="000000"/>
                <w:sz w:val="22"/>
                <w:szCs w:val="22"/>
              </w:rPr>
              <w:t>High School</w:t>
            </w:r>
          </w:p>
        </w:tc>
        <w:tc>
          <w:tcPr>
            <w:tcW w:w="255" w:type="dxa"/>
            <w:tcBorders>
              <w:top w:val="nil"/>
              <w:left w:val="nil"/>
              <w:bottom w:val="single" w:sz="4" w:space="0" w:color="auto"/>
              <w:right w:val="single" w:sz="4" w:space="0" w:color="auto"/>
            </w:tcBorders>
            <w:shd w:val="clear" w:color="auto" w:fill="auto"/>
            <w:hideMark/>
          </w:tcPr>
          <w:p w14:paraId="329D6354" w14:textId="77777777" w:rsidR="009D451B" w:rsidRPr="00877EF3" w:rsidRDefault="009D451B" w:rsidP="00877EF3">
            <w:pPr>
              <w:jc w:val="right"/>
              <w:rPr>
                <w:color w:val="000000"/>
                <w:sz w:val="22"/>
                <w:szCs w:val="22"/>
              </w:rPr>
            </w:pPr>
            <w:r w:rsidRPr="00877EF3">
              <w:rPr>
                <w:color w:val="000000"/>
                <w:sz w:val="22"/>
                <w:szCs w:val="22"/>
              </w:rPr>
              <w:t xml:space="preserve">$15,826 </w:t>
            </w:r>
          </w:p>
        </w:tc>
      </w:tr>
      <w:tr w:rsidR="009D451B" w:rsidRPr="00877EF3" w14:paraId="6BED1DFA"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036604FB" w14:textId="77777777" w:rsidR="009D451B" w:rsidRPr="00877EF3" w:rsidRDefault="009D451B" w:rsidP="009D451B">
            <w:pPr>
              <w:rPr>
                <w:color w:val="000000"/>
                <w:sz w:val="22"/>
                <w:szCs w:val="22"/>
              </w:rPr>
            </w:pPr>
            <w:r w:rsidRPr="00877EF3">
              <w:rPr>
                <w:color w:val="000000"/>
                <w:sz w:val="22"/>
                <w:szCs w:val="22"/>
              </w:rPr>
              <w:t>Hingham Public Schools</w:t>
            </w:r>
          </w:p>
        </w:tc>
        <w:tc>
          <w:tcPr>
            <w:tcW w:w="255" w:type="dxa"/>
            <w:tcBorders>
              <w:top w:val="nil"/>
              <w:left w:val="nil"/>
              <w:bottom w:val="single" w:sz="4" w:space="0" w:color="auto"/>
              <w:right w:val="single" w:sz="4" w:space="0" w:color="auto"/>
            </w:tcBorders>
            <w:shd w:val="clear" w:color="auto" w:fill="auto"/>
            <w:hideMark/>
          </w:tcPr>
          <w:p w14:paraId="7BD9C1CF" w14:textId="77777777" w:rsidR="009D451B" w:rsidRPr="00877EF3" w:rsidRDefault="009D451B" w:rsidP="00877EF3">
            <w:pPr>
              <w:jc w:val="right"/>
              <w:rPr>
                <w:color w:val="000000"/>
                <w:sz w:val="22"/>
                <w:szCs w:val="22"/>
              </w:rPr>
            </w:pPr>
            <w:r w:rsidRPr="00877EF3">
              <w:rPr>
                <w:color w:val="000000"/>
                <w:sz w:val="22"/>
                <w:szCs w:val="22"/>
              </w:rPr>
              <w:t xml:space="preserve">$6,720 </w:t>
            </w:r>
          </w:p>
        </w:tc>
      </w:tr>
      <w:tr w:rsidR="009D451B" w:rsidRPr="00877EF3" w14:paraId="2100C386"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02A402B9" w14:textId="77777777" w:rsidR="009D451B" w:rsidRPr="00877EF3" w:rsidRDefault="009D451B" w:rsidP="009D451B">
            <w:pPr>
              <w:rPr>
                <w:color w:val="000000"/>
                <w:sz w:val="22"/>
                <w:szCs w:val="22"/>
              </w:rPr>
            </w:pPr>
            <w:r w:rsidRPr="00877EF3">
              <w:rPr>
                <w:color w:val="000000"/>
                <w:sz w:val="22"/>
                <w:szCs w:val="22"/>
              </w:rPr>
              <w:t>Lynn Public Schools</w:t>
            </w:r>
          </w:p>
        </w:tc>
        <w:tc>
          <w:tcPr>
            <w:tcW w:w="255" w:type="dxa"/>
            <w:tcBorders>
              <w:top w:val="nil"/>
              <w:left w:val="nil"/>
              <w:bottom w:val="single" w:sz="4" w:space="0" w:color="auto"/>
              <w:right w:val="single" w:sz="4" w:space="0" w:color="auto"/>
            </w:tcBorders>
            <w:shd w:val="clear" w:color="auto" w:fill="auto"/>
            <w:hideMark/>
          </w:tcPr>
          <w:p w14:paraId="69093345" w14:textId="77777777" w:rsidR="009D451B" w:rsidRPr="00877EF3" w:rsidRDefault="009D451B" w:rsidP="00877EF3">
            <w:pPr>
              <w:jc w:val="right"/>
              <w:rPr>
                <w:color w:val="000000"/>
                <w:sz w:val="22"/>
                <w:szCs w:val="22"/>
              </w:rPr>
            </w:pPr>
            <w:r w:rsidRPr="00877EF3">
              <w:rPr>
                <w:color w:val="000000"/>
                <w:sz w:val="22"/>
                <w:szCs w:val="22"/>
              </w:rPr>
              <w:t xml:space="preserve">$38,606 </w:t>
            </w:r>
          </w:p>
        </w:tc>
      </w:tr>
      <w:tr w:rsidR="009D451B" w:rsidRPr="00877EF3" w14:paraId="3CBB9EFF"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3559B3E9" w14:textId="77777777" w:rsidR="009D451B" w:rsidRPr="00877EF3" w:rsidRDefault="009D451B" w:rsidP="009D451B">
            <w:pPr>
              <w:rPr>
                <w:color w:val="000000"/>
                <w:sz w:val="22"/>
                <w:szCs w:val="22"/>
              </w:rPr>
            </w:pPr>
            <w:r w:rsidRPr="00877EF3">
              <w:rPr>
                <w:color w:val="000000"/>
                <w:sz w:val="22"/>
                <w:szCs w:val="22"/>
              </w:rPr>
              <w:t>Medford Public Schools</w:t>
            </w:r>
          </w:p>
        </w:tc>
        <w:tc>
          <w:tcPr>
            <w:tcW w:w="255" w:type="dxa"/>
            <w:tcBorders>
              <w:top w:val="nil"/>
              <w:left w:val="nil"/>
              <w:bottom w:val="single" w:sz="4" w:space="0" w:color="auto"/>
              <w:right w:val="single" w:sz="4" w:space="0" w:color="auto"/>
            </w:tcBorders>
            <w:shd w:val="clear" w:color="auto" w:fill="auto"/>
            <w:hideMark/>
          </w:tcPr>
          <w:p w14:paraId="4D57CF61" w14:textId="6F622100" w:rsidR="009D451B" w:rsidRPr="00877EF3" w:rsidRDefault="009D451B" w:rsidP="00877EF3">
            <w:pPr>
              <w:jc w:val="right"/>
              <w:rPr>
                <w:color w:val="000000"/>
                <w:sz w:val="22"/>
                <w:szCs w:val="22"/>
              </w:rPr>
            </w:pPr>
            <w:r w:rsidRPr="00877EF3">
              <w:rPr>
                <w:color w:val="000000"/>
                <w:sz w:val="22"/>
                <w:szCs w:val="22"/>
              </w:rPr>
              <w:t>$5,</w:t>
            </w:r>
            <w:r w:rsidR="005C39AC" w:rsidRPr="00877EF3">
              <w:rPr>
                <w:color w:val="000000"/>
                <w:sz w:val="22"/>
                <w:szCs w:val="22"/>
              </w:rPr>
              <w:t>471</w:t>
            </w:r>
            <w:r w:rsidRPr="00877EF3">
              <w:rPr>
                <w:color w:val="000000"/>
                <w:sz w:val="22"/>
                <w:szCs w:val="22"/>
              </w:rPr>
              <w:t xml:space="preserve"> </w:t>
            </w:r>
          </w:p>
        </w:tc>
      </w:tr>
      <w:tr w:rsidR="009D451B" w:rsidRPr="00877EF3" w14:paraId="3E0C121F"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04CF5F8D" w14:textId="77777777" w:rsidR="009D451B" w:rsidRPr="00877EF3" w:rsidRDefault="009D451B" w:rsidP="009D451B">
            <w:pPr>
              <w:rPr>
                <w:color w:val="000000"/>
                <w:sz w:val="22"/>
                <w:szCs w:val="22"/>
              </w:rPr>
            </w:pPr>
            <w:r w:rsidRPr="00877EF3">
              <w:rPr>
                <w:color w:val="000000"/>
                <w:sz w:val="22"/>
                <w:szCs w:val="22"/>
              </w:rPr>
              <w:t>Melrose Public Schools</w:t>
            </w:r>
          </w:p>
        </w:tc>
        <w:tc>
          <w:tcPr>
            <w:tcW w:w="255" w:type="dxa"/>
            <w:tcBorders>
              <w:top w:val="nil"/>
              <w:left w:val="nil"/>
              <w:bottom w:val="single" w:sz="4" w:space="0" w:color="auto"/>
              <w:right w:val="single" w:sz="4" w:space="0" w:color="auto"/>
            </w:tcBorders>
            <w:shd w:val="clear" w:color="auto" w:fill="auto"/>
            <w:hideMark/>
          </w:tcPr>
          <w:p w14:paraId="22915F91" w14:textId="77777777" w:rsidR="009D451B" w:rsidRPr="00877EF3" w:rsidRDefault="009D451B" w:rsidP="00877EF3">
            <w:pPr>
              <w:jc w:val="right"/>
              <w:rPr>
                <w:color w:val="000000"/>
                <w:sz w:val="22"/>
                <w:szCs w:val="22"/>
              </w:rPr>
            </w:pPr>
            <w:r w:rsidRPr="00877EF3">
              <w:rPr>
                <w:color w:val="000000"/>
                <w:sz w:val="22"/>
                <w:szCs w:val="22"/>
              </w:rPr>
              <w:t xml:space="preserve">$15,400 </w:t>
            </w:r>
          </w:p>
        </w:tc>
      </w:tr>
      <w:tr w:rsidR="009D451B" w:rsidRPr="00877EF3" w14:paraId="231E42A8"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701FFDEF" w14:textId="77777777" w:rsidR="009D451B" w:rsidRPr="00877EF3" w:rsidRDefault="009D451B" w:rsidP="009D451B">
            <w:pPr>
              <w:rPr>
                <w:color w:val="000000"/>
                <w:sz w:val="22"/>
                <w:szCs w:val="22"/>
              </w:rPr>
            </w:pPr>
            <w:r w:rsidRPr="00877EF3">
              <w:rPr>
                <w:color w:val="000000"/>
                <w:sz w:val="22"/>
                <w:szCs w:val="22"/>
              </w:rPr>
              <w:t>Methuen Public Schools</w:t>
            </w:r>
          </w:p>
        </w:tc>
        <w:tc>
          <w:tcPr>
            <w:tcW w:w="255" w:type="dxa"/>
            <w:tcBorders>
              <w:top w:val="nil"/>
              <w:left w:val="nil"/>
              <w:bottom w:val="single" w:sz="4" w:space="0" w:color="auto"/>
              <w:right w:val="single" w:sz="4" w:space="0" w:color="auto"/>
            </w:tcBorders>
            <w:shd w:val="clear" w:color="auto" w:fill="auto"/>
            <w:hideMark/>
          </w:tcPr>
          <w:p w14:paraId="165DAF64" w14:textId="77777777" w:rsidR="009D451B" w:rsidRPr="00877EF3" w:rsidRDefault="009D451B" w:rsidP="00877EF3">
            <w:pPr>
              <w:jc w:val="right"/>
              <w:rPr>
                <w:color w:val="000000"/>
                <w:sz w:val="22"/>
                <w:szCs w:val="22"/>
              </w:rPr>
            </w:pPr>
            <w:r w:rsidRPr="00877EF3">
              <w:rPr>
                <w:color w:val="000000"/>
                <w:sz w:val="22"/>
                <w:szCs w:val="22"/>
              </w:rPr>
              <w:t xml:space="preserve">$23,575 </w:t>
            </w:r>
          </w:p>
        </w:tc>
      </w:tr>
      <w:tr w:rsidR="009D451B" w:rsidRPr="00877EF3" w14:paraId="5B26D937"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5AEFEAC4" w14:textId="77777777" w:rsidR="009D451B" w:rsidRPr="00877EF3" w:rsidRDefault="009D451B" w:rsidP="009D451B">
            <w:pPr>
              <w:rPr>
                <w:color w:val="000000"/>
                <w:sz w:val="22"/>
                <w:szCs w:val="22"/>
              </w:rPr>
            </w:pPr>
            <w:r w:rsidRPr="00877EF3">
              <w:rPr>
                <w:color w:val="000000"/>
                <w:sz w:val="22"/>
                <w:szCs w:val="22"/>
              </w:rPr>
              <w:t>Milford Public Schools</w:t>
            </w:r>
          </w:p>
        </w:tc>
        <w:tc>
          <w:tcPr>
            <w:tcW w:w="255" w:type="dxa"/>
            <w:tcBorders>
              <w:top w:val="nil"/>
              <w:left w:val="nil"/>
              <w:bottom w:val="single" w:sz="4" w:space="0" w:color="auto"/>
              <w:right w:val="single" w:sz="4" w:space="0" w:color="auto"/>
            </w:tcBorders>
            <w:shd w:val="clear" w:color="auto" w:fill="auto"/>
            <w:hideMark/>
          </w:tcPr>
          <w:p w14:paraId="410E42D6" w14:textId="77777777" w:rsidR="009D451B" w:rsidRPr="00877EF3" w:rsidRDefault="009D451B" w:rsidP="00877EF3">
            <w:pPr>
              <w:jc w:val="right"/>
              <w:rPr>
                <w:color w:val="000000"/>
                <w:sz w:val="22"/>
                <w:szCs w:val="22"/>
              </w:rPr>
            </w:pPr>
            <w:r w:rsidRPr="00877EF3">
              <w:rPr>
                <w:color w:val="000000"/>
                <w:sz w:val="22"/>
                <w:szCs w:val="22"/>
              </w:rPr>
              <w:t xml:space="preserve">$17,340 </w:t>
            </w:r>
          </w:p>
        </w:tc>
      </w:tr>
      <w:tr w:rsidR="009D451B" w:rsidRPr="00877EF3" w14:paraId="16EB6E0F"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7C680C23" w14:textId="77777777" w:rsidR="009D451B" w:rsidRPr="00877EF3" w:rsidRDefault="009D451B" w:rsidP="009D451B">
            <w:pPr>
              <w:rPr>
                <w:color w:val="000000"/>
                <w:sz w:val="22"/>
                <w:szCs w:val="22"/>
              </w:rPr>
            </w:pPr>
            <w:r w:rsidRPr="00877EF3">
              <w:rPr>
                <w:color w:val="000000"/>
                <w:sz w:val="22"/>
                <w:szCs w:val="22"/>
              </w:rPr>
              <w:lastRenderedPageBreak/>
              <w:t>Norwood Public Schools</w:t>
            </w:r>
          </w:p>
        </w:tc>
        <w:tc>
          <w:tcPr>
            <w:tcW w:w="255" w:type="dxa"/>
            <w:tcBorders>
              <w:top w:val="nil"/>
              <w:left w:val="nil"/>
              <w:bottom w:val="single" w:sz="4" w:space="0" w:color="auto"/>
              <w:right w:val="single" w:sz="4" w:space="0" w:color="auto"/>
            </w:tcBorders>
            <w:shd w:val="clear" w:color="auto" w:fill="auto"/>
            <w:hideMark/>
          </w:tcPr>
          <w:p w14:paraId="3EA68FE7" w14:textId="77777777" w:rsidR="009D451B" w:rsidRPr="00877EF3" w:rsidRDefault="009D451B" w:rsidP="00877EF3">
            <w:pPr>
              <w:jc w:val="right"/>
              <w:rPr>
                <w:color w:val="000000"/>
                <w:sz w:val="22"/>
                <w:szCs w:val="22"/>
              </w:rPr>
            </w:pPr>
            <w:r w:rsidRPr="00877EF3">
              <w:rPr>
                <w:color w:val="000000"/>
                <w:sz w:val="22"/>
                <w:szCs w:val="22"/>
              </w:rPr>
              <w:t xml:space="preserve">$19,743 </w:t>
            </w:r>
          </w:p>
        </w:tc>
      </w:tr>
      <w:tr w:rsidR="009D451B" w:rsidRPr="00877EF3" w14:paraId="5B31AA4F"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60E9E075" w14:textId="77777777" w:rsidR="009D451B" w:rsidRPr="00877EF3" w:rsidRDefault="009D451B" w:rsidP="009D451B">
            <w:pPr>
              <w:rPr>
                <w:color w:val="000000"/>
                <w:sz w:val="22"/>
                <w:szCs w:val="22"/>
              </w:rPr>
            </w:pPr>
            <w:r w:rsidRPr="00877EF3">
              <w:rPr>
                <w:color w:val="000000"/>
                <w:sz w:val="22"/>
                <w:szCs w:val="22"/>
              </w:rPr>
              <w:t>Pittsfield Public Schools</w:t>
            </w:r>
          </w:p>
        </w:tc>
        <w:tc>
          <w:tcPr>
            <w:tcW w:w="255" w:type="dxa"/>
            <w:tcBorders>
              <w:top w:val="nil"/>
              <w:left w:val="nil"/>
              <w:bottom w:val="single" w:sz="4" w:space="0" w:color="auto"/>
              <w:right w:val="single" w:sz="4" w:space="0" w:color="auto"/>
            </w:tcBorders>
            <w:shd w:val="clear" w:color="auto" w:fill="auto"/>
            <w:hideMark/>
          </w:tcPr>
          <w:p w14:paraId="0754CC63" w14:textId="77777777" w:rsidR="009D451B" w:rsidRPr="00877EF3" w:rsidRDefault="009D451B" w:rsidP="00877EF3">
            <w:pPr>
              <w:jc w:val="right"/>
              <w:rPr>
                <w:color w:val="000000"/>
                <w:sz w:val="22"/>
                <w:szCs w:val="22"/>
              </w:rPr>
            </w:pPr>
            <w:r w:rsidRPr="00877EF3">
              <w:rPr>
                <w:color w:val="000000"/>
                <w:sz w:val="22"/>
                <w:szCs w:val="22"/>
              </w:rPr>
              <w:t xml:space="preserve">$8,110 </w:t>
            </w:r>
          </w:p>
        </w:tc>
      </w:tr>
      <w:tr w:rsidR="009D451B" w:rsidRPr="00877EF3" w14:paraId="65E91BFC"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1B5F8952" w14:textId="77777777" w:rsidR="009D451B" w:rsidRPr="00877EF3" w:rsidRDefault="009D451B" w:rsidP="009D451B">
            <w:pPr>
              <w:rPr>
                <w:color w:val="000000"/>
                <w:sz w:val="22"/>
                <w:szCs w:val="22"/>
              </w:rPr>
            </w:pPr>
            <w:r w:rsidRPr="00877EF3">
              <w:rPr>
                <w:color w:val="000000"/>
                <w:sz w:val="22"/>
                <w:szCs w:val="22"/>
              </w:rPr>
              <w:t>Westford Public Schools</w:t>
            </w:r>
          </w:p>
        </w:tc>
        <w:tc>
          <w:tcPr>
            <w:tcW w:w="255" w:type="dxa"/>
            <w:tcBorders>
              <w:top w:val="nil"/>
              <w:left w:val="nil"/>
              <w:bottom w:val="single" w:sz="4" w:space="0" w:color="auto"/>
              <w:right w:val="single" w:sz="4" w:space="0" w:color="auto"/>
            </w:tcBorders>
            <w:shd w:val="clear" w:color="auto" w:fill="auto"/>
            <w:hideMark/>
          </w:tcPr>
          <w:p w14:paraId="3B23C27D" w14:textId="77777777" w:rsidR="009D451B" w:rsidRPr="00877EF3" w:rsidRDefault="009D451B" w:rsidP="00877EF3">
            <w:pPr>
              <w:jc w:val="right"/>
              <w:rPr>
                <w:color w:val="000000"/>
                <w:sz w:val="22"/>
                <w:szCs w:val="22"/>
              </w:rPr>
            </w:pPr>
            <w:r w:rsidRPr="00877EF3">
              <w:rPr>
                <w:color w:val="000000"/>
                <w:sz w:val="22"/>
                <w:szCs w:val="22"/>
              </w:rPr>
              <w:t xml:space="preserve">$9,972 </w:t>
            </w:r>
          </w:p>
        </w:tc>
      </w:tr>
      <w:tr w:rsidR="009D451B" w:rsidRPr="00877EF3" w14:paraId="2A11CA52"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3AE385F0" w14:textId="31891137" w:rsidR="009D451B" w:rsidRPr="00877EF3" w:rsidRDefault="009D451B" w:rsidP="009D451B">
            <w:pPr>
              <w:rPr>
                <w:color w:val="000000"/>
                <w:sz w:val="22"/>
                <w:szCs w:val="22"/>
              </w:rPr>
            </w:pPr>
            <w:r w:rsidRPr="00877EF3">
              <w:rPr>
                <w:color w:val="000000"/>
                <w:sz w:val="22"/>
                <w:szCs w:val="22"/>
              </w:rPr>
              <w:t>Worcester Public Sc</w:t>
            </w:r>
            <w:r w:rsidR="00990AA0" w:rsidRPr="00877EF3">
              <w:rPr>
                <w:color w:val="000000"/>
                <w:sz w:val="22"/>
                <w:szCs w:val="22"/>
              </w:rPr>
              <w:t>h</w:t>
            </w:r>
            <w:r w:rsidRPr="00877EF3">
              <w:rPr>
                <w:color w:val="000000"/>
                <w:sz w:val="22"/>
                <w:szCs w:val="22"/>
              </w:rPr>
              <w:t>ools</w:t>
            </w:r>
          </w:p>
        </w:tc>
        <w:tc>
          <w:tcPr>
            <w:tcW w:w="255" w:type="dxa"/>
            <w:tcBorders>
              <w:top w:val="nil"/>
              <w:left w:val="nil"/>
              <w:bottom w:val="single" w:sz="4" w:space="0" w:color="auto"/>
              <w:right w:val="single" w:sz="4" w:space="0" w:color="auto"/>
            </w:tcBorders>
            <w:shd w:val="clear" w:color="auto" w:fill="auto"/>
            <w:hideMark/>
          </w:tcPr>
          <w:p w14:paraId="45961789" w14:textId="315B6F67" w:rsidR="009D451B" w:rsidRPr="00877EF3" w:rsidRDefault="009D451B" w:rsidP="00877EF3">
            <w:pPr>
              <w:jc w:val="right"/>
              <w:rPr>
                <w:color w:val="000000"/>
                <w:sz w:val="22"/>
                <w:szCs w:val="22"/>
              </w:rPr>
            </w:pPr>
            <w:r w:rsidRPr="00877EF3">
              <w:rPr>
                <w:color w:val="000000"/>
                <w:sz w:val="22"/>
                <w:szCs w:val="22"/>
              </w:rPr>
              <w:t>$42,24</w:t>
            </w:r>
            <w:r w:rsidR="00685CD9" w:rsidRPr="00877EF3">
              <w:rPr>
                <w:color w:val="000000"/>
                <w:sz w:val="22"/>
                <w:szCs w:val="22"/>
              </w:rPr>
              <w:t>5</w:t>
            </w:r>
            <w:r w:rsidRPr="00877EF3">
              <w:rPr>
                <w:color w:val="000000"/>
                <w:sz w:val="22"/>
                <w:szCs w:val="22"/>
              </w:rPr>
              <w:t xml:space="preserve"> </w:t>
            </w:r>
          </w:p>
        </w:tc>
      </w:tr>
      <w:tr w:rsidR="009D451B" w:rsidRPr="00877EF3" w14:paraId="24011FC1"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078B86AE" w14:textId="77777777" w:rsidR="009D451B" w:rsidRPr="00877EF3" w:rsidRDefault="009D451B" w:rsidP="009D451B">
            <w:pPr>
              <w:rPr>
                <w:b/>
                <w:bCs/>
                <w:color w:val="000000"/>
                <w:sz w:val="22"/>
                <w:szCs w:val="22"/>
              </w:rPr>
            </w:pPr>
            <w:r w:rsidRPr="00877EF3">
              <w:rPr>
                <w:b/>
                <w:bCs/>
                <w:color w:val="000000"/>
                <w:sz w:val="22"/>
                <w:szCs w:val="22"/>
              </w:rPr>
              <w:t>Goal 2</w:t>
            </w:r>
          </w:p>
        </w:tc>
        <w:tc>
          <w:tcPr>
            <w:tcW w:w="255" w:type="dxa"/>
            <w:tcBorders>
              <w:top w:val="nil"/>
              <w:left w:val="nil"/>
              <w:bottom w:val="single" w:sz="4" w:space="0" w:color="auto"/>
              <w:right w:val="single" w:sz="4" w:space="0" w:color="auto"/>
            </w:tcBorders>
            <w:shd w:val="clear" w:color="auto" w:fill="auto"/>
            <w:noWrap/>
            <w:vAlign w:val="bottom"/>
            <w:hideMark/>
          </w:tcPr>
          <w:p w14:paraId="0EBA815A" w14:textId="77777777" w:rsidR="009D451B" w:rsidRPr="00877EF3" w:rsidRDefault="009D451B" w:rsidP="00877EF3">
            <w:pPr>
              <w:jc w:val="right"/>
              <w:rPr>
                <w:color w:val="000000"/>
                <w:sz w:val="22"/>
                <w:szCs w:val="22"/>
              </w:rPr>
            </w:pPr>
            <w:r w:rsidRPr="00877EF3">
              <w:rPr>
                <w:color w:val="000000"/>
                <w:sz w:val="22"/>
                <w:szCs w:val="22"/>
              </w:rPr>
              <w:t> </w:t>
            </w:r>
          </w:p>
        </w:tc>
      </w:tr>
      <w:tr w:rsidR="009D451B" w:rsidRPr="00877EF3" w14:paraId="79AE8FBE"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5A2C0295" w14:textId="77777777" w:rsidR="009D451B" w:rsidRPr="00877EF3" w:rsidRDefault="009D451B" w:rsidP="009D451B">
            <w:pPr>
              <w:rPr>
                <w:color w:val="000000"/>
                <w:sz w:val="22"/>
                <w:szCs w:val="22"/>
              </w:rPr>
            </w:pPr>
            <w:r w:rsidRPr="00877EF3">
              <w:rPr>
                <w:color w:val="000000"/>
                <w:sz w:val="22"/>
                <w:szCs w:val="22"/>
              </w:rPr>
              <w:t>Amherst Public Schools</w:t>
            </w:r>
          </w:p>
        </w:tc>
        <w:tc>
          <w:tcPr>
            <w:tcW w:w="255" w:type="dxa"/>
            <w:tcBorders>
              <w:top w:val="nil"/>
              <w:left w:val="nil"/>
              <w:bottom w:val="single" w:sz="4" w:space="0" w:color="auto"/>
              <w:right w:val="single" w:sz="4" w:space="0" w:color="auto"/>
            </w:tcBorders>
            <w:shd w:val="clear" w:color="auto" w:fill="auto"/>
            <w:vAlign w:val="bottom"/>
            <w:hideMark/>
          </w:tcPr>
          <w:p w14:paraId="656BF54E" w14:textId="77777777" w:rsidR="009D451B" w:rsidRPr="00877EF3" w:rsidRDefault="009D451B" w:rsidP="00877EF3">
            <w:pPr>
              <w:jc w:val="right"/>
              <w:rPr>
                <w:color w:val="000000"/>
                <w:sz w:val="22"/>
                <w:szCs w:val="22"/>
              </w:rPr>
            </w:pPr>
            <w:r w:rsidRPr="00877EF3">
              <w:rPr>
                <w:color w:val="000000"/>
                <w:sz w:val="22"/>
                <w:szCs w:val="22"/>
              </w:rPr>
              <w:t xml:space="preserve">$34,889 </w:t>
            </w:r>
          </w:p>
        </w:tc>
      </w:tr>
      <w:tr w:rsidR="009D451B" w:rsidRPr="00877EF3" w14:paraId="2E9A17B8"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38CD6722" w14:textId="77777777" w:rsidR="009D451B" w:rsidRPr="00877EF3" w:rsidRDefault="009D451B" w:rsidP="009D451B">
            <w:pPr>
              <w:rPr>
                <w:color w:val="000000"/>
                <w:sz w:val="22"/>
                <w:szCs w:val="22"/>
              </w:rPr>
            </w:pPr>
            <w:r w:rsidRPr="00877EF3">
              <w:rPr>
                <w:color w:val="000000"/>
                <w:sz w:val="22"/>
                <w:szCs w:val="22"/>
              </w:rPr>
              <w:t>Brockton Public Schools</w:t>
            </w:r>
          </w:p>
        </w:tc>
        <w:tc>
          <w:tcPr>
            <w:tcW w:w="255" w:type="dxa"/>
            <w:tcBorders>
              <w:top w:val="nil"/>
              <w:left w:val="nil"/>
              <w:bottom w:val="single" w:sz="4" w:space="0" w:color="auto"/>
              <w:right w:val="single" w:sz="4" w:space="0" w:color="auto"/>
            </w:tcBorders>
            <w:shd w:val="clear" w:color="auto" w:fill="auto"/>
            <w:noWrap/>
            <w:vAlign w:val="bottom"/>
            <w:hideMark/>
          </w:tcPr>
          <w:p w14:paraId="3AFA479D" w14:textId="7DEA58F2" w:rsidR="009D451B" w:rsidRPr="00877EF3" w:rsidRDefault="009D451B" w:rsidP="00877EF3">
            <w:pPr>
              <w:jc w:val="right"/>
              <w:rPr>
                <w:color w:val="000000"/>
                <w:sz w:val="22"/>
                <w:szCs w:val="22"/>
              </w:rPr>
            </w:pPr>
            <w:r w:rsidRPr="00877EF3">
              <w:rPr>
                <w:color w:val="000000"/>
                <w:sz w:val="22"/>
                <w:szCs w:val="22"/>
              </w:rPr>
              <w:t>$21,</w:t>
            </w:r>
            <w:r w:rsidR="00954AD2" w:rsidRPr="00877EF3">
              <w:rPr>
                <w:color w:val="000000"/>
                <w:sz w:val="22"/>
                <w:szCs w:val="22"/>
              </w:rPr>
              <w:t>885</w:t>
            </w:r>
          </w:p>
        </w:tc>
      </w:tr>
      <w:tr w:rsidR="009D451B" w:rsidRPr="00877EF3" w14:paraId="63E6D06E"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688CC4D5" w14:textId="77777777" w:rsidR="009D451B" w:rsidRPr="00877EF3" w:rsidRDefault="009D451B" w:rsidP="009D451B">
            <w:pPr>
              <w:rPr>
                <w:color w:val="000000"/>
                <w:sz w:val="22"/>
                <w:szCs w:val="22"/>
              </w:rPr>
            </w:pPr>
            <w:r w:rsidRPr="00877EF3">
              <w:rPr>
                <w:color w:val="000000"/>
                <w:sz w:val="22"/>
                <w:szCs w:val="22"/>
              </w:rPr>
              <w:t>Methuen Public Schools</w:t>
            </w:r>
          </w:p>
        </w:tc>
        <w:tc>
          <w:tcPr>
            <w:tcW w:w="255" w:type="dxa"/>
            <w:tcBorders>
              <w:top w:val="nil"/>
              <w:left w:val="nil"/>
              <w:bottom w:val="single" w:sz="4" w:space="0" w:color="auto"/>
              <w:right w:val="single" w:sz="4" w:space="0" w:color="auto"/>
            </w:tcBorders>
            <w:shd w:val="clear" w:color="auto" w:fill="auto"/>
            <w:vAlign w:val="bottom"/>
            <w:hideMark/>
          </w:tcPr>
          <w:p w14:paraId="7B681B28" w14:textId="77777777" w:rsidR="009D451B" w:rsidRPr="00877EF3" w:rsidRDefault="009D451B" w:rsidP="00877EF3">
            <w:pPr>
              <w:jc w:val="right"/>
              <w:rPr>
                <w:color w:val="000000"/>
                <w:sz w:val="22"/>
                <w:szCs w:val="22"/>
              </w:rPr>
            </w:pPr>
            <w:r w:rsidRPr="00877EF3">
              <w:rPr>
                <w:color w:val="000000"/>
                <w:sz w:val="22"/>
                <w:szCs w:val="22"/>
              </w:rPr>
              <w:t xml:space="preserve">$16,725 </w:t>
            </w:r>
          </w:p>
        </w:tc>
      </w:tr>
      <w:tr w:rsidR="009D451B" w:rsidRPr="00877EF3" w14:paraId="615FD176"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28D6F264" w14:textId="77777777" w:rsidR="009D451B" w:rsidRPr="00877EF3" w:rsidRDefault="009D451B" w:rsidP="009D451B">
            <w:pPr>
              <w:rPr>
                <w:color w:val="000000"/>
                <w:sz w:val="22"/>
                <w:szCs w:val="22"/>
              </w:rPr>
            </w:pPr>
            <w:r w:rsidRPr="00877EF3">
              <w:rPr>
                <w:color w:val="000000"/>
                <w:sz w:val="22"/>
                <w:szCs w:val="22"/>
              </w:rPr>
              <w:t>Newton Public Schools</w:t>
            </w:r>
          </w:p>
        </w:tc>
        <w:tc>
          <w:tcPr>
            <w:tcW w:w="255" w:type="dxa"/>
            <w:tcBorders>
              <w:top w:val="nil"/>
              <w:left w:val="nil"/>
              <w:bottom w:val="single" w:sz="4" w:space="0" w:color="auto"/>
              <w:right w:val="single" w:sz="4" w:space="0" w:color="auto"/>
            </w:tcBorders>
            <w:shd w:val="clear" w:color="auto" w:fill="auto"/>
            <w:vAlign w:val="bottom"/>
            <w:hideMark/>
          </w:tcPr>
          <w:p w14:paraId="591DA56B" w14:textId="77777777" w:rsidR="009D451B" w:rsidRPr="00877EF3" w:rsidRDefault="009D451B" w:rsidP="00877EF3">
            <w:pPr>
              <w:jc w:val="right"/>
              <w:rPr>
                <w:color w:val="000000"/>
                <w:sz w:val="22"/>
                <w:szCs w:val="22"/>
              </w:rPr>
            </w:pPr>
            <w:r w:rsidRPr="00877EF3">
              <w:rPr>
                <w:color w:val="000000"/>
                <w:sz w:val="22"/>
                <w:szCs w:val="22"/>
              </w:rPr>
              <w:t xml:space="preserve">$6,985 </w:t>
            </w:r>
          </w:p>
        </w:tc>
      </w:tr>
      <w:tr w:rsidR="009D451B" w:rsidRPr="00877EF3" w14:paraId="3E832812"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33F382AB" w14:textId="77777777" w:rsidR="009D451B" w:rsidRPr="00877EF3" w:rsidRDefault="009D451B" w:rsidP="009D451B">
            <w:pPr>
              <w:rPr>
                <w:color w:val="000000"/>
                <w:sz w:val="22"/>
                <w:szCs w:val="22"/>
              </w:rPr>
            </w:pPr>
            <w:r w:rsidRPr="00877EF3">
              <w:rPr>
                <w:color w:val="000000"/>
                <w:sz w:val="22"/>
                <w:szCs w:val="22"/>
              </w:rPr>
              <w:t>Norton Public Schools</w:t>
            </w:r>
          </w:p>
        </w:tc>
        <w:tc>
          <w:tcPr>
            <w:tcW w:w="255" w:type="dxa"/>
            <w:tcBorders>
              <w:top w:val="nil"/>
              <w:left w:val="nil"/>
              <w:bottom w:val="single" w:sz="4" w:space="0" w:color="auto"/>
              <w:right w:val="single" w:sz="4" w:space="0" w:color="auto"/>
            </w:tcBorders>
            <w:shd w:val="clear" w:color="auto" w:fill="auto"/>
            <w:vAlign w:val="bottom"/>
            <w:hideMark/>
          </w:tcPr>
          <w:p w14:paraId="1FE8BC0E" w14:textId="77777777" w:rsidR="009D451B" w:rsidRPr="00877EF3" w:rsidRDefault="009D451B" w:rsidP="00877EF3">
            <w:pPr>
              <w:jc w:val="right"/>
              <w:rPr>
                <w:color w:val="000000"/>
                <w:sz w:val="22"/>
                <w:szCs w:val="22"/>
              </w:rPr>
            </w:pPr>
            <w:r w:rsidRPr="00877EF3">
              <w:rPr>
                <w:color w:val="000000"/>
                <w:sz w:val="22"/>
                <w:szCs w:val="22"/>
              </w:rPr>
              <w:t xml:space="preserve">$11,974 </w:t>
            </w:r>
          </w:p>
        </w:tc>
      </w:tr>
      <w:tr w:rsidR="009D451B" w:rsidRPr="00877EF3" w14:paraId="23521063"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48A52337" w14:textId="77777777" w:rsidR="009D451B" w:rsidRPr="00877EF3" w:rsidRDefault="009D451B" w:rsidP="009D451B">
            <w:pPr>
              <w:rPr>
                <w:color w:val="000000"/>
                <w:sz w:val="22"/>
                <w:szCs w:val="22"/>
              </w:rPr>
            </w:pPr>
            <w:r w:rsidRPr="00877EF3">
              <w:rPr>
                <w:color w:val="000000"/>
                <w:sz w:val="22"/>
                <w:szCs w:val="22"/>
              </w:rPr>
              <w:t>Pittsfield Public Schools</w:t>
            </w:r>
          </w:p>
        </w:tc>
        <w:tc>
          <w:tcPr>
            <w:tcW w:w="255" w:type="dxa"/>
            <w:tcBorders>
              <w:top w:val="nil"/>
              <w:left w:val="nil"/>
              <w:bottom w:val="single" w:sz="4" w:space="0" w:color="auto"/>
              <w:right w:val="single" w:sz="4" w:space="0" w:color="auto"/>
            </w:tcBorders>
            <w:shd w:val="clear" w:color="auto" w:fill="auto"/>
            <w:vAlign w:val="bottom"/>
            <w:hideMark/>
          </w:tcPr>
          <w:p w14:paraId="0244C54F" w14:textId="77777777" w:rsidR="009D451B" w:rsidRPr="00877EF3" w:rsidRDefault="009D451B" w:rsidP="00877EF3">
            <w:pPr>
              <w:jc w:val="right"/>
              <w:rPr>
                <w:color w:val="000000"/>
                <w:sz w:val="22"/>
                <w:szCs w:val="22"/>
              </w:rPr>
            </w:pPr>
            <w:r w:rsidRPr="00877EF3">
              <w:rPr>
                <w:color w:val="000000"/>
                <w:sz w:val="22"/>
                <w:szCs w:val="22"/>
              </w:rPr>
              <w:t xml:space="preserve">$22,580 </w:t>
            </w:r>
          </w:p>
        </w:tc>
      </w:tr>
      <w:tr w:rsidR="009D451B" w:rsidRPr="00877EF3" w14:paraId="569F4694"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1E4B71A6" w14:textId="0BF783D4" w:rsidR="009D451B" w:rsidRPr="00877EF3" w:rsidRDefault="009D451B" w:rsidP="009D451B">
            <w:pPr>
              <w:rPr>
                <w:color w:val="000000"/>
                <w:sz w:val="22"/>
                <w:szCs w:val="22"/>
              </w:rPr>
            </w:pPr>
            <w:r w:rsidRPr="00877EF3">
              <w:rPr>
                <w:color w:val="000000"/>
                <w:sz w:val="22"/>
                <w:szCs w:val="22"/>
              </w:rPr>
              <w:t xml:space="preserve">Silver Lake </w:t>
            </w:r>
            <w:r w:rsidR="00990AA0" w:rsidRPr="00877EF3">
              <w:rPr>
                <w:color w:val="000000"/>
                <w:sz w:val="22"/>
                <w:szCs w:val="22"/>
              </w:rPr>
              <w:t>Regional High School</w:t>
            </w:r>
          </w:p>
        </w:tc>
        <w:tc>
          <w:tcPr>
            <w:tcW w:w="255" w:type="dxa"/>
            <w:tcBorders>
              <w:top w:val="nil"/>
              <w:left w:val="nil"/>
              <w:bottom w:val="single" w:sz="4" w:space="0" w:color="auto"/>
              <w:right w:val="single" w:sz="4" w:space="0" w:color="auto"/>
            </w:tcBorders>
            <w:shd w:val="clear" w:color="auto" w:fill="auto"/>
            <w:vAlign w:val="bottom"/>
            <w:hideMark/>
          </w:tcPr>
          <w:p w14:paraId="4F53A2F4" w14:textId="77777777" w:rsidR="009D451B" w:rsidRPr="00877EF3" w:rsidRDefault="009D451B" w:rsidP="00877EF3">
            <w:pPr>
              <w:jc w:val="right"/>
              <w:rPr>
                <w:color w:val="000000"/>
                <w:sz w:val="22"/>
                <w:szCs w:val="22"/>
              </w:rPr>
            </w:pPr>
            <w:r w:rsidRPr="00877EF3">
              <w:rPr>
                <w:color w:val="000000"/>
                <w:sz w:val="22"/>
                <w:szCs w:val="22"/>
              </w:rPr>
              <w:t xml:space="preserve">$7,700 </w:t>
            </w:r>
          </w:p>
        </w:tc>
      </w:tr>
      <w:tr w:rsidR="009D451B" w:rsidRPr="00877EF3" w14:paraId="06836FAF"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376370BC" w14:textId="77777777" w:rsidR="009D451B" w:rsidRPr="00877EF3" w:rsidRDefault="009D451B" w:rsidP="009D451B">
            <w:pPr>
              <w:rPr>
                <w:color w:val="000000"/>
                <w:sz w:val="22"/>
                <w:szCs w:val="22"/>
              </w:rPr>
            </w:pPr>
            <w:r w:rsidRPr="00877EF3">
              <w:rPr>
                <w:color w:val="000000"/>
                <w:sz w:val="22"/>
                <w:szCs w:val="22"/>
              </w:rPr>
              <w:t>Somerville Public Schools</w:t>
            </w:r>
          </w:p>
        </w:tc>
        <w:tc>
          <w:tcPr>
            <w:tcW w:w="255" w:type="dxa"/>
            <w:tcBorders>
              <w:top w:val="nil"/>
              <w:left w:val="nil"/>
              <w:bottom w:val="single" w:sz="4" w:space="0" w:color="auto"/>
              <w:right w:val="single" w:sz="4" w:space="0" w:color="auto"/>
            </w:tcBorders>
            <w:shd w:val="clear" w:color="auto" w:fill="auto"/>
            <w:vAlign w:val="bottom"/>
            <w:hideMark/>
          </w:tcPr>
          <w:p w14:paraId="7CE8B562" w14:textId="77777777" w:rsidR="009D451B" w:rsidRPr="00877EF3" w:rsidRDefault="009D451B" w:rsidP="00877EF3">
            <w:pPr>
              <w:jc w:val="right"/>
              <w:rPr>
                <w:color w:val="000000"/>
                <w:sz w:val="22"/>
                <w:szCs w:val="22"/>
              </w:rPr>
            </w:pPr>
            <w:r w:rsidRPr="00877EF3">
              <w:rPr>
                <w:color w:val="000000"/>
                <w:sz w:val="22"/>
                <w:szCs w:val="22"/>
              </w:rPr>
              <w:t xml:space="preserve">$24,120 </w:t>
            </w:r>
          </w:p>
        </w:tc>
      </w:tr>
      <w:tr w:rsidR="009D451B" w:rsidRPr="00877EF3" w14:paraId="1730ACBC"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7B604272" w14:textId="77777777" w:rsidR="009D451B" w:rsidRPr="00877EF3" w:rsidRDefault="009D451B" w:rsidP="009D451B">
            <w:pPr>
              <w:rPr>
                <w:color w:val="000000"/>
                <w:sz w:val="22"/>
                <w:szCs w:val="22"/>
              </w:rPr>
            </w:pPr>
            <w:r w:rsidRPr="00877EF3">
              <w:rPr>
                <w:color w:val="000000"/>
                <w:sz w:val="22"/>
                <w:szCs w:val="22"/>
              </w:rPr>
              <w:t>Springfield Public Schools</w:t>
            </w:r>
          </w:p>
        </w:tc>
        <w:tc>
          <w:tcPr>
            <w:tcW w:w="255" w:type="dxa"/>
            <w:tcBorders>
              <w:top w:val="nil"/>
              <w:left w:val="nil"/>
              <w:bottom w:val="single" w:sz="4" w:space="0" w:color="auto"/>
              <w:right w:val="single" w:sz="4" w:space="0" w:color="auto"/>
            </w:tcBorders>
            <w:shd w:val="clear" w:color="auto" w:fill="auto"/>
            <w:vAlign w:val="bottom"/>
            <w:hideMark/>
          </w:tcPr>
          <w:p w14:paraId="36E20042" w14:textId="77777777" w:rsidR="009D451B" w:rsidRPr="00877EF3" w:rsidRDefault="009D451B" w:rsidP="00877EF3">
            <w:pPr>
              <w:jc w:val="right"/>
              <w:rPr>
                <w:color w:val="000000"/>
                <w:sz w:val="22"/>
                <w:szCs w:val="22"/>
              </w:rPr>
            </w:pPr>
            <w:r w:rsidRPr="00877EF3">
              <w:rPr>
                <w:color w:val="000000"/>
                <w:sz w:val="22"/>
                <w:szCs w:val="22"/>
              </w:rPr>
              <w:t xml:space="preserve">$39,718 </w:t>
            </w:r>
          </w:p>
        </w:tc>
      </w:tr>
      <w:tr w:rsidR="009D451B" w:rsidRPr="00877EF3" w14:paraId="2DB7CA74"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415F6A16" w14:textId="4CEB8CE2" w:rsidR="009D451B" w:rsidRPr="00877EF3" w:rsidRDefault="009D451B" w:rsidP="009D451B">
            <w:pPr>
              <w:rPr>
                <w:color w:val="000000"/>
                <w:sz w:val="22"/>
                <w:szCs w:val="22"/>
              </w:rPr>
            </w:pPr>
            <w:r w:rsidRPr="00877EF3">
              <w:rPr>
                <w:color w:val="000000"/>
                <w:sz w:val="22"/>
                <w:szCs w:val="22"/>
              </w:rPr>
              <w:t>Worcester Public Sc</w:t>
            </w:r>
            <w:r w:rsidR="00990AA0" w:rsidRPr="00877EF3">
              <w:rPr>
                <w:color w:val="000000"/>
                <w:sz w:val="22"/>
                <w:szCs w:val="22"/>
              </w:rPr>
              <w:t>h</w:t>
            </w:r>
            <w:r w:rsidRPr="00877EF3">
              <w:rPr>
                <w:color w:val="000000"/>
                <w:sz w:val="22"/>
                <w:szCs w:val="22"/>
              </w:rPr>
              <w:t>ools</w:t>
            </w:r>
          </w:p>
        </w:tc>
        <w:tc>
          <w:tcPr>
            <w:tcW w:w="255" w:type="dxa"/>
            <w:tcBorders>
              <w:top w:val="nil"/>
              <w:left w:val="nil"/>
              <w:bottom w:val="single" w:sz="4" w:space="0" w:color="auto"/>
              <w:right w:val="single" w:sz="4" w:space="0" w:color="auto"/>
            </w:tcBorders>
            <w:shd w:val="clear" w:color="auto" w:fill="auto"/>
            <w:noWrap/>
            <w:vAlign w:val="bottom"/>
            <w:hideMark/>
          </w:tcPr>
          <w:p w14:paraId="047593E7" w14:textId="226324BE" w:rsidR="009D451B" w:rsidRPr="00877EF3" w:rsidRDefault="009D451B" w:rsidP="00877EF3">
            <w:pPr>
              <w:jc w:val="right"/>
              <w:rPr>
                <w:color w:val="000000"/>
                <w:sz w:val="22"/>
                <w:szCs w:val="22"/>
              </w:rPr>
            </w:pPr>
            <w:r w:rsidRPr="00877EF3">
              <w:rPr>
                <w:color w:val="000000"/>
                <w:sz w:val="22"/>
                <w:szCs w:val="22"/>
              </w:rPr>
              <w:t>$5,408</w:t>
            </w:r>
          </w:p>
        </w:tc>
      </w:tr>
      <w:tr w:rsidR="009D451B" w:rsidRPr="00877EF3" w14:paraId="14E93E98" w14:textId="77777777" w:rsidTr="009D451B">
        <w:trPr>
          <w:trHeight w:val="288"/>
          <w:jc w:val="center"/>
        </w:trPr>
        <w:tc>
          <w:tcPr>
            <w:tcW w:w="7465" w:type="dxa"/>
            <w:tcBorders>
              <w:top w:val="nil"/>
              <w:left w:val="single" w:sz="4" w:space="0" w:color="auto"/>
              <w:bottom w:val="single" w:sz="4" w:space="0" w:color="auto"/>
              <w:right w:val="single" w:sz="4" w:space="0" w:color="auto"/>
            </w:tcBorders>
            <w:shd w:val="clear" w:color="auto" w:fill="auto"/>
            <w:noWrap/>
            <w:vAlign w:val="bottom"/>
            <w:hideMark/>
          </w:tcPr>
          <w:p w14:paraId="7EDE8D31" w14:textId="671382D0" w:rsidR="009D451B" w:rsidRPr="00877EF3" w:rsidRDefault="009D451B" w:rsidP="009D451B">
            <w:pPr>
              <w:rPr>
                <w:b/>
                <w:bCs/>
                <w:color w:val="000000"/>
                <w:sz w:val="22"/>
                <w:szCs w:val="22"/>
              </w:rPr>
            </w:pPr>
            <w:r w:rsidRPr="00877EF3">
              <w:rPr>
                <w:b/>
                <w:bCs/>
                <w:color w:val="000000"/>
                <w:sz w:val="22"/>
                <w:szCs w:val="22"/>
              </w:rPr>
              <w:t>TOTAL STATE FUNDS</w:t>
            </w:r>
          </w:p>
        </w:tc>
        <w:tc>
          <w:tcPr>
            <w:tcW w:w="255" w:type="dxa"/>
            <w:tcBorders>
              <w:top w:val="nil"/>
              <w:left w:val="nil"/>
              <w:bottom w:val="single" w:sz="4" w:space="0" w:color="auto"/>
              <w:right w:val="single" w:sz="4" w:space="0" w:color="auto"/>
            </w:tcBorders>
            <w:shd w:val="clear" w:color="auto" w:fill="auto"/>
            <w:noWrap/>
            <w:vAlign w:val="bottom"/>
            <w:hideMark/>
          </w:tcPr>
          <w:p w14:paraId="3ADB94D3" w14:textId="25D68100" w:rsidR="009D451B" w:rsidRPr="00877EF3" w:rsidRDefault="009D451B" w:rsidP="00877EF3">
            <w:pPr>
              <w:jc w:val="right"/>
              <w:rPr>
                <w:b/>
                <w:bCs/>
                <w:color w:val="000000"/>
                <w:sz w:val="22"/>
                <w:szCs w:val="22"/>
              </w:rPr>
            </w:pPr>
            <w:r w:rsidRPr="00877EF3">
              <w:rPr>
                <w:b/>
                <w:bCs/>
                <w:color w:val="000000"/>
                <w:sz w:val="22"/>
                <w:szCs w:val="22"/>
              </w:rPr>
              <w:t>$</w:t>
            </w:r>
            <w:r w:rsidR="00990AA0" w:rsidRPr="00877EF3">
              <w:rPr>
                <w:b/>
                <w:bCs/>
                <w:color w:val="000000"/>
                <w:sz w:val="22"/>
                <w:szCs w:val="22"/>
              </w:rPr>
              <w:t>500,00</w:t>
            </w:r>
            <w:r w:rsidR="00BC6783" w:rsidRPr="00877EF3">
              <w:rPr>
                <w:b/>
                <w:bCs/>
                <w:color w:val="000000"/>
                <w:sz w:val="22"/>
                <w:szCs w:val="22"/>
              </w:rPr>
              <w:t>0</w:t>
            </w:r>
          </w:p>
        </w:tc>
      </w:tr>
    </w:tbl>
    <w:p w14:paraId="499BD57C" w14:textId="77777777" w:rsidR="00410797" w:rsidRPr="00877EF3" w:rsidRDefault="00410797">
      <w:pPr>
        <w:spacing w:before="60" w:after="60"/>
        <w:jc w:val="both"/>
        <w:rPr>
          <w:sz w:val="22"/>
          <w:szCs w:val="22"/>
        </w:rPr>
      </w:pPr>
    </w:p>
    <w:sectPr w:rsidR="00410797" w:rsidRPr="00877EF3"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848AE"/>
    <w:multiLevelType w:val="multilevel"/>
    <w:tmpl w:val="DDA221A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30E41"/>
    <w:multiLevelType w:val="multilevel"/>
    <w:tmpl w:val="FBE2B3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1"/>
  </w:num>
  <w:num w:numId="4">
    <w:abstractNumId w:val="5"/>
  </w:num>
  <w:num w:numId="5">
    <w:abstractNumId w:val="0"/>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589E"/>
    <w:rsid w:val="000A41FE"/>
    <w:rsid w:val="000C6C68"/>
    <w:rsid w:val="00101F23"/>
    <w:rsid w:val="001522C7"/>
    <w:rsid w:val="001A433F"/>
    <w:rsid w:val="001B31A1"/>
    <w:rsid w:val="001B5362"/>
    <w:rsid w:val="001B78A6"/>
    <w:rsid w:val="001C6572"/>
    <w:rsid w:val="001E2790"/>
    <w:rsid w:val="001F0860"/>
    <w:rsid w:val="002100EF"/>
    <w:rsid w:val="0021616C"/>
    <w:rsid w:val="00224F8E"/>
    <w:rsid w:val="002D5121"/>
    <w:rsid w:val="0031794D"/>
    <w:rsid w:val="003226AE"/>
    <w:rsid w:val="00330653"/>
    <w:rsid w:val="00351281"/>
    <w:rsid w:val="00372996"/>
    <w:rsid w:val="003C25A7"/>
    <w:rsid w:val="003C53CF"/>
    <w:rsid w:val="00410797"/>
    <w:rsid w:val="00427DA8"/>
    <w:rsid w:val="00475102"/>
    <w:rsid w:val="00497703"/>
    <w:rsid w:val="004A1E15"/>
    <w:rsid w:val="00521A12"/>
    <w:rsid w:val="00534FE7"/>
    <w:rsid w:val="00542157"/>
    <w:rsid w:val="005736D2"/>
    <w:rsid w:val="0058726D"/>
    <w:rsid w:val="005C39AC"/>
    <w:rsid w:val="006040C0"/>
    <w:rsid w:val="00613DDB"/>
    <w:rsid w:val="00634CDE"/>
    <w:rsid w:val="00652A79"/>
    <w:rsid w:val="00656198"/>
    <w:rsid w:val="00672FE2"/>
    <w:rsid w:val="00675ED7"/>
    <w:rsid w:val="006835FF"/>
    <w:rsid w:val="00685CD9"/>
    <w:rsid w:val="006D71B2"/>
    <w:rsid w:val="00730E52"/>
    <w:rsid w:val="007506C8"/>
    <w:rsid w:val="00783727"/>
    <w:rsid w:val="007911BB"/>
    <w:rsid w:val="007B2582"/>
    <w:rsid w:val="007D0D4F"/>
    <w:rsid w:val="008145CA"/>
    <w:rsid w:val="008256FF"/>
    <w:rsid w:val="00837F08"/>
    <w:rsid w:val="00842E20"/>
    <w:rsid w:val="00877EF3"/>
    <w:rsid w:val="00881A07"/>
    <w:rsid w:val="008941CA"/>
    <w:rsid w:val="008B2255"/>
    <w:rsid w:val="008D1631"/>
    <w:rsid w:val="008F2001"/>
    <w:rsid w:val="009130F0"/>
    <w:rsid w:val="00920656"/>
    <w:rsid w:val="00954AD2"/>
    <w:rsid w:val="00990AA0"/>
    <w:rsid w:val="009D451B"/>
    <w:rsid w:val="00A01FA1"/>
    <w:rsid w:val="00A47F4A"/>
    <w:rsid w:val="00AA0798"/>
    <w:rsid w:val="00AF1A04"/>
    <w:rsid w:val="00AF3B22"/>
    <w:rsid w:val="00B23916"/>
    <w:rsid w:val="00B329DA"/>
    <w:rsid w:val="00B63A42"/>
    <w:rsid w:val="00B958AA"/>
    <w:rsid w:val="00BA484A"/>
    <w:rsid w:val="00BC6783"/>
    <w:rsid w:val="00C056D3"/>
    <w:rsid w:val="00C34967"/>
    <w:rsid w:val="00C44806"/>
    <w:rsid w:val="00C721A9"/>
    <w:rsid w:val="00C93C1B"/>
    <w:rsid w:val="00C97D06"/>
    <w:rsid w:val="00CE03B9"/>
    <w:rsid w:val="00CF534A"/>
    <w:rsid w:val="00CF5517"/>
    <w:rsid w:val="00D85054"/>
    <w:rsid w:val="00D96130"/>
    <w:rsid w:val="00DA73E5"/>
    <w:rsid w:val="00DB56D5"/>
    <w:rsid w:val="00E16842"/>
    <w:rsid w:val="00E21CBF"/>
    <w:rsid w:val="00E8661E"/>
    <w:rsid w:val="00E94084"/>
    <w:rsid w:val="00E97850"/>
    <w:rsid w:val="00EB5FE7"/>
    <w:rsid w:val="00F11240"/>
    <w:rsid w:val="00F852D2"/>
    <w:rsid w:val="00FA17BE"/>
    <w:rsid w:val="00FC589D"/>
    <w:rsid w:val="00FE0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semiHidden/>
    <w:unhideWhenUsed/>
    <w:rsid w:val="00E94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8988">
      <w:bodyDiv w:val="1"/>
      <w:marLeft w:val="0"/>
      <w:marRight w:val="0"/>
      <w:marTop w:val="0"/>
      <w:marBottom w:val="0"/>
      <w:divBdr>
        <w:top w:val="none" w:sz="0" w:space="0" w:color="auto"/>
        <w:left w:val="none" w:sz="0" w:space="0" w:color="auto"/>
        <w:bottom w:val="none" w:sz="0" w:space="0" w:color="auto"/>
        <w:right w:val="none" w:sz="0" w:space="0" w:color="auto"/>
      </w:divBdr>
    </w:div>
    <w:div w:id="70583747">
      <w:bodyDiv w:val="1"/>
      <w:marLeft w:val="0"/>
      <w:marRight w:val="0"/>
      <w:marTop w:val="0"/>
      <w:marBottom w:val="0"/>
      <w:divBdr>
        <w:top w:val="none" w:sz="0" w:space="0" w:color="auto"/>
        <w:left w:val="none" w:sz="0" w:space="0" w:color="auto"/>
        <w:bottom w:val="none" w:sz="0" w:space="0" w:color="auto"/>
        <w:right w:val="none" w:sz="0" w:space="0" w:color="auto"/>
      </w:divBdr>
    </w:div>
    <w:div w:id="606541217">
      <w:bodyDiv w:val="1"/>
      <w:marLeft w:val="0"/>
      <w:marRight w:val="0"/>
      <w:marTop w:val="0"/>
      <w:marBottom w:val="0"/>
      <w:divBdr>
        <w:top w:val="none" w:sz="0" w:space="0" w:color="auto"/>
        <w:left w:val="none" w:sz="0" w:space="0" w:color="auto"/>
        <w:bottom w:val="none" w:sz="0" w:space="0" w:color="auto"/>
        <w:right w:val="none" w:sz="0" w:space="0" w:color="auto"/>
      </w:divBdr>
    </w:div>
    <w:div w:id="803429788">
      <w:bodyDiv w:val="1"/>
      <w:marLeft w:val="0"/>
      <w:marRight w:val="0"/>
      <w:marTop w:val="0"/>
      <w:marBottom w:val="0"/>
      <w:divBdr>
        <w:top w:val="none" w:sz="0" w:space="0" w:color="auto"/>
        <w:left w:val="none" w:sz="0" w:space="0" w:color="auto"/>
        <w:bottom w:val="none" w:sz="0" w:space="0" w:color="auto"/>
        <w:right w:val="none" w:sz="0" w:space="0" w:color="auto"/>
      </w:divBdr>
    </w:div>
    <w:div w:id="807288051">
      <w:bodyDiv w:val="1"/>
      <w:marLeft w:val="0"/>
      <w:marRight w:val="0"/>
      <w:marTop w:val="0"/>
      <w:marBottom w:val="0"/>
      <w:divBdr>
        <w:top w:val="none" w:sz="0" w:space="0" w:color="auto"/>
        <w:left w:val="none" w:sz="0" w:space="0" w:color="auto"/>
        <w:bottom w:val="none" w:sz="0" w:space="0" w:color="auto"/>
        <w:right w:val="none" w:sz="0" w:space="0" w:color="auto"/>
      </w:divBdr>
    </w:div>
    <w:div w:id="1024015942">
      <w:bodyDiv w:val="1"/>
      <w:marLeft w:val="0"/>
      <w:marRight w:val="0"/>
      <w:marTop w:val="0"/>
      <w:marBottom w:val="0"/>
      <w:divBdr>
        <w:top w:val="none" w:sz="0" w:space="0" w:color="auto"/>
        <w:left w:val="none" w:sz="0" w:space="0" w:color="auto"/>
        <w:bottom w:val="none" w:sz="0" w:space="0" w:color="auto"/>
        <w:right w:val="none" w:sz="0" w:space="0" w:color="auto"/>
      </w:divBdr>
    </w:div>
    <w:div w:id="1223449720">
      <w:bodyDiv w:val="1"/>
      <w:marLeft w:val="0"/>
      <w:marRight w:val="0"/>
      <w:marTop w:val="0"/>
      <w:marBottom w:val="0"/>
      <w:divBdr>
        <w:top w:val="none" w:sz="0" w:space="0" w:color="auto"/>
        <w:left w:val="none" w:sz="0" w:space="0" w:color="auto"/>
        <w:bottom w:val="none" w:sz="0" w:space="0" w:color="auto"/>
        <w:right w:val="none" w:sz="0" w:space="0" w:color="auto"/>
      </w:divBdr>
    </w:div>
    <w:div w:id="1447042631">
      <w:bodyDiv w:val="1"/>
      <w:marLeft w:val="0"/>
      <w:marRight w:val="0"/>
      <w:marTop w:val="0"/>
      <w:marBottom w:val="0"/>
      <w:divBdr>
        <w:top w:val="none" w:sz="0" w:space="0" w:color="auto"/>
        <w:left w:val="none" w:sz="0" w:space="0" w:color="auto"/>
        <w:bottom w:val="none" w:sz="0" w:space="0" w:color="auto"/>
        <w:right w:val="none" w:sz="0" w:space="0" w:color="auto"/>
      </w:divBdr>
    </w:div>
    <w:div w:id="1519586546">
      <w:bodyDiv w:val="1"/>
      <w:marLeft w:val="0"/>
      <w:marRight w:val="0"/>
      <w:marTop w:val="0"/>
      <w:marBottom w:val="0"/>
      <w:divBdr>
        <w:top w:val="none" w:sz="0" w:space="0" w:color="auto"/>
        <w:left w:val="none" w:sz="0" w:space="0" w:color="auto"/>
        <w:bottom w:val="none" w:sz="0" w:space="0" w:color="auto"/>
        <w:right w:val="none" w:sz="0" w:space="0" w:color="auto"/>
      </w:divBdr>
    </w:div>
    <w:div w:id="1521043724">
      <w:bodyDiv w:val="1"/>
      <w:marLeft w:val="0"/>
      <w:marRight w:val="0"/>
      <w:marTop w:val="0"/>
      <w:marBottom w:val="0"/>
      <w:divBdr>
        <w:top w:val="none" w:sz="0" w:space="0" w:color="auto"/>
        <w:left w:val="none" w:sz="0" w:space="0" w:color="auto"/>
        <w:bottom w:val="none" w:sz="0" w:space="0" w:color="auto"/>
        <w:right w:val="none" w:sz="0" w:space="0" w:color="auto"/>
      </w:divBdr>
    </w:div>
    <w:div w:id="1811165295">
      <w:bodyDiv w:val="1"/>
      <w:marLeft w:val="0"/>
      <w:marRight w:val="0"/>
      <w:marTop w:val="0"/>
      <w:marBottom w:val="0"/>
      <w:divBdr>
        <w:top w:val="none" w:sz="0" w:space="0" w:color="auto"/>
        <w:left w:val="none" w:sz="0" w:space="0" w:color="auto"/>
        <w:bottom w:val="none" w:sz="0" w:space="0" w:color="auto"/>
        <w:right w:val="none" w:sz="0" w:space="0" w:color="auto"/>
      </w:divBdr>
    </w:div>
    <w:div w:id="1867988396">
      <w:bodyDiv w:val="1"/>
      <w:marLeft w:val="0"/>
      <w:marRight w:val="0"/>
      <w:marTop w:val="0"/>
      <w:marBottom w:val="0"/>
      <w:divBdr>
        <w:top w:val="none" w:sz="0" w:space="0" w:color="auto"/>
        <w:left w:val="none" w:sz="0" w:space="0" w:color="auto"/>
        <w:bottom w:val="none" w:sz="0" w:space="0" w:color="auto"/>
        <w:right w:val="none" w:sz="0" w:space="0" w:color="auto"/>
      </w:divBdr>
    </w:div>
    <w:div w:id="1869220825">
      <w:bodyDiv w:val="1"/>
      <w:marLeft w:val="0"/>
      <w:marRight w:val="0"/>
      <w:marTop w:val="0"/>
      <w:marBottom w:val="0"/>
      <w:divBdr>
        <w:top w:val="none" w:sz="0" w:space="0" w:color="auto"/>
        <w:left w:val="none" w:sz="0" w:space="0" w:color="auto"/>
        <w:bottom w:val="none" w:sz="0" w:space="0" w:color="auto"/>
        <w:right w:val="none" w:sz="0" w:space="0" w:color="auto"/>
      </w:divBdr>
    </w:div>
    <w:div w:id="1942563949">
      <w:bodyDiv w:val="1"/>
      <w:marLeft w:val="0"/>
      <w:marRight w:val="0"/>
      <w:marTop w:val="0"/>
      <w:marBottom w:val="0"/>
      <w:divBdr>
        <w:top w:val="none" w:sz="0" w:space="0" w:color="auto"/>
        <w:left w:val="none" w:sz="0" w:space="0" w:color="auto"/>
        <w:bottom w:val="none" w:sz="0" w:space="0" w:color="auto"/>
        <w:right w:val="none" w:sz="0" w:space="0" w:color="auto"/>
      </w:divBdr>
    </w:div>
    <w:div w:id="2115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DESE-231-72062</_dlc_DocId>
    <_dlc_DocIdUrl xmlns="733efe1c-5bbe-4968-87dc-d400e65c879f">
      <Url>https://sharepoint.doemass.org/ese/webteam/cps/_layouts/DocIdRedir.aspx?ID=DESE-231-72062</Url>
      <Description>DESE-231-72062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BC465B3-99C4-412D-B70F-A7F4FAE24F1E}">
  <ds:schemaRefs>
    <ds:schemaRef ds:uri="http://schemas.microsoft.com/sharepoint/v3/contenttype/forms"/>
  </ds:schemaRefs>
</ds:datastoreItem>
</file>

<file path=customXml/itemProps3.xml><?xml version="1.0" encoding="utf-8"?>
<ds:datastoreItem xmlns:ds="http://schemas.openxmlformats.org/officeDocument/2006/customXml" ds:itemID="{BE30EDC4-EF0A-4F30-91BA-0B2D77342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63B6B-B5C8-4405-8553-738809082AD9}">
  <ds:schemaRefs>
    <ds:schemaRef ds:uri="http://schemas.openxmlformats.org/officeDocument/2006/bibliography"/>
  </ds:schemaRefs>
</ds:datastoreItem>
</file>

<file path=customXml/itemProps5.xml><?xml version="1.0" encoding="utf-8"?>
<ds:datastoreItem xmlns:ds="http://schemas.openxmlformats.org/officeDocument/2006/customXml" ds:itemID="{34DDFC61-A88F-4E40-81FD-2255ACB427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FY22 FC 189 Board Package</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189 Board Package</dc:title>
  <dc:creator>DESE</dc:creator>
  <cp:lastModifiedBy>Zou, Dong (EOE)</cp:lastModifiedBy>
  <cp:revision>6</cp:revision>
  <cp:lastPrinted>2001-07-23T18:06:00Z</cp:lastPrinted>
  <dcterms:created xsi:type="dcterms:W3CDTF">2021-06-07T17:50:00Z</dcterms:created>
  <dcterms:modified xsi:type="dcterms:W3CDTF">2021-06-30T19:41:00Z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2021</vt:lpwstr>
  </property>
</Properties>
</file>