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2"/>
        <w:gridCol w:w="3063"/>
        <w:gridCol w:w="2430"/>
      </w:tblGrid>
      <w:tr w:rsidR="00410797" w14:paraId="0C3258D4" w14:textId="77777777" w:rsidTr="65BECE27">
        <w:trPr>
          <w:cantSplit/>
        </w:trPr>
        <w:tc>
          <w:tcPr>
            <w:tcW w:w="3438" w:type="dxa"/>
            <w:tcBorders>
              <w:top w:val="nil"/>
              <w:left w:val="nil"/>
              <w:bottom w:val="nil"/>
              <w:right w:val="nil"/>
            </w:tcBorders>
          </w:tcPr>
          <w:p w14:paraId="2E8555FB" w14:textId="3FDDC4EF" w:rsidR="00410797" w:rsidRDefault="00410797" w:rsidP="2BBFBA7B">
            <w:pPr>
              <w:spacing w:after="120"/>
              <w:jc w:val="both"/>
              <w:rPr>
                <w:b/>
                <w:bCs/>
                <w:sz w:val="22"/>
                <w:szCs w:val="22"/>
              </w:rPr>
            </w:pPr>
            <w:r w:rsidRPr="2BBFBA7B">
              <w:rPr>
                <w:b/>
                <w:bCs/>
                <w:sz w:val="22"/>
                <w:szCs w:val="22"/>
              </w:rPr>
              <w:t>NAME OF GRANT PROGRAM:</w:t>
            </w:r>
            <w:r w:rsidR="25E1997A" w:rsidRPr="2BBFBA7B">
              <w:rPr>
                <w:b/>
                <w:bCs/>
                <w:sz w:val="22"/>
                <w:szCs w:val="22"/>
              </w:rPr>
              <w:t xml:space="preserve"> </w:t>
            </w:r>
          </w:p>
        </w:tc>
        <w:tc>
          <w:tcPr>
            <w:tcW w:w="5205" w:type="dxa"/>
            <w:gridSpan w:val="2"/>
            <w:tcBorders>
              <w:top w:val="nil"/>
              <w:left w:val="nil"/>
              <w:bottom w:val="nil"/>
              <w:right w:val="nil"/>
            </w:tcBorders>
          </w:tcPr>
          <w:p w14:paraId="4C40413E" w14:textId="4AED6198" w:rsidR="00410797" w:rsidRDefault="001321F3" w:rsidP="2BBFBA7B">
            <w:pPr>
              <w:pStyle w:val="Heading1"/>
              <w:jc w:val="both"/>
              <w:rPr>
                <w:sz w:val="22"/>
                <w:szCs w:val="22"/>
              </w:rPr>
            </w:pPr>
            <w:r w:rsidRPr="2BBFBA7B">
              <w:rPr>
                <w:b/>
                <w:bCs/>
                <w:sz w:val="22"/>
                <w:szCs w:val="22"/>
              </w:rPr>
              <w:t xml:space="preserve">Adult Education Virtual School System   </w:t>
            </w:r>
          </w:p>
        </w:tc>
        <w:tc>
          <w:tcPr>
            <w:tcW w:w="2430" w:type="dxa"/>
            <w:tcBorders>
              <w:top w:val="nil"/>
              <w:left w:val="nil"/>
              <w:bottom w:val="nil"/>
              <w:right w:val="nil"/>
            </w:tcBorders>
          </w:tcPr>
          <w:p w14:paraId="5813D72A" w14:textId="61FC1EB9" w:rsidR="00410797" w:rsidRDefault="00410797" w:rsidP="59ABA8CE">
            <w:pPr>
              <w:spacing w:after="120"/>
              <w:jc w:val="both"/>
              <w:rPr>
                <w:sz w:val="22"/>
                <w:szCs w:val="22"/>
              </w:rPr>
            </w:pPr>
            <w:r w:rsidRPr="2BBFBA7B">
              <w:rPr>
                <w:b/>
                <w:bCs/>
                <w:sz w:val="22"/>
                <w:szCs w:val="22"/>
              </w:rPr>
              <w:t>FUND CODE:</w:t>
            </w:r>
            <w:r w:rsidR="00372996" w:rsidRPr="2BBFBA7B">
              <w:rPr>
                <w:sz w:val="22"/>
                <w:szCs w:val="22"/>
              </w:rPr>
              <w:t xml:space="preserve"> </w:t>
            </w:r>
            <w:r w:rsidR="28330317" w:rsidRPr="2BBFBA7B">
              <w:rPr>
                <w:sz w:val="22"/>
                <w:szCs w:val="22"/>
              </w:rPr>
              <w:t>538</w:t>
            </w:r>
          </w:p>
        </w:tc>
      </w:tr>
      <w:tr w:rsidR="00410797" w14:paraId="16366702" w14:textId="77777777" w:rsidTr="65BECE27">
        <w:trPr>
          <w:cantSplit/>
        </w:trPr>
        <w:tc>
          <w:tcPr>
            <w:tcW w:w="3438" w:type="dxa"/>
            <w:tcBorders>
              <w:top w:val="nil"/>
              <w:left w:val="nil"/>
              <w:bottom w:val="nil"/>
              <w:right w:val="nil"/>
            </w:tcBorders>
          </w:tcPr>
          <w:p w14:paraId="02866615" w14:textId="77777777" w:rsidR="00410797" w:rsidRDefault="00410797" w:rsidP="2BBFBA7B">
            <w:pPr>
              <w:spacing w:after="120"/>
              <w:jc w:val="both"/>
              <w:rPr>
                <w:b/>
                <w:bCs/>
                <w:sz w:val="22"/>
                <w:szCs w:val="22"/>
              </w:rPr>
            </w:pPr>
            <w:r w:rsidRPr="2BBFBA7B">
              <w:rPr>
                <w:b/>
                <w:bCs/>
                <w:sz w:val="22"/>
                <w:szCs w:val="22"/>
              </w:rPr>
              <w:t xml:space="preserve">FUNDS ALLOCATED:     </w:t>
            </w:r>
          </w:p>
        </w:tc>
        <w:tc>
          <w:tcPr>
            <w:tcW w:w="7635" w:type="dxa"/>
            <w:gridSpan w:val="3"/>
            <w:tcBorders>
              <w:top w:val="nil"/>
              <w:left w:val="nil"/>
              <w:bottom w:val="nil"/>
              <w:right w:val="nil"/>
            </w:tcBorders>
          </w:tcPr>
          <w:p w14:paraId="7906D56B" w14:textId="46B67824" w:rsidR="00410797" w:rsidRDefault="00410797" w:rsidP="2BBFBA7B">
            <w:pPr>
              <w:spacing w:after="120"/>
              <w:jc w:val="both"/>
              <w:rPr>
                <w:sz w:val="22"/>
                <w:szCs w:val="22"/>
              </w:rPr>
            </w:pPr>
            <w:r w:rsidRPr="2BBFBA7B">
              <w:rPr>
                <w:sz w:val="22"/>
                <w:szCs w:val="22"/>
              </w:rPr>
              <w:t>$</w:t>
            </w:r>
            <w:r w:rsidR="00B729DF">
              <w:rPr>
                <w:sz w:val="22"/>
                <w:szCs w:val="22"/>
              </w:rPr>
              <w:t>600,000</w:t>
            </w:r>
            <w:r w:rsidRPr="2BBFBA7B">
              <w:rPr>
                <w:sz w:val="22"/>
                <w:szCs w:val="22"/>
              </w:rPr>
              <w:t xml:space="preserve"> (</w:t>
            </w:r>
            <w:r w:rsidR="007B2582" w:rsidRPr="2BBFBA7B">
              <w:rPr>
                <w:b/>
                <w:bCs/>
                <w:sz w:val="22"/>
                <w:szCs w:val="22"/>
                <w:u w:val="single"/>
              </w:rPr>
              <w:t>State</w:t>
            </w:r>
            <w:r w:rsidRPr="2BBFBA7B">
              <w:rPr>
                <w:sz w:val="22"/>
                <w:szCs w:val="22"/>
              </w:rPr>
              <w:t>)</w:t>
            </w:r>
          </w:p>
        </w:tc>
      </w:tr>
      <w:tr w:rsidR="00410797" w14:paraId="3F43B3FC" w14:textId="77777777" w:rsidTr="65BECE27">
        <w:trPr>
          <w:cantSplit/>
        </w:trPr>
        <w:tc>
          <w:tcPr>
            <w:tcW w:w="3438" w:type="dxa"/>
            <w:tcBorders>
              <w:top w:val="nil"/>
              <w:left w:val="nil"/>
              <w:bottom w:val="nil"/>
              <w:right w:val="nil"/>
            </w:tcBorders>
          </w:tcPr>
          <w:p w14:paraId="401A68F4" w14:textId="77777777" w:rsidR="00410797" w:rsidRPr="00B74246" w:rsidRDefault="00410797" w:rsidP="2BBFBA7B">
            <w:pPr>
              <w:spacing w:after="120"/>
              <w:jc w:val="both"/>
              <w:rPr>
                <w:b/>
                <w:bCs/>
                <w:sz w:val="22"/>
                <w:szCs w:val="22"/>
              </w:rPr>
            </w:pPr>
            <w:r w:rsidRPr="00B74246">
              <w:rPr>
                <w:b/>
                <w:bCs/>
                <w:sz w:val="22"/>
                <w:szCs w:val="22"/>
              </w:rPr>
              <w:t>FUNDS REQUESTED:</w:t>
            </w:r>
          </w:p>
        </w:tc>
        <w:tc>
          <w:tcPr>
            <w:tcW w:w="7635" w:type="dxa"/>
            <w:gridSpan w:val="3"/>
            <w:tcBorders>
              <w:top w:val="nil"/>
              <w:left w:val="nil"/>
              <w:bottom w:val="nil"/>
              <w:right w:val="nil"/>
            </w:tcBorders>
          </w:tcPr>
          <w:p w14:paraId="50393F71" w14:textId="5752AE78" w:rsidR="00410797" w:rsidRPr="00B74246" w:rsidRDefault="5CD9AF3A" w:rsidP="2BBFBA7B">
            <w:pPr>
              <w:spacing w:after="120"/>
              <w:jc w:val="both"/>
              <w:rPr>
                <w:sz w:val="22"/>
                <w:szCs w:val="22"/>
              </w:rPr>
            </w:pPr>
            <w:r w:rsidRPr="00B74246">
              <w:rPr>
                <w:sz w:val="22"/>
                <w:szCs w:val="22"/>
              </w:rPr>
              <w:t>$</w:t>
            </w:r>
            <w:r w:rsidR="00A22353">
              <w:rPr>
                <w:sz w:val="22"/>
                <w:szCs w:val="22"/>
              </w:rPr>
              <w:t>2</w:t>
            </w:r>
            <w:r w:rsidR="00932F14">
              <w:rPr>
                <w:sz w:val="22"/>
                <w:szCs w:val="22"/>
              </w:rPr>
              <w:t>,461,558</w:t>
            </w:r>
            <w:r w:rsidR="00372996" w:rsidRPr="00B74246">
              <w:rPr>
                <w:sz w:val="22"/>
                <w:szCs w:val="22"/>
              </w:rPr>
              <w:t xml:space="preserve"> </w:t>
            </w:r>
          </w:p>
        </w:tc>
      </w:tr>
      <w:tr w:rsidR="00410797" w14:paraId="30AE8315" w14:textId="77777777" w:rsidTr="65BECE27">
        <w:trPr>
          <w:cantSplit/>
        </w:trPr>
        <w:tc>
          <w:tcPr>
            <w:tcW w:w="11073" w:type="dxa"/>
            <w:gridSpan w:val="4"/>
            <w:tcBorders>
              <w:top w:val="nil"/>
              <w:left w:val="nil"/>
              <w:bottom w:val="nil"/>
              <w:right w:val="nil"/>
            </w:tcBorders>
          </w:tcPr>
          <w:p w14:paraId="5EC12478" w14:textId="0A76958A" w:rsidR="00410797" w:rsidRDefault="375898DD" w:rsidP="2BBFBA7B">
            <w:pPr>
              <w:spacing w:after="120"/>
            </w:pPr>
            <w:r w:rsidRPr="2BBFBA7B">
              <w:rPr>
                <w:b/>
                <w:bCs/>
                <w:color w:val="222222"/>
                <w:sz w:val="24"/>
                <w:szCs w:val="24"/>
              </w:rPr>
              <w:t>PURPOSE</w:t>
            </w:r>
            <w:r w:rsidRPr="2BBFBA7B">
              <w:rPr>
                <w:color w:val="222222"/>
                <w:sz w:val="24"/>
                <w:szCs w:val="24"/>
              </w:rPr>
              <w:t xml:space="preserve">: The purpose of this competitive grant is to establish and support a statewide Adult Education Virtual School (AEVS) system branded as </w:t>
            </w:r>
            <w:proofErr w:type="spellStart"/>
            <w:r w:rsidRPr="2BBFBA7B">
              <w:rPr>
                <w:color w:val="222222"/>
                <w:sz w:val="24"/>
                <w:szCs w:val="24"/>
              </w:rPr>
              <w:t>MassLinks</w:t>
            </w:r>
            <w:proofErr w:type="spellEnd"/>
            <w:r w:rsidRPr="2BBFBA7B">
              <w:rPr>
                <w:color w:val="222222"/>
                <w:sz w:val="24"/>
                <w:szCs w:val="24"/>
              </w:rPr>
              <w:t>. All services must be delivered virtually.</w:t>
            </w:r>
          </w:p>
          <w:p w14:paraId="46F99216" w14:textId="0DE02755" w:rsidR="00FA14F1" w:rsidRDefault="00FA14F1" w:rsidP="2BBFBA7B">
            <w:pPr>
              <w:spacing w:after="120"/>
              <w:rPr>
                <w:color w:val="222222"/>
                <w:sz w:val="24"/>
                <w:szCs w:val="24"/>
              </w:rPr>
            </w:pPr>
          </w:p>
          <w:p w14:paraId="3DF1FC2C" w14:textId="64AAF330" w:rsidR="00410797" w:rsidRDefault="375898DD" w:rsidP="2BBFBA7B">
            <w:pPr>
              <w:spacing w:after="120"/>
            </w:pPr>
            <w:r w:rsidRPr="2BBFBA7B">
              <w:rPr>
                <w:color w:val="222222"/>
                <w:sz w:val="24"/>
                <w:szCs w:val="24"/>
              </w:rPr>
              <w:t>The AEVS provider will recruit, intake, orient, enroll, instruct, assess, advise, and offer supportive services and post exit follow up to adult learners who are not served by programs currently funded by ACLS and/or whose need for services are not met by programs currently funded by ACLS.</w:t>
            </w:r>
          </w:p>
          <w:p w14:paraId="3E8895D4" w14:textId="43FA6B27" w:rsidR="00410797" w:rsidRDefault="375898DD" w:rsidP="2BBFBA7B">
            <w:pPr>
              <w:spacing w:after="120"/>
            </w:pPr>
            <w:r w:rsidRPr="2BBFBA7B">
              <w:rPr>
                <w:color w:val="222222"/>
                <w:sz w:val="24"/>
                <w:szCs w:val="24"/>
              </w:rPr>
              <w:t>Additionally, the provider will market, develop, manage, implement, and evaluate the AEVS.</w:t>
            </w:r>
          </w:p>
          <w:p w14:paraId="536CA504" w14:textId="14046C57" w:rsidR="00410797" w:rsidRDefault="375898DD" w:rsidP="2BBFBA7B">
            <w:pPr>
              <w:spacing w:after="120"/>
            </w:pPr>
            <w:r w:rsidRPr="2BBFBA7B">
              <w:rPr>
                <w:color w:val="222222"/>
                <w:sz w:val="24"/>
                <w:szCs w:val="24"/>
              </w:rPr>
              <w:t>The AEVS will:</w:t>
            </w:r>
          </w:p>
          <w:p w14:paraId="38658360" w14:textId="61E39BE4" w:rsidR="00410797" w:rsidRDefault="375898DD" w:rsidP="2BBFBA7B">
            <w:pPr>
              <w:pStyle w:val="ListParagraph"/>
              <w:numPr>
                <w:ilvl w:val="0"/>
                <w:numId w:val="1"/>
              </w:numPr>
              <w:spacing w:after="120"/>
              <w:rPr>
                <w:rFonts w:ascii="Times New Roman" w:hAnsi="Times New Roman"/>
                <w:color w:val="222222"/>
                <w:sz w:val="24"/>
                <w:szCs w:val="24"/>
              </w:rPr>
            </w:pPr>
            <w:r w:rsidRPr="2BBFBA7B">
              <w:rPr>
                <w:rFonts w:ascii="Times New Roman" w:hAnsi="Times New Roman"/>
                <w:color w:val="222222"/>
                <w:sz w:val="24"/>
                <w:szCs w:val="24"/>
              </w:rPr>
              <w:t xml:space="preserve">assist eligible individuals in attaining a secondary school credential and in the transition to postsecondary education and training, including through career </w:t>
            </w:r>
            <w:proofErr w:type="gramStart"/>
            <w:r w:rsidRPr="2BBFBA7B">
              <w:rPr>
                <w:rFonts w:ascii="Times New Roman" w:hAnsi="Times New Roman"/>
                <w:color w:val="222222"/>
                <w:sz w:val="24"/>
                <w:szCs w:val="24"/>
              </w:rPr>
              <w:t>pathways;</w:t>
            </w:r>
            <w:proofErr w:type="gramEnd"/>
          </w:p>
          <w:p w14:paraId="79819898" w14:textId="593F8E24" w:rsidR="00410797" w:rsidRDefault="375898DD" w:rsidP="2BBFBA7B">
            <w:pPr>
              <w:pStyle w:val="ListParagraph"/>
              <w:numPr>
                <w:ilvl w:val="0"/>
                <w:numId w:val="1"/>
              </w:numPr>
              <w:spacing w:after="120"/>
              <w:rPr>
                <w:rFonts w:ascii="Times New Roman" w:hAnsi="Times New Roman"/>
                <w:color w:val="222222"/>
                <w:sz w:val="24"/>
                <w:szCs w:val="24"/>
              </w:rPr>
            </w:pPr>
            <w:r w:rsidRPr="2BBFBA7B">
              <w:rPr>
                <w:rFonts w:ascii="Times New Roman" w:hAnsi="Times New Roman"/>
                <w:color w:val="222222"/>
                <w:sz w:val="24"/>
                <w:szCs w:val="24"/>
              </w:rPr>
              <w:t xml:space="preserve">assist eligible individuals to become literate and obtain the knowledge and skills necessary for employment and economic </w:t>
            </w:r>
            <w:proofErr w:type="gramStart"/>
            <w:r w:rsidRPr="2BBFBA7B">
              <w:rPr>
                <w:rFonts w:ascii="Times New Roman" w:hAnsi="Times New Roman"/>
                <w:color w:val="222222"/>
                <w:sz w:val="24"/>
                <w:szCs w:val="24"/>
              </w:rPr>
              <w:t>self-sufficiency;</w:t>
            </w:r>
            <w:proofErr w:type="gramEnd"/>
          </w:p>
          <w:p w14:paraId="1E2760C6" w14:textId="65E5CA4D" w:rsidR="00410797" w:rsidRDefault="375898DD" w:rsidP="2BBFBA7B">
            <w:pPr>
              <w:pStyle w:val="ListParagraph"/>
              <w:numPr>
                <w:ilvl w:val="0"/>
                <w:numId w:val="1"/>
              </w:numPr>
              <w:spacing w:after="120"/>
              <w:rPr>
                <w:rFonts w:ascii="Times New Roman" w:hAnsi="Times New Roman"/>
                <w:color w:val="222222"/>
                <w:sz w:val="24"/>
                <w:szCs w:val="24"/>
              </w:rPr>
            </w:pPr>
            <w:r w:rsidRPr="2BBFBA7B">
              <w:rPr>
                <w:rFonts w:ascii="Times New Roman" w:hAnsi="Times New Roman"/>
                <w:color w:val="222222"/>
                <w:sz w:val="24"/>
                <w:szCs w:val="24"/>
              </w:rPr>
              <w:t xml:space="preserve">assist immigrants and other individuals who are English language learners— improving their reading, writing, speaking, and comprehensive skills in English; and mathematical </w:t>
            </w:r>
            <w:proofErr w:type="gramStart"/>
            <w:r w:rsidRPr="2BBFBA7B">
              <w:rPr>
                <w:rFonts w:ascii="Times New Roman" w:hAnsi="Times New Roman"/>
                <w:color w:val="222222"/>
                <w:sz w:val="24"/>
                <w:szCs w:val="24"/>
              </w:rPr>
              <w:t>skills;</w:t>
            </w:r>
            <w:proofErr w:type="gramEnd"/>
          </w:p>
          <w:p w14:paraId="5BF30946" w14:textId="1B542719" w:rsidR="00410797" w:rsidRDefault="375898DD" w:rsidP="2BBFBA7B">
            <w:pPr>
              <w:pStyle w:val="ListParagraph"/>
              <w:numPr>
                <w:ilvl w:val="0"/>
                <w:numId w:val="1"/>
              </w:numPr>
              <w:spacing w:after="120"/>
              <w:rPr>
                <w:rFonts w:ascii="Times New Roman" w:hAnsi="Times New Roman"/>
                <w:color w:val="222222"/>
                <w:sz w:val="24"/>
                <w:szCs w:val="24"/>
              </w:rPr>
            </w:pPr>
            <w:r w:rsidRPr="2BBFBA7B">
              <w:rPr>
                <w:rFonts w:ascii="Times New Roman" w:hAnsi="Times New Roman"/>
                <w:color w:val="222222"/>
                <w:sz w:val="24"/>
                <w:szCs w:val="24"/>
              </w:rPr>
              <w:t>assist eligible individuals who are parents or family members to a) obtain the education and skills that are necessary to become full partners in the educational development of their children and b) result in sustainable improvements in the economic opportunities for their family.</w:t>
            </w:r>
          </w:p>
          <w:p w14:paraId="235C8D89" w14:textId="73951173" w:rsidR="00410797" w:rsidRDefault="00410797" w:rsidP="2BBFBA7B">
            <w:pPr>
              <w:spacing w:after="120"/>
              <w:jc w:val="both"/>
              <w:rPr>
                <w:b/>
                <w:bCs/>
              </w:rPr>
            </w:pPr>
          </w:p>
        </w:tc>
      </w:tr>
      <w:tr w:rsidR="00410797" w14:paraId="6559C0FA" w14:textId="77777777" w:rsidTr="65BECE27">
        <w:tc>
          <w:tcPr>
            <w:tcW w:w="5580" w:type="dxa"/>
            <w:gridSpan w:val="2"/>
            <w:tcBorders>
              <w:top w:val="nil"/>
              <w:left w:val="nil"/>
              <w:bottom w:val="nil"/>
              <w:right w:val="nil"/>
            </w:tcBorders>
          </w:tcPr>
          <w:p w14:paraId="31E78CF4" w14:textId="7FEC414D" w:rsidR="00410797" w:rsidRDefault="00410797" w:rsidP="59ABA8CE">
            <w:pPr>
              <w:spacing w:after="120"/>
              <w:jc w:val="both"/>
              <w:rPr>
                <w:b/>
                <w:bCs/>
                <w:sz w:val="22"/>
                <w:szCs w:val="22"/>
              </w:rPr>
            </w:pPr>
            <w:r w:rsidRPr="2BBFBA7B">
              <w:rPr>
                <w:b/>
                <w:bCs/>
                <w:sz w:val="22"/>
                <w:szCs w:val="22"/>
              </w:rPr>
              <w:t>NUMBER OF PROPOSALS RECEIVED:</w:t>
            </w:r>
            <w:r w:rsidR="45A628BF" w:rsidRPr="2BBFBA7B">
              <w:rPr>
                <w:b/>
                <w:bCs/>
                <w:sz w:val="22"/>
                <w:szCs w:val="22"/>
              </w:rPr>
              <w:t xml:space="preserve"> 4</w:t>
            </w:r>
          </w:p>
        </w:tc>
        <w:tc>
          <w:tcPr>
            <w:tcW w:w="5493" w:type="dxa"/>
            <w:gridSpan w:val="2"/>
            <w:tcBorders>
              <w:top w:val="nil"/>
              <w:left w:val="nil"/>
              <w:bottom w:val="nil"/>
              <w:right w:val="nil"/>
            </w:tcBorders>
          </w:tcPr>
          <w:p w14:paraId="1B173BB1" w14:textId="77777777" w:rsidR="00410797" w:rsidRDefault="00410797" w:rsidP="2BBFBA7B">
            <w:pPr>
              <w:spacing w:after="120"/>
              <w:jc w:val="both"/>
              <w:rPr>
                <w:sz w:val="22"/>
                <w:szCs w:val="22"/>
              </w:rPr>
            </w:pPr>
          </w:p>
        </w:tc>
      </w:tr>
      <w:tr w:rsidR="00410797" w14:paraId="761730FA" w14:textId="77777777" w:rsidTr="65BECE27">
        <w:trPr>
          <w:trHeight w:val="224"/>
        </w:trPr>
        <w:tc>
          <w:tcPr>
            <w:tcW w:w="5580" w:type="dxa"/>
            <w:gridSpan w:val="2"/>
            <w:tcBorders>
              <w:top w:val="nil"/>
              <w:left w:val="nil"/>
              <w:bottom w:val="nil"/>
              <w:right w:val="nil"/>
            </w:tcBorders>
          </w:tcPr>
          <w:p w14:paraId="3F4D2231" w14:textId="4E8C83A2" w:rsidR="00410797" w:rsidRDefault="00410797" w:rsidP="59ABA8CE">
            <w:pPr>
              <w:spacing w:after="120"/>
              <w:jc w:val="both"/>
              <w:rPr>
                <w:b/>
                <w:bCs/>
                <w:sz w:val="22"/>
                <w:szCs w:val="22"/>
              </w:rPr>
            </w:pPr>
            <w:r w:rsidRPr="2BBFBA7B">
              <w:rPr>
                <w:b/>
                <w:bCs/>
                <w:sz w:val="22"/>
                <w:szCs w:val="22"/>
              </w:rPr>
              <w:t>NUMBER OF PROPOSALS RECOMMENDED:</w:t>
            </w:r>
            <w:r w:rsidR="1EBFCB7E" w:rsidRPr="2BBFBA7B">
              <w:rPr>
                <w:b/>
                <w:bCs/>
                <w:sz w:val="22"/>
                <w:szCs w:val="22"/>
              </w:rPr>
              <w:t xml:space="preserve"> 1</w:t>
            </w:r>
          </w:p>
        </w:tc>
        <w:tc>
          <w:tcPr>
            <w:tcW w:w="5493" w:type="dxa"/>
            <w:gridSpan w:val="2"/>
            <w:tcBorders>
              <w:top w:val="nil"/>
              <w:left w:val="nil"/>
              <w:bottom w:val="nil"/>
              <w:right w:val="nil"/>
            </w:tcBorders>
          </w:tcPr>
          <w:p w14:paraId="0D2596CF" w14:textId="77777777" w:rsidR="00410797" w:rsidRDefault="00410797" w:rsidP="2BBFBA7B">
            <w:pPr>
              <w:spacing w:after="120"/>
              <w:jc w:val="both"/>
              <w:rPr>
                <w:sz w:val="22"/>
                <w:szCs w:val="22"/>
              </w:rPr>
            </w:pPr>
          </w:p>
        </w:tc>
      </w:tr>
      <w:tr w:rsidR="00410797" w14:paraId="794D6562" w14:textId="77777777" w:rsidTr="65BECE27">
        <w:trPr>
          <w:trHeight w:val="117"/>
        </w:trPr>
        <w:tc>
          <w:tcPr>
            <w:tcW w:w="5580" w:type="dxa"/>
            <w:gridSpan w:val="2"/>
            <w:tcBorders>
              <w:top w:val="nil"/>
              <w:left w:val="nil"/>
              <w:bottom w:val="nil"/>
              <w:right w:val="nil"/>
            </w:tcBorders>
          </w:tcPr>
          <w:p w14:paraId="72BEE658" w14:textId="5C480BF6" w:rsidR="00410797" w:rsidRDefault="00410797" w:rsidP="65BECE27">
            <w:pPr>
              <w:pStyle w:val="Heading8"/>
              <w:rPr>
                <w:rFonts w:ascii="Times New Roman" w:eastAsia="Times New Roman" w:hAnsi="Times New Roman" w:cs="Times New Roman"/>
                <w:b/>
                <w:bCs/>
                <w:color w:val="272727"/>
              </w:rPr>
            </w:pPr>
            <w:r w:rsidRPr="65BECE27">
              <w:rPr>
                <w:rFonts w:ascii="Times New Roman" w:eastAsia="Times New Roman" w:hAnsi="Times New Roman" w:cs="Times New Roman"/>
                <w:b/>
                <w:bCs/>
              </w:rPr>
              <w:t>NUMBER OF PROPOSALS NOT RECOMMENDED</w:t>
            </w:r>
            <w:r w:rsidR="5C2AB9EB" w:rsidRPr="65BECE27">
              <w:rPr>
                <w:rFonts w:ascii="Times New Roman" w:eastAsia="Times New Roman" w:hAnsi="Times New Roman" w:cs="Times New Roman"/>
                <w:b/>
                <w:bCs/>
              </w:rPr>
              <w:t>:</w:t>
            </w:r>
            <w:r w:rsidR="0368BBB4" w:rsidRPr="65BECE27">
              <w:rPr>
                <w:rFonts w:ascii="Times New Roman" w:eastAsia="Times New Roman" w:hAnsi="Times New Roman" w:cs="Times New Roman"/>
                <w:b/>
                <w:bCs/>
              </w:rPr>
              <w:t xml:space="preserve"> </w:t>
            </w:r>
            <w:r w:rsidR="31333AE3" w:rsidRPr="65BECE27">
              <w:rPr>
                <w:rFonts w:ascii="Times New Roman" w:eastAsia="Times New Roman" w:hAnsi="Times New Roman" w:cs="Times New Roman"/>
                <w:b/>
                <w:bCs/>
              </w:rPr>
              <w:t>3</w:t>
            </w:r>
          </w:p>
        </w:tc>
        <w:tc>
          <w:tcPr>
            <w:tcW w:w="5493" w:type="dxa"/>
            <w:gridSpan w:val="2"/>
            <w:tcBorders>
              <w:top w:val="nil"/>
              <w:left w:val="nil"/>
              <w:bottom w:val="nil"/>
              <w:right w:val="nil"/>
            </w:tcBorders>
          </w:tcPr>
          <w:p w14:paraId="2097C42B" w14:textId="77777777" w:rsidR="00410797" w:rsidRDefault="00410797" w:rsidP="2BBFBA7B">
            <w:pPr>
              <w:spacing w:after="120"/>
              <w:jc w:val="both"/>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97699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97699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ABB8195" w:rsidR="00372996" w:rsidRPr="00B729DF" w:rsidRDefault="2F517777" w:rsidP="59ABA8CE">
            <w:pPr>
              <w:spacing w:before="20" w:after="20"/>
              <w:rPr>
                <w:sz w:val="22"/>
                <w:szCs w:val="22"/>
              </w:rPr>
            </w:pPr>
            <w:r w:rsidRPr="00B729DF">
              <w:rPr>
                <w:sz w:val="22"/>
                <w:szCs w:val="22"/>
              </w:rPr>
              <w:t>Mount Wachusett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34080A59" w:rsidR="00372996" w:rsidRPr="00B329DA" w:rsidRDefault="00C951E3" w:rsidP="59ABA8CE">
            <w:pPr>
              <w:spacing w:before="20" w:after="20"/>
              <w:jc w:val="right"/>
              <w:rPr>
                <w:sz w:val="22"/>
                <w:szCs w:val="22"/>
                <w:highlight w:val="yellow"/>
              </w:rPr>
            </w:pPr>
            <w:r w:rsidRPr="00C951E3">
              <w:rPr>
                <w:sz w:val="22"/>
                <w:szCs w:val="22"/>
              </w:rPr>
              <w:t>$600,000</w:t>
            </w:r>
          </w:p>
        </w:tc>
      </w:tr>
      <w:tr w:rsidR="00372996" w:rsidRPr="00B729DF" w14:paraId="1AE7CC78" w14:textId="77777777" w:rsidTr="0097699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CB705D6"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3714D81" w:rsidR="00372996" w:rsidRPr="00B729DF" w:rsidRDefault="001321F3" w:rsidP="456B5B4C">
            <w:pPr>
              <w:spacing w:before="20" w:after="20"/>
              <w:jc w:val="right"/>
              <w:rPr>
                <w:b/>
                <w:bCs/>
                <w:snapToGrid w:val="0"/>
                <w:color w:val="000000"/>
                <w:sz w:val="22"/>
                <w:szCs w:val="22"/>
                <w:highlight w:val="yellow"/>
              </w:rPr>
            </w:pPr>
            <w:r w:rsidRPr="00B729DF">
              <w:rPr>
                <w:b/>
                <w:bCs/>
                <w:color w:val="000000" w:themeColor="text1"/>
                <w:sz w:val="22"/>
                <w:szCs w:val="22"/>
              </w:rPr>
              <w:t>$600,000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20D1"/>
    <w:rsid w:val="000821C9"/>
    <w:rsid w:val="000C6C68"/>
    <w:rsid w:val="001321F3"/>
    <w:rsid w:val="001522C7"/>
    <w:rsid w:val="001A433F"/>
    <w:rsid w:val="001B5362"/>
    <w:rsid w:val="001B78A6"/>
    <w:rsid w:val="001C6572"/>
    <w:rsid w:val="001E2790"/>
    <w:rsid w:val="001E7C68"/>
    <w:rsid w:val="00224F8E"/>
    <w:rsid w:val="002D5121"/>
    <w:rsid w:val="002D5D09"/>
    <w:rsid w:val="0031794D"/>
    <w:rsid w:val="003226AE"/>
    <w:rsid w:val="00330653"/>
    <w:rsid w:val="00351281"/>
    <w:rsid w:val="00372996"/>
    <w:rsid w:val="003B5809"/>
    <w:rsid w:val="00410797"/>
    <w:rsid w:val="00427DA8"/>
    <w:rsid w:val="00461C91"/>
    <w:rsid w:val="00521A12"/>
    <w:rsid w:val="00534FE7"/>
    <w:rsid w:val="00542157"/>
    <w:rsid w:val="00550913"/>
    <w:rsid w:val="005736D2"/>
    <w:rsid w:val="006040C0"/>
    <w:rsid w:val="00634CDE"/>
    <w:rsid w:val="00652A79"/>
    <w:rsid w:val="006D71B2"/>
    <w:rsid w:val="00730E52"/>
    <w:rsid w:val="007506C8"/>
    <w:rsid w:val="007911BB"/>
    <w:rsid w:val="007B2582"/>
    <w:rsid w:val="007D0D4F"/>
    <w:rsid w:val="008256FF"/>
    <w:rsid w:val="00837F08"/>
    <w:rsid w:val="00842E20"/>
    <w:rsid w:val="008941CA"/>
    <w:rsid w:val="008B2255"/>
    <w:rsid w:val="008D1631"/>
    <w:rsid w:val="008F2001"/>
    <w:rsid w:val="00920656"/>
    <w:rsid w:val="00932F14"/>
    <w:rsid w:val="0097699C"/>
    <w:rsid w:val="00A22353"/>
    <w:rsid w:val="00AF1A04"/>
    <w:rsid w:val="00B23916"/>
    <w:rsid w:val="00B329DA"/>
    <w:rsid w:val="00B729DF"/>
    <w:rsid w:val="00B74246"/>
    <w:rsid w:val="00BA484A"/>
    <w:rsid w:val="00C056D3"/>
    <w:rsid w:val="00C34967"/>
    <w:rsid w:val="00C44806"/>
    <w:rsid w:val="00C721A9"/>
    <w:rsid w:val="00C86102"/>
    <w:rsid w:val="00C951E3"/>
    <w:rsid w:val="00CF534A"/>
    <w:rsid w:val="00CF5517"/>
    <w:rsid w:val="00D85054"/>
    <w:rsid w:val="00D96130"/>
    <w:rsid w:val="00DA73E5"/>
    <w:rsid w:val="00DB56D5"/>
    <w:rsid w:val="00F11240"/>
    <w:rsid w:val="00FA14F1"/>
    <w:rsid w:val="00FA17BE"/>
    <w:rsid w:val="00FF7007"/>
    <w:rsid w:val="02F1F312"/>
    <w:rsid w:val="0368BBB4"/>
    <w:rsid w:val="0B0E0B54"/>
    <w:rsid w:val="149BC53D"/>
    <w:rsid w:val="17D5E806"/>
    <w:rsid w:val="1A51F2F6"/>
    <w:rsid w:val="1DC6015F"/>
    <w:rsid w:val="1E3BFA67"/>
    <w:rsid w:val="1EBFCB7E"/>
    <w:rsid w:val="25E1997A"/>
    <w:rsid w:val="2758C668"/>
    <w:rsid w:val="275A6C35"/>
    <w:rsid w:val="28330317"/>
    <w:rsid w:val="28D433E5"/>
    <w:rsid w:val="2BBFBA7B"/>
    <w:rsid w:val="2F517777"/>
    <w:rsid w:val="30C61D6D"/>
    <w:rsid w:val="31333AE3"/>
    <w:rsid w:val="3261EDCE"/>
    <w:rsid w:val="331B0199"/>
    <w:rsid w:val="375898DD"/>
    <w:rsid w:val="40691DD6"/>
    <w:rsid w:val="456B5B4C"/>
    <w:rsid w:val="45A628BF"/>
    <w:rsid w:val="4A0A9AF1"/>
    <w:rsid w:val="4B328274"/>
    <w:rsid w:val="50312F36"/>
    <w:rsid w:val="534E1A8F"/>
    <w:rsid w:val="54C8C5E0"/>
    <w:rsid w:val="5762BEFD"/>
    <w:rsid w:val="57994AD3"/>
    <w:rsid w:val="59ABA8CE"/>
    <w:rsid w:val="5C2AB9EB"/>
    <w:rsid w:val="5CD9AF3A"/>
    <w:rsid w:val="65BECE27"/>
    <w:rsid w:val="66BE820A"/>
    <w:rsid w:val="6A39EACB"/>
    <w:rsid w:val="6FDF5F93"/>
    <w:rsid w:val="7D32AC81"/>
    <w:rsid w:val="7DC48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Chuang, Cliff (DESE)</DisplayName>
        <AccountId>54</AccountId>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562A14A-232D-4418-83AB-FA456A94F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FY2022 FC538 Board Package</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FC538 Board Package</dc:title>
  <dc:creator>DESE</dc:creator>
  <cp:lastModifiedBy>Zou, Dong (EOE)</cp:lastModifiedBy>
  <cp:revision>8</cp:revision>
  <cp:lastPrinted>2001-07-23T18:06:00Z</cp:lastPrinted>
  <dcterms:created xsi:type="dcterms:W3CDTF">2022-03-18T18:27:00Z</dcterms:created>
  <dcterms:modified xsi:type="dcterms:W3CDTF">2022-03-18T23:29:00Z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