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79E9" w14:textId="77777777" w:rsidR="006113C7" w:rsidRDefault="006113C7" w:rsidP="006113C7">
      <w:pPr>
        <w:pStyle w:val="NoSpacing"/>
        <w:jc w:val="center"/>
      </w:pPr>
      <w:r>
        <w:t>COMMONWEALTH OF MASSACHUSETTS</w:t>
      </w:r>
    </w:p>
    <w:p w14:paraId="55C3A39A" w14:textId="77777777" w:rsidR="006113C7" w:rsidRDefault="006113C7" w:rsidP="006113C7">
      <w:pPr>
        <w:pStyle w:val="NoSpacing"/>
        <w:jc w:val="center"/>
      </w:pPr>
      <w:r>
        <w:t>CORONAVIRUS STATE FISCAL RECOVERY FUND</w:t>
      </w:r>
    </w:p>
    <w:p w14:paraId="4D68417B" w14:textId="77777777" w:rsidR="006113C7" w:rsidRDefault="006113C7" w:rsidP="006113C7">
      <w:pPr>
        <w:pStyle w:val="NoSpacing"/>
        <w:jc w:val="center"/>
      </w:pPr>
      <w:r>
        <w:t>TERMS AND CONDITIONS</w:t>
      </w:r>
    </w:p>
    <w:p w14:paraId="33A4F329" w14:textId="77777777" w:rsidR="006113C7" w:rsidRDefault="006113C7" w:rsidP="006113C7">
      <w:pPr>
        <w:pStyle w:val="NoSpacing"/>
        <w:jc w:val="center"/>
      </w:pPr>
    </w:p>
    <w:p w14:paraId="5A113FD0" w14:textId="77777777" w:rsidR="006113C7" w:rsidRPr="0077275A" w:rsidRDefault="006113C7" w:rsidP="006113C7">
      <w:pPr>
        <w:pStyle w:val="NoSpacing"/>
        <w:numPr>
          <w:ilvl w:val="0"/>
          <w:numId w:val="1"/>
        </w:numPr>
        <w:rPr>
          <w:u w:val="single"/>
        </w:rPr>
      </w:pPr>
      <w:r w:rsidRPr="0077275A">
        <w:rPr>
          <w:u w:val="single"/>
        </w:rPr>
        <w:t xml:space="preserve">Use of Funds. </w:t>
      </w:r>
    </w:p>
    <w:p w14:paraId="62C9F92F" w14:textId="77777777" w:rsidR="006113C7" w:rsidRDefault="006113C7" w:rsidP="006113C7">
      <w:pPr>
        <w:pStyle w:val="NoSpacing"/>
        <w:numPr>
          <w:ilvl w:val="1"/>
          <w:numId w:val="1"/>
        </w:numPr>
      </w:pPr>
      <w:r>
        <w:t xml:space="preserve">Recipient understands and agrees that the funds disbursed may only be used in compliance with section 602(c) of the Social Security Act (the Act) and Treasury’s regulations implementing that section and guidance. </w:t>
      </w:r>
    </w:p>
    <w:p w14:paraId="79696C1E" w14:textId="77777777" w:rsidR="006113C7" w:rsidRPr="00073ABE" w:rsidRDefault="006113C7" w:rsidP="006113C7">
      <w:pPr>
        <w:pStyle w:val="NoSpacing"/>
        <w:numPr>
          <w:ilvl w:val="1"/>
          <w:numId w:val="1"/>
        </w:numPr>
      </w:pPr>
      <w:r w:rsidRPr="00073ABE">
        <w:t xml:space="preserve">Recipient will determine prior to engaging in any project using </w:t>
      </w:r>
      <w:r>
        <w:t>these funds</w:t>
      </w:r>
      <w:r w:rsidRPr="00073ABE">
        <w:t xml:space="preserve"> that it has the institutional, managerial, and financial capability to ensure proper planning, management, and completion of such project.</w:t>
      </w:r>
    </w:p>
    <w:p w14:paraId="5C65B841" w14:textId="77777777" w:rsidR="006113C7" w:rsidRDefault="006113C7" w:rsidP="006113C7">
      <w:pPr>
        <w:pStyle w:val="NoSpacing"/>
        <w:numPr>
          <w:ilvl w:val="0"/>
          <w:numId w:val="1"/>
        </w:numPr>
      </w:pPr>
      <w:r w:rsidRPr="00670490">
        <w:rPr>
          <w:u w:val="single"/>
        </w:rPr>
        <w:t>Period of Performance</w:t>
      </w:r>
      <w:r>
        <w:t>. The period of performance for this award begins on the date hereof and ends on December 31, 2026. As set forth in Treasury’s implementing regulations, Recipient may use award funds to cover eligible costs incurred during the period that begins on March 3, 2021, and ends on December 31, 2024.</w:t>
      </w:r>
    </w:p>
    <w:p w14:paraId="455A6B1B" w14:textId="77777777" w:rsidR="006113C7" w:rsidRDefault="006113C7" w:rsidP="006113C7">
      <w:pPr>
        <w:pStyle w:val="NoSpacing"/>
        <w:numPr>
          <w:ilvl w:val="0"/>
          <w:numId w:val="1"/>
        </w:numPr>
      </w:pPr>
      <w:r w:rsidRPr="00670490">
        <w:rPr>
          <w:u w:val="single"/>
        </w:rPr>
        <w:t>Reporting</w:t>
      </w:r>
      <w:r>
        <w:t xml:space="preserve">. Recipient agrees to comply with any reporting obligations established by Treasury or the Commonwealth as they relate to this award. </w:t>
      </w:r>
    </w:p>
    <w:p w14:paraId="38CBCE50" w14:textId="77777777" w:rsidR="006113C7" w:rsidRPr="00670490" w:rsidRDefault="006113C7" w:rsidP="006113C7">
      <w:pPr>
        <w:pStyle w:val="NoSpacing"/>
        <w:numPr>
          <w:ilvl w:val="0"/>
          <w:numId w:val="1"/>
        </w:numPr>
        <w:rPr>
          <w:u w:val="single"/>
        </w:rPr>
      </w:pPr>
      <w:r w:rsidRPr="00670490">
        <w:rPr>
          <w:u w:val="single"/>
        </w:rPr>
        <w:t>Maintenance of and Access to Records</w:t>
      </w:r>
      <w:r>
        <w:rPr>
          <w:u w:val="single"/>
        </w:rPr>
        <w:t>.</w:t>
      </w:r>
      <w:r w:rsidRPr="00670490">
        <w:rPr>
          <w:u w:val="single"/>
        </w:rPr>
        <w:t xml:space="preserve"> </w:t>
      </w:r>
    </w:p>
    <w:p w14:paraId="7DB6B54A" w14:textId="77777777" w:rsidR="006113C7" w:rsidRDefault="006113C7" w:rsidP="006113C7">
      <w:pPr>
        <w:pStyle w:val="NoSpacing"/>
        <w:numPr>
          <w:ilvl w:val="1"/>
          <w:numId w:val="1"/>
        </w:numPr>
      </w:pPr>
      <w:r>
        <w:t>Recipient shall maintain records and financial documents sufficient to evidence compliance with section 602(c), Treasury’s regulations implementing that section, guidance issued by Treasury regarding the foregoing, and any guidance provided by the Commonwealth.</w:t>
      </w:r>
    </w:p>
    <w:p w14:paraId="6555DD1A" w14:textId="77777777" w:rsidR="006113C7" w:rsidRDefault="006113C7" w:rsidP="006113C7">
      <w:pPr>
        <w:pStyle w:val="NoSpacing"/>
        <w:numPr>
          <w:ilvl w:val="1"/>
          <w:numId w:val="1"/>
        </w:numPr>
      </w:pPr>
      <w:r>
        <w:t xml:space="preserve">The Treasury Office of Inspector General and the Government Accountability Office, the Executive Office of Administration and Finance, or their authorized representatives, shall have the right of access to records (electronic and otherwise) of Recipient in order to conduct audits or other investigations. </w:t>
      </w:r>
    </w:p>
    <w:p w14:paraId="2A102D27" w14:textId="77777777" w:rsidR="006113C7" w:rsidRDefault="006113C7" w:rsidP="006113C7">
      <w:pPr>
        <w:pStyle w:val="NoSpacing"/>
        <w:numPr>
          <w:ilvl w:val="1"/>
          <w:numId w:val="1"/>
        </w:numPr>
      </w:pPr>
      <w:r>
        <w:t>Records shall be maintained by Recipient for a period of five (5) years after all funds have been expended or returned to the Commonwealth, whichever is later.</w:t>
      </w:r>
    </w:p>
    <w:p w14:paraId="49A0EA90" w14:textId="77777777" w:rsidR="006113C7" w:rsidRDefault="006113C7" w:rsidP="006113C7">
      <w:pPr>
        <w:pStyle w:val="NoSpacing"/>
        <w:numPr>
          <w:ilvl w:val="0"/>
          <w:numId w:val="1"/>
        </w:numPr>
      </w:pPr>
      <w:r w:rsidRPr="00670490">
        <w:rPr>
          <w:u w:val="single"/>
        </w:rPr>
        <w:t>Pre-award Costs</w:t>
      </w:r>
      <w:r>
        <w:t xml:space="preserve">. Pre-award costs, as defined in 2 C.F.R. § 200.458, may not be paid with funding from this award. </w:t>
      </w:r>
    </w:p>
    <w:p w14:paraId="3D537566" w14:textId="77777777" w:rsidR="006113C7" w:rsidRDefault="006113C7" w:rsidP="006113C7">
      <w:pPr>
        <w:pStyle w:val="NoSpacing"/>
        <w:numPr>
          <w:ilvl w:val="0"/>
          <w:numId w:val="1"/>
        </w:numPr>
      </w:pPr>
      <w:r w:rsidRPr="00670490">
        <w:rPr>
          <w:u w:val="single"/>
        </w:rPr>
        <w:t>Administrative Costs</w:t>
      </w:r>
      <w:r>
        <w:t xml:space="preserve">. Recipient may use funds provided under this award to cover both direct and indirect costs. </w:t>
      </w:r>
    </w:p>
    <w:p w14:paraId="45CB90C9" w14:textId="77777777" w:rsidR="006113C7" w:rsidRDefault="006113C7" w:rsidP="006113C7">
      <w:pPr>
        <w:pStyle w:val="NoSpacing"/>
        <w:numPr>
          <w:ilvl w:val="0"/>
          <w:numId w:val="1"/>
        </w:numPr>
      </w:pPr>
      <w:r w:rsidRPr="00670490">
        <w:rPr>
          <w:u w:val="single"/>
        </w:rPr>
        <w:t>Cost Sharing</w:t>
      </w:r>
      <w:r>
        <w:t xml:space="preserve">. Cost sharing or matching funds are not required to be provided by Recipient. </w:t>
      </w:r>
    </w:p>
    <w:p w14:paraId="2D7E5AD8" w14:textId="77777777" w:rsidR="006113C7" w:rsidRDefault="006113C7" w:rsidP="006113C7">
      <w:pPr>
        <w:pStyle w:val="NoSpacing"/>
        <w:numPr>
          <w:ilvl w:val="0"/>
          <w:numId w:val="1"/>
        </w:numPr>
      </w:pPr>
      <w:r w:rsidRPr="00670490">
        <w:rPr>
          <w:u w:val="single"/>
        </w:rPr>
        <w:t>Conflicts of Interest</w:t>
      </w:r>
      <w:r>
        <w:t>. Recipient understands and agrees it must maintain a conflict of interest policy consistent with 2 C.F.R. § 200.318(c) and that such conflict of interest policy is applicable to each activity funded under this award. Recipient and subrecipients must disclose in writing to the Commonwealth, any potential conflict of interest affecting the awarded funds in accordance with 2 C.F.R. § 200.112.</w:t>
      </w:r>
    </w:p>
    <w:p w14:paraId="636FD28E" w14:textId="77777777" w:rsidR="006113C7" w:rsidRDefault="006113C7" w:rsidP="006113C7">
      <w:pPr>
        <w:pStyle w:val="NoSpacing"/>
        <w:numPr>
          <w:ilvl w:val="0"/>
          <w:numId w:val="1"/>
        </w:numPr>
      </w:pPr>
      <w:r w:rsidRPr="00670490">
        <w:rPr>
          <w:u w:val="single"/>
        </w:rPr>
        <w:t>Compliance with Applicable Law and Regulations</w:t>
      </w:r>
      <w:r>
        <w:t xml:space="preserve">. </w:t>
      </w:r>
    </w:p>
    <w:p w14:paraId="53ED735E" w14:textId="77777777" w:rsidR="006113C7" w:rsidRDefault="006113C7" w:rsidP="006113C7">
      <w:pPr>
        <w:pStyle w:val="NoSpacing"/>
        <w:numPr>
          <w:ilvl w:val="1"/>
          <w:numId w:val="1"/>
        </w:numPr>
      </w:pPr>
      <w:r>
        <w:t xml:space="preserve">Recipient agrees to comply with the requirements of section 602 of the Act, regulations adopted by Treasury pursuant to section 602(f) of the Act, and guidance issued by Treasury regarding the foregoing. Recipient also agrees to comply with </w:t>
      </w:r>
      <w:bookmarkStart w:id="0" w:name="_Hlk73614081"/>
      <w:r>
        <w:t>all other applicable federal statutes, regulations, and executive orders</w:t>
      </w:r>
      <w:bookmarkEnd w:id="0"/>
      <w:r>
        <w:t xml:space="preserve">, and Recipient shall provide for such compliance by other parties in any agreements it enters into with other parties relating to this award. </w:t>
      </w:r>
    </w:p>
    <w:p w14:paraId="576FB88F" w14:textId="77777777" w:rsidR="006113C7" w:rsidRDefault="006113C7" w:rsidP="006113C7">
      <w:pPr>
        <w:pStyle w:val="NoSpacing"/>
        <w:numPr>
          <w:ilvl w:val="1"/>
          <w:numId w:val="1"/>
        </w:numPr>
      </w:pPr>
      <w:r>
        <w:t xml:space="preserve">Federal regulations applicable to this award include, without limitation, the following: </w:t>
      </w:r>
    </w:p>
    <w:p w14:paraId="740836DD" w14:textId="77777777" w:rsidR="006113C7" w:rsidRDefault="006113C7" w:rsidP="006113C7">
      <w:pPr>
        <w:pStyle w:val="NoSpacing"/>
        <w:numPr>
          <w:ilvl w:val="2"/>
          <w:numId w:val="1"/>
        </w:numPr>
      </w:pPr>
      <w:r>
        <w:t xml:space="preserve">Uniform Administrative Requirements, Cost Principles, and Audit Requirements for Federal Awards, 2 C.F.R. Part 200, other than such provisions as Treasury </w:t>
      </w:r>
      <w:r>
        <w:lastRenderedPageBreak/>
        <w:t>may determine are inapplicable to this Award and subject to such exceptions as may be otherwise provided by Treasury. Subpart F – Audit Requirements of the Uniform Guidance, implementing the Single Audit Act, shall apply to this award.</w:t>
      </w:r>
    </w:p>
    <w:p w14:paraId="7A2DB238" w14:textId="77777777" w:rsidR="006113C7" w:rsidRDefault="006113C7" w:rsidP="006113C7">
      <w:pPr>
        <w:pStyle w:val="NoSpacing"/>
        <w:numPr>
          <w:ilvl w:val="2"/>
          <w:numId w:val="1"/>
        </w:numPr>
      </w:pPr>
      <w:r>
        <w:t xml:space="preserve">Universal Identifier and System for Award Management (SAM), 2 C.F.R. Part 25, pursuant to which the award term set forth in Appendix A to 2 C.F.R. Part 25 is hereby incorporated by reference. </w:t>
      </w:r>
    </w:p>
    <w:p w14:paraId="461B0AF3" w14:textId="77777777" w:rsidR="006113C7" w:rsidRDefault="006113C7" w:rsidP="006113C7">
      <w:pPr>
        <w:pStyle w:val="NoSpacing"/>
        <w:numPr>
          <w:ilvl w:val="2"/>
          <w:numId w:val="1"/>
        </w:numPr>
      </w:pPr>
      <w:r>
        <w:t xml:space="preserve">Reporting Subaward and Executive Compensation Information, 2 C.F.R. Part 170, pursuant to which the award term set forth in Appendix A to 2 C.F.R. Part 170 is hereby incorporated by reference. </w:t>
      </w:r>
    </w:p>
    <w:p w14:paraId="167FE8D1" w14:textId="77777777" w:rsidR="006113C7" w:rsidRDefault="006113C7" w:rsidP="006113C7">
      <w:pPr>
        <w:pStyle w:val="NoSpacing"/>
        <w:numPr>
          <w:ilvl w:val="2"/>
          <w:numId w:val="1"/>
        </w:numPr>
      </w:pPr>
      <w:r>
        <w:t xml:space="preserve">OMB Guidelines to Agencies on Governmentwide Debarment and Suspension (Nonprocurement), 2 C.F.R. Part 180, including the requirement to include a term or condition in all lower tier covered transactions (contracts and subcontracts described in 2 C.F.R. Part 180, subpart B) that the award is subject to 2 C.F.R. Part 180 and Treasury’s implementing regulation at 31 C.F.R. Part 19. </w:t>
      </w:r>
    </w:p>
    <w:p w14:paraId="441359EA" w14:textId="77777777" w:rsidR="006113C7" w:rsidRDefault="006113C7" w:rsidP="006113C7">
      <w:pPr>
        <w:pStyle w:val="NoSpacing"/>
        <w:numPr>
          <w:ilvl w:val="2"/>
          <w:numId w:val="1"/>
        </w:numPr>
      </w:pPr>
      <w:r>
        <w:t xml:space="preserve">Recipient Integrity and Performance Matters, pursuant to which the award term set forth in 2 C.F.R. Part 200, Appendix XII to Part 200 is hereby incorporated by reference. </w:t>
      </w:r>
    </w:p>
    <w:p w14:paraId="356D447E" w14:textId="77777777" w:rsidR="006113C7" w:rsidRDefault="006113C7" w:rsidP="006113C7">
      <w:pPr>
        <w:pStyle w:val="NoSpacing"/>
        <w:numPr>
          <w:ilvl w:val="2"/>
          <w:numId w:val="1"/>
        </w:numPr>
      </w:pPr>
      <w:r>
        <w:t>Governmentwide Requirements for Drug-Free Workplace, 31 C.F.R. Part 20.</w:t>
      </w:r>
    </w:p>
    <w:p w14:paraId="3BE9717C" w14:textId="77777777" w:rsidR="006113C7" w:rsidRDefault="006113C7" w:rsidP="006113C7">
      <w:pPr>
        <w:pStyle w:val="NoSpacing"/>
        <w:numPr>
          <w:ilvl w:val="2"/>
          <w:numId w:val="1"/>
        </w:numPr>
      </w:pPr>
      <w:r>
        <w:t xml:space="preserve">New Restrictions on Lobbying, 31 C.F.R. Part 21. </w:t>
      </w:r>
    </w:p>
    <w:p w14:paraId="05B3887A" w14:textId="77777777" w:rsidR="006113C7" w:rsidRDefault="006113C7" w:rsidP="006113C7">
      <w:pPr>
        <w:pStyle w:val="NoSpacing"/>
        <w:numPr>
          <w:ilvl w:val="2"/>
          <w:numId w:val="1"/>
        </w:numPr>
      </w:pPr>
      <w:r>
        <w:t xml:space="preserve">Uniform Relocation Assistance and Real Property Acquisitions Act of 1970 (42 U.S.C. §§ 4601-4655) and implementing regulations. </w:t>
      </w:r>
    </w:p>
    <w:p w14:paraId="53876F69" w14:textId="77777777" w:rsidR="006113C7" w:rsidRDefault="006113C7" w:rsidP="006113C7">
      <w:pPr>
        <w:pStyle w:val="NoSpacing"/>
        <w:numPr>
          <w:ilvl w:val="2"/>
          <w:numId w:val="1"/>
        </w:numPr>
      </w:pPr>
      <w:r>
        <w:t>Generally applicable federal environmental laws and regulations.</w:t>
      </w:r>
    </w:p>
    <w:p w14:paraId="0DC9E6BD" w14:textId="77777777" w:rsidR="006113C7" w:rsidRDefault="006113C7" w:rsidP="006113C7">
      <w:pPr>
        <w:pStyle w:val="NoSpacing"/>
        <w:numPr>
          <w:ilvl w:val="1"/>
          <w:numId w:val="1"/>
        </w:numPr>
      </w:pPr>
      <w:r>
        <w:t xml:space="preserve">Statutes and regulations prohibiting discrimination applicable to this award include, without limitation, the following: </w:t>
      </w:r>
    </w:p>
    <w:p w14:paraId="15A5A11A" w14:textId="77777777" w:rsidR="006113C7" w:rsidRDefault="006113C7" w:rsidP="006113C7">
      <w:pPr>
        <w:pStyle w:val="NoSpacing"/>
        <w:numPr>
          <w:ilvl w:val="2"/>
          <w:numId w:val="1"/>
        </w:numPr>
      </w:pPr>
      <w:r>
        <w:t xml:space="preserve">Title VI of the Civil Rights Act of 1964 (42 U.S.C. §§ 2000d et seq.) and Treasury’s implementing regulations at 31 C.F.R. Part 22, which prohibit discrimination on the basis of race, color, or national origin under programs or activities receiving federal financial assistance; </w:t>
      </w:r>
    </w:p>
    <w:p w14:paraId="0E221E04" w14:textId="77777777" w:rsidR="006113C7" w:rsidRDefault="006113C7" w:rsidP="006113C7">
      <w:pPr>
        <w:pStyle w:val="NoSpacing"/>
        <w:numPr>
          <w:ilvl w:val="2"/>
          <w:numId w:val="1"/>
        </w:numPr>
      </w:pPr>
      <w:r>
        <w:t>The Fair Housing Act, Title VIII of the Civil Rights Act of 1968 (42 U.S.C. §§ 3601 et seq.), which prohibits discrimination in housing on the basis of race, color, religion, national origin, sex, familial status, or disability;</w:t>
      </w:r>
    </w:p>
    <w:p w14:paraId="4DE64270" w14:textId="77777777" w:rsidR="006113C7" w:rsidRDefault="006113C7" w:rsidP="006113C7">
      <w:pPr>
        <w:pStyle w:val="NoSpacing"/>
        <w:numPr>
          <w:ilvl w:val="2"/>
          <w:numId w:val="1"/>
        </w:numPr>
      </w:pPr>
      <w:r>
        <w:t xml:space="preserve">Section 504 of the Rehabilitation Act of 1973, as amended (29 U.S.C. § 794), which prohibits discrimination on the basis of disability under any program or activity receiving federal financial assistance; </w:t>
      </w:r>
    </w:p>
    <w:p w14:paraId="158FAB5E" w14:textId="77777777" w:rsidR="006113C7" w:rsidRDefault="006113C7" w:rsidP="006113C7">
      <w:pPr>
        <w:pStyle w:val="NoSpacing"/>
        <w:numPr>
          <w:ilvl w:val="2"/>
          <w:numId w:val="1"/>
        </w:numPr>
      </w:pPr>
      <w:r>
        <w:t xml:space="preserve">The Age Discrimination Act of 1975, as amended (42 U.S.C. §§ 6101 et seq.), and Treasury’s implementing regulations at 31 C.F.R. Part 23, which prohibit discrimination on the basis of age in programs or activities receiving federal financial assistance; and </w:t>
      </w:r>
    </w:p>
    <w:p w14:paraId="43ADDF1C" w14:textId="77777777" w:rsidR="006113C7" w:rsidRDefault="006113C7" w:rsidP="006113C7">
      <w:pPr>
        <w:pStyle w:val="NoSpacing"/>
        <w:numPr>
          <w:ilvl w:val="2"/>
          <w:numId w:val="1"/>
        </w:numPr>
      </w:pPr>
      <w:r>
        <w:t>Title II of the Americans with Disabilities Act of 1990, as amended (42 U.S.C. §§ 12101 et seq.), which prohibits discrimination on the basis of disability under programs, activities, and services provided or made available by state and local governments or instrumentalities or agencies thereto.</w:t>
      </w:r>
    </w:p>
    <w:p w14:paraId="0055043A" w14:textId="77777777" w:rsidR="006113C7" w:rsidRDefault="006113C7" w:rsidP="006113C7">
      <w:pPr>
        <w:pStyle w:val="NoSpacing"/>
        <w:numPr>
          <w:ilvl w:val="0"/>
          <w:numId w:val="1"/>
        </w:numPr>
      </w:pPr>
      <w:r w:rsidRPr="00670490">
        <w:rPr>
          <w:u w:val="single"/>
        </w:rPr>
        <w:t>Hatch Act</w:t>
      </w:r>
      <w:r>
        <w:t>. Recipient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588FCA62" w14:textId="77777777" w:rsidR="006113C7" w:rsidRDefault="006113C7" w:rsidP="006113C7">
      <w:pPr>
        <w:pStyle w:val="NoSpacing"/>
        <w:numPr>
          <w:ilvl w:val="0"/>
          <w:numId w:val="1"/>
        </w:numPr>
      </w:pPr>
      <w:r w:rsidRPr="00670490">
        <w:rPr>
          <w:u w:val="single"/>
        </w:rPr>
        <w:t>False Statements</w:t>
      </w:r>
      <w:r>
        <w:t xml:space="preserve">. Recipient understands that making false statements or claims in connection with this award is a violation of federal law and may result in criminal, civil, or administrative </w:t>
      </w:r>
      <w:r>
        <w:lastRenderedPageBreak/>
        <w:t xml:space="preserve">sanctions, including fines, imprisonment, civil damages and penalties, debarment from participating in federal awards or contracts, and/or any other remedy available by law. </w:t>
      </w:r>
    </w:p>
    <w:p w14:paraId="1F53FCFA" w14:textId="77777777" w:rsidR="006113C7" w:rsidRDefault="006113C7" w:rsidP="006113C7">
      <w:pPr>
        <w:pStyle w:val="NoSpacing"/>
        <w:numPr>
          <w:ilvl w:val="0"/>
          <w:numId w:val="1"/>
        </w:numPr>
      </w:pPr>
      <w:r w:rsidRPr="00670490">
        <w:rPr>
          <w:u w:val="single"/>
        </w:rPr>
        <w:t>Publications</w:t>
      </w:r>
      <w:r>
        <w:t xml:space="preserve">. Any publications produced with funds from this award must display the following language: “This project [is being] [was] supported, in whole or in part, by federal award number </w:t>
      </w:r>
      <w:hyperlink r:id="rId8" w:history="1">
        <w:r>
          <w:rPr>
            <w:rStyle w:val="Hyperlink"/>
          </w:rPr>
          <w:t>SLFRP2618</w:t>
        </w:r>
      </w:hyperlink>
      <w:r>
        <w:t xml:space="preserve"> awarded to the Commonwealth of Massachusetts by the U.S. Department of the Treasury.</w:t>
      </w:r>
    </w:p>
    <w:p w14:paraId="741CCFD8" w14:textId="77777777" w:rsidR="006113C7" w:rsidRDefault="006113C7" w:rsidP="006113C7">
      <w:pPr>
        <w:pStyle w:val="NoSpacing"/>
        <w:numPr>
          <w:ilvl w:val="0"/>
          <w:numId w:val="1"/>
        </w:numPr>
      </w:pPr>
      <w:r w:rsidRPr="00670490">
        <w:rPr>
          <w:u w:val="single"/>
        </w:rPr>
        <w:t>Debts Owed the Federal Government</w:t>
      </w:r>
      <w:r>
        <w:t xml:space="preserve">. </w:t>
      </w:r>
    </w:p>
    <w:p w14:paraId="105E872F" w14:textId="77777777" w:rsidR="006113C7" w:rsidRDefault="006113C7" w:rsidP="006113C7">
      <w:pPr>
        <w:pStyle w:val="NoSpacing"/>
        <w:numPr>
          <w:ilvl w:val="1"/>
          <w:numId w:val="1"/>
        </w:numPr>
      </w:pPr>
      <w:r>
        <w:t xml:space="preserve">Any funds paid to Recipient (1) that are determined by the Treasury Office of Inspector General to have been misused; or (2) that are determined by Treasury to be subject to a repayment obligation pursuant to sections 602(e) and 603(b)(2)(D) of the Act and have not been repaid by Recipient shall constitute a debt to the federal government. </w:t>
      </w:r>
    </w:p>
    <w:p w14:paraId="1574D757" w14:textId="77777777" w:rsidR="006113C7" w:rsidRDefault="006113C7" w:rsidP="006113C7">
      <w:pPr>
        <w:pStyle w:val="NoSpacing"/>
        <w:numPr>
          <w:ilvl w:val="1"/>
          <w:numId w:val="1"/>
        </w:numPr>
      </w:pPr>
      <w:r>
        <w:t xml:space="preserve">Any debts determined to be owed the federal government must be paid promptly by Recipient. A debt is delinquent if it has not been paid by the date specified in Treasury’s initial written demand for payment, unless other satisfactory arrangements have been made or if the Recipient knowingly or improperly retains funds that are a debt as defined in paragraph 14(a). Treasury will take any actions available to it to collect such a debt. </w:t>
      </w:r>
    </w:p>
    <w:p w14:paraId="3E75E019" w14:textId="77777777" w:rsidR="006113C7" w:rsidRDefault="006113C7" w:rsidP="006113C7">
      <w:pPr>
        <w:pStyle w:val="NoSpacing"/>
        <w:numPr>
          <w:ilvl w:val="0"/>
          <w:numId w:val="1"/>
        </w:numPr>
      </w:pPr>
      <w:r w:rsidRPr="00670490">
        <w:rPr>
          <w:u w:val="single"/>
        </w:rPr>
        <w:t>Protections for Whistleblowers</w:t>
      </w:r>
      <w:r>
        <w:t xml:space="preserve">. </w:t>
      </w:r>
    </w:p>
    <w:p w14:paraId="4B230176" w14:textId="77777777" w:rsidR="006113C7" w:rsidRDefault="006113C7" w:rsidP="006113C7">
      <w:pPr>
        <w:pStyle w:val="NoSpacing"/>
        <w:numPr>
          <w:ilvl w:val="1"/>
          <w:numId w:val="1"/>
        </w:numPr>
      </w:pPr>
      <w:r>
        <w:t xml:space="preserve">In accordance with 41 U.S.C. § 4712, Recipient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p>
    <w:p w14:paraId="18FBF8AA" w14:textId="77777777" w:rsidR="006113C7" w:rsidRDefault="006113C7" w:rsidP="006113C7">
      <w:pPr>
        <w:pStyle w:val="NoSpacing"/>
        <w:numPr>
          <w:ilvl w:val="1"/>
          <w:numId w:val="1"/>
        </w:numPr>
      </w:pPr>
      <w:r>
        <w:t xml:space="preserve">The list of persons and entities referenced in the paragraph above includes the following: </w:t>
      </w:r>
    </w:p>
    <w:p w14:paraId="157F61B6" w14:textId="77777777" w:rsidR="006113C7" w:rsidRDefault="006113C7" w:rsidP="006113C7">
      <w:pPr>
        <w:pStyle w:val="NoSpacing"/>
        <w:numPr>
          <w:ilvl w:val="2"/>
          <w:numId w:val="1"/>
        </w:numPr>
      </w:pPr>
      <w:r>
        <w:t xml:space="preserve">A member of Congress or a representative of a committee of Congress; </w:t>
      </w:r>
    </w:p>
    <w:p w14:paraId="52D42F53" w14:textId="77777777" w:rsidR="006113C7" w:rsidRDefault="006113C7" w:rsidP="006113C7">
      <w:pPr>
        <w:pStyle w:val="NoSpacing"/>
        <w:numPr>
          <w:ilvl w:val="2"/>
          <w:numId w:val="1"/>
        </w:numPr>
      </w:pPr>
      <w:r>
        <w:t xml:space="preserve">An Inspector General; </w:t>
      </w:r>
    </w:p>
    <w:p w14:paraId="31286370" w14:textId="77777777" w:rsidR="006113C7" w:rsidRDefault="006113C7" w:rsidP="006113C7">
      <w:pPr>
        <w:pStyle w:val="NoSpacing"/>
        <w:numPr>
          <w:ilvl w:val="2"/>
          <w:numId w:val="1"/>
        </w:numPr>
      </w:pPr>
      <w:r>
        <w:t xml:space="preserve">The Government Accountability Office; </w:t>
      </w:r>
    </w:p>
    <w:p w14:paraId="757B82D2" w14:textId="77777777" w:rsidR="006113C7" w:rsidRDefault="006113C7" w:rsidP="006113C7">
      <w:pPr>
        <w:pStyle w:val="NoSpacing"/>
        <w:numPr>
          <w:ilvl w:val="2"/>
          <w:numId w:val="1"/>
        </w:numPr>
      </w:pPr>
      <w:r>
        <w:t>A Treasury employee responsible for contract or grant oversight or management;</w:t>
      </w:r>
    </w:p>
    <w:p w14:paraId="1E56A8E7" w14:textId="77777777" w:rsidR="006113C7" w:rsidRDefault="006113C7" w:rsidP="006113C7">
      <w:pPr>
        <w:pStyle w:val="NoSpacing"/>
        <w:numPr>
          <w:ilvl w:val="2"/>
          <w:numId w:val="1"/>
        </w:numPr>
      </w:pPr>
      <w:r>
        <w:t xml:space="preserve">An authorized official of the Department of Justice or other law enforcement agency; </w:t>
      </w:r>
    </w:p>
    <w:p w14:paraId="7D9A6E12" w14:textId="77777777" w:rsidR="006113C7" w:rsidRDefault="006113C7" w:rsidP="006113C7">
      <w:pPr>
        <w:pStyle w:val="NoSpacing"/>
        <w:numPr>
          <w:ilvl w:val="2"/>
          <w:numId w:val="1"/>
        </w:numPr>
      </w:pPr>
      <w:r>
        <w:t xml:space="preserve">A court or grand jury; or </w:t>
      </w:r>
    </w:p>
    <w:p w14:paraId="287DA5AC" w14:textId="77777777" w:rsidR="006113C7" w:rsidRDefault="006113C7" w:rsidP="006113C7">
      <w:pPr>
        <w:pStyle w:val="NoSpacing"/>
        <w:numPr>
          <w:ilvl w:val="2"/>
          <w:numId w:val="1"/>
        </w:numPr>
      </w:pPr>
      <w:r>
        <w:t xml:space="preserve">A management official or other employee of Recipient, contractor, or subcontractor who has the responsibility to investigate, discover, or address misconduct. </w:t>
      </w:r>
    </w:p>
    <w:p w14:paraId="77497825" w14:textId="77777777" w:rsidR="006113C7" w:rsidRDefault="006113C7" w:rsidP="006113C7">
      <w:pPr>
        <w:pStyle w:val="NoSpacing"/>
        <w:numPr>
          <w:ilvl w:val="1"/>
          <w:numId w:val="1"/>
        </w:numPr>
      </w:pPr>
      <w:r>
        <w:t>Recipient shall inform its employees in writing of the rights and remedies provided under this section, in the predominant native language of the workforce.</w:t>
      </w:r>
    </w:p>
    <w:p w14:paraId="58931A47" w14:textId="77777777" w:rsidR="006113C7" w:rsidRDefault="006113C7" w:rsidP="006113C7">
      <w:pPr>
        <w:pStyle w:val="NoSpacing"/>
        <w:numPr>
          <w:ilvl w:val="0"/>
          <w:numId w:val="1"/>
        </w:numPr>
      </w:pPr>
      <w:r w:rsidRPr="00670490">
        <w:rPr>
          <w:u w:val="single"/>
        </w:rPr>
        <w:t>Increasing Seat Belt Use in the United States</w:t>
      </w:r>
      <w:r>
        <w:t xml:space="preserve">. Pursuant to Executive Order 13043, 62 FR 19217 (Apr. 18, 1997), Recipient should encourage its contractors to adopt and enforce on-the-job seat belt policies and programs for their employees when operating company-owned, rented or personally owned vehicles. </w:t>
      </w:r>
    </w:p>
    <w:p w14:paraId="1E63F2EE" w14:textId="77777777" w:rsidR="006113C7" w:rsidRPr="001B1363" w:rsidRDefault="006113C7" w:rsidP="006113C7">
      <w:pPr>
        <w:pStyle w:val="NoSpacing"/>
        <w:numPr>
          <w:ilvl w:val="0"/>
          <w:numId w:val="1"/>
        </w:numPr>
      </w:pPr>
      <w:r w:rsidRPr="00670490">
        <w:rPr>
          <w:u w:val="single"/>
        </w:rPr>
        <w:t>Reducing Text Messaging While Driving</w:t>
      </w:r>
      <w:r>
        <w:t>. Pursuant to Executive Order 13513, 74 FR 51225 (Oct. 6, 2009), Recipient should encourage its employees, subrecipients, and contractors to adopt and enforce policies that ban text messaging while driving, and Recipient should establish workplace safety policies to decrease accidents caused by distracted drivers.</w:t>
      </w:r>
    </w:p>
    <w:p w14:paraId="7B6B65D4" w14:textId="77777777" w:rsidR="006113C7" w:rsidRPr="00F90504" w:rsidRDefault="006113C7" w:rsidP="006113C7">
      <w:pPr>
        <w:ind w:firstLine="720"/>
        <w:rPr>
          <w:rFonts w:ascii="Calibri" w:hAnsi="Calibri" w:cs="Calibri"/>
          <w:color w:val="000000"/>
          <w:sz w:val="22"/>
          <w:szCs w:val="22"/>
        </w:rPr>
      </w:pPr>
    </w:p>
    <w:p w14:paraId="1232ACFA" w14:textId="77777777" w:rsidR="004173F4" w:rsidRDefault="004173F4"/>
    <w:sectPr w:rsidR="00417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C70DF"/>
    <w:multiLevelType w:val="hybridMultilevel"/>
    <w:tmpl w:val="1BC46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C7"/>
    <w:rsid w:val="004173F4"/>
    <w:rsid w:val="006113C7"/>
    <w:rsid w:val="00712A45"/>
    <w:rsid w:val="00F1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1459"/>
  <w15:chartTrackingRefBased/>
  <w15:docId w15:val="{F688F67F-DAD5-4E42-9FA1-18D4EA3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3C7"/>
    <w:rPr>
      <w:rFonts w:ascii="Times New Roman" w:hAnsi="Times New Roman"/>
      <w:color w:val="0000FF"/>
      <w:sz w:val="20"/>
      <w:u w:val="single"/>
    </w:rPr>
  </w:style>
  <w:style w:type="paragraph" w:styleId="NoSpacing">
    <w:name w:val="No Spacing"/>
    <w:uiPriority w:val="1"/>
    <w:qFormat/>
    <w:rsid w:val="006113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spending.gov/award/ASST_NON_SLFRP2618_200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6A570-56C6-4845-92F8-4CADDD486E6C}">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629DB7E7-CBA0-4018-A819-8F2B4BC1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297EB-50C9-4530-ACE5-D5FD21080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FY2023 FC209 HVAC ADD INFOR Terms and Conditions</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FC209 IVAQ ADD INFOR Terms and Conditions</dc:title>
  <dc:subject/>
  <dc:creator>DESE</dc:creator>
  <cp:keywords/>
  <dc:description/>
  <cp:lastModifiedBy>Zou, Dong (EOE)</cp:lastModifiedBy>
  <cp:revision>3</cp:revision>
  <dcterms:created xsi:type="dcterms:W3CDTF">2022-09-13T14:46:00Z</dcterms:created>
  <dcterms:modified xsi:type="dcterms:W3CDTF">2022-09-13T18:22:00Z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2022</vt:lpwstr>
  </property>
</Properties>
</file>