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4ED9BA2E" w:rsidR="003853D6" w:rsidRDefault="217AF7AA" w:rsidP="2661CEB3">
      <w:r>
        <w:rPr>
          <w:noProof/>
        </w:rPr>
        <w:drawing>
          <wp:inline distT="0" distB="0" distL="0" distR="0" wp14:anchorId="3A0F1D85" wp14:editId="353C89F2">
            <wp:extent cx="2263367" cy="476250"/>
            <wp:effectExtent l="0" t="0" r="0" b="0"/>
            <wp:docPr id="1956964594" name="Picture 1956964594"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367" cy="476250"/>
                    </a:xfrm>
                    <a:prstGeom prst="rect">
                      <a:avLst/>
                    </a:prstGeom>
                  </pic:spPr>
                </pic:pic>
              </a:graphicData>
            </a:graphic>
          </wp:inline>
        </w:drawing>
      </w:r>
    </w:p>
    <w:p w14:paraId="6F3CDE4F" w14:textId="59206002" w:rsidR="2661CEB3" w:rsidRDefault="2661CEB3" w:rsidP="2661CEB3"/>
    <w:p w14:paraId="69F00FE6" w14:textId="0469A302" w:rsidR="1A1226B2" w:rsidRDefault="1A1226B2" w:rsidP="2661CEB3">
      <w:pPr>
        <w:jc w:val="center"/>
      </w:pPr>
      <w:r w:rsidRPr="2661CEB3">
        <w:rPr>
          <w:b/>
          <w:bCs/>
          <w:sz w:val="28"/>
          <w:szCs w:val="28"/>
        </w:rPr>
        <w:t>FC215 Genocide Education Grant: Questions and Answers</w:t>
      </w:r>
    </w:p>
    <w:p w14:paraId="7F99E6AC" w14:textId="4841CF9F" w:rsidR="1A1226B2" w:rsidRDefault="1A1226B2" w:rsidP="2661CEB3">
      <w:pPr>
        <w:jc w:val="center"/>
        <w:rPr>
          <w:i/>
          <w:iCs/>
          <w:sz w:val="24"/>
          <w:szCs w:val="24"/>
        </w:rPr>
      </w:pPr>
      <w:r w:rsidRPr="2661CEB3">
        <w:rPr>
          <w:i/>
          <w:iCs/>
          <w:sz w:val="24"/>
          <w:szCs w:val="24"/>
        </w:rPr>
        <w:t>Updated November 17, 2022</w:t>
      </w:r>
    </w:p>
    <w:p w14:paraId="6E41A490" w14:textId="71F0E95C" w:rsidR="2661CEB3" w:rsidRDefault="2661CEB3" w:rsidP="2661CEB3">
      <w:pPr>
        <w:jc w:val="center"/>
        <w:rPr>
          <w:i/>
          <w:iCs/>
          <w:sz w:val="24"/>
          <w:szCs w:val="24"/>
        </w:rPr>
      </w:pPr>
    </w:p>
    <w:p w14:paraId="0273E6D9" w14:textId="3AE91607" w:rsidR="56689634" w:rsidRDefault="56689634" w:rsidP="2661CEB3">
      <w:pPr>
        <w:pStyle w:val="ListParagraph"/>
        <w:numPr>
          <w:ilvl w:val="0"/>
          <w:numId w:val="1"/>
        </w:numPr>
        <w:rPr>
          <w:rFonts w:eastAsiaTheme="minorEastAsia"/>
        </w:rPr>
      </w:pPr>
      <w:r w:rsidRPr="2661CEB3">
        <w:t xml:space="preserve">If applying for both FY23 and FY24, </w:t>
      </w:r>
      <w:r w:rsidR="74A044E0" w:rsidRPr="2661CEB3">
        <w:t>is</w:t>
      </w:r>
      <w:r w:rsidRPr="2661CEB3">
        <w:t xml:space="preserve"> the maximum award amount spread across both fiscal years?</w:t>
      </w:r>
    </w:p>
    <w:p w14:paraId="5BB5F0DE" w14:textId="14576F60" w:rsidR="56689634" w:rsidRDefault="56689634" w:rsidP="2661CEB3">
      <w:pPr>
        <w:ind w:left="720"/>
      </w:pPr>
      <w:r w:rsidRPr="2661CEB3">
        <w:rPr>
          <w:b/>
          <w:bCs/>
        </w:rPr>
        <w:t xml:space="preserve">A: </w:t>
      </w:r>
      <w:r w:rsidRPr="2661CEB3">
        <w:t xml:space="preserve">Yes. For example, if your LEA is applying for $60,000, that amount would be spread across both FY23 and FY24. The LEA would </w:t>
      </w:r>
      <w:r w:rsidRPr="2661CEB3">
        <w:rPr>
          <w:i/>
          <w:iCs/>
        </w:rPr>
        <w:t>not</w:t>
      </w:r>
      <w:r w:rsidRPr="2661CEB3">
        <w:t xml:space="preserve"> receive an additional $60,000 in the second fiscal year.</w:t>
      </w:r>
    </w:p>
    <w:p w14:paraId="54D807CF" w14:textId="46D9A3E9" w:rsidR="2661CEB3" w:rsidRDefault="2661CEB3" w:rsidP="2661CEB3">
      <w:pPr>
        <w:jc w:val="center"/>
        <w:rPr>
          <w:i/>
          <w:iCs/>
        </w:rPr>
      </w:pPr>
    </w:p>
    <w:p w14:paraId="6F774D57" w14:textId="7A814F23" w:rsidR="1A1226B2" w:rsidRDefault="1A1226B2" w:rsidP="2661CEB3">
      <w:pPr>
        <w:pStyle w:val="ListParagraph"/>
        <w:numPr>
          <w:ilvl w:val="0"/>
          <w:numId w:val="1"/>
        </w:numPr>
        <w:rPr>
          <w:rFonts w:eastAsiaTheme="minorEastAsia"/>
        </w:rPr>
      </w:pPr>
      <w:r w:rsidRPr="2661CEB3">
        <w:t>Can LEAs apply for the grant for FY24 without applying for FY23?</w:t>
      </w:r>
    </w:p>
    <w:p w14:paraId="300C7351" w14:textId="64D5E6B6" w:rsidR="1A1226B2" w:rsidRDefault="1A1226B2" w:rsidP="2661CEB3">
      <w:pPr>
        <w:ind w:left="720"/>
      </w:pPr>
      <w:r w:rsidRPr="2661CEB3">
        <w:rPr>
          <w:b/>
          <w:bCs/>
        </w:rPr>
        <w:t xml:space="preserve">A: </w:t>
      </w:r>
      <w:r w:rsidRPr="2661CEB3">
        <w:t xml:space="preserve">No. For this grant cycle, LEAs may apply for funds for </w:t>
      </w:r>
      <w:r w:rsidRPr="2661CEB3">
        <w:rPr>
          <w:b/>
          <w:bCs/>
        </w:rPr>
        <w:t xml:space="preserve">FY23 only </w:t>
      </w:r>
      <w:r w:rsidRPr="2661CEB3">
        <w:t xml:space="preserve">or may </w:t>
      </w:r>
      <w:r w:rsidRPr="2661CEB3">
        <w:rPr>
          <w:b/>
          <w:bCs/>
        </w:rPr>
        <w:t>spread their funds across FY23 and FY24.</w:t>
      </w:r>
      <w:r w:rsidRPr="2661CEB3">
        <w:t xml:space="preserve"> The intention of this option is to allow districts more time to use the </w:t>
      </w:r>
      <w:r w:rsidR="4351453C" w:rsidRPr="2661CEB3">
        <w:t xml:space="preserve">FY23 </w:t>
      </w:r>
      <w:r w:rsidRPr="2661CEB3">
        <w:t>funds, given</w:t>
      </w:r>
      <w:r w:rsidR="7047CD49" w:rsidRPr="2661CEB3">
        <w:t xml:space="preserve"> that the application deadline is already well into the 2022-23 school year.</w:t>
      </w:r>
    </w:p>
    <w:p w14:paraId="6CA1DE16" w14:textId="37F2FC23" w:rsidR="2661CEB3" w:rsidRDefault="2661CEB3" w:rsidP="2661CEB3"/>
    <w:p w14:paraId="6F7197FA" w14:textId="5217F701" w:rsidR="44566204" w:rsidRDefault="44566204" w:rsidP="2661CEB3">
      <w:pPr>
        <w:pStyle w:val="ListParagraph"/>
        <w:numPr>
          <w:ilvl w:val="0"/>
          <w:numId w:val="1"/>
        </w:numPr>
        <w:rPr>
          <w:rFonts w:eastAsiaTheme="minorEastAsia"/>
        </w:rPr>
      </w:pPr>
      <w:r w:rsidRPr="2661CEB3">
        <w:t>If applying for FY23 and FY24, do the Part I signature pages constitute separate grants or one multi-year grant?</w:t>
      </w:r>
    </w:p>
    <w:p w14:paraId="34057338" w14:textId="0CB7894E" w:rsidR="44566204" w:rsidRDefault="44566204" w:rsidP="2661CEB3">
      <w:pPr>
        <w:ind w:left="720"/>
      </w:pPr>
      <w:r w:rsidRPr="2661CEB3">
        <w:rPr>
          <w:b/>
          <w:bCs/>
        </w:rPr>
        <w:t>A:</w:t>
      </w:r>
      <w:r w:rsidRPr="2661CEB3">
        <w:t xml:space="preserve"> They constitute separate grants. In Part II (Budget), please indicate in the FY23 and FY24 tabs the amount of funds that you intend to use in each fiscal year.</w:t>
      </w:r>
    </w:p>
    <w:p w14:paraId="7193AD8E" w14:textId="26F10BFD" w:rsidR="2661CEB3" w:rsidRDefault="2661CEB3" w:rsidP="2661CEB3"/>
    <w:p w14:paraId="0EDAAB7A" w14:textId="3B4EA61A" w:rsidR="14A5BB78" w:rsidRDefault="14A5BB78" w:rsidP="2661CEB3">
      <w:pPr>
        <w:pStyle w:val="ListParagraph"/>
        <w:numPr>
          <w:ilvl w:val="0"/>
          <w:numId w:val="1"/>
        </w:numPr>
        <w:rPr>
          <w:rFonts w:eastAsiaTheme="minorEastAsia"/>
        </w:rPr>
      </w:pPr>
      <w:r w:rsidRPr="2661CEB3">
        <w:t>Can LEAs apply as a group and consolidate their funding?</w:t>
      </w:r>
    </w:p>
    <w:p w14:paraId="0D9FBDB4" w14:textId="3996BFF2" w:rsidR="14A5BB78" w:rsidRDefault="14A5BB78" w:rsidP="2661CEB3">
      <w:pPr>
        <w:ind w:left="720"/>
      </w:pPr>
      <w:r w:rsidRPr="2661CEB3">
        <w:rPr>
          <w:b/>
          <w:bCs/>
        </w:rPr>
        <w:t xml:space="preserve">A: </w:t>
      </w:r>
      <w:r w:rsidRPr="2661CEB3">
        <w:t>Yes. If you are applying as a group, please indicate the LEAs that are included in the “LEA Name” field of the Part III form. In this case, the maximum award amount is determined based on the total number of students across all LEAs.</w:t>
      </w:r>
    </w:p>
    <w:p w14:paraId="2DF64F80" w14:textId="0D6D93A0" w:rsidR="2661CEB3" w:rsidRDefault="2661CEB3" w:rsidP="2661CEB3">
      <w:pPr>
        <w:ind w:left="720"/>
      </w:pPr>
    </w:p>
    <w:p w14:paraId="47163EDB" w14:textId="751A096E" w:rsidR="14A5BB78" w:rsidRDefault="14A5BB78" w:rsidP="2661CEB3">
      <w:pPr>
        <w:pStyle w:val="ListParagraph"/>
        <w:numPr>
          <w:ilvl w:val="0"/>
          <w:numId w:val="1"/>
        </w:numPr>
        <w:rPr>
          <w:rFonts w:eastAsiaTheme="minorEastAsia"/>
        </w:rPr>
      </w:pPr>
      <w:r w:rsidRPr="2661CEB3">
        <w:t>Are funds for substitute teachers allowable?</w:t>
      </w:r>
    </w:p>
    <w:p w14:paraId="461CCC44" w14:textId="1C0AA157" w:rsidR="14A5BB78" w:rsidRDefault="14A5BB78" w:rsidP="2661CEB3">
      <w:pPr>
        <w:ind w:left="720"/>
      </w:pPr>
      <w:r w:rsidRPr="2661CEB3">
        <w:rPr>
          <w:b/>
          <w:bCs/>
        </w:rPr>
        <w:t xml:space="preserve">A: </w:t>
      </w:r>
      <w:r w:rsidRPr="2661CEB3">
        <w:t xml:space="preserve">Yes. LEAs may budget for substitute teachers so that staff </w:t>
      </w:r>
      <w:r w:rsidR="0CBD7834" w:rsidRPr="2661CEB3">
        <w:t>can</w:t>
      </w:r>
      <w:r w:rsidRPr="2661CEB3">
        <w:t xml:space="preserve"> participate in PD, curriculum writing, or other grant activities.</w:t>
      </w:r>
    </w:p>
    <w:p w14:paraId="4D50DA76" w14:textId="05B446FF" w:rsidR="2661CEB3" w:rsidRDefault="2661CEB3" w:rsidP="2661CEB3"/>
    <w:p w14:paraId="509926AB" w14:textId="5D51A0D7" w:rsidR="61BE960E" w:rsidRDefault="61BE960E" w:rsidP="2661CEB3">
      <w:pPr>
        <w:pStyle w:val="ListParagraph"/>
        <w:numPr>
          <w:ilvl w:val="0"/>
          <w:numId w:val="1"/>
        </w:numPr>
        <w:rPr>
          <w:rFonts w:eastAsiaTheme="minorEastAsia"/>
        </w:rPr>
      </w:pPr>
      <w:r w:rsidRPr="2661CEB3">
        <w:t>Are the funds disbursed through the grant state funds?</w:t>
      </w:r>
    </w:p>
    <w:p w14:paraId="5A7D66BC" w14:textId="3E874C1B" w:rsidR="61BE960E" w:rsidRDefault="61BE960E" w:rsidP="2661CEB3">
      <w:pPr>
        <w:ind w:left="720"/>
      </w:pPr>
      <w:r w:rsidRPr="2661CEB3">
        <w:rPr>
          <w:b/>
          <w:bCs/>
        </w:rPr>
        <w:t xml:space="preserve">A: </w:t>
      </w:r>
      <w:r w:rsidRPr="2661CEB3">
        <w:t>Yes, they are state funds.</w:t>
      </w:r>
    </w:p>
    <w:p w14:paraId="4BD26C0D" w14:textId="0944513E" w:rsidR="2661CEB3" w:rsidRDefault="2661CEB3" w:rsidP="2661CEB3"/>
    <w:p w14:paraId="450CEBEC" w14:textId="462F2CE8" w:rsidR="1DAD45A3" w:rsidRDefault="1DAD45A3" w:rsidP="2661CEB3">
      <w:pPr>
        <w:pStyle w:val="ListParagraph"/>
        <w:numPr>
          <w:ilvl w:val="0"/>
          <w:numId w:val="1"/>
        </w:numPr>
        <w:rPr>
          <w:rFonts w:eastAsiaTheme="minorEastAsia"/>
        </w:rPr>
      </w:pPr>
      <w:r w:rsidRPr="2661CEB3">
        <w:t>I</w:t>
      </w:r>
      <w:r w:rsidR="61BE960E" w:rsidRPr="2661CEB3">
        <w:t>s there a preferred format for the vendor scope of work?</w:t>
      </w:r>
    </w:p>
    <w:p w14:paraId="783F63B3" w14:textId="4F23C8D5" w:rsidR="61BE960E" w:rsidRDefault="61BE960E" w:rsidP="2661CEB3">
      <w:pPr>
        <w:ind w:left="720"/>
      </w:pPr>
      <w:r w:rsidRPr="2661CEB3">
        <w:rPr>
          <w:b/>
          <w:bCs/>
        </w:rPr>
        <w:t xml:space="preserve">A: </w:t>
      </w:r>
      <w:r w:rsidRPr="2661CEB3">
        <w:t>There is no preferred format. Please submit in whatever format is most convenient.</w:t>
      </w:r>
    </w:p>
    <w:sectPr w:rsidR="61BE96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8EDF6"/>
    <w:multiLevelType w:val="hybridMultilevel"/>
    <w:tmpl w:val="65B8BF76"/>
    <w:lvl w:ilvl="0" w:tplc="847AC672">
      <w:start w:val="1"/>
      <w:numFmt w:val="decimal"/>
      <w:lvlText w:val="%1."/>
      <w:lvlJc w:val="left"/>
      <w:pPr>
        <w:ind w:left="720" w:hanging="360"/>
      </w:pPr>
    </w:lvl>
    <w:lvl w:ilvl="1" w:tplc="9A7AB1C8">
      <w:start w:val="1"/>
      <w:numFmt w:val="lowerLetter"/>
      <w:lvlText w:val="%2."/>
      <w:lvlJc w:val="left"/>
      <w:pPr>
        <w:ind w:left="1440" w:hanging="360"/>
      </w:pPr>
    </w:lvl>
    <w:lvl w:ilvl="2" w:tplc="C3D696DE">
      <w:start w:val="1"/>
      <w:numFmt w:val="lowerRoman"/>
      <w:lvlText w:val="%3."/>
      <w:lvlJc w:val="right"/>
      <w:pPr>
        <w:ind w:left="2160" w:hanging="180"/>
      </w:pPr>
    </w:lvl>
    <w:lvl w:ilvl="3" w:tplc="32AC6750">
      <w:start w:val="1"/>
      <w:numFmt w:val="decimal"/>
      <w:lvlText w:val="%4."/>
      <w:lvlJc w:val="left"/>
      <w:pPr>
        <w:ind w:left="2880" w:hanging="360"/>
      </w:pPr>
    </w:lvl>
    <w:lvl w:ilvl="4" w:tplc="FE3E2CAE">
      <w:start w:val="1"/>
      <w:numFmt w:val="lowerLetter"/>
      <w:lvlText w:val="%5."/>
      <w:lvlJc w:val="left"/>
      <w:pPr>
        <w:ind w:left="3600" w:hanging="360"/>
      </w:pPr>
    </w:lvl>
    <w:lvl w:ilvl="5" w:tplc="64208EBC">
      <w:start w:val="1"/>
      <w:numFmt w:val="lowerRoman"/>
      <w:lvlText w:val="%6."/>
      <w:lvlJc w:val="right"/>
      <w:pPr>
        <w:ind w:left="4320" w:hanging="180"/>
      </w:pPr>
    </w:lvl>
    <w:lvl w:ilvl="6" w:tplc="457C226A">
      <w:start w:val="1"/>
      <w:numFmt w:val="decimal"/>
      <w:lvlText w:val="%7."/>
      <w:lvlJc w:val="left"/>
      <w:pPr>
        <w:ind w:left="5040" w:hanging="360"/>
      </w:pPr>
    </w:lvl>
    <w:lvl w:ilvl="7" w:tplc="90405486">
      <w:start w:val="1"/>
      <w:numFmt w:val="lowerLetter"/>
      <w:lvlText w:val="%8."/>
      <w:lvlJc w:val="left"/>
      <w:pPr>
        <w:ind w:left="5760" w:hanging="360"/>
      </w:pPr>
    </w:lvl>
    <w:lvl w:ilvl="8" w:tplc="F0F442B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993382"/>
    <w:rsid w:val="00066A7F"/>
    <w:rsid w:val="003853D6"/>
    <w:rsid w:val="006C33B2"/>
    <w:rsid w:val="00B753BE"/>
    <w:rsid w:val="00FC7A41"/>
    <w:rsid w:val="01DB2DAA"/>
    <w:rsid w:val="04CF066D"/>
    <w:rsid w:val="0CBD7834"/>
    <w:rsid w:val="0E75E8B3"/>
    <w:rsid w:val="0F2EFF22"/>
    <w:rsid w:val="14A5BB78"/>
    <w:rsid w:val="1A1226B2"/>
    <w:rsid w:val="1C2F0651"/>
    <w:rsid w:val="1DAD45A3"/>
    <w:rsid w:val="217AF7AA"/>
    <w:rsid w:val="2661CEB3"/>
    <w:rsid w:val="2AB14740"/>
    <w:rsid w:val="392B9AA9"/>
    <w:rsid w:val="3F9ADC2D"/>
    <w:rsid w:val="4351453C"/>
    <w:rsid w:val="44566204"/>
    <w:rsid w:val="4540FA60"/>
    <w:rsid w:val="4941BE73"/>
    <w:rsid w:val="4AF17CB4"/>
    <w:rsid w:val="4B9F010D"/>
    <w:rsid w:val="56689634"/>
    <w:rsid w:val="56FADC11"/>
    <w:rsid w:val="57257BB3"/>
    <w:rsid w:val="587D8415"/>
    <w:rsid w:val="5A195476"/>
    <w:rsid w:val="5BB524D7"/>
    <w:rsid w:val="5EECC599"/>
    <w:rsid w:val="61BE960E"/>
    <w:rsid w:val="689B9565"/>
    <w:rsid w:val="69A0932F"/>
    <w:rsid w:val="69FFEB08"/>
    <w:rsid w:val="6A2F7840"/>
    <w:rsid w:val="6B3C6390"/>
    <w:rsid w:val="7047CD49"/>
    <w:rsid w:val="74A044E0"/>
    <w:rsid w:val="799D8E9C"/>
    <w:rsid w:val="7A993382"/>
    <w:rsid w:val="7FFB9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3382"/>
  <w15:chartTrackingRefBased/>
  <w15:docId w15:val="{815993CB-A2A4-4CEE-88AD-265FFF64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aa5a66e3ac25c08c87a20fafa2674397">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ae1616cc02d7567d755f508a005fe327"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F569F-BEFE-423B-AB61-4777A55C5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A8674-54A5-4C37-96D2-2574119F471A}">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05046645-9A34-4CF0-B717-9D6AE339B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FY2023 FC215 Genocide Education Grant: Questions and Answers</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FC215 Genocide Education Grant: Questions and Answers</dc:title>
  <dc:subject/>
  <dc:creator>DESE</dc:creator>
  <cp:keywords/>
  <dc:description/>
  <cp:lastModifiedBy>Zou, Dong (EOE)</cp:lastModifiedBy>
  <cp:revision>5</cp:revision>
  <dcterms:created xsi:type="dcterms:W3CDTF">2022-11-17T18:01:00Z</dcterms:created>
  <dcterms:modified xsi:type="dcterms:W3CDTF">2022-11-18T23:30:00Z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2022 12:00AM</vt:lpwstr>
  </property>
</Properties>
</file>