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7365"/>
        <w:gridCol w:w="1965"/>
      </w:tblGrid>
      <w:tr w:rsidR="0B98DC2C" w14:paraId="2B0E2C22" w14:textId="77777777" w:rsidTr="0B98DC2C">
        <w:tc>
          <w:tcPr>
            <w:tcW w:w="7365" w:type="dxa"/>
            <w:tcBorders>
              <w:top w:val="double" w:sz="6" w:space="0" w:color="auto"/>
              <w:left w:val="double" w:sz="6" w:space="0" w:color="auto"/>
              <w:bottom w:val="double" w:sz="6" w:space="0" w:color="auto"/>
              <w:right w:val="nil"/>
            </w:tcBorders>
          </w:tcPr>
          <w:p w14:paraId="4CB377B4" w14:textId="29968575" w:rsidR="0B98DC2C" w:rsidRDefault="0B98DC2C" w:rsidP="00EA6659">
            <w:pPr>
              <w:spacing w:after="0"/>
              <w:jc w:val="both"/>
              <w:rPr>
                <w:rFonts w:ascii="Arial" w:eastAsia="Arial" w:hAnsi="Arial" w:cs="Arial"/>
                <w:sz w:val="20"/>
                <w:szCs w:val="20"/>
              </w:rPr>
            </w:pPr>
            <w:r w:rsidRPr="0B98DC2C">
              <w:rPr>
                <w:rFonts w:ascii="Arial" w:eastAsia="Arial" w:hAnsi="Arial" w:cs="Arial"/>
                <w:b/>
                <w:bCs/>
                <w:sz w:val="20"/>
                <w:szCs w:val="20"/>
              </w:rPr>
              <w:t>Name of Grant Program:</w:t>
            </w:r>
            <w:r w:rsidRPr="0B98DC2C">
              <w:rPr>
                <w:rFonts w:ascii="Arial" w:eastAsia="Arial" w:hAnsi="Arial" w:cs="Arial"/>
                <w:sz w:val="20"/>
                <w:szCs w:val="20"/>
              </w:rPr>
              <w:t xml:space="preserve"> Safe and Supportive Schools Competitive Grant</w:t>
            </w:r>
          </w:p>
        </w:tc>
        <w:tc>
          <w:tcPr>
            <w:tcW w:w="1965" w:type="dxa"/>
            <w:tcBorders>
              <w:top w:val="double" w:sz="6" w:space="0" w:color="auto"/>
              <w:left w:val="nil"/>
              <w:bottom w:val="double" w:sz="6" w:space="0" w:color="auto"/>
              <w:right w:val="double" w:sz="6" w:space="0" w:color="auto"/>
            </w:tcBorders>
          </w:tcPr>
          <w:p w14:paraId="4B33FBC1" w14:textId="39350200" w:rsidR="0B98DC2C" w:rsidRDefault="0B98DC2C" w:rsidP="00EA6659">
            <w:pPr>
              <w:tabs>
                <w:tab w:val="left" w:pos="1332"/>
              </w:tabs>
              <w:spacing w:after="0"/>
              <w:jc w:val="both"/>
              <w:rPr>
                <w:rFonts w:ascii="Arial" w:eastAsia="Arial" w:hAnsi="Arial" w:cs="Arial"/>
                <w:sz w:val="20"/>
                <w:szCs w:val="20"/>
              </w:rPr>
            </w:pPr>
            <w:r w:rsidRPr="0B98DC2C">
              <w:rPr>
                <w:rFonts w:ascii="Arial" w:eastAsia="Arial" w:hAnsi="Arial" w:cs="Arial"/>
                <w:b/>
                <w:bCs/>
                <w:sz w:val="20"/>
                <w:szCs w:val="20"/>
              </w:rPr>
              <w:t>Fund Code:</w:t>
            </w:r>
            <w:r w:rsidRPr="0B98DC2C">
              <w:rPr>
                <w:rFonts w:ascii="Arial" w:eastAsia="Arial" w:hAnsi="Arial" w:cs="Arial"/>
                <w:sz w:val="20"/>
                <w:szCs w:val="20"/>
              </w:rPr>
              <w:t xml:space="preserve"> 335</w:t>
            </w:r>
          </w:p>
        </w:tc>
      </w:tr>
    </w:tbl>
    <w:p w14:paraId="627F512F" w14:textId="04E5E1FA" w:rsidR="0B98DC2C" w:rsidRDefault="0B98DC2C" w:rsidP="00EA6659">
      <w:pPr>
        <w:spacing w:after="0"/>
        <w:jc w:val="both"/>
        <w:rPr>
          <w:rFonts w:ascii="Arial" w:eastAsia="Arial" w:hAnsi="Arial" w:cs="Arial"/>
          <w:color w:val="000000" w:themeColor="text1"/>
          <w:sz w:val="20"/>
          <w:szCs w:val="20"/>
        </w:rPr>
      </w:pPr>
    </w:p>
    <w:p w14:paraId="23E04D88" w14:textId="77777777" w:rsidR="00BF6692" w:rsidRDefault="00BF6692" w:rsidP="00EA6659">
      <w:pPr>
        <w:spacing w:after="0"/>
        <w:jc w:val="both"/>
        <w:rPr>
          <w:rFonts w:ascii="Arial" w:eastAsia="Arial" w:hAnsi="Arial" w:cs="Arial"/>
          <w:color w:val="000000" w:themeColor="text1"/>
          <w:sz w:val="20"/>
          <w:szCs w:val="20"/>
        </w:rPr>
      </w:pPr>
    </w:p>
    <w:tbl>
      <w:tblPr>
        <w:tblStyle w:val="TableGrid"/>
        <w:tblW w:w="0" w:type="auto"/>
        <w:tblLook w:val="04A0" w:firstRow="1" w:lastRow="0" w:firstColumn="1" w:lastColumn="0" w:noHBand="0" w:noVBand="1"/>
      </w:tblPr>
      <w:tblGrid>
        <w:gridCol w:w="9350"/>
      </w:tblGrid>
      <w:tr w:rsidR="00BF6692" w14:paraId="393E8168" w14:textId="77777777" w:rsidTr="00BF6692">
        <w:tc>
          <w:tcPr>
            <w:tcW w:w="9350" w:type="dxa"/>
          </w:tcPr>
          <w:p w14:paraId="6AA0E357" w14:textId="1821858E" w:rsidR="00BF6692" w:rsidRPr="00BF6692" w:rsidRDefault="00BF6692" w:rsidP="00BF6692">
            <w:pPr>
              <w:pStyle w:val="Heading1"/>
              <w:spacing w:before="60"/>
              <w:jc w:val="center"/>
              <w:outlineLvl w:val="0"/>
              <w:rPr>
                <w:rFonts w:ascii="Arial" w:eastAsia="Arial" w:hAnsi="Arial" w:cs="Arial"/>
                <w:b/>
                <w:bCs/>
                <w:color w:val="000000" w:themeColor="text1"/>
                <w:sz w:val="20"/>
                <w:szCs w:val="20"/>
              </w:rPr>
            </w:pPr>
            <w:r w:rsidRPr="0B98DC2C">
              <w:rPr>
                <w:rFonts w:ascii="Arial" w:eastAsia="Arial" w:hAnsi="Arial" w:cs="Arial"/>
                <w:b/>
                <w:bCs/>
                <w:color w:val="000000" w:themeColor="text1"/>
                <w:sz w:val="20"/>
                <w:szCs w:val="20"/>
              </w:rPr>
              <w:t>Attachment A: Option 1 and Option 2 additional information</w:t>
            </w:r>
          </w:p>
        </w:tc>
      </w:tr>
    </w:tbl>
    <w:p w14:paraId="5C51826E" w14:textId="77777777" w:rsidR="00BF6692" w:rsidRDefault="00BF6692" w:rsidP="00EA6659">
      <w:pPr>
        <w:spacing w:after="0"/>
        <w:jc w:val="both"/>
        <w:rPr>
          <w:rFonts w:ascii="Arial" w:eastAsia="Arial" w:hAnsi="Arial" w:cs="Arial"/>
          <w:color w:val="000000" w:themeColor="text1"/>
          <w:sz w:val="20"/>
          <w:szCs w:val="20"/>
        </w:rPr>
      </w:pPr>
    </w:p>
    <w:p w14:paraId="223557CD" w14:textId="77777777" w:rsidR="00BF6692" w:rsidRDefault="00BF6692" w:rsidP="00EA6659">
      <w:pPr>
        <w:spacing w:after="0"/>
        <w:jc w:val="both"/>
        <w:rPr>
          <w:rFonts w:ascii="Arial" w:eastAsia="Arial" w:hAnsi="Arial" w:cs="Arial"/>
          <w:color w:val="000000" w:themeColor="text1"/>
          <w:sz w:val="20"/>
          <w:szCs w:val="20"/>
        </w:rPr>
      </w:pPr>
    </w:p>
    <w:tbl>
      <w:tblPr>
        <w:tblW w:w="5000" w:type="pct"/>
        <w:tblLook w:val="0000" w:firstRow="0" w:lastRow="0" w:firstColumn="0" w:lastColumn="0" w:noHBand="0" w:noVBand="0"/>
      </w:tblPr>
      <w:tblGrid>
        <w:gridCol w:w="1260"/>
        <w:gridCol w:w="8100"/>
      </w:tblGrid>
      <w:tr w:rsidR="5E8D14FD" w14:paraId="1C18BB05" w14:textId="77777777" w:rsidTr="00EA6659">
        <w:tc>
          <w:tcPr>
            <w:tcW w:w="673" w:type="pct"/>
            <w:tcBorders>
              <w:top w:val="nil"/>
              <w:left w:val="nil"/>
              <w:bottom w:val="nil"/>
              <w:right w:val="nil"/>
            </w:tcBorders>
          </w:tcPr>
          <w:p w14:paraId="754869DC" w14:textId="63EC784A" w:rsidR="5E8D14FD" w:rsidRDefault="5E8D14FD" w:rsidP="00B815C2">
            <w:pPr>
              <w:spacing w:after="0"/>
              <w:jc w:val="both"/>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t>Priorities:</w:t>
            </w:r>
          </w:p>
          <w:p w14:paraId="64CDA49A" w14:textId="3A93901C" w:rsidR="5E8D14FD" w:rsidRDefault="5E8D14FD" w:rsidP="00B815C2">
            <w:pPr>
              <w:spacing w:after="0"/>
              <w:jc w:val="both"/>
              <w:rPr>
                <w:rFonts w:ascii="Arial" w:eastAsia="Arial" w:hAnsi="Arial" w:cs="Arial"/>
                <w:color w:val="000000" w:themeColor="text1"/>
                <w:sz w:val="20"/>
                <w:szCs w:val="20"/>
              </w:rPr>
            </w:pPr>
          </w:p>
        </w:tc>
        <w:tc>
          <w:tcPr>
            <w:tcW w:w="4327" w:type="pct"/>
            <w:tcBorders>
              <w:top w:val="nil"/>
              <w:left w:val="nil"/>
              <w:bottom w:val="nil"/>
              <w:right w:val="nil"/>
            </w:tcBorders>
          </w:tcPr>
          <w:p w14:paraId="36FC8875" w14:textId="248AAAC1" w:rsidR="5E8D14FD" w:rsidRDefault="5E8D14FD" w:rsidP="00B815C2">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The main priorities for this grant are to help ensure that each participating school creates an equitable, safe, positive, healthy, culturally-competent, and inclusive whole-school learning environment for all students, and makes effective use of a system for </w:t>
            </w:r>
            <w:hyperlink r:id="rId8">
              <w:r w:rsidRPr="4D1D951A">
                <w:rPr>
                  <w:rStyle w:val="Hyperlink"/>
                  <w:rFonts w:ascii="Arial" w:eastAsia="Arial" w:hAnsi="Arial" w:cs="Arial"/>
                  <w:sz w:val="20"/>
                  <w:szCs w:val="20"/>
                </w:rPr>
                <w:t>integrating services</w:t>
              </w:r>
            </w:hyperlink>
            <w:r w:rsidRPr="4D1D951A">
              <w:rPr>
                <w:rFonts w:ascii="Arial" w:eastAsia="Arial" w:hAnsi="Arial" w:cs="Arial"/>
                <w:color w:val="000000" w:themeColor="text1"/>
                <w:sz w:val="20"/>
                <w:szCs w:val="20"/>
              </w:rPr>
              <w:t xml:space="preserve"> and aligning initiatives that promote students’ behavioral health and wellness, through one of two grant applicant options:</w:t>
            </w:r>
          </w:p>
          <w:p w14:paraId="3EFF999F" w14:textId="77777777" w:rsidR="00B815C2" w:rsidRDefault="00B815C2" w:rsidP="00B815C2">
            <w:pPr>
              <w:spacing w:after="0"/>
              <w:rPr>
                <w:rFonts w:ascii="Arial" w:eastAsia="Arial" w:hAnsi="Arial" w:cs="Arial"/>
                <w:color w:val="000000" w:themeColor="text1"/>
                <w:sz w:val="20"/>
                <w:szCs w:val="20"/>
              </w:rPr>
            </w:pPr>
          </w:p>
          <w:p w14:paraId="290BB56B" w14:textId="2A342F13" w:rsidR="5E8D14FD" w:rsidRDefault="5E8D14FD" w:rsidP="4D1D951A">
            <w:pPr>
              <w:pStyle w:val="ListParagraph"/>
              <w:numPr>
                <w:ilvl w:val="0"/>
                <w:numId w:val="2"/>
              </w:numPr>
              <w:spacing w:after="0"/>
              <w:ind w:left="179" w:hanging="179"/>
              <w:rPr>
                <w:rFonts w:ascii="Arial" w:eastAsia="Arial" w:hAnsi="Arial" w:cs="Arial"/>
                <w:b/>
                <w:bCs/>
                <w:color w:val="000000" w:themeColor="text1"/>
                <w:sz w:val="20"/>
                <w:szCs w:val="20"/>
              </w:rPr>
            </w:pPr>
            <w:r w:rsidRPr="4D1D951A">
              <w:rPr>
                <w:rFonts w:ascii="Arial" w:eastAsia="Arial" w:hAnsi="Arial" w:cs="Arial"/>
                <w:b/>
                <w:bCs/>
                <w:color w:val="000000" w:themeColor="text1"/>
                <w:sz w:val="20"/>
                <w:szCs w:val="20"/>
              </w:rPr>
              <w:t>OPTION ONE: Action Planning</w:t>
            </w:r>
            <w:r>
              <w:br/>
            </w:r>
            <w:r w:rsidRPr="4D1D951A">
              <w:rPr>
                <w:rFonts w:ascii="Arial" w:eastAsia="Arial" w:hAnsi="Arial" w:cs="Arial"/>
                <w:color w:val="000000" w:themeColor="text1"/>
                <w:sz w:val="20"/>
                <w:szCs w:val="20"/>
              </w:rPr>
              <w:t>These grantees will convene a school team composed of various stakeholders (e.g., including but not limited to teachers, nurses, counselors, family members, etc.) to review and respond to the questions in the </w:t>
            </w:r>
            <w:hyperlink r:id="rId9">
              <w:r w:rsidRPr="4D1D951A">
                <w:rPr>
                  <w:rStyle w:val="Hyperlink"/>
                  <w:rFonts w:ascii="Arial" w:eastAsia="Arial" w:hAnsi="Arial" w:cs="Arial"/>
                  <w:sz w:val="20"/>
                  <w:szCs w:val="20"/>
                </w:rPr>
                <w:t>SaSS Tool</w:t>
              </w:r>
            </w:hyperlink>
            <w:r w:rsidRPr="4D1D951A">
              <w:rPr>
                <w:rFonts w:ascii="Arial" w:eastAsia="Arial" w:hAnsi="Arial" w:cs="Arial"/>
                <w:color w:val="000000" w:themeColor="text1"/>
                <w:sz w:val="20"/>
                <w:szCs w:val="20"/>
              </w:rPr>
              <w:t xml:space="preserve">. </w:t>
            </w:r>
            <w:r>
              <w:br/>
            </w:r>
            <w:r>
              <w:br/>
            </w:r>
            <w:r w:rsidRPr="4D1D951A">
              <w:rPr>
                <w:rFonts w:ascii="Arial" w:eastAsia="Arial" w:hAnsi="Arial" w:cs="Arial"/>
                <w:i/>
                <w:iCs/>
                <w:color w:val="000000" w:themeColor="text1"/>
                <w:sz w:val="20"/>
                <w:szCs w:val="20"/>
              </w:rPr>
              <w:t>NOTE: Applicants are expected to propose to use the</w:t>
            </w:r>
            <w:r w:rsidRPr="4D1D951A">
              <w:rPr>
                <w:rFonts w:ascii="Arial" w:eastAsia="Arial" w:hAnsi="Arial" w:cs="Arial"/>
                <w:b/>
                <w:bCs/>
                <w:color w:val="000000" w:themeColor="text1"/>
                <w:sz w:val="20"/>
                <w:szCs w:val="20"/>
              </w:rPr>
              <w:t xml:space="preserve"> </w:t>
            </w:r>
            <w:hyperlink r:id="rId10">
              <w:r w:rsidRPr="4D1D951A">
                <w:rPr>
                  <w:rStyle w:val="Hyperlink"/>
                  <w:rFonts w:ascii="Arial" w:eastAsia="Arial" w:hAnsi="Arial" w:cs="Arial"/>
                  <w:sz w:val="20"/>
                  <w:szCs w:val="20"/>
                </w:rPr>
                <w:t>SaSS Tool</w:t>
              </w:r>
            </w:hyperlink>
            <w:r w:rsidRPr="4D1D951A">
              <w:rPr>
                <w:rFonts w:ascii="Arial" w:eastAsia="Arial" w:hAnsi="Arial" w:cs="Arial"/>
                <w:i/>
                <w:iCs/>
                <w:color w:val="000000" w:themeColor="text1"/>
                <w:sz w:val="20"/>
                <w:szCs w:val="20"/>
              </w:rPr>
              <w:t xml:space="preserve"> during the grant period (after grants are awarded). During the application process (as always), the </w:t>
            </w:r>
            <w:hyperlink r:id="rId11">
              <w:r w:rsidRPr="4D1D951A">
                <w:rPr>
                  <w:rStyle w:val="Hyperlink"/>
                  <w:rFonts w:ascii="Arial" w:eastAsia="Arial" w:hAnsi="Arial" w:cs="Arial"/>
                  <w:sz w:val="20"/>
                  <w:szCs w:val="20"/>
                </w:rPr>
                <w:t>SaSS Tool</w:t>
              </w:r>
            </w:hyperlink>
            <w:r w:rsidRPr="4D1D951A">
              <w:rPr>
                <w:rStyle w:val="Hyperlink"/>
                <w:rFonts w:ascii="Arial" w:eastAsia="Arial" w:hAnsi="Arial" w:cs="Arial"/>
                <w:sz w:val="20"/>
                <w:szCs w:val="20"/>
              </w:rPr>
              <w:t xml:space="preserve"> </w:t>
            </w:r>
            <w:r w:rsidRPr="4D1D951A">
              <w:rPr>
                <w:rFonts w:ascii="Arial" w:eastAsia="Arial" w:hAnsi="Arial" w:cs="Arial"/>
                <w:i/>
                <w:iCs/>
                <w:color w:val="000000" w:themeColor="text1"/>
                <w:sz w:val="20"/>
                <w:szCs w:val="20"/>
              </w:rPr>
              <w:t>is available to look through using the tester login:</w:t>
            </w:r>
          </w:p>
          <w:p w14:paraId="01003F9B" w14:textId="5B815FE8" w:rsidR="5E8D14FD" w:rsidRDefault="5E8D14FD" w:rsidP="00B815C2">
            <w:pPr>
              <w:spacing w:after="0"/>
              <w:ind w:left="720"/>
              <w:rPr>
                <w:rFonts w:ascii="Arial" w:eastAsia="Arial" w:hAnsi="Arial" w:cs="Arial"/>
                <w:color w:val="000000" w:themeColor="text1"/>
                <w:sz w:val="20"/>
                <w:szCs w:val="20"/>
              </w:rPr>
            </w:pPr>
            <w:r w:rsidRPr="4D1D951A">
              <w:rPr>
                <w:rFonts w:ascii="Arial" w:eastAsia="Arial" w:hAnsi="Arial" w:cs="Arial"/>
                <w:i/>
                <w:iCs/>
                <w:color w:val="000000" w:themeColor="text1"/>
                <w:sz w:val="20"/>
                <w:szCs w:val="20"/>
              </w:rPr>
              <w:t xml:space="preserve">Username: TOOLu </w:t>
            </w:r>
          </w:p>
          <w:p w14:paraId="1D28E038" w14:textId="34229E8C" w:rsidR="5E8D14FD" w:rsidRDefault="5E8D14FD" w:rsidP="00B815C2">
            <w:pPr>
              <w:spacing w:after="0"/>
              <w:ind w:left="720"/>
              <w:rPr>
                <w:rFonts w:ascii="Arial" w:eastAsia="Arial" w:hAnsi="Arial" w:cs="Arial"/>
                <w:color w:val="000000" w:themeColor="text1"/>
                <w:sz w:val="20"/>
                <w:szCs w:val="20"/>
              </w:rPr>
            </w:pPr>
            <w:r w:rsidRPr="4D1D951A">
              <w:rPr>
                <w:rFonts w:ascii="Arial" w:eastAsia="Arial" w:hAnsi="Arial" w:cs="Arial"/>
                <w:i/>
                <w:iCs/>
                <w:color w:val="000000" w:themeColor="text1"/>
                <w:sz w:val="20"/>
                <w:szCs w:val="20"/>
              </w:rPr>
              <w:t>Password: TOOLp</w:t>
            </w:r>
          </w:p>
          <w:p w14:paraId="00A89FF6" w14:textId="688138E0" w:rsidR="5E8D14FD" w:rsidRDefault="5E8D14FD" w:rsidP="00B815C2">
            <w:pPr>
              <w:spacing w:after="0"/>
              <w:ind w:left="230"/>
              <w:rPr>
                <w:rFonts w:ascii="Arial" w:eastAsia="Arial" w:hAnsi="Arial" w:cs="Arial"/>
                <w:color w:val="000000" w:themeColor="text1"/>
                <w:sz w:val="20"/>
                <w:szCs w:val="20"/>
              </w:rPr>
            </w:pPr>
            <w:r w:rsidRPr="4D1D951A">
              <w:rPr>
                <w:rFonts w:ascii="Arial" w:eastAsia="Arial" w:hAnsi="Arial" w:cs="Arial"/>
                <w:i/>
                <w:iCs/>
                <w:color w:val="000000" w:themeColor="text1"/>
                <w:sz w:val="20"/>
                <w:szCs w:val="20"/>
              </w:rPr>
              <w:t xml:space="preserve">Grantees will be given school-specific accounts (if they do not already have them), and any school at any time can request this through </w:t>
            </w:r>
            <w:hyperlink r:id="rId12">
              <w:r w:rsidRPr="4D1D951A">
                <w:rPr>
                  <w:rStyle w:val="Hyperlink"/>
                  <w:rFonts w:ascii="Arial" w:eastAsia="Arial" w:hAnsi="Arial" w:cs="Arial"/>
                  <w:i/>
                  <w:iCs/>
                  <w:sz w:val="20"/>
                  <w:szCs w:val="20"/>
                </w:rPr>
                <w:t>achievement@doe.mass.edu</w:t>
              </w:r>
            </w:hyperlink>
            <w:r w:rsidRPr="4D1D951A">
              <w:rPr>
                <w:rFonts w:ascii="Arial" w:eastAsia="Arial" w:hAnsi="Arial" w:cs="Arial"/>
                <w:i/>
                <w:iCs/>
                <w:color w:val="000000" w:themeColor="text1"/>
                <w:sz w:val="20"/>
                <w:szCs w:val="20"/>
              </w:rPr>
              <w:t xml:space="preserve">. </w:t>
            </w:r>
          </w:p>
          <w:p w14:paraId="1555454E" w14:textId="5EB94CE9" w:rsidR="5E8D14FD" w:rsidRDefault="5E8D14FD" w:rsidP="00B815C2">
            <w:pPr>
              <w:spacing w:after="0"/>
              <w:ind w:left="360"/>
              <w:rPr>
                <w:rFonts w:ascii="Arial" w:eastAsia="Arial" w:hAnsi="Arial" w:cs="Arial"/>
                <w:color w:val="000000" w:themeColor="text1"/>
                <w:sz w:val="20"/>
                <w:szCs w:val="20"/>
              </w:rPr>
            </w:pPr>
          </w:p>
          <w:p w14:paraId="63E6943E" w14:textId="248C8938" w:rsidR="5E8D14FD" w:rsidRDefault="5E8D14FD" w:rsidP="00B815C2">
            <w:pPr>
              <w:spacing w:after="0"/>
              <w:ind w:left="179"/>
              <w:rPr>
                <w:rFonts w:ascii="Arial" w:eastAsia="Arial" w:hAnsi="Arial" w:cs="Arial"/>
                <w:color w:val="000000" w:themeColor="text1"/>
                <w:sz w:val="20"/>
                <w:szCs w:val="20"/>
              </w:rPr>
            </w:pPr>
            <w:r w:rsidRPr="4D1D951A">
              <w:rPr>
                <w:rFonts w:ascii="Arial" w:eastAsia="Arial" w:hAnsi="Arial" w:cs="Arial"/>
                <w:color w:val="000000" w:themeColor="text1"/>
                <w:sz w:val="20"/>
                <w:szCs w:val="20"/>
              </w:rPr>
              <w:t>Based on the school team’s reflections informed by using the SaSS Tool, the team will identify school and district areas to prioritize for improvements related to creating safer and more supportive learning environments, and will finalize a school plan that is aligned to school and district priorities, and a district plan that supports the schools’ efforts. These action plans are expected to also be informed by already existing school and district plans, such as Student Opportunity Act Plans, and also help inform subsequently created school and district improvement plans.</w:t>
            </w:r>
          </w:p>
          <w:p w14:paraId="02369553" w14:textId="4716B8AE" w:rsidR="5E8D14FD" w:rsidRDefault="5E8D14FD" w:rsidP="00B815C2">
            <w:pPr>
              <w:spacing w:after="0"/>
              <w:rPr>
                <w:rFonts w:ascii="Arial" w:eastAsia="Arial" w:hAnsi="Arial" w:cs="Arial"/>
                <w:color w:val="000000" w:themeColor="text1"/>
                <w:sz w:val="20"/>
                <w:szCs w:val="20"/>
              </w:rPr>
            </w:pPr>
          </w:p>
          <w:p w14:paraId="5EEC9E12" w14:textId="5B09EAF3" w:rsidR="5E8D14FD" w:rsidRDefault="5E8D14FD" w:rsidP="00B815C2">
            <w:pPr>
              <w:spacing w:after="0"/>
              <w:ind w:left="18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The SaSS action plans shall address all six sections (referred to as </w:t>
            </w:r>
            <w:hyperlink r:id="rId13">
              <w:r w:rsidRPr="4D1D951A">
                <w:rPr>
                  <w:rStyle w:val="Hyperlink"/>
                  <w:rFonts w:ascii="Arial" w:eastAsia="Arial" w:hAnsi="Arial" w:cs="Arial"/>
                  <w:sz w:val="20"/>
                  <w:szCs w:val="20"/>
                </w:rPr>
                <w:t>Implementation Levers</w:t>
              </w:r>
            </w:hyperlink>
            <w:r w:rsidRPr="4D1D951A">
              <w:rPr>
                <w:rFonts w:ascii="Arial" w:eastAsia="Arial" w:hAnsi="Arial" w:cs="Arial"/>
                <w:color w:val="000000" w:themeColor="text1"/>
                <w:sz w:val="20"/>
                <w:szCs w:val="20"/>
              </w:rPr>
              <w:t xml:space="preserve">) of the SaSS Tool and reflect the </w:t>
            </w:r>
            <w:hyperlink r:id="rId14">
              <w:r w:rsidRPr="4D1D951A">
                <w:rPr>
                  <w:rStyle w:val="Hyperlink"/>
                  <w:rFonts w:ascii="Arial" w:eastAsia="Arial" w:hAnsi="Arial" w:cs="Arial"/>
                  <w:sz w:val="20"/>
                  <w:szCs w:val="20"/>
                </w:rPr>
                <w:t>Essential Elements</w:t>
              </w:r>
            </w:hyperlink>
            <w:r w:rsidRPr="4D1D951A">
              <w:rPr>
                <w:rFonts w:ascii="Arial" w:eastAsia="Arial" w:hAnsi="Arial" w:cs="Arial"/>
                <w:color w:val="000000" w:themeColor="text1"/>
                <w:sz w:val="20"/>
                <w:szCs w:val="20"/>
              </w:rPr>
              <w:t xml:space="preserve"> of Safe and Supportive Schools:</w:t>
            </w:r>
          </w:p>
          <w:p w14:paraId="73253551" w14:textId="16A6722A" w:rsidR="5E8D14FD" w:rsidRDefault="5E8D14FD" w:rsidP="4D1D951A">
            <w:pPr>
              <w:pStyle w:val="ListParagraph"/>
              <w:numPr>
                <w:ilvl w:val="0"/>
                <w:numId w:val="1"/>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Leadership and Culture</w:t>
            </w:r>
          </w:p>
          <w:p w14:paraId="5C00F761" w14:textId="251AE964" w:rsidR="5E8D14FD" w:rsidRDefault="5E8D14FD" w:rsidP="4D1D951A">
            <w:pPr>
              <w:pStyle w:val="ListParagraph"/>
              <w:numPr>
                <w:ilvl w:val="0"/>
                <w:numId w:val="1"/>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Family </w:t>
            </w:r>
            <w:r w:rsidR="00363429">
              <w:rPr>
                <w:rFonts w:ascii="Arial" w:eastAsia="Arial" w:hAnsi="Arial" w:cs="Arial"/>
                <w:color w:val="000000" w:themeColor="text1"/>
                <w:sz w:val="20"/>
                <w:szCs w:val="20"/>
              </w:rPr>
              <w:t xml:space="preserve">and Community </w:t>
            </w:r>
            <w:r w:rsidRPr="4D1D951A">
              <w:rPr>
                <w:rFonts w:ascii="Arial" w:eastAsia="Arial" w:hAnsi="Arial" w:cs="Arial"/>
                <w:color w:val="000000" w:themeColor="text1"/>
                <w:sz w:val="20"/>
                <w:szCs w:val="20"/>
              </w:rPr>
              <w:t>Engagement</w:t>
            </w:r>
          </w:p>
          <w:p w14:paraId="30FCE8A7" w14:textId="2CB6129A" w:rsidR="5E8D14FD" w:rsidRDefault="5E8D14FD" w:rsidP="4D1D951A">
            <w:pPr>
              <w:pStyle w:val="ListParagraph"/>
              <w:numPr>
                <w:ilvl w:val="0"/>
                <w:numId w:val="1"/>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Professional Learning Opportunities</w:t>
            </w:r>
          </w:p>
          <w:p w14:paraId="38C57A5C" w14:textId="068E6B41" w:rsidR="5E8D14FD" w:rsidRDefault="5E8D14FD" w:rsidP="4D1D951A">
            <w:pPr>
              <w:pStyle w:val="ListParagraph"/>
              <w:numPr>
                <w:ilvl w:val="0"/>
                <w:numId w:val="1"/>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Access to Resources and Services</w:t>
            </w:r>
          </w:p>
          <w:p w14:paraId="0883A38A" w14:textId="3296DBE0" w:rsidR="5E8D14FD" w:rsidRDefault="5E8D14FD" w:rsidP="4D1D951A">
            <w:pPr>
              <w:pStyle w:val="ListParagraph"/>
              <w:numPr>
                <w:ilvl w:val="0"/>
                <w:numId w:val="1"/>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Teaching and Learning that Fosters Safe and Supportive Environments</w:t>
            </w:r>
          </w:p>
          <w:p w14:paraId="407C3F71" w14:textId="4A8A36D5" w:rsidR="5E8D14FD" w:rsidRDefault="5E8D14FD" w:rsidP="4D1D951A">
            <w:pPr>
              <w:pStyle w:val="ListParagraph"/>
              <w:numPr>
                <w:ilvl w:val="0"/>
                <w:numId w:val="1"/>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Policies and Procedures</w:t>
            </w:r>
          </w:p>
          <w:p w14:paraId="2E77779B" w14:textId="6F69096E" w:rsidR="5E8D14FD" w:rsidRDefault="5E8D14FD" w:rsidP="00B815C2">
            <w:pPr>
              <w:spacing w:after="0"/>
              <w:ind w:left="251"/>
              <w:rPr>
                <w:rFonts w:ascii="Arial" w:eastAsia="Arial" w:hAnsi="Arial" w:cs="Arial"/>
                <w:color w:val="000000" w:themeColor="text1"/>
                <w:sz w:val="20"/>
                <w:szCs w:val="20"/>
              </w:rPr>
            </w:pPr>
          </w:p>
          <w:p w14:paraId="18943B71" w14:textId="590D77C8" w:rsidR="5E8D14FD" w:rsidRDefault="5E8D14FD" w:rsidP="00B815C2">
            <w:pPr>
              <w:spacing w:after="0"/>
              <w:ind w:left="251"/>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The SaSS Tool includes two self-reflection components: a Preliminary Self-Reflection and a Deeper Dive Self Reflection. During the </w:t>
            </w:r>
            <w:r w:rsidR="00363429">
              <w:rPr>
                <w:rFonts w:ascii="Arial" w:eastAsia="Arial" w:hAnsi="Arial" w:cs="Arial"/>
                <w:color w:val="000000" w:themeColor="text1"/>
                <w:sz w:val="20"/>
                <w:szCs w:val="20"/>
              </w:rPr>
              <w:t>initial grant year, grantees will complete</w:t>
            </w:r>
            <w:r w:rsidR="009141B5">
              <w:rPr>
                <w:rFonts w:ascii="Arial" w:eastAsia="Arial" w:hAnsi="Arial" w:cs="Arial"/>
                <w:color w:val="000000" w:themeColor="text1"/>
                <w:sz w:val="20"/>
                <w:szCs w:val="20"/>
              </w:rPr>
              <w:t xml:space="preserve"> the entire </w:t>
            </w:r>
            <w:r w:rsidRPr="4D1D951A">
              <w:rPr>
                <w:rFonts w:ascii="Arial" w:eastAsia="Arial" w:hAnsi="Arial" w:cs="Arial"/>
                <w:color w:val="000000" w:themeColor="text1"/>
                <w:sz w:val="20"/>
                <w:szCs w:val="20"/>
              </w:rPr>
              <w:t xml:space="preserve">Preliminary Self-Reflection, teams will determine priority </w:t>
            </w:r>
            <w:r w:rsidR="009141B5">
              <w:rPr>
                <w:rFonts w:ascii="Arial" w:eastAsia="Arial" w:hAnsi="Arial" w:cs="Arial"/>
                <w:color w:val="000000" w:themeColor="text1"/>
                <w:sz w:val="20"/>
                <w:szCs w:val="20"/>
              </w:rPr>
              <w:t>Levers</w:t>
            </w:r>
            <w:r w:rsidRPr="4D1D951A">
              <w:rPr>
                <w:rFonts w:ascii="Arial" w:eastAsia="Arial" w:hAnsi="Arial" w:cs="Arial"/>
                <w:color w:val="000000" w:themeColor="text1"/>
                <w:sz w:val="20"/>
                <w:szCs w:val="20"/>
              </w:rPr>
              <w:t xml:space="preserve"> which the team can then choose to reflect on further in the Deeper Dive Self Reflection. </w:t>
            </w:r>
            <w:r w:rsidR="009141B5">
              <w:rPr>
                <w:rFonts w:ascii="Arial" w:eastAsia="Arial" w:hAnsi="Arial" w:cs="Arial"/>
                <w:color w:val="000000" w:themeColor="text1"/>
                <w:sz w:val="20"/>
                <w:szCs w:val="20"/>
              </w:rPr>
              <w:t xml:space="preserve">Additional Levers </w:t>
            </w:r>
            <w:r w:rsidR="00742E56">
              <w:rPr>
                <w:rFonts w:ascii="Arial" w:eastAsia="Arial" w:hAnsi="Arial" w:cs="Arial"/>
                <w:color w:val="000000" w:themeColor="text1"/>
                <w:sz w:val="20"/>
                <w:szCs w:val="20"/>
              </w:rPr>
              <w:t>can be reflected upon in the Deeper Dive Self-Reflection in subsequent years. A</w:t>
            </w:r>
            <w:r w:rsidRPr="4D1D951A">
              <w:rPr>
                <w:rFonts w:ascii="Arial" w:eastAsia="Arial" w:hAnsi="Arial" w:cs="Arial"/>
                <w:color w:val="000000" w:themeColor="text1"/>
                <w:sz w:val="20"/>
                <w:szCs w:val="20"/>
              </w:rPr>
              <w:t xml:space="preserve">ction plans </w:t>
            </w:r>
            <w:r w:rsidR="00742E56">
              <w:rPr>
                <w:rFonts w:ascii="Arial" w:eastAsia="Arial" w:hAnsi="Arial" w:cs="Arial"/>
                <w:color w:val="000000" w:themeColor="text1"/>
                <w:sz w:val="20"/>
                <w:szCs w:val="20"/>
              </w:rPr>
              <w:t xml:space="preserve">created in the first year </w:t>
            </w:r>
            <w:r w:rsidRPr="4D1D951A">
              <w:rPr>
                <w:rFonts w:ascii="Arial" w:eastAsia="Arial" w:hAnsi="Arial" w:cs="Arial"/>
                <w:color w:val="000000" w:themeColor="text1"/>
                <w:sz w:val="20"/>
                <w:szCs w:val="20"/>
              </w:rPr>
              <w:t xml:space="preserve">can address these priority </w:t>
            </w:r>
            <w:r w:rsidR="00742E56">
              <w:rPr>
                <w:rFonts w:ascii="Arial" w:eastAsia="Arial" w:hAnsi="Arial" w:cs="Arial"/>
                <w:color w:val="000000" w:themeColor="text1"/>
                <w:sz w:val="20"/>
                <w:szCs w:val="20"/>
              </w:rPr>
              <w:t>Levers</w:t>
            </w:r>
            <w:r w:rsidRPr="4D1D951A">
              <w:rPr>
                <w:rFonts w:ascii="Arial" w:eastAsia="Arial" w:hAnsi="Arial" w:cs="Arial"/>
                <w:color w:val="000000" w:themeColor="text1"/>
                <w:sz w:val="20"/>
                <w:szCs w:val="20"/>
              </w:rPr>
              <w:t xml:space="preserve"> directly and will describe how any other Implementation Levers will be reflected upon and addressed further during the next year. </w:t>
            </w:r>
          </w:p>
          <w:p w14:paraId="3593A0C8" w14:textId="339E96F9" w:rsidR="5E8D14FD" w:rsidRDefault="5E8D14FD" w:rsidP="00B815C2">
            <w:pPr>
              <w:spacing w:after="0"/>
              <w:ind w:left="251"/>
              <w:rPr>
                <w:rFonts w:ascii="Arial" w:eastAsia="Arial" w:hAnsi="Arial" w:cs="Arial"/>
                <w:color w:val="000000" w:themeColor="text1"/>
                <w:sz w:val="20"/>
                <w:szCs w:val="20"/>
              </w:rPr>
            </w:pPr>
          </w:p>
          <w:p w14:paraId="29B670BC" w14:textId="5C4328F9" w:rsidR="5E8D14FD" w:rsidRDefault="5E8D14FD" w:rsidP="00B815C2">
            <w:pPr>
              <w:spacing w:after="0"/>
              <w:ind w:left="240"/>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t xml:space="preserve">Note: </w:t>
            </w:r>
            <w:r w:rsidRPr="4D1D951A">
              <w:rPr>
                <w:rFonts w:ascii="Arial" w:eastAsia="Arial" w:hAnsi="Arial" w:cs="Arial"/>
                <w:color w:val="000000" w:themeColor="text1"/>
                <w:sz w:val="20"/>
                <w:szCs w:val="20"/>
              </w:rPr>
              <w:t xml:space="preserve">Upon award, the Department will provide all Option One, Action Planning grantees with guidelines for convening teams to create action plans that are aligned with other district and school plans and initiatives, including but not limited to district and school improvement plans (where applicable). As noted above, the Department will also provide all Option One, Action Planning grantees with personalized login information for the SaSS Tool as well as additional support for accessing and using the SaSS Tool. </w:t>
            </w:r>
          </w:p>
          <w:p w14:paraId="0368FB9D" w14:textId="3D75E2AE" w:rsidR="5E8D14FD" w:rsidRDefault="5E8D14FD" w:rsidP="00B815C2">
            <w:pPr>
              <w:spacing w:after="0"/>
              <w:ind w:left="521"/>
              <w:rPr>
                <w:rFonts w:ascii="Arial" w:eastAsia="Arial" w:hAnsi="Arial" w:cs="Arial"/>
                <w:color w:val="000000" w:themeColor="text1"/>
                <w:sz w:val="20"/>
                <w:szCs w:val="20"/>
              </w:rPr>
            </w:pPr>
          </w:p>
          <w:p w14:paraId="4DE62199" w14:textId="14DE074D" w:rsidR="5E8D14FD" w:rsidRDefault="5E8D14FD" w:rsidP="4D1D951A">
            <w:pPr>
              <w:pStyle w:val="ListParagraph"/>
              <w:numPr>
                <w:ilvl w:val="0"/>
                <w:numId w:val="2"/>
              </w:numPr>
              <w:spacing w:after="0"/>
              <w:ind w:left="180" w:hanging="180"/>
              <w:rPr>
                <w:rFonts w:ascii="Arial" w:eastAsia="Arial" w:hAnsi="Arial" w:cs="Arial"/>
                <w:b/>
                <w:bCs/>
                <w:color w:val="000000" w:themeColor="text1"/>
                <w:sz w:val="20"/>
                <w:szCs w:val="20"/>
              </w:rPr>
            </w:pPr>
            <w:r w:rsidRPr="4D1D951A">
              <w:rPr>
                <w:rFonts w:ascii="Arial" w:eastAsia="Arial" w:hAnsi="Arial" w:cs="Arial"/>
                <w:b/>
                <w:bCs/>
                <w:color w:val="000000" w:themeColor="text1"/>
                <w:sz w:val="20"/>
                <w:szCs w:val="20"/>
              </w:rPr>
              <w:t>OPTION TWO: Implementation and Mentorship/Support</w:t>
            </w:r>
            <w:r w:rsidRPr="4D1D951A">
              <w:rPr>
                <w:rFonts w:ascii="Arial" w:eastAsia="Arial" w:hAnsi="Arial" w:cs="Arial"/>
                <w:color w:val="000000" w:themeColor="text1"/>
                <w:sz w:val="20"/>
                <w:szCs w:val="20"/>
              </w:rPr>
              <w:t xml:space="preserve"> </w:t>
            </w:r>
            <w:r>
              <w:br/>
            </w:r>
            <w:r w:rsidRPr="4D1D951A">
              <w:rPr>
                <w:rFonts w:ascii="Arial" w:eastAsia="Arial" w:hAnsi="Arial" w:cs="Arial"/>
                <w:color w:val="000000" w:themeColor="text1"/>
                <w:sz w:val="20"/>
                <w:szCs w:val="20"/>
              </w:rPr>
              <w:t xml:space="preserve">a) These grantees will begin or continue to implement school-focused action plans (and associated district-support plans) that were created in prior year(s), i.e., during or before school year 2021-2022. The creation of those action plans must have been informed by a local self-reflection process using the </w:t>
            </w:r>
            <w:hyperlink r:id="rId15">
              <w:r w:rsidRPr="4D1D951A">
                <w:rPr>
                  <w:rStyle w:val="Hyperlink"/>
                  <w:rFonts w:ascii="Arial" w:eastAsia="Arial" w:hAnsi="Arial" w:cs="Arial"/>
                  <w:sz w:val="20"/>
                  <w:szCs w:val="20"/>
                </w:rPr>
                <w:t>SaSS/BHPS</w:t>
              </w:r>
            </w:hyperlink>
            <w:r w:rsidRPr="4D1D951A">
              <w:rPr>
                <w:rFonts w:ascii="Arial" w:eastAsia="Arial" w:hAnsi="Arial" w:cs="Arial"/>
                <w:color w:val="000000" w:themeColor="text1"/>
                <w:sz w:val="20"/>
                <w:szCs w:val="20"/>
              </w:rPr>
              <w:t xml:space="preserve"> Framework and Tool (the current version or any prior ones). Those completed action plans must be submitted with the applications, and whether it is submitted will be considered as part of the competitive review process. </w:t>
            </w:r>
            <w:r w:rsidRPr="4D1D951A">
              <w:rPr>
                <w:rFonts w:ascii="Arial" w:eastAsia="Arial" w:hAnsi="Arial" w:cs="Arial"/>
                <w:i/>
                <w:iCs/>
                <w:color w:val="000000" w:themeColor="text1"/>
                <w:sz w:val="20"/>
                <w:szCs w:val="20"/>
              </w:rPr>
              <w:t>It can be noted on the submitted plans any adaptations that will be needed to best support students, staff, and families during and in the recovery from the COVID-19 pandemic and/or related to any new equity goals including racial equity.</w:t>
            </w:r>
          </w:p>
          <w:p w14:paraId="5C2A90D9" w14:textId="65333B86" w:rsidR="5E8D14FD" w:rsidRDefault="5E8D14FD" w:rsidP="00B815C2">
            <w:pPr>
              <w:spacing w:after="0"/>
              <w:ind w:left="180"/>
              <w:rPr>
                <w:rFonts w:ascii="Arial" w:eastAsia="Arial" w:hAnsi="Arial" w:cs="Arial"/>
                <w:color w:val="000000" w:themeColor="text1"/>
                <w:sz w:val="20"/>
                <w:szCs w:val="20"/>
              </w:rPr>
            </w:pPr>
          </w:p>
          <w:p w14:paraId="635FDD8D" w14:textId="562056E5" w:rsidR="5E8D14FD" w:rsidRDefault="5E8D14FD" w:rsidP="00B815C2">
            <w:pPr>
              <w:spacing w:after="0"/>
              <w:ind w:left="180"/>
              <w:rPr>
                <w:rFonts w:ascii="Arial" w:eastAsia="Arial" w:hAnsi="Arial" w:cs="Arial"/>
                <w:color w:val="000000" w:themeColor="text1"/>
                <w:sz w:val="20"/>
                <w:szCs w:val="20"/>
              </w:rPr>
            </w:pPr>
            <w:r w:rsidRPr="4D1D951A">
              <w:rPr>
                <w:rFonts w:ascii="Arial" w:eastAsia="Arial" w:hAnsi="Arial" w:cs="Arial"/>
                <w:color w:val="000000" w:themeColor="text1"/>
                <w:sz w:val="20"/>
                <w:szCs w:val="20"/>
              </w:rPr>
              <w:t>b) These grantees will also serve as mentors/supports for Option One grantees; other new SaSS Tool users; schools and districts that are new to implementation; as well as the Department, Commission, and others as needed and appropriate. The areas of mentorship/support may include providing feedback to the Department or the Commission at meetings, presenting at online, regional, and statewide conferences, or providing direct support or guidance to Option One grantees (both virtual and in person activities will likely be planed for the 2022-2023 school year) related to one or more of the following aspects of using the Framework and Tool to inform action plan creation and implementation, or another area agreed to by the applicant and Department:</w:t>
            </w:r>
          </w:p>
          <w:p w14:paraId="6C3B1500" w14:textId="42BB98CD" w:rsidR="5E8D14FD" w:rsidRDefault="5E8D14FD" w:rsidP="4D1D951A">
            <w:pPr>
              <w:pStyle w:val="ListParagraph"/>
              <w:numPr>
                <w:ilvl w:val="0"/>
                <w:numId w:val="2"/>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School-level or district-level personnel role in supporting the grant efforts, and broader safe and supportive schools related work;</w:t>
            </w:r>
          </w:p>
          <w:p w14:paraId="6E2A0012" w14:textId="1E6070D0" w:rsidR="5E8D14FD" w:rsidRDefault="5E8D14FD" w:rsidP="4D1D951A">
            <w:pPr>
              <w:pStyle w:val="ListParagraph"/>
              <w:numPr>
                <w:ilvl w:val="0"/>
                <w:numId w:val="2"/>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Forming effective school teams that encompass the whole school/district community;</w:t>
            </w:r>
          </w:p>
          <w:p w14:paraId="21AFCE41" w14:textId="25CEA4F8" w:rsidR="5E8D14FD" w:rsidRDefault="5E8D14FD" w:rsidP="4D1D951A">
            <w:pPr>
              <w:pStyle w:val="ListParagraph"/>
              <w:numPr>
                <w:ilvl w:val="0"/>
                <w:numId w:val="2"/>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Facilitating school-focused or district teams to utilize the Tool;</w:t>
            </w:r>
          </w:p>
          <w:p w14:paraId="3A30E4D0" w14:textId="6B12DE7C" w:rsidR="5E8D14FD" w:rsidRDefault="5E8D14FD" w:rsidP="4D1D951A">
            <w:pPr>
              <w:pStyle w:val="ListParagraph"/>
              <w:numPr>
                <w:ilvl w:val="0"/>
                <w:numId w:val="2"/>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Facilitating District leadership support;</w:t>
            </w:r>
          </w:p>
          <w:p w14:paraId="476BD685" w14:textId="11159EDC" w:rsidR="5E8D14FD" w:rsidRDefault="5E8D14FD" w:rsidP="4D1D951A">
            <w:pPr>
              <w:pStyle w:val="ListParagraph"/>
              <w:numPr>
                <w:ilvl w:val="0"/>
                <w:numId w:val="2"/>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Gathering data to utilize and inform completion of each section of the Tool;</w:t>
            </w:r>
          </w:p>
          <w:p w14:paraId="639E09BB" w14:textId="10B41120" w:rsidR="5E8D14FD" w:rsidRDefault="5E8D14FD" w:rsidP="4D1D951A">
            <w:pPr>
              <w:pStyle w:val="ListParagraph"/>
              <w:numPr>
                <w:ilvl w:val="0"/>
                <w:numId w:val="2"/>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Creating a realistic and feasible timeline for utilizing the Tool;</w:t>
            </w:r>
          </w:p>
          <w:p w14:paraId="7AD2DF00" w14:textId="3A6B98D7" w:rsidR="5E8D14FD" w:rsidRDefault="5E8D14FD" w:rsidP="4D1D951A">
            <w:pPr>
              <w:pStyle w:val="ListParagraph"/>
              <w:numPr>
                <w:ilvl w:val="0"/>
                <w:numId w:val="2"/>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Analyzing results from the Tool to create priority areas for next steps; </w:t>
            </w:r>
          </w:p>
          <w:p w14:paraId="41E94802" w14:textId="2CD780D9" w:rsidR="5E8D14FD" w:rsidRDefault="5E8D14FD" w:rsidP="4D1D951A">
            <w:pPr>
              <w:pStyle w:val="ListParagraph"/>
              <w:numPr>
                <w:ilvl w:val="0"/>
                <w:numId w:val="2"/>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Writing an effective and measurable action plan; and</w:t>
            </w:r>
          </w:p>
          <w:p w14:paraId="0DE7E347" w14:textId="27143E7B" w:rsidR="5E8D14FD" w:rsidRDefault="5E8D14FD" w:rsidP="4D1D951A">
            <w:pPr>
              <w:pStyle w:val="ListParagraph"/>
              <w:numPr>
                <w:ilvl w:val="0"/>
                <w:numId w:val="2"/>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Implementation strategies for becoming more safe and supportive.</w:t>
            </w:r>
          </w:p>
          <w:p w14:paraId="2055D526" w14:textId="5C337F36" w:rsidR="5E8D14FD" w:rsidRDefault="5E8D14FD" w:rsidP="00B815C2">
            <w:pPr>
              <w:spacing w:after="0"/>
              <w:rPr>
                <w:rFonts w:ascii="Arial" w:eastAsia="Arial" w:hAnsi="Arial" w:cs="Arial"/>
                <w:color w:val="000000" w:themeColor="text1"/>
                <w:sz w:val="20"/>
                <w:szCs w:val="20"/>
              </w:rPr>
            </w:pPr>
          </w:p>
          <w:p w14:paraId="31A97DFE" w14:textId="0A0EF8CD" w:rsidR="5E8D14FD" w:rsidRDefault="5E8D14FD" w:rsidP="00B815C2">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Both Options also prioritize the developmentally appropriate input from students who are reflective of the school population. </w:t>
            </w:r>
          </w:p>
          <w:p w14:paraId="7BC2862C" w14:textId="77777777" w:rsidR="5E8D14FD" w:rsidRDefault="5E8D14FD" w:rsidP="00B815C2">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Competitive priority will be given to districts and schools in chronically underperforming status.</w:t>
            </w:r>
          </w:p>
          <w:p w14:paraId="3B46FCCC" w14:textId="293F4839" w:rsidR="00B815C2" w:rsidRDefault="00B815C2" w:rsidP="00B815C2">
            <w:pPr>
              <w:spacing w:after="0"/>
              <w:rPr>
                <w:rFonts w:ascii="Arial" w:eastAsia="Arial" w:hAnsi="Arial" w:cs="Arial"/>
                <w:color w:val="000000" w:themeColor="text1"/>
                <w:sz w:val="20"/>
                <w:szCs w:val="20"/>
              </w:rPr>
            </w:pPr>
          </w:p>
        </w:tc>
      </w:tr>
      <w:tr w:rsidR="5E8D14FD" w14:paraId="3C1B8BD4" w14:textId="77777777" w:rsidTr="00EA6659">
        <w:tc>
          <w:tcPr>
            <w:tcW w:w="673" w:type="pct"/>
            <w:tcBorders>
              <w:top w:val="nil"/>
              <w:left w:val="nil"/>
              <w:bottom w:val="nil"/>
              <w:right w:val="nil"/>
            </w:tcBorders>
          </w:tcPr>
          <w:p w14:paraId="5887B884" w14:textId="38069C8E" w:rsidR="5E8D14FD" w:rsidRDefault="5E8D14FD" w:rsidP="00B815C2">
            <w:pPr>
              <w:spacing w:after="0"/>
              <w:jc w:val="both"/>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lastRenderedPageBreak/>
              <w:t>Fund Use:</w:t>
            </w:r>
          </w:p>
          <w:p w14:paraId="4A0ED4B7" w14:textId="290A66AA" w:rsidR="5E8D14FD" w:rsidRDefault="5E8D14FD" w:rsidP="00B815C2">
            <w:pPr>
              <w:spacing w:after="0"/>
              <w:jc w:val="both"/>
              <w:rPr>
                <w:rFonts w:ascii="Arial" w:eastAsia="Arial" w:hAnsi="Arial" w:cs="Arial"/>
                <w:color w:val="000000" w:themeColor="text1"/>
                <w:sz w:val="20"/>
                <w:szCs w:val="20"/>
              </w:rPr>
            </w:pPr>
          </w:p>
        </w:tc>
        <w:tc>
          <w:tcPr>
            <w:tcW w:w="4327" w:type="pct"/>
            <w:tcBorders>
              <w:top w:val="nil"/>
              <w:left w:val="nil"/>
              <w:bottom w:val="nil"/>
              <w:right w:val="nil"/>
            </w:tcBorders>
          </w:tcPr>
          <w:p w14:paraId="1BAD67D9" w14:textId="4EF58EAA"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t>Option One: Action Planning</w:t>
            </w:r>
            <w:r>
              <w:br/>
            </w:r>
            <w:r w:rsidRPr="4D1D951A">
              <w:rPr>
                <w:rFonts w:ascii="Arial" w:eastAsia="Arial" w:hAnsi="Arial" w:cs="Arial"/>
                <w:color w:val="000000" w:themeColor="text1"/>
                <w:sz w:val="20"/>
                <w:szCs w:val="20"/>
              </w:rPr>
              <w:t xml:space="preserve">These funds must be used to support the </w:t>
            </w:r>
            <w:r w:rsidRPr="4D1D951A">
              <w:rPr>
                <w:rFonts w:ascii="Arial" w:eastAsia="Arial" w:hAnsi="Arial" w:cs="Arial"/>
                <w:b/>
                <w:bCs/>
                <w:color w:val="000000" w:themeColor="text1"/>
                <w:sz w:val="20"/>
                <w:szCs w:val="20"/>
              </w:rPr>
              <w:t>development of action plans</w:t>
            </w:r>
            <w:r w:rsidRPr="4D1D951A">
              <w:rPr>
                <w:rFonts w:ascii="Arial" w:eastAsia="Arial" w:hAnsi="Arial" w:cs="Arial"/>
                <w:color w:val="000000" w:themeColor="text1"/>
                <w:sz w:val="20"/>
                <w:szCs w:val="20"/>
              </w:rPr>
              <w:t xml:space="preserve"> that incorporate all </w:t>
            </w:r>
            <w:r w:rsidRPr="4D1D951A">
              <w:rPr>
                <w:rFonts w:ascii="Arial" w:eastAsia="Arial" w:hAnsi="Arial" w:cs="Arial"/>
                <w:b/>
                <w:bCs/>
                <w:color w:val="000000" w:themeColor="text1"/>
                <w:sz w:val="20"/>
                <w:szCs w:val="20"/>
              </w:rPr>
              <w:t>six sections</w:t>
            </w:r>
            <w:r w:rsidRPr="4D1D951A">
              <w:rPr>
                <w:rFonts w:ascii="Arial" w:eastAsia="Arial" w:hAnsi="Arial" w:cs="Arial"/>
                <w:color w:val="000000" w:themeColor="text1"/>
                <w:sz w:val="20"/>
                <w:szCs w:val="20"/>
              </w:rPr>
              <w:t xml:space="preserve"> of the SaSS Tool. Activities may include, convening the team to engage in relevant learning prior to completing the SaSS tool, completion of the tool, and time to </w:t>
            </w:r>
            <w:r w:rsidRPr="4D1D951A">
              <w:rPr>
                <w:rFonts w:ascii="Arial" w:eastAsia="Arial" w:hAnsi="Arial" w:cs="Arial"/>
                <w:color w:val="000000" w:themeColor="text1"/>
                <w:sz w:val="20"/>
                <w:szCs w:val="20"/>
              </w:rPr>
              <w:lastRenderedPageBreak/>
              <w:t>develop action plans. Funds may also be used to support participation in networking and professional development.</w:t>
            </w:r>
          </w:p>
          <w:p w14:paraId="0B01898C" w14:textId="0B95D6CE" w:rsidR="5E8D14FD" w:rsidRDefault="5E8D14FD" w:rsidP="00B815C2">
            <w:pPr>
              <w:spacing w:after="0"/>
              <w:ind w:left="330"/>
              <w:rPr>
                <w:rFonts w:ascii="Arial" w:eastAsia="Arial" w:hAnsi="Arial" w:cs="Arial"/>
                <w:color w:val="000000" w:themeColor="text1"/>
                <w:sz w:val="20"/>
                <w:szCs w:val="20"/>
              </w:rPr>
            </w:pPr>
          </w:p>
          <w:p w14:paraId="591D63E0" w14:textId="7E4B6F84"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Grant funds may be used for teacher stipends, consultants, substitutes, and materials to be used in the development of district action plans and school action plans for those schools proposed under this option. Applicants should not include in their application requests for funds to support activities related to action plan implementation*.</w:t>
            </w:r>
          </w:p>
          <w:p w14:paraId="1B117F5A" w14:textId="25C830A7" w:rsidR="5E8D14FD" w:rsidRDefault="5E8D14FD" w:rsidP="00B815C2">
            <w:pPr>
              <w:spacing w:after="0"/>
              <w:ind w:left="330"/>
              <w:rPr>
                <w:rFonts w:ascii="Arial" w:eastAsia="Arial" w:hAnsi="Arial" w:cs="Arial"/>
                <w:color w:val="000000" w:themeColor="text1"/>
                <w:sz w:val="20"/>
                <w:szCs w:val="20"/>
              </w:rPr>
            </w:pPr>
          </w:p>
          <w:p w14:paraId="58FCBB8E" w14:textId="1F210F42"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b/>
                <w:bCs/>
                <w:i/>
                <w:iCs/>
                <w:color w:val="000000" w:themeColor="text1"/>
                <w:sz w:val="20"/>
                <w:szCs w:val="20"/>
              </w:rPr>
              <w:t xml:space="preserve">*Note: </w:t>
            </w:r>
            <w:r w:rsidRPr="4D1D951A">
              <w:rPr>
                <w:rFonts w:ascii="Arial" w:eastAsia="Arial" w:hAnsi="Arial" w:cs="Arial"/>
                <w:i/>
                <w:iCs/>
                <w:color w:val="000000" w:themeColor="text1"/>
                <w:sz w:val="20"/>
                <w:szCs w:val="20"/>
              </w:rPr>
              <w:t xml:space="preserve">The Department may consider requests during the spring from Option One: Action Planning grantees to amend budgets to support action plan implementation, provided a comprehensive action plan has been created and submitted. </w:t>
            </w:r>
          </w:p>
          <w:p w14:paraId="20B9158F" w14:textId="3B1AD036" w:rsidR="5E8D14FD" w:rsidRDefault="5E8D14FD" w:rsidP="00B815C2">
            <w:pPr>
              <w:spacing w:after="0"/>
              <w:rPr>
                <w:rFonts w:ascii="Arial" w:eastAsia="Arial" w:hAnsi="Arial" w:cs="Arial"/>
                <w:color w:val="000000" w:themeColor="text1"/>
                <w:sz w:val="20"/>
                <w:szCs w:val="20"/>
              </w:rPr>
            </w:pPr>
          </w:p>
          <w:p w14:paraId="6FD4B1EE" w14:textId="1EED8941"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t>Option Two: Implementation and Mentorship/Support</w:t>
            </w:r>
            <w:r>
              <w:br/>
            </w:r>
            <w:r w:rsidRPr="4D1D951A">
              <w:rPr>
                <w:rFonts w:ascii="Arial" w:eastAsia="Arial" w:hAnsi="Arial" w:cs="Arial"/>
                <w:color w:val="000000" w:themeColor="text1"/>
                <w:sz w:val="20"/>
                <w:szCs w:val="20"/>
              </w:rPr>
              <w:t>These funds must be used to implement action plans that incorporate all </w:t>
            </w:r>
            <w:r w:rsidRPr="4D1D951A">
              <w:rPr>
                <w:rFonts w:ascii="Arial" w:eastAsia="Arial" w:hAnsi="Arial" w:cs="Arial"/>
                <w:b/>
                <w:bCs/>
                <w:color w:val="000000" w:themeColor="text1"/>
                <w:sz w:val="20"/>
                <w:szCs w:val="20"/>
              </w:rPr>
              <w:t>six sections</w:t>
            </w:r>
            <w:r w:rsidRPr="4D1D951A">
              <w:rPr>
                <w:rFonts w:ascii="Arial" w:eastAsia="Arial" w:hAnsi="Arial" w:cs="Arial"/>
                <w:color w:val="000000" w:themeColor="text1"/>
                <w:sz w:val="20"/>
                <w:szCs w:val="20"/>
              </w:rPr>
              <w:t> of the SaSS Tool, as submitted with the application. These funds must also support efforts associated with mentorship/support activities.</w:t>
            </w:r>
          </w:p>
          <w:p w14:paraId="03C9C7FE" w14:textId="62AA13CE" w:rsidR="5E8D14FD" w:rsidRDefault="5E8D14FD" w:rsidP="00742E56">
            <w:pPr>
              <w:spacing w:after="0"/>
              <w:rPr>
                <w:rFonts w:ascii="Arial" w:eastAsia="Arial" w:hAnsi="Arial" w:cs="Arial"/>
                <w:color w:val="000000" w:themeColor="text1"/>
                <w:sz w:val="20"/>
                <w:szCs w:val="20"/>
              </w:rPr>
            </w:pPr>
          </w:p>
          <w:p w14:paraId="484B6688" w14:textId="4E83E3DE"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Implementation activities may include but are not limited to development of school-based models for coordinated support of students in need, implementation of research-based educational programs that are proven to prevent substance use and misuse, activities that address and reduce substance use related problems, or development of information systems to help identify students at risk, track interventions and evaluate progress and outcomes.</w:t>
            </w:r>
          </w:p>
          <w:p w14:paraId="518635E4" w14:textId="39C1BCFD" w:rsidR="5E8D14FD" w:rsidRDefault="5E8D14FD" w:rsidP="00742E56">
            <w:pPr>
              <w:spacing w:after="0"/>
              <w:rPr>
                <w:rFonts w:ascii="Arial" w:eastAsia="Arial" w:hAnsi="Arial" w:cs="Arial"/>
                <w:color w:val="000000" w:themeColor="text1"/>
                <w:sz w:val="20"/>
                <w:szCs w:val="20"/>
              </w:rPr>
            </w:pPr>
          </w:p>
          <w:p w14:paraId="1BBF93CA" w14:textId="19F8B85F"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Grant funds may be used for a school and district-level implementation coordinator(s), consultants, substitutes, evidence-based programs/initiatives, and materials to be used in the implementation of district action plans and school action plans for proposed schools.</w:t>
            </w:r>
            <w:r>
              <w:br/>
            </w:r>
          </w:p>
          <w:p w14:paraId="6D223DB9" w14:textId="26406FB4"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Funds may also be used to provide stipends for the members of the team that will be responsible for the </w:t>
            </w:r>
            <w:r w:rsidRPr="4D1D951A">
              <w:rPr>
                <w:rFonts w:ascii="Arial" w:eastAsia="Arial" w:hAnsi="Arial" w:cs="Arial"/>
                <w:b/>
                <w:bCs/>
                <w:color w:val="000000" w:themeColor="text1"/>
                <w:sz w:val="20"/>
                <w:szCs w:val="20"/>
              </w:rPr>
              <w:t>mentorship/support activities</w:t>
            </w:r>
            <w:r w:rsidRPr="4D1D951A">
              <w:rPr>
                <w:rFonts w:ascii="Arial" w:eastAsia="Arial" w:hAnsi="Arial" w:cs="Arial"/>
                <w:color w:val="000000" w:themeColor="text1"/>
                <w:sz w:val="20"/>
                <w:szCs w:val="20"/>
              </w:rPr>
              <w:t xml:space="preserve">, or for any appropriate costs associated with mentoring/support. </w:t>
            </w:r>
            <w:r>
              <w:br/>
            </w:r>
          </w:p>
          <w:p w14:paraId="1C8429EA" w14:textId="005FCCE0"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t>All applicants</w:t>
            </w:r>
            <w:r>
              <w:br/>
            </w:r>
            <w:r w:rsidRPr="4D1D951A">
              <w:rPr>
                <w:rFonts w:ascii="Arial" w:eastAsia="Arial" w:hAnsi="Arial" w:cs="Arial"/>
                <w:color w:val="000000" w:themeColor="text1"/>
                <w:sz w:val="20"/>
                <w:szCs w:val="20"/>
              </w:rPr>
              <w:t>All applicants may consider partnering with consultants to help facilitate the action planning and/or implementation process.</w:t>
            </w:r>
          </w:p>
          <w:p w14:paraId="6E435A4C" w14:textId="65B50553" w:rsidR="5E8D14FD" w:rsidRDefault="5E8D14FD" w:rsidP="00742E56">
            <w:pPr>
              <w:spacing w:after="0"/>
              <w:rPr>
                <w:rFonts w:ascii="Arial" w:eastAsia="Arial" w:hAnsi="Arial" w:cs="Arial"/>
                <w:color w:val="000000" w:themeColor="text1"/>
                <w:sz w:val="20"/>
                <w:szCs w:val="20"/>
              </w:rPr>
            </w:pPr>
          </w:p>
          <w:p w14:paraId="790C0E57" w14:textId="0B21648F"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All applicants may also consider partnering with community-based organizations including early childhood education and afterschool or out of school time providers for alignment and collaboration. </w:t>
            </w:r>
          </w:p>
          <w:p w14:paraId="1E4B7540" w14:textId="7B8A4E8B" w:rsidR="5E8D14FD" w:rsidRDefault="5E8D14FD" w:rsidP="00742E56">
            <w:pPr>
              <w:spacing w:after="0"/>
              <w:rPr>
                <w:rFonts w:ascii="Arial" w:eastAsia="Arial" w:hAnsi="Arial" w:cs="Arial"/>
                <w:color w:val="000000" w:themeColor="text1"/>
                <w:sz w:val="20"/>
                <w:szCs w:val="20"/>
              </w:rPr>
            </w:pPr>
          </w:p>
          <w:p w14:paraId="4E5C840A" w14:textId="7DA346F4" w:rsidR="5E8D14FD" w:rsidRDefault="5E8D14FD" w:rsidP="00B815C2">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Funds </w:t>
            </w:r>
            <w:r w:rsidRPr="4D1D951A">
              <w:rPr>
                <w:rFonts w:ascii="Arial" w:eastAsia="Arial" w:hAnsi="Arial" w:cs="Arial"/>
                <w:b/>
                <w:bCs/>
                <w:color w:val="000000" w:themeColor="text1"/>
                <w:sz w:val="20"/>
                <w:szCs w:val="20"/>
              </w:rPr>
              <w:t>cannot</w:t>
            </w:r>
            <w:r w:rsidRPr="4D1D951A">
              <w:rPr>
                <w:rFonts w:ascii="Arial" w:eastAsia="Arial" w:hAnsi="Arial" w:cs="Arial"/>
                <w:color w:val="000000" w:themeColor="text1"/>
                <w:sz w:val="20"/>
                <w:szCs w:val="20"/>
              </w:rPr>
              <w:t xml:space="preserve"> be used for: electronics (such as iPads, computers, tablets, etc.) or construction.</w:t>
            </w:r>
          </w:p>
        </w:tc>
      </w:tr>
    </w:tbl>
    <w:p w14:paraId="39152995" w14:textId="6F58D5B7" w:rsidR="5E8D14FD" w:rsidRDefault="5E8D14FD" w:rsidP="4D1D951A">
      <w:pPr>
        <w:rPr>
          <w:rFonts w:ascii="Arial" w:eastAsia="Arial" w:hAnsi="Arial" w:cs="Arial"/>
        </w:rPr>
      </w:pPr>
    </w:p>
    <w:sectPr w:rsidR="5E8D1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E208C"/>
    <w:multiLevelType w:val="hybridMultilevel"/>
    <w:tmpl w:val="A9465CCE"/>
    <w:lvl w:ilvl="0" w:tplc="9F74ADF6">
      <w:start w:val="1"/>
      <w:numFmt w:val="bullet"/>
      <w:lvlText w:val=""/>
      <w:lvlJc w:val="left"/>
      <w:pPr>
        <w:ind w:left="720" w:hanging="360"/>
      </w:pPr>
      <w:rPr>
        <w:rFonts w:ascii="Symbol" w:hAnsi="Symbol" w:hint="default"/>
      </w:rPr>
    </w:lvl>
    <w:lvl w:ilvl="1" w:tplc="271A8640">
      <w:start w:val="1"/>
      <w:numFmt w:val="bullet"/>
      <w:lvlText w:val="o"/>
      <w:lvlJc w:val="left"/>
      <w:pPr>
        <w:ind w:left="1440" w:hanging="360"/>
      </w:pPr>
      <w:rPr>
        <w:rFonts w:ascii="Courier New" w:hAnsi="Courier New" w:hint="default"/>
      </w:rPr>
    </w:lvl>
    <w:lvl w:ilvl="2" w:tplc="CE948E3C">
      <w:start w:val="1"/>
      <w:numFmt w:val="bullet"/>
      <w:lvlText w:val=""/>
      <w:lvlJc w:val="left"/>
      <w:pPr>
        <w:ind w:left="2160" w:hanging="360"/>
      </w:pPr>
      <w:rPr>
        <w:rFonts w:ascii="Wingdings" w:hAnsi="Wingdings" w:hint="default"/>
      </w:rPr>
    </w:lvl>
    <w:lvl w:ilvl="3" w:tplc="11C40356">
      <w:start w:val="1"/>
      <w:numFmt w:val="bullet"/>
      <w:lvlText w:val=""/>
      <w:lvlJc w:val="left"/>
      <w:pPr>
        <w:ind w:left="2880" w:hanging="360"/>
      </w:pPr>
      <w:rPr>
        <w:rFonts w:ascii="Symbol" w:hAnsi="Symbol" w:hint="default"/>
      </w:rPr>
    </w:lvl>
    <w:lvl w:ilvl="4" w:tplc="67800DE6">
      <w:start w:val="1"/>
      <w:numFmt w:val="bullet"/>
      <w:lvlText w:val="o"/>
      <w:lvlJc w:val="left"/>
      <w:pPr>
        <w:ind w:left="3600" w:hanging="360"/>
      </w:pPr>
      <w:rPr>
        <w:rFonts w:ascii="Courier New" w:hAnsi="Courier New" w:hint="default"/>
      </w:rPr>
    </w:lvl>
    <w:lvl w:ilvl="5" w:tplc="87FC63E0">
      <w:start w:val="1"/>
      <w:numFmt w:val="bullet"/>
      <w:lvlText w:val=""/>
      <w:lvlJc w:val="left"/>
      <w:pPr>
        <w:ind w:left="4320" w:hanging="360"/>
      </w:pPr>
      <w:rPr>
        <w:rFonts w:ascii="Wingdings" w:hAnsi="Wingdings" w:hint="default"/>
      </w:rPr>
    </w:lvl>
    <w:lvl w:ilvl="6" w:tplc="E4CC29AA">
      <w:start w:val="1"/>
      <w:numFmt w:val="bullet"/>
      <w:lvlText w:val=""/>
      <w:lvlJc w:val="left"/>
      <w:pPr>
        <w:ind w:left="5040" w:hanging="360"/>
      </w:pPr>
      <w:rPr>
        <w:rFonts w:ascii="Symbol" w:hAnsi="Symbol" w:hint="default"/>
      </w:rPr>
    </w:lvl>
    <w:lvl w:ilvl="7" w:tplc="ABC65F1E">
      <w:start w:val="1"/>
      <w:numFmt w:val="bullet"/>
      <w:lvlText w:val="o"/>
      <w:lvlJc w:val="left"/>
      <w:pPr>
        <w:ind w:left="5760" w:hanging="360"/>
      </w:pPr>
      <w:rPr>
        <w:rFonts w:ascii="Courier New" w:hAnsi="Courier New" w:hint="default"/>
      </w:rPr>
    </w:lvl>
    <w:lvl w:ilvl="8" w:tplc="6A06C0DE">
      <w:start w:val="1"/>
      <w:numFmt w:val="bullet"/>
      <w:lvlText w:val=""/>
      <w:lvlJc w:val="left"/>
      <w:pPr>
        <w:ind w:left="6480" w:hanging="360"/>
      </w:pPr>
      <w:rPr>
        <w:rFonts w:ascii="Wingdings" w:hAnsi="Wingdings" w:hint="default"/>
      </w:rPr>
    </w:lvl>
  </w:abstractNum>
  <w:abstractNum w:abstractNumId="1" w15:restartNumberingAfterBreak="0">
    <w:nsid w:val="49144C99"/>
    <w:multiLevelType w:val="hybridMultilevel"/>
    <w:tmpl w:val="7A56B9B0"/>
    <w:lvl w:ilvl="0" w:tplc="047E8EE4">
      <w:start w:val="1"/>
      <w:numFmt w:val="decimal"/>
      <w:lvlText w:val="%1."/>
      <w:lvlJc w:val="left"/>
      <w:pPr>
        <w:ind w:left="720" w:hanging="360"/>
      </w:pPr>
    </w:lvl>
    <w:lvl w:ilvl="1" w:tplc="530447A6">
      <w:start w:val="1"/>
      <w:numFmt w:val="lowerLetter"/>
      <w:lvlText w:val="%2."/>
      <w:lvlJc w:val="left"/>
      <w:pPr>
        <w:ind w:left="1440" w:hanging="360"/>
      </w:pPr>
    </w:lvl>
    <w:lvl w:ilvl="2" w:tplc="2A08BFEC">
      <w:start w:val="1"/>
      <w:numFmt w:val="lowerRoman"/>
      <w:lvlText w:val="%3."/>
      <w:lvlJc w:val="right"/>
      <w:pPr>
        <w:ind w:left="2160" w:hanging="180"/>
      </w:pPr>
    </w:lvl>
    <w:lvl w:ilvl="3" w:tplc="6CF6B658">
      <w:start w:val="1"/>
      <w:numFmt w:val="decimal"/>
      <w:lvlText w:val="%4."/>
      <w:lvlJc w:val="left"/>
      <w:pPr>
        <w:ind w:left="2880" w:hanging="360"/>
      </w:pPr>
    </w:lvl>
    <w:lvl w:ilvl="4" w:tplc="E3EA1848">
      <w:start w:val="1"/>
      <w:numFmt w:val="lowerLetter"/>
      <w:lvlText w:val="%5."/>
      <w:lvlJc w:val="left"/>
      <w:pPr>
        <w:ind w:left="3600" w:hanging="360"/>
      </w:pPr>
    </w:lvl>
    <w:lvl w:ilvl="5" w:tplc="F774A9CA">
      <w:start w:val="1"/>
      <w:numFmt w:val="lowerRoman"/>
      <w:lvlText w:val="%6."/>
      <w:lvlJc w:val="right"/>
      <w:pPr>
        <w:ind w:left="4320" w:hanging="180"/>
      </w:pPr>
    </w:lvl>
    <w:lvl w:ilvl="6" w:tplc="5A721DA4">
      <w:start w:val="1"/>
      <w:numFmt w:val="decimal"/>
      <w:lvlText w:val="%7."/>
      <w:lvlJc w:val="left"/>
      <w:pPr>
        <w:ind w:left="5040" w:hanging="360"/>
      </w:pPr>
    </w:lvl>
    <w:lvl w:ilvl="7" w:tplc="6F9E99C6">
      <w:start w:val="1"/>
      <w:numFmt w:val="lowerLetter"/>
      <w:lvlText w:val="%8."/>
      <w:lvlJc w:val="left"/>
      <w:pPr>
        <w:ind w:left="5760" w:hanging="360"/>
      </w:pPr>
    </w:lvl>
    <w:lvl w:ilvl="8" w:tplc="C70A4AC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376732"/>
    <w:rsid w:val="00184229"/>
    <w:rsid w:val="00286322"/>
    <w:rsid w:val="00363429"/>
    <w:rsid w:val="003A427F"/>
    <w:rsid w:val="005273A1"/>
    <w:rsid w:val="00527D9D"/>
    <w:rsid w:val="005441A7"/>
    <w:rsid w:val="006C54AD"/>
    <w:rsid w:val="00742E56"/>
    <w:rsid w:val="0084431F"/>
    <w:rsid w:val="008A6B24"/>
    <w:rsid w:val="009141B5"/>
    <w:rsid w:val="009A1467"/>
    <w:rsid w:val="00A24AC9"/>
    <w:rsid w:val="00B815C2"/>
    <w:rsid w:val="00BF6692"/>
    <w:rsid w:val="00C41ACC"/>
    <w:rsid w:val="00C633F4"/>
    <w:rsid w:val="00DF5B4F"/>
    <w:rsid w:val="00E72E41"/>
    <w:rsid w:val="00EA6659"/>
    <w:rsid w:val="00F15151"/>
    <w:rsid w:val="0B98DC2C"/>
    <w:rsid w:val="0D9AF55A"/>
    <w:rsid w:val="2B376732"/>
    <w:rsid w:val="4D1D951A"/>
    <w:rsid w:val="5E8D14FD"/>
    <w:rsid w:val="77DB810E"/>
    <w:rsid w:val="7A9A4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6732"/>
  <w15:chartTrackingRefBased/>
  <w15:docId w15:val="{73B5C582-B5C8-4AE7-8D2F-720AD555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C54AD"/>
    <w:rPr>
      <w:sz w:val="16"/>
      <w:szCs w:val="16"/>
    </w:rPr>
  </w:style>
  <w:style w:type="paragraph" w:styleId="CommentText">
    <w:name w:val="annotation text"/>
    <w:basedOn w:val="Normal"/>
    <w:link w:val="CommentTextChar"/>
    <w:uiPriority w:val="99"/>
    <w:semiHidden/>
    <w:unhideWhenUsed/>
    <w:rsid w:val="006C54AD"/>
    <w:pPr>
      <w:spacing w:line="240" w:lineRule="auto"/>
    </w:pPr>
    <w:rPr>
      <w:sz w:val="20"/>
      <w:szCs w:val="20"/>
    </w:rPr>
  </w:style>
  <w:style w:type="character" w:customStyle="1" w:styleId="CommentTextChar">
    <w:name w:val="Comment Text Char"/>
    <w:basedOn w:val="DefaultParagraphFont"/>
    <w:link w:val="CommentText"/>
    <w:uiPriority w:val="99"/>
    <w:semiHidden/>
    <w:rsid w:val="006C54AD"/>
    <w:rPr>
      <w:sz w:val="20"/>
      <w:szCs w:val="20"/>
    </w:rPr>
  </w:style>
  <w:style w:type="paragraph" w:styleId="CommentSubject">
    <w:name w:val="annotation subject"/>
    <w:basedOn w:val="CommentText"/>
    <w:next w:val="CommentText"/>
    <w:link w:val="CommentSubjectChar"/>
    <w:uiPriority w:val="99"/>
    <w:semiHidden/>
    <w:unhideWhenUsed/>
    <w:rsid w:val="006C54AD"/>
    <w:rPr>
      <w:b/>
      <w:bCs/>
    </w:rPr>
  </w:style>
  <w:style w:type="character" w:customStyle="1" w:styleId="CommentSubjectChar">
    <w:name w:val="Comment Subject Char"/>
    <w:basedOn w:val="CommentTextChar"/>
    <w:link w:val="CommentSubject"/>
    <w:uiPriority w:val="99"/>
    <w:semiHidden/>
    <w:rsid w:val="006C54AD"/>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bese/docs/FY2018/2018-01/item10-integrating-services.docx" TargetMode="External"/><Relationship Id="rId13" Type="http://schemas.openxmlformats.org/officeDocument/2006/relationships/hyperlink" Target="http://sassma.org/levers.a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hievement@doe.mas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ma.org/" TargetMode="External"/><Relationship Id="rId5" Type="http://schemas.openxmlformats.org/officeDocument/2006/relationships/styles" Target="styles.xml"/><Relationship Id="rId15" Type="http://schemas.openxmlformats.org/officeDocument/2006/relationships/hyperlink" Target="http://sassma.org/" TargetMode="External"/><Relationship Id="rId10" Type="http://schemas.openxmlformats.org/officeDocument/2006/relationships/hyperlink" Target="http://sassma.org/" TargetMode="External"/><Relationship Id="rId4" Type="http://schemas.openxmlformats.org/officeDocument/2006/relationships/numbering" Target="numbering.xml"/><Relationship Id="rId9" Type="http://schemas.openxmlformats.org/officeDocument/2006/relationships/hyperlink" Target="http://sassma.org/" TargetMode="External"/><Relationship Id="rId14" Type="http://schemas.openxmlformats.org/officeDocument/2006/relationships/hyperlink" Target="http://sassma.org/essentialelemen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1E58E084-8340-49F1-8A26-FBD8C7A5C4E7}">
  <ds:schemaRefs>
    <ds:schemaRef ds:uri="http://schemas.microsoft.com/sharepoint/v3/contenttype/forms"/>
  </ds:schemaRefs>
</ds:datastoreItem>
</file>

<file path=customXml/itemProps2.xml><?xml version="1.0" encoding="utf-8"?>
<ds:datastoreItem xmlns:ds="http://schemas.openxmlformats.org/officeDocument/2006/customXml" ds:itemID="{69A0D430-9726-47B7-849F-8178DEE21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13F19-3A1B-4AB2-AEDC-10956E7BEB81}">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FY23 335 Safe and Supportive Schools Attachment A</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FC335 Safe and Supportive Schools Attachment A</dc:title>
  <dc:subject/>
  <dc:creator>DESE</dc:creator>
  <cp:keywords/>
  <dc:description/>
  <cp:lastModifiedBy>Zou, Dong (EOE)</cp:lastModifiedBy>
  <cp:revision>24</cp:revision>
  <dcterms:created xsi:type="dcterms:W3CDTF">2022-05-13T13:25:00Z</dcterms:created>
  <dcterms:modified xsi:type="dcterms:W3CDTF">2022-05-31T18:21:00Z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