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:rsidRPr="00574937" w14:paraId="0C3258D4" w14:textId="77777777" w:rsidTr="483339AD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E8555FB" w14:textId="2CA40CA5" w:rsidR="00410797" w:rsidRPr="00574937" w:rsidRDefault="00410797" w:rsidP="483339AD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574937">
              <w:rPr>
                <w:b/>
                <w:bCs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713A381E" w:rsidR="00410797" w:rsidRPr="00574937" w:rsidRDefault="00427391">
            <w:pPr>
              <w:pStyle w:val="Heading1"/>
              <w:jc w:val="both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Deeper Learning Implementation Grant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13D72A" w14:textId="4595906B" w:rsidR="00410797" w:rsidRPr="00574937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574937">
              <w:rPr>
                <w:b/>
                <w:sz w:val="22"/>
                <w:szCs w:val="22"/>
              </w:rPr>
              <w:t>FUND CODE:</w:t>
            </w:r>
            <w:r w:rsidR="00372996" w:rsidRPr="00574937">
              <w:rPr>
                <w:sz w:val="22"/>
                <w:szCs w:val="22"/>
              </w:rPr>
              <w:t xml:space="preserve"> </w:t>
            </w:r>
            <w:r w:rsidR="00427391" w:rsidRPr="00574937">
              <w:rPr>
                <w:sz w:val="22"/>
                <w:szCs w:val="22"/>
              </w:rPr>
              <w:t>105</w:t>
            </w:r>
          </w:p>
        </w:tc>
      </w:tr>
      <w:tr w:rsidR="00410797" w:rsidRPr="00574937" w14:paraId="16366702" w14:textId="77777777" w:rsidTr="483339AD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77777777" w:rsidR="00410797" w:rsidRPr="0057493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74937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06D56B" w14:textId="0A898A91" w:rsidR="00410797" w:rsidRPr="00574937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 xml:space="preserve">$ </w:t>
            </w:r>
            <w:r w:rsidR="00427391" w:rsidRPr="00574937">
              <w:rPr>
                <w:sz w:val="22"/>
                <w:szCs w:val="22"/>
              </w:rPr>
              <w:t>500,000</w:t>
            </w:r>
            <w:r w:rsidR="00F648DF" w:rsidRPr="00574937">
              <w:rPr>
                <w:sz w:val="22"/>
                <w:szCs w:val="22"/>
              </w:rPr>
              <w:t xml:space="preserve"> </w:t>
            </w:r>
            <w:r w:rsidRPr="00574937">
              <w:rPr>
                <w:sz w:val="22"/>
                <w:szCs w:val="22"/>
              </w:rPr>
              <w:t>(Federal)</w:t>
            </w:r>
          </w:p>
        </w:tc>
      </w:tr>
      <w:tr w:rsidR="00410797" w:rsidRPr="00574937" w14:paraId="3F43B3FC" w14:textId="77777777" w:rsidTr="483339AD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77777777" w:rsidR="00410797" w:rsidRPr="0057493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74937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93F71" w14:textId="789B2094" w:rsidR="00410797" w:rsidRPr="00574937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372996" w:rsidRPr="00574937">
              <w:rPr>
                <w:sz w:val="22"/>
                <w:szCs w:val="22"/>
              </w:rPr>
              <w:t xml:space="preserve"> </w:t>
            </w:r>
            <w:r w:rsidR="00F648DF" w:rsidRPr="00574937">
              <w:rPr>
                <w:sz w:val="22"/>
                <w:szCs w:val="22"/>
              </w:rPr>
              <w:t>472,653</w:t>
            </w:r>
            <w:r w:rsidR="00372996" w:rsidRPr="00574937">
              <w:rPr>
                <w:sz w:val="22"/>
                <w:szCs w:val="22"/>
              </w:rPr>
              <w:t xml:space="preserve">  </w:t>
            </w:r>
          </w:p>
        </w:tc>
      </w:tr>
      <w:tr w:rsidR="00410797" w:rsidRPr="00574937" w14:paraId="30AE8315" w14:textId="77777777" w:rsidTr="483339AD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C064C" w14:textId="4EEE5E51" w:rsidR="00F648DF" w:rsidRPr="00574937" w:rsidRDefault="00410797" w:rsidP="0057493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74937">
              <w:rPr>
                <w:b/>
                <w:sz w:val="22"/>
                <w:szCs w:val="22"/>
              </w:rPr>
              <w:t xml:space="preserve">PURPOSE: </w:t>
            </w:r>
            <w:r w:rsidR="00F648DF" w:rsidRPr="00574937">
              <w:rPr>
                <w:sz w:val="22"/>
                <w:szCs w:val="22"/>
              </w:rPr>
              <w:t>The Deeper Learning Implementation Grant</w:t>
            </w:r>
            <w:r w:rsidR="00F648DF" w:rsidRPr="00574937">
              <w:rPr>
                <w:color w:val="222222"/>
                <w:sz w:val="22"/>
                <w:szCs w:val="22"/>
              </w:rPr>
              <w:t xml:space="preserve"> will support school and district-based initiatives that advance effective and equitable access to deeper learning experiences—grade-level, real-world, relevant, and interactive—especially for historically underserved students. This competitive grant will provide funding for schools and districts to expand their use of high-quality materials, cultivate effective instructional practices, and develop </w:t>
            </w:r>
            <w:r w:rsidR="00140181" w:rsidRPr="00574937">
              <w:rPr>
                <w:color w:val="222222"/>
                <w:sz w:val="22"/>
                <w:szCs w:val="22"/>
              </w:rPr>
              <w:t xml:space="preserve">high-quality </w:t>
            </w:r>
            <w:r w:rsidR="00F648DF" w:rsidRPr="00574937">
              <w:rPr>
                <w:color w:val="222222"/>
                <w:sz w:val="22"/>
                <w:szCs w:val="22"/>
              </w:rPr>
              <w:t>student learning experiences.</w:t>
            </w:r>
            <w:r w:rsidR="00A90790" w:rsidRPr="00574937">
              <w:rPr>
                <w:color w:val="222222"/>
                <w:sz w:val="22"/>
                <w:szCs w:val="22"/>
              </w:rPr>
              <w:t xml:space="preserve"> </w:t>
            </w:r>
            <w:r w:rsidR="00AD1956" w:rsidRPr="00574937">
              <w:rPr>
                <w:color w:val="222222"/>
                <w:sz w:val="22"/>
                <w:szCs w:val="22"/>
              </w:rPr>
              <w:t>Additionally, t</w:t>
            </w:r>
            <w:r w:rsidR="00A90790" w:rsidRPr="00574937">
              <w:rPr>
                <w:color w:val="222222"/>
                <w:sz w:val="22"/>
                <w:szCs w:val="22"/>
              </w:rPr>
              <w:t>hrough this grant, DESE s</w:t>
            </w:r>
            <w:r w:rsidR="00F648DF" w:rsidRPr="00574937">
              <w:rPr>
                <w:color w:val="222222"/>
                <w:sz w:val="22"/>
                <w:szCs w:val="22"/>
              </w:rPr>
              <w:t xml:space="preserve">eeks to </w:t>
            </w:r>
            <w:r w:rsidR="00AD1956" w:rsidRPr="00574937">
              <w:rPr>
                <w:color w:val="222222"/>
                <w:sz w:val="22"/>
                <w:szCs w:val="22"/>
              </w:rPr>
              <w:t xml:space="preserve">continue </w:t>
            </w:r>
            <w:r w:rsidR="00F648DF" w:rsidRPr="00574937">
              <w:rPr>
                <w:color w:val="222222"/>
                <w:sz w:val="22"/>
                <w:szCs w:val="22"/>
              </w:rPr>
              <w:t>uplift</w:t>
            </w:r>
            <w:r w:rsidR="00AD1956" w:rsidRPr="00574937">
              <w:rPr>
                <w:color w:val="222222"/>
                <w:sz w:val="22"/>
                <w:szCs w:val="22"/>
              </w:rPr>
              <w:t>ing</w:t>
            </w:r>
            <w:r w:rsidR="00F648DF" w:rsidRPr="00574937">
              <w:rPr>
                <w:color w:val="222222"/>
                <w:sz w:val="22"/>
                <w:szCs w:val="22"/>
              </w:rPr>
              <w:t xml:space="preserve"> strong examples of deeper learning implementation in the field. </w:t>
            </w:r>
          </w:p>
          <w:p w14:paraId="6B0DF3E5" w14:textId="77777777" w:rsidR="00F648DF" w:rsidRPr="00574937" w:rsidRDefault="00F648DF" w:rsidP="00F648DF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sz w:val="22"/>
                <w:szCs w:val="22"/>
              </w:rPr>
            </w:pPr>
            <w:r w:rsidRPr="00574937">
              <w:rPr>
                <w:i/>
                <w:iCs/>
                <w:color w:val="222222"/>
                <w:sz w:val="22"/>
                <w:szCs w:val="22"/>
              </w:rPr>
              <w:t>This grant will support schools and districts in the following ways:</w:t>
            </w:r>
          </w:p>
          <w:p w14:paraId="11529207" w14:textId="77777777" w:rsidR="00F648DF" w:rsidRPr="00574937" w:rsidRDefault="00F648DF" w:rsidP="00F648D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/>
              <w:rPr>
                <w:color w:val="222222"/>
                <w:sz w:val="22"/>
                <w:szCs w:val="22"/>
              </w:rPr>
            </w:pPr>
            <w:r w:rsidRPr="00574937">
              <w:rPr>
                <w:color w:val="222222"/>
                <w:sz w:val="22"/>
                <w:szCs w:val="22"/>
              </w:rPr>
              <w:t>Strengthening existing high-quality instructional materials to increase alignment to deeper learning and the Massachusetts Curriculum Frameworks</w:t>
            </w:r>
          </w:p>
          <w:p w14:paraId="27B8D782" w14:textId="77777777" w:rsidR="00F648DF" w:rsidRPr="00574937" w:rsidRDefault="00F648DF" w:rsidP="00F648D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/>
              <w:rPr>
                <w:color w:val="222222"/>
                <w:sz w:val="22"/>
                <w:szCs w:val="22"/>
              </w:rPr>
            </w:pPr>
            <w:r w:rsidRPr="00574937">
              <w:rPr>
                <w:color w:val="222222"/>
                <w:sz w:val="22"/>
                <w:szCs w:val="22"/>
              </w:rPr>
              <w:t>Creating professional development and support for teachers, principals, and coaches to enhance instruction aligned to deeper learning</w:t>
            </w:r>
          </w:p>
          <w:p w14:paraId="79305C35" w14:textId="1D6B757A" w:rsidR="00F648DF" w:rsidRPr="00574937" w:rsidRDefault="00F648DF" w:rsidP="00F648D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/>
              <w:rPr>
                <w:color w:val="222222"/>
                <w:sz w:val="22"/>
                <w:szCs w:val="22"/>
              </w:rPr>
            </w:pPr>
            <w:r w:rsidRPr="00574937">
              <w:rPr>
                <w:color w:val="222222"/>
                <w:sz w:val="22"/>
                <w:szCs w:val="22"/>
              </w:rPr>
              <w:t>Developing student learning experiences aligned to high-quality curricular materials</w:t>
            </w:r>
          </w:p>
          <w:p w14:paraId="4F4E501E" w14:textId="77777777" w:rsidR="00F648DF" w:rsidRPr="00574937" w:rsidRDefault="00F648DF" w:rsidP="00F648D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/>
              <w:rPr>
                <w:color w:val="222222"/>
                <w:sz w:val="22"/>
                <w:szCs w:val="22"/>
              </w:rPr>
            </w:pPr>
            <w:r w:rsidRPr="00574937">
              <w:rPr>
                <w:color w:val="222222"/>
                <w:sz w:val="22"/>
                <w:szCs w:val="22"/>
              </w:rPr>
              <w:t>Development and enactment of deeper learning projects.</w:t>
            </w:r>
          </w:p>
          <w:p w14:paraId="235C8D89" w14:textId="723DD229" w:rsidR="00F648DF" w:rsidRPr="00574937" w:rsidRDefault="00F648DF" w:rsidP="00AD1956">
            <w:pPr>
              <w:pStyle w:val="NormalWeb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</w:p>
        </w:tc>
      </w:tr>
      <w:tr w:rsidR="00410797" w:rsidRPr="00574937" w14:paraId="6559C0FA" w14:textId="77777777" w:rsidTr="483339AD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47060CA4" w:rsidR="00410797" w:rsidRPr="00574937" w:rsidRDefault="00410797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574937">
              <w:rPr>
                <w:b/>
                <w:sz w:val="22"/>
                <w:szCs w:val="22"/>
              </w:rPr>
              <w:t>NUMBER OF PROPOSALS RECEIVED:</w:t>
            </w:r>
            <w:r w:rsidR="005A39CF" w:rsidRPr="00574937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73BB1" w14:textId="1644B15A" w:rsidR="00410797" w:rsidRPr="00574937" w:rsidRDefault="00574937">
            <w:pPr>
              <w:spacing w:after="120"/>
              <w:jc w:val="both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25</w:t>
            </w:r>
          </w:p>
        </w:tc>
      </w:tr>
      <w:tr w:rsidR="00410797" w:rsidRPr="00574937" w14:paraId="761730FA" w14:textId="77777777" w:rsidTr="483339AD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32991566" w:rsidR="00410797" w:rsidRPr="00574937" w:rsidRDefault="00410797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574937">
              <w:rPr>
                <w:b/>
                <w:sz w:val="22"/>
                <w:szCs w:val="22"/>
              </w:rPr>
              <w:t>NUMBER OF PROPOSALS RECOMMENDED:</w:t>
            </w:r>
            <w:r w:rsidR="005A39CF" w:rsidRPr="0057493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2596CF" w14:textId="17F9B6AB" w:rsidR="00410797" w:rsidRPr="00574937" w:rsidRDefault="00574937">
            <w:pPr>
              <w:spacing w:after="120"/>
              <w:jc w:val="both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11</w:t>
            </w:r>
          </w:p>
        </w:tc>
      </w:tr>
      <w:tr w:rsidR="00410797" w:rsidRPr="00574937" w14:paraId="794D6562" w14:textId="77777777" w:rsidTr="483339AD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0BF7D06D" w:rsidR="00410797" w:rsidRPr="00574937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74937">
              <w:rPr>
                <w:b/>
                <w:sz w:val="22"/>
                <w:szCs w:val="22"/>
              </w:rPr>
              <w:t>NUMBER OF PROPOSALS NOT RECOMMENDED:</w:t>
            </w:r>
            <w:r w:rsidR="009A6F01" w:rsidRPr="0057493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7C42B" w14:textId="22A4572D" w:rsidR="00410797" w:rsidRPr="00574937" w:rsidRDefault="00574937">
            <w:pPr>
              <w:spacing w:after="120"/>
              <w:jc w:val="both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14</w:t>
            </w:r>
          </w:p>
        </w:tc>
      </w:tr>
      <w:tr w:rsidR="00410797" w:rsidRPr="00574937" w14:paraId="6A89E767" w14:textId="77777777" w:rsidTr="483339AD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76DE7" w14:textId="5CDA902D" w:rsidR="00196366" w:rsidRPr="00574937" w:rsidRDefault="00410797" w:rsidP="00574937">
            <w:pPr>
              <w:rPr>
                <w:b/>
                <w:sz w:val="22"/>
                <w:szCs w:val="22"/>
              </w:rPr>
            </w:pPr>
            <w:r w:rsidRPr="00574937">
              <w:rPr>
                <w:b/>
                <w:sz w:val="22"/>
                <w:szCs w:val="22"/>
              </w:rPr>
              <w:t xml:space="preserve">RESULT OF FUNDING: </w:t>
            </w:r>
            <w:r w:rsidR="00574937" w:rsidRPr="00574937">
              <w:rPr>
                <w:b/>
                <w:sz w:val="22"/>
                <w:szCs w:val="22"/>
              </w:rPr>
              <w:t xml:space="preserve"> </w:t>
            </w:r>
            <w:r w:rsidR="00265ED5" w:rsidRPr="00574937">
              <w:rPr>
                <w:color w:val="222222"/>
                <w:sz w:val="22"/>
                <w:szCs w:val="22"/>
              </w:rPr>
              <w:t>This grant is a</w:t>
            </w:r>
            <w:r w:rsidR="00A90790" w:rsidRPr="00574937">
              <w:rPr>
                <w:color w:val="222222"/>
                <w:sz w:val="22"/>
                <w:szCs w:val="22"/>
              </w:rPr>
              <w:t xml:space="preserve"> part of a broader DESE effort to understand and spotlight strong and diverse examples of how school and district teams across the Commonwealth are expanding student access to deeper learning. </w:t>
            </w:r>
          </w:p>
          <w:p w14:paraId="5ACFA215" w14:textId="70FDD028" w:rsidR="00063F5A" w:rsidRPr="00574937" w:rsidRDefault="00196366" w:rsidP="00063F5A">
            <w:pPr>
              <w:pStyle w:val="NormalWeb"/>
              <w:shd w:val="clear" w:color="auto" w:fill="FFFFFF"/>
              <w:spacing w:before="0" w:beforeAutospacing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574937">
              <w:rPr>
                <w:color w:val="222222"/>
                <w:sz w:val="22"/>
                <w:szCs w:val="22"/>
                <w:shd w:val="clear" w:color="auto" w:fill="FFFFFF"/>
              </w:rPr>
              <w:t xml:space="preserve">Schools and districts </w:t>
            </w:r>
            <w:r w:rsidR="00A87E2A" w:rsidRPr="00574937">
              <w:rPr>
                <w:color w:val="222222"/>
                <w:sz w:val="22"/>
                <w:szCs w:val="22"/>
                <w:shd w:val="clear" w:color="auto" w:fill="FFFFFF"/>
              </w:rPr>
              <w:t>will</w:t>
            </w:r>
            <w:r w:rsidRPr="00574937">
              <w:rPr>
                <w:color w:val="222222"/>
                <w:sz w:val="22"/>
                <w:szCs w:val="22"/>
                <w:shd w:val="clear" w:color="auto" w:fill="FFFFFF"/>
              </w:rPr>
              <w:t xml:space="preserve"> be asked to share artifacts and learning materials associated with this grant to ensure alignment to key priorities and to uplift best practices across the state.</w:t>
            </w:r>
            <w:r w:rsidR="00A87E2A" w:rsidRPr="00574937">
              <w:rPr>
                <w:color w:val="222222"/>
                <w:sz w:val="22"/>
                <w:szCs w:val="22"/>
                <w:shd w:val="clear" w:color="auto" w:fill="FFFFFF"/>
              </w:rPr>
              <w:t xml:space="preserve"> DESE will also evaluate grant impact. Grant recipients will be required to share a description of the outcomes of the grant, artifacts, and products as requested</w:t>
            </w:r>
            <w:r w:rsidR="00DA064E" w:rsidRPr="00574937">
              <w:rPr>
                <w:color w:val="222222"/>
                <w:sz w:val="22"/>
                <w:szCs w:val="22"/>
                <w:shd w:val="clear" w:color="auto" w:fill="FFFFFF"/>
              </w:rPr>
              <w:t>. R</w:t>
            </w:r>
            <w:r w:rsidR="00A87E2A" w:rsidRPr="00574937">
              <w:rPr>
                <w:color w:val="222222"/>
                <w:sz w:val="22"/>
                <w:szCs w:val="22"/>
                <w:shd w:val="clear" w:color="auto" w:fill="FFFFFF"/>
              </w:rPr>
              <w:t>ecipients may also be required to provide an external evaluator access to observe or attend grant activities</w:t>
            </w:r>
            <w:r w:rsidR="00574937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750BD3F9" w14:textId="77777777" w:rsidR="00063F5A" w:rsidRPr="00574937" w:rsidRDefault="00063F5A">
      <w:pPr>
        <w:jc w:val="both"/>
        <w:rPr>
          <w:sz w:val="22"/>
          <w:szCs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  <w:gridCol w:w="1440"/>
      </w:tblGrid>
      <w:tr w:rsidR="00410797" w:rsidRPr="00574937" w14:paraId="0D3A9C74" w14:textId="77777777" w:rsidTr="00133946">
        <w:trPr>
          <w:cantSplit/>
          <w:trHeight w:val="264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77777777" w:rsidR="00410797" w:rsidRPr="0057493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74937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Pr="0057493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74937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:rsidRPr="00574937" w14:paraId="2557505B" w14:textId="77777777" w:rsidTr="00133946">
        <w:trPr>
          <w:cantSplit/>
          <w:trHeight w:val="50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6ADBCCC2" w:rsidR="00372996" w:rsidRPr="00574937" w:rsidRDefault="00557729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>Boston Public Schools</w:t>
            </w:r>
            <w:r>
              <w:rPr>
                <w:bCs/>
                <w:sz w:val="22"/>
                <w:szCs w:val="22"/>
              </w:rPr>
              <w:t xml:space="preserve"> (</w:t>
            </w:r>
            <w:r w:rsidR="00574937" w:rsidRPr="00574937">
              <w:rPr>
                <w:bCs/>
                <w:sz w:val="22"/>
                <w:szCs w:val="22"/>
              </w:rPr>
              <w:t>J</w:t>
            </w:r>
            <w:r w:rsidR="00032E48" w:rsidRPr="00574937">
              <w:rPr>
                <w:bCs/>
                <w:sz w:val="22"/>
                <w:szCs w:val="22"/>
              </w:rPr>
              <w:t>eremiah E. Burke Middle School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599615BE" w:rsidR="00372996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032E48" w:rsidRPr="00574937">
              <w:rPr>
                <w:sz w:val="22"/>
                <w:szCs w:val="22"/>
              </w:rPr>
              <w:t>92,000</w:t>
            </w:r>
          </w:p>
        </w:tc>
      </w:tr>
      <w:tr w:rsidR="00372996" w:rsidRPr="00574937" w14:paraId="41529082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558160D5" w:rsidR="00372996" w:rsidRPr="00574937" w:rsidRDefault="00032E48" w:rsidP="00574937">
            <w:pPr>
              <w:spacing w:before="20" w:after="20"/>
              <w:rPr>
                <w:bCs/>
                <w:sz w:val="22"/>
                <w:szCs w:val="22"/>
              </w:rPr>
            </w:pPr>
            <w:proofErr w:type="spellStart"/>
            <w:r w:rsidRPr="00574937">
              <w:rPr>
                <w:bCs/>
                <w:sz w:val="22"/>
                <w:szCs w:val="22"/>
              </w:rPr>
              <w:t>Hoosac</w:t>
            </w:r>
            <w:proofErr w:type="spellEnd"/>
            <w:r w:rsidRPr="00574937">
              <w:rPr>
                <w:bCs/>
                <w:sz w:val="22"/>
                <w:szCs w:val="22"/>
              </w:rPr>
              <w:t xml:space="preserve"> Valley </w:t>
            </w:r>
            <w:r w:rsidR="003101D9" w:rsidRPr="00574937">
              <w:rPr>
                <w:bCs/>
                <w:sz w:val="22"/>
                <w:szCs w:val="22"/>
              </w:rPr>
              <w:t>Regional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6DCD0834" w:rsidR="00372996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3101D9" w:rsidRPr="00574937">
              <w:rPr>
                <w:sz w:val="22"/>
                <w:szCs w:val="22"/>
              </w:rPr>
              <w:t>60,000</w:t>
            </w:r>
          </w:p>
        </w:tc>
      </w:tr>
      <w:tr w:rsidR="00372996" w:rsidRPr="00574937" w14:paraId="54E1A07B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537E23F6" w:rsidR="00372996" w:rsidRPr="00574937" w:rsidRDefault="003101D9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>Lunenburg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6DC0A3E1" w:rsidR="00372996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29537A" w:rsidRPr="00574937">
              <w:rPr>
                <w:sz w:val="22"/>
                <w:szCs w:val="22"/>
              </w:rPr>
              <w:t>21,520</w:t>
            </w:r>
          </w:p>
        </w:tc>
      </w:tr>
      <w:tr w:rsidR="00372996" w:rsidRPr="00574937" w14:paraId="4338704C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327DD5C4" w:rsidR="00372996" w:rsidRPr="00574937" w:rsidRDefault="0029537A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>Medway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125BEBA6" w:rsidR="00372996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29537A" w:rsidRPr="00574937">
              <w:rPr>
                <w:sz w:val="22"/>
                <w:szCs w:val="22"/>
              </w:rPr>
              <w:t>40,000</w:t>
            </w:r>
          </w:p>
        </w:tc>
      </w:tr>
      <w:tr w:rsidR="00372996" w:rsidRPr="00574937" w14:paraId="34AB2A19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47D8406E" w:rsidR="00372996" w:rsidRPr="00574937" w:rsidRDefault="0029537A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 xml:space="preserve">Mendon-Upton Regional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6B6BEAFC" w:rsidR="00372996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096599" w:rsidRPr="00574937">
              <w:rPr>
                <w:sz w:val="22"/>
                <w:szCs w:val="22"/>
              </w:rPr>
              <w:t>36,100</w:t>
            </w:r>
          </w:p>
        </w:tc>
      </w:tr>
      <w:tr w:rsidR="00372996" w:rsidRPr="00574937" w14:paraId="7EE361BA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5825E7D1" w:rsidR="00372996" w:rsidRPr="00574937" w:rsidRDefault="00096599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>Milford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2622C1C8" w:rsidR="00372996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096599" w:rsidRPr="00574937">
              <w:rPr>
                <w:sz w:val="22"/>
                <w:szCs w:val="22"/>
              </w:rPr>
              <w:t>30,167</w:t>
            </w:r>
          </w:p>
        </w:tc>
      </w:tr>
      <w:tr w:rsidR="00372996" w:rsidRPr="00574937" w14:paraId="5E06D2ED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0B0DEE38" w:rsidR="00372996" w:rsidRPr="00574937" w:rsidRDefault="00096599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 xml:space="preserve">Needham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1E70CF6E" w:rsidR="00372996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096599" w:rsidRPr="00574937">
              <w:rPr>
                <w:sz w:val="22"/>
                <w:szCs w:val="22"/>
              </w:rPr>
              <w:t>14,026</w:t>
            </w:r>
          </w:p>
        </w:tc>
      </w:tr>
      <w:tr w:rsidR="007B2582" w:rsidRPr="00574937" w14:paraId="5E65AE64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B01B" w14:textId="23EBA82C" w:rsidR="007B2582" w:rsidRPr="00574937" w:rsidRDefault="00525A91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 xml:space="preserve">New Bedford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EC5C4" w14:textId="68D26428" w:rsidR="007B2582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525A91" w:rsidRPr="00574937">
              <w:rPr>
                <w:sz w:val="22"/>
                <w:szCs w:val="22"/>
              </w:rPr>
              <w:t>60,000</w:t>
            </w:r>
          </w:p>
        </w:tc>
      </w:tr>
      <w:tr w:rsidR="007B2582" w:rsidRPr="00574937" w14:paraId="7E142AFE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2963" w14:textId="4750B569" w:rsidR="007B2582" w:rsidRPr="00574937" w:rsidRDefault="00454FCB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 xml:space="preserve">New Heights Charter School of Brockton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ACDC" w14:textId="6A595162" w:rsidR="007B2582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454FCB" w:rsidRPr="00574937">
              <w:rPr>
                <w:sz w:val="22"/>
                <w:szCs w:val="22"/>
              </w:rPr>
              <w:t>19,000</w:t>
            </w:r>
          </w:p>
        </w:tc>
      </w:tr>
      <w:tr w:rsidR="007B2582" w:rsidRPr="00574937" w14:paraId="6AC07A10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3F84" w14:textId="6EE81104" w:rsidR="007B2582" w:rsidRPr="00574937" w:rsidRDefault="00454FCB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 xml:space="preserve">Revere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A4DD" w14:textId="7F940A4B" w:rsidR="007B2582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A914D0" w:rsidRPr="00574937">
              <w:rPr>
                <w:sz w:val="22"/>
                <w:szCs w:val="22"/>
              </w:rPr>
              <w:t>45,000</w:t>
            </w:r>
          </w:p>
        </w:tc>
      </w:tr>
      <w:tr w:rsidR="007B2582" w:rsidRPr="00574937" w14:paraId="3CF1775C" w14:textId="77777777" w:rsidTr="00133946">
        <w:trPr>
          <w:cantSplit/>
          <w:trHeight w:val="65"/>
        </w:trPr>
        <w:tc>
          <w:tcPr>
            <w:tcW w:w="9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B876" w14:textId="15DDAB04" w:rsidR="007B2582" w:rsidRPr="00574937" w:rsidRDefault="00A914D0" w:rsidP="00574937">
            <w:pPr>
              <w:spacing w:before="20" w:after="20"/>
              <w:rPr>
                <w:bCs/>
                <w:sz w:val="22"/>
                <w:szCs w:val="22"/>
              </w:rPr>
            </w:pPr>
            <w:r w:rsidRPr="00574937">
              <w:rPr>
                <w:bCs/>
                <w:sz w:val="22"/>
                <w:szCs w:val="22"/>
              </w:rPr>
              <w:t xml:space="preserve">West Bridgewater Public Schools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25A" w14:textId="6D5BDC73" w:rsidR="007B2582" w:rsidRPr="00574937" w:rsidRDefault="00574937" w:rsidP="00D57F6E">
            <w:pPr>
              <w:spacing w:before="20" w:after="20"/>
              <w:jc w:val="right"/>
              <w:rPr>
                <w:sz w:val="22"/>
                <w:szCs w:val="22"/>
              </w:rPr>
            </w:pPr>
            <w:r w:rsidRPr="00574937">
              <w:rPr>
                <w:sz w:val="22"/>
                <w:szCs w:val="22"/>
              </w:rPr>
              <w:t>$</w:t>
            </w:r>
            <w:r w:rsidR="00A914D0" w:rsidRPr="00574937">
              <w:rPr>
                <w:sz w:val="22"/>
                <w:szCs w:val="22"/>
              </w:rPr>
              <w:t>54,840</w:t>
            </w:r>
          </w:p>
        </w:tc>
      </w:tr>
      <w:tr w:rsidR="00372996" w:rsidRPr="00574937" w14:paraId="1AE7CC78" w14:textId="77777777" w:rsidTr="00133946">
        <w:trPr>
          <w:cantSplit/>
          <w:trHeight w:val="138"/>
        </w:trPr>
        <w:tc>
          <w:tcPr>
            <w:tcW w:w="939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0B0D866A" w:rsidR="00372996" w:rsidRPr="00574937" w:rsidRDefault="00372996" w:rsidP="00FA17BE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937">
              <w:rPr>
                <w:rFonts w:ascii="Times New Roman" w:hAnsi="Times New Roman"/>
                <w:sz w:val="22"/>
                <w:szCs w:val="22"/>
              </w:rPr>
              <w:t>TOTAL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20EA5A47" w:rsidR="00372996" w:rsidRPr="00574937" w:rsidRDefault="00574937" w:rsidP="007B2582">
            <w:pPr>
              <w:spacing w:before="20" w:after="20"/>
              <w:jc w:val="right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74937">
              <w:rPr>
                <w:b/>
                <w:bCs/>
                <w:snapToGrid w:val="0"/>
                <w:color w:val="000000"/>
                <w:sz w:val="22"/>
                <w:szCs w:val="22"/>
              </w:rPr>
              <w:t>$</w:t>
            </w:r>
            <w:r w:rsidR="00B171AF" w:rsidRPr="00574937">
              <w:rPr>
                <w:b/>
                <w:bCs/>
                <w:snapToGrid w:val="0"/>
                <w:color w:val="000000"/>
                <w:sz w:val="22"/>
                <w:szCs w:val="22"/>
              </w:rPr>
              <w:t>472</w:t>
            </w:r>
            <w:r w:rsidR="00953DC8" w:rsidRPr="00574937">
              <w:rPr>
                <w:b/>
                <w:bCs/>
                <w:snapToGrid w:val="0"/>
                <w:color w:val="000000"/>
                <w:sz w:val="22"/>
                <w:szCs w:val="22"/>
              </w:rPr>
              <w:t>,653</w:t>
            </w:r>
          </w:p>
        </w:tc>
      </w:tr>
    </w:tbl>
    <w:p w14:paraId="499BD57C" w14:textId="36D0544A" w:rsidR="00410797" w:rsidRPr="00574937" w:rsidRDefault="00410797">
      <w:pPr>
        <w:spacing w:before="60" w:after="60"/>
        <w:jc w:val="both"/>
        <w:rPr>
          <w:sz w:val="22"/>
          <w:szCs w:val="22"/>
        </w:rPr>
      </w:pPr>
    </w:p>
    <w:p w14:paraId="713E7039" w14:textId="036436A4" w:rsidR="008C75E2" w:rsidRPr="00574937" w:rsidRDefault="008C75E2">
      <w:pPr>
        <w:spacing w:before="60" w:after="60"/>
        <w:jc w:val="both"/>
        <w:rPr>
          <w:sz w:val="22"/>
          <w:szCs w:val="22"/>
        </w:rPr>
      </w:pPr>
    </w:p>
    <w:p w14:paraId="3690F5D7" w14:textId="7233FEC9" w:rsidR="008C75E2" w:rsidRPr="00574937" w:rsidRDefault="008C75E2">
      <w:pPr>
        <w:spacing w:before="60" w:after="60"/>
        <w:jc w:val="both"/>
        <w:rPr>
          <w:sz w:val="22"/>
          <w:szCs w:val="22"/>
        </w:rPr>
      </w:pPr>
    </w:p>
    <w:p w14:paraId="6CDA87FF" w14:textId="633381AE" w:rsidR="004B2B60" w:rsidRPr="00574937" w:rsidRDefault="004B2B60" w:rsidP="004309F7">
      <w:pPr>
        <w:rPr>
          <w:sz w:val="22"/>
          <w:szCs w:val="22"/>
        </w:rPr>
        <w:sectPr w:rsidR="004B2B60" w:rsidRPr="00574937" w:rsidSect="00F11240">
          <w:type w:val="continuous"/>
          <w:pgSz w:w="12240" w:h="15840"/>
          <w:pgMar w:top="720" w:right="720" w:bottom="432" w:left="720" w:header="720" w:footer="720" w:gutter="0"/>
          <w:cols w:space="720"/>
          <w:formProt w:val="0"/>
        </w:sectPr>
      </w:pPr>
    </w:p>
    <w:p w14:paraId="12F82B90" w14:textId="7AEB01DA" w:rsidR="00A00075" w:rsidRPr="00574937" w:rsidRDefault="00A00075" w:rsidP="004309F7">
      <w:pPr>
        <w:spacing w:before="60" w:after="60"/>
        <w:jc w:val="both"/>
        <w:rPr>
          <w:sz w:val="22"/>
          <w:szCs w:val="22"/>
        </w:rPr>
      </w:pPr>
    </w:p>
    <w:sectPr w:rsidR="00A00075" w:rsidRPr="00574937" w:rsidSect="00A00075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2478E"/>
    <w:multiLevelType w:val="hybridMultilevel"/>
    <w:tmpl w:val="BD260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D2E7A"/>
    <w:multiLevelType w:val="multilevel"/>
    <w:tmpl w:val="54C0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32E48"/>
    <w:rsid w:val="00063F5A"/>
    <w:rsid w:val="00096599"/>
    <w:rsid w:val="000C6C68"/>
    <w:rsid w:val="00133946"/>
    <w:rsid w:val="00140181"/>
    <w:rsid w:val="001522C7"/>
    <w:rsid w:val="00196366"/>
    <w:rsid w:val="001A433F"/>
    <w:rsid w:val="001B5362"/>
    <w:rsid w:val="001B78A6"/>
    <w:rsid w:val="001C6572"/>
    <w:rsid w:val="001E2790"/>
    <w:rsid w:val="00224F8E"/>
    <w:rsid w:val="00265ED5"/>
    <w:rsid w:val="0029537A"/>
    <w:rsid w:val="002D5121"/>
    <w:rsid w:val="003101D9"/>
    <w:rsid w:val="0031794D"/>
    <w:rsid w:val="003226AE"/>
    <w:rsid w:val="00330653"/>
    <w:rsid w:val="00351281"/>
    <w:rsid w:val="00372996"/>
    <w:rsid w:val="00410797"/>
    <w:rsid w:val="00427391"/>
    <w:rsid w:val="00427DA8"/>
    <w:rsid w:val="004309F7"/>
    <w:rsid w:val="00454FCB"/>
    <w:rsid w:val="0049368D"/>
    <w:rsid w:val="004B0BA0"/>
    <w:rsid w:val="004B2B60"/>
    <w:rsid w:val="00521A12"/>
    <w:rsid w:val="00525A91"/>
    <w:rsid w:val="00534FE7"/>
    <w:rsid w:val="00542157"/>
    <w:rsid w:val="00557729"/>
    <w:rsid w:val="005736D2"/>
    <w:rsid w:val="00574937"/>
    <w:rsid w:val="005A39CF"/>
    <w:rsid w:val="006040C0"/>
    <w:rsid w:val="00634CDE"/>
    <w:rsid w:val="00652A79"/>
    <w:rsid w:val="006D71B2"/>
    <w:rsid w:val="00730E52"/>
    <w:rsid w:val="007506C8"/>
    <w:rsid w:val="00763AFE"/>
    <w:rsid w:val="007911BB"/>
    <w:rsid w:val="007B2582"/>
    <w:rsid w:val="007D0D4F"/>
    <w:rsid w:val="008256FF"/>
    <w:rsid w:val="00837F08"/>
    <w:rsid w:val="00842E20"/>
    <w:rsid w:val="008941CA"/>
    <w:rsid w:val="008B2255"/>
    <w:rsid w:val="008C75E2"/>
    <w:rsid w:val="008D1631"/>
    <w:rsid w:val="008F2001"/>
    <w:rsid w:val="008F7D25"/>
    <w:rsid w:val="00920656"/>
    <w:rsid w:val="00953DC8"/>
    <w:rsid w:val="009A6F01"/>
    <w:rsid w:val="00A00075"/>
    <w:rsid w:val="00A5488D"/>
    <w:rsid w:val="00A87E2A"/>
    <w:rsid w:val="00A90790"/>
    <w:rsid w:val="00A914D0"/>
    <w:rsid w:val="00AD1956"/>
    <w:rsid w:val="00AF1A04"/>
    <w:rsid w:val="00B171AF"/>
    <w:rsid w:val="00B23916"/>
    <w:rsid w:val="00B329DA"/>
    <w:rsid w:val="00B95331"/>
    <w:rsid w:val="00BA484A"/>
    <w:rsid w:val="00C056D3"/>
    <w:rsid w:val="00C34967"/>
    <w:rsid w:val="00C44806"/>
    <w:rsid w:val="00C721A9"/>
    <w:rsid w:val="00CA7AEE"/>
    <w:rsid w:val="00CF534A"/>
    <w:rsid w:val="00CF5517"/>
    <w:rsid w:val="00D85054"/>
    <w:rsid w:val="00D96130"/>
    <w:rsid w:val="00DA064E"/>
    <w:rsid w:val="00DA73E5"/>
    <w:rsid w:val="00DB56D5"/>
    <w:rsid w:val="00DC2018"/>
    <w:rsid w:val="00E9565D"/>
    <w:rsid w:val="00F11240"/>
    <w:rsid w:val="00F4222C"/>
    <w:rsid w:val="00F648DF"/>
    <w:rsid w:val="00FA17BE"/>
    <w:rsid w:val="00FA7D48"/>
    <w:rsid w:val="00FA7FF2"/>
    <w:rsid w:val="36236961"/>
    <w:rsid w:val="483339AD"/>
    <w:rsid w:val="586423C0"/>
    <w:rsid w:val="5B896E40"/>
    <w:rsid w:val="6204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648D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48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/>
        <AccountId xsi:nil="true"/>
        <AccountType/>
      </UserInfo>
    </SharedWithUsers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9A050EE6-BE50-4583-8875-0A5212F29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FY23 105 Board Pacakge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FC105 Board Pacakge</dc:title>
  <dc:creator>DESE</dc:creator>
  <cp:lastModifiedBy>Zou, Dong (EOE)</cp:lastModifiedBy>
  <cp:revision>43</cp:revision>
  <cp:lastPrinted>2001-07-23T18:06:00Z</cp:lastPrinted>
  <dcterms:created xsi:type="dcterms:W3CDTF">2023-02-23T20:14:00Z</dcterms:created>
  <dcterms:modified xsi:type="dcterms:W3CDTF">2023-03-29T20:56:00Z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29 2023 12:00AM</vt:lpwstr>
  </property>
</Properties>
</file>