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6FBDD2C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1DB9BF9" w:rsidR="00410797" w:rsidRDefault="007B4D5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Math</w:t>
            </w:r>
            <w:r w:rsidR="007315F8">
              <w:rPr>
                <w:sz w:val="22"/>
              </w:rPr>
              <w:t xml:space="preserve"> </w:t>
            </w:r>
            <w:r w:rsidR="00827401">
              <w:rPr>
                <w:sz w:val="22"/>
              </w:rPr>
              <w:t>Acceleration Academ</w:t>
            </w:r>
            <w:r>
              <w:rPr>
                <w:sz w:val="22"/>
              </w:rPr>
              <w:t>ies</w:t>
            </w:r>
            <w:r w:rsidR="00827401">
              <w:rPr>
                <w:sz w:val="22"/>
              </w:rPr>
              <w:t xml:space="preserve">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2D1BDA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315F8">
              <w:rPr>
                <w:sz w:val="22"/>
              </w:rPr>
              <w:t>12</w:t>
            </w:r>
            <w:r w:rsidR="007B4D54">
              <w:rPr>
                <w:sz w:val="22"/>
              </w:rPr>
              <w:t>5</w:t>
            </w:r>
          </w:p>
        </w:tc>
      </w:tr>
      <w:tr w:rsidR="00410797" w14:paraId="16366702" w14:textId="77777777" w:rsidTr="6FBDD2C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DF1B3C7" w:rsidR="00410797" w:rsidRPr="00AA0D43" w:rsidRDefault="00410797" w:rsidP="5B60295E">
            <w:pPr>
              <w:spacing w:after="120"/>
              <w:jc w:val="both"/>
              <w:rPr>
                <w:sz w:val="22"/>
                <w:szCs w:val="22"/>
              </w:rPr>
            </w:pPr>
            <w:r w:rsidRPr="48F6C493">
              <w:rPr>
                <w:sz w:val="22"/>
                <w:szCs w:val="22"/>
              </w:rPr>
              <w:t>$</w:t>
            </w:r>
            <w:r w:rsidR="22DDFD38" w:rsidRPr="48F6C493">
              <w:rPr>
                <w:snapToGrid w:val="0"/>
                <w:color w:val="000000"/>
                <w:sz w:val="22"/>
                <w:szCs w:val="22"/>
              </w:rPr>
              <w:t>3,0</w:t>
            </w:r>
            <w:r w:rsidR="2D8DB2A7" w:rsidRPr="48F6C493">
              <w:rPr>
                <w:snapToGrid w:val="0"/>
                <w:color w:val="000000"/>
                <w:sz w:val="22"/>
                <w:szCs w:val="22"/>
              </w:rPr>
              <w:t>3</w:t>
            </w:r>
            <w:r w:rsidR="0063378A">
              <w:rPr>
                <w:snapToGrid w:val="0"/>
                <w:color w:val="000000"/>
                <w:sz w:val="22"/>
                <w:szCs w:val="22"/>
              </w:rPr>
              <w:t>6</w:t>
            </w:r>
            <w:r w:rsidR="22DDFD38" w:rsidRPr="48F6C493">
              <w:rPr>
                <w:snapToGrid w:val="0"/>
                <w:color w:val="000000"/>
                <w:sz w:val="22"/>
                <w:szCs w:val="22"/>
              </w:rPr>
              <w:t xml:space="preserve">,845 </w:t>
            </w:r>
            <w:r w:rsidRPr="2486F04C">
              <w:rPr>
                <w:sz w:val="22"/>
                <w:szCs w:val="22"/>
              </w:rPr>
              <w:t>(Federal</w:t>
            </w:r>
            <w:r w:rsidR="007315F8" w:rsidRPr="2486F04C">
              <w:rPr>
                <w:sz w:val="22"/>
                <w:szCs w:val="22"/>
              </w:rPr>
              <w:t xml:space="preserve"> – ESSER</w:t>
            </w:r>
            <w:r w:rsidRPr="2486F04C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6FBDD2C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FC3664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FC3664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40D56858" w:rsidR="00410797" w:rsidRPr="00FC3664" w:rsidRDefault="00FC3664" w:rsidP="5B60295E">
            <w:pPr>
              <w:spacing w:after="120"/>
              <w:jc w:val="both"/>
              <w:rPr>
                <w:sz w:val="22"/>
                <w:szCs w:val="22"/>
              </w:rPr>
            </w:pPr>
            <w:r w:rsidRPr="006E3250">
              <w:rPr>
                <w:sz w:val="22"/>
                <w:szCs w:val="22"/>
              </w:rPr>
              <w:t>$3,081,845</w:t>
            </w:r>
          </w:p>
        </w:tc>
      </w:tr>
      <w:tr w:rsidR="00410797" w14:paraId="30AE8315" w14:textId="77777777" w:rsidTr="6FBDD2C0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73E81" w14:textId="06694AF1" w:rsidR="00095201" w:rsidRPr="006E2BF9" w:rsidRDefault="00410797" w:rsidP="00271F7C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PURPOSE:</w:t>
            </w:r>
            <w:r w:rsidR="006E2BF9">
              <w:rPr>
                <w:b/>
                <w:sz w:val="22"/>
              </w:rPr>
              <w:t xml:space="preserve"> </w:t>
            </w:r>
            <w:r w:rsidR="00271F7C" w:rsidRPr="00271F7C">
              <w:rPr>
                <w:bCs/>
                <w:sz w:val="22"/>
              </w:rPr>
              <w:t>The purpose of this competitive grant is to fund the implementation of a specific strategic initiative, the Acceleration Academies, to help accelerate the learning of students most affected by the COVID-19 pandemic.</w:t>
            </w:r>
          </w:p>
          <w:p w14:paraId="35C95D75" w14:textId="276833A9" w:rsidR="00410797" w:rsidRDefault="00271F7C" w:rsidP="48F6C493">
            <w:pPr>
              <w:spacing w:after="120"/>
              <w:jc w:val="both"/>
              <w:rPr>
                <w:sz w:val="22"/>
                <w:szCs w:val="22"/>
              </w:rPr>
            </w:pPr>
            <w:r w:rsidRPr="48F6C493">
              <w:rPr>
                <w:sz w:val="22"/>
                <w:szCs w:val="22"/>
              </w:rPr>
              <w:t>Funds from this grant can be used to support the implementation of math focused Acceleration Academies for students in grades 3 through 10. The Math Acceleration Academies must take place during the February and/or April school vacation weeks of the 202</w:t>
            </w:r>
            <w:r w:rsidR="549332ED" w:rsidRPr="48F6C493">
              <w:rPr>
                <w:sz w:val="22"/>
                <w:szCs w:val="22"/>
              </w:rPr>
              <w:t>2</w:t>
            </w:r>
            <w:r w:rsidRPr="48F6C493">
              <w:rPr>
                <w:sz w:val="22"/>
                <w:szCs w:val="22"/>
              </w:rPr>
              <w:t>-202</w:t>
            </w:r>
            <w:r w:rsidR="3E17EF07" w:rsidRPr="48F6C493">
              <w:rPr>
                <w:sz w:val="22"/>
                <w:szCs w:val="22"/>
              </w:rPr>
              <w:t>3</w:t>
            </w:r>
            <w:r w:rsidRPr="48F6C493">
              <w:rPr>
                <w:sz w:val="22"/>
                <w:szCs w:val="22"/>
              </w:rPr>
              <w:t xml:space="preserve"> school year.</w:t>
            </w:r>
          </w:p>
          <w:p w14:paraId="235C8D89" w14:textId="106CB787" w:rsidR="006E2BF9" w:rsidRPr="00095201" w:rsidRDefault="006E2BF9" w:rsidP="007B2582">
            <w:pPr>
              <w:spacing w:after="120"/>
              <w:jc w:val="both"/>
              <w:rPr>
                <w:bCs/>
                <w:sz w:val="22"/>
              </w:rPr>
            </w:pPr>
          </w:p>
        </w:tc>
      </w:tr>
      <w:tr w:rsidR="00410797" w14:paraId="6559C0FA" w14:textId="77777777" w:rsidTr="6FBDD2C0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4838822" w:rsidR="00410797" w:rsidRPr="00AA0D43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>NUMBER OF PROPOSALS RECEIVED:</w:t>
            </w:r>
            <w:r w:rsidR="34017EB1" w:rsidRPr="48F6C49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527BD2A" w:rsidR="00410797" w:rsidRPr="00AA0D43" w:rsidRDefault="007B06D3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10797" w14:paraId="761730FA" w14:textId="77777777" w:rsidTr="6FBDD2C0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57ECC102" w:rsidR="00410797" w:rsidRPr="00AA0D43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>NUMBER OF PROPOSALS RECOMMENDED:</w:t>
            </w:r>
            <w:r w:rsidR="558AA4D6" w:rsidRPr="48F6C49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F5ED9D3" w:rsidR="00410797" w:rsidRPr="00AA0D43" w:rsidRDefault="007B06D3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10797" w14:paraId="794D6562" w14:textId="77777777" w:rsidTr="6FBDD2C0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350A58C5" w:rsidR="00410797" w:rsidRDefault="00410797" w:rsidP="48F6C49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FBDD2C0">
              <w:rPr>
                <w:b/>
                <w:bCs/>
                <w:sz w:val="22"/>
                <w:szCs w:val="22"/>
              </w:rPr>
              <w:t>NUMBER OF PROPOSALS NOT RECOMMENDED:</w:t>
            </w:r>
            <w:r w:rsidR="0CEE2495" w:rsidRPr="6FBDD2C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0AE6D" w14:textId="77777777" w:rsidR="00410797" w:rsidRDefault="007B06D3" w:rsidP="5B602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097C42B" w14:textId="68FC3DED" w:rsidR="007B06D3" w:rsidRDefault="007B06D3" w:rsidP="5B60295E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410797" w14:paraId="6A89E767" w14:textId="77777777" w:rsidTr="6FBDD2C0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2D47AA27" w:rsidR="00D85054" w:rsidRPr="009F2CC1" w:rsidRDefault="00410797" w:rsidP="5B60295E">
            <w:pPr>
              <w:rPr>
                <w:sz w:val="22"/>
                <w:szCs w:val="22"/>
              </w:rPr>
            </w:pPr>
            <w:r w:rsidRPr="48F6C493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E220AD" w:rsidRPr="48F6C493">
              <w:rPr>
                <w:sz w:val="22"/>
                <w:szCs w:val="22"/>
              </w:rPr>
              <w:t xml:space="preserve">This grant opportunity will support the implementation </w:t>
            </w:r>
            <w:r w:rsidR="0008114B" w:rsidRPr="48F6C493">
              <w:rPr>
                <w:sz w:val="22"/>
                <w:szCs w:val="22"/>
              </w:rPr>
              <w:t xml:space="preserve">of Math Acceleration Academies in </w:t>
            </w:r>
            <w:r w:rsidR="4426356B" w:rsidRPr="48F6C493">
              <w:rPr>
                <w:sz w:val="22"/>
                <w:szCs w:val="22"/>
              </w:rPr>
              <w:t>32</w:t>
            </w:r>
            <w:r w:rsidR="0008114B" w:rsidRPr="48F6C493">
              <w:rPr>
                <w:sz w:val="22"/>
                <w:szCs w:val="22"/>
              </w:rPr>
              <w:t xml:space="preserve"> schools/districts.</w:t>
            </w:r>
            <w:r w:rsidR="002C5D9D" w:rsidRPr="48F6C493">
              <w:rPr>
                <w:sz w:val="22"/>
                <w:szCs w:val="22"/>
              </w:rPr>
              <w:t xml:space="preserve"> </w:t>
            </w:r>
            <w:r w:rsidR="43362D84" w:rsidRPr="48F6C493">
              <w:rPr>
                <w:sz w:val="22"/>
                <w:szCs w:val="22"/>
              </w:rPr>
              <w:t>Five</w:t>
            </w:r>
            <w:r w:rsidR="008A14D9" w:rsidRPr="48F6C493">
              <w:rPr>
                <w:sz w:val="22"/>
                <w:szCs w:val="22"/>
              </w:rPr>
              <w:t xml:space="preserve"> (</w:t>
            </w:r>
            <w:r w:rsidR="759190F1" w:rsidRPr="48F6C493">
              <w:rPr>
                <w:sz w:val="22"/>
                <w:szCs w:val="22"/>
              </w:rPr>
              <w:t>5</w:t>
            </w:r>
            <w:r w:rsidR="008A14D9" w:rsidRPr="48F6C493">
              <w:rPr>
                <w:sz w:val="22"/>
                <w:szCs w:val="22"/>
              </w:rPr>
              <w:t>)</w:t>
            </w:r>
            <w:r w:rsidR="0008114B" w:rsidRPr="48F6C493">
              <w:rPr>
                <w:sz w:val="22"/>
                <w:szCs w:val="22"/>
              </w:rPr>
              <w:t xml:space="preserve"> schools/districts </w:t>
            </w:r>
            <w:r w:rsidR="00386C98" w:rsidRPr="48F6C493">
              <w:rPr>
                <w:sz w:val="22"/>
                <w:szCs w:val="22"/>
              </w:rPr>
              <w:t>plan to</w:t>
            </w:r>
            <w:r w:rsidR="0008114B" w:rsidRPr="48F6C493">
              <w:rPr>
                <w:sz w:val="22"/>
                <w:szCs w:val="22"/>
              </w:rPr>
              <w:t xml:space="preserve"> run Math Acceleration </w:t>
            </w:r>
            <w:r w:rsidR="004355C5" w:rsidRPr="48F6C493">
              <w:rPr>
                <w:sz w:val="22"/>
                <w:szCs w:val="22"/>
              </w:rPr>
              <w:t xml:space="preserve">Academies in February </w:t>
            </w:r>
            <w:r w:rsidR="005C6417" w:rsidRPr="48F6C493">
              <w:rPr>
                <w:sz w:val="22"/>
                <w:szCs w:val="22"/>
              </w:rPr>
              <w:t xml:space="preserve">only, </w:t>
            </w:r>
            <w:r w:rsidR="594B4124" w:rsidRPr="48F6C493">
              <w:rPr>
                <w:sz w:val="22"/>
                <w:szCs w:val="22"/>
              </w:rPr>
              <w:t>three</w:t>
            </w:r>
            <w:r w:rsidR="00DF31B4" w:rsidRPr="48F6C493">
              <w:rPr>
                <w:sz w:val="22"/>
                <w:szCs w:val="22"/>
              </w:rPr>
              <w:t xml:space="preserve"> (</w:t>
            </w:r>
            <w:r w:rsidR="7A778848" w:rsidRPr="48F6C493">
              <w:rPr>
                <w:sz w:val="22"/>
                <w:szCs w:val="22"/>
              </w:rPr>
              <w:t>3</w:t>
            </w:r>
            <w:r w:rsidR="00DF31B4" w:rsidRPr="48F6C493">
              <w:rPr>
                <w:sz w:val="22"/>
                <w:szCs w:val="22"/>
              </w:rPr>
              <w:t>)</w:t>
            </w:r>
            <w:r w:rsidR="004355C5" w:rsidRPr="48F6C493">
              <w:rPr>
                <w:sz w:val="22"/>
                <w:szCs w:val="22"/>
              </w:rPr>
              <w:t xml:space="preserve"> </w:t>
            </w:r>
            <w:r w:rsidR="00386C98" w:rsidRPr="48F6C493">
              <w:rPr>
                <w:sz w:val="22"/>
                <w:szCs w:val="22"/>
              </w:rPr>
              <w:t>plan to</w:t>
            </w:r>
            <w:r w:rsidR="004355C5" w:rsidRPr="48F6C493">
              <w:rPr>
                <w:sz w:val="22"/>
                <w:szCs w:val="22"/>
              </w:rPr>
              <w:t xml:space="preserve"> run Math Acceleration Academies in April</w:t>
            </w:r>
            <w:r w:rsidR="005C6417" w:rsidRPr="48F6C493">
              <w:rPr>
                <w:sz w:val="22"/>
                <w:szCs w:val="22"/>
              </w:rPr>
              <w:t xml:space="preserve"> only, and </w:t>
            </w:r>
            <w:r w:rsidR="005C5EA8" w:rsidRPr="48F6C493">
              <w:rPr>
                <w:sz w:val="22"/>
                <w:szCs w:val="22"/>
              </w:rPr>
              <w:t>t</w:t>
            </w:r>
            <w:r w:rsidR="793B4878" w:rsidRPr="48F6C493">
              <w:rPr>
                <w:sz w:val="22"/>
                <w:szCs w:val="22"/>
              </w:rPr>
              <w:t>wenty-four</w:t>
            </w:r>
            <w:r w:rsidR="005C5EA8" w:rsidRPr="48F6C493">
              <w:rPr>
                <w:sz w:val="22"/>
                <w:szCs w:val="22"/>
              </w:rPr>
              <w:t xml:space="preserve"> (</w:t>
            </w:r>
            <w:r w:rsidR="67E34103" w:rsidRPr="48F6C493">
              <w:rPr>
                <w:sz w:val="22"/>
                <w:szCs w:val="22"/>
              </w:rPr>
              <w:t>24</w:t>
            </w:r>
            <w:r w:rsidR="005C5EA8" w:rsidRPr="48F6C493">
              <w:rPr>
                <w:sz w:val="22"/>
                <w:szCs w:val="22"/>
              </w:rPr>
              <w:t>)</w:t>
            </w:r>
            <w:r w:rsidR="005C6417" w:rsidRPr="48F6C493">
              <w:rPr>
                <w:sz w:val="22"/>
                <w:szCs w:val="22"/>
              </w:rPr>
              <w:t xml:space="preserve"> plan to run Math Acceleration Academies in February and April</w:t>
            </w:r>
            <w:r w:rsidR="004355C5" w:rsidRPr="48F6C493">
              <w:rPr>
                <w:sz w:val="22"/>
                <w:szCs w:val="22"/>
              </w:rPr>
              <w:t xml:space="preserve">. </w:t>
            </w:r>
            <w:r w:rsidR="001B3607" w:rsidRPr="48F6C493">
              <w:rPr>
                <w:sz w:val="22"/>
                <w:szCs w:val="22"/>
              </w:rPr>
              <w:t xml:space="preserve">Schools/districts will serve approximately </w:t>
            </w:r>
            <w:r w:rsidR="101A1F4B" w:rsidRPr="48F6C493">
              <w:rPr>
                <w:sz w:val="22"/>
                <w:szCs w:val="22"/>
              </w:rPr>
              <w:t>3</w:t>
            </w:r>
            <w:r w:rsidR="00CC222A" w:rsidRPr="48F6C493">
              <w:rPr>
                <w:sz w:val="22"/>
                <w:szCs w:val="22"/>
              </w:rPr>
              <w:t>,</w:t>
            </w:r>
            <w:r w:rsidR="594CA9E4" w:rsidRPr="48F6C493">
              <w:rPr>
                <w:sz w:val="22"/>
                <w:szCs w:val="22"/>
              </w:rPr>
              <w:t>9</w:t>
            </w:r>
            <w:r w:rsidR="00CC222A" w:rsidRPr="48F6C493">
              <w:rPr>
                <w:sz w:val="22"/>
                <w:szCs w:val="22"/>
              </w:rPr>
              <w:t>00</w:t>
            </w:r>
            <w:r w:rsidR="001B3607" w:rsidRPr="48F6C493">
              <w:rPr>
                <w:sz w:val="22"/>
                <w:szCs w:val="22"/>
              </w:rPr>
              <w:t xml:space="preserve"> students during the February </w:t>
            </w:r>
            <w:r w:rsidR="00CC222A" w:rsidRPr="48F6C493">
              <w:rPr>
                <w:sz w:val="22"/>
                <w:szCs w:val="22"/>
              </w:rPr>
              <w:t xml:space="preserve">Math </w:t>
            </w:r>
            <w:r w:rsidR="001B3607" w:rsidRPr="48F6C493">
              <w:rPr>
                <w:sz w:val="22"/>
                <w:szCs w:val="22"/>
              </w:rPr>
              <w:t>Acceleration Academies</w:t>
            </w:r>
            <w:r w:rsidR="002A24AB" w:rsidRPr="48F6C493">
              <w:rPr>
                <w:sz w:val="22"/>
                <w:szCs w:val="22"/>
              </w:rPr>
              <w:t xml:space="preserve"> and </w:t>
            </w:r>
            <w:r w:rsidR="5A4CCE29" w:rsidRPr="48F6C493">
              <w:rPr>
                <w:sz w:val="22"/>
                <w:szCs w:val="22"/>
              </w:rPr>
              <w:t>3</w:t>
            </w:r>
            <w:r w:rsidR="00CC222A" w:rsidRPr="48F6C493">
              <w:rPr>
                <w:sz w:val="22"/>
                <w:szCs w:val="22"/>
              </w:rPr>
              <w:t>,</w:t>
            </w:r>
            <w:r w:rsidR="7ECFC021" w:rsidRPr="48F6C493">
              <w:rPr>
                <w:sz w:val="22"/>
                <w:szCs w:val="22"/>
              </w:rPr>
              <w:t>5</w:t>
            </w:r>
            <w:r w:rsidR="00CC222A" w:rsidRPr="48F6C493">
              <w:rPr>
                <w:sz w:val="22"/>
                <w:szCs w:val="22"/>
              </w:rPr>
              <w:t>00</w:t>
            </w:r>
            <w:r w:rsidR="002A24AB" w:rsidRPr="48F6C493">
              <w:rPr>
                <w:sz w:val="22"/>
                <w:szCs w:val="22"/>
              </w:rPr>
              <w:t xml:space="preserve"> students during the April </w:t>
            </w:r>
            <w:r w:rsidR="00CC222A" w:rsidRPr="48F6C493">
              <w:rPr>
                <w:sz w:val="22"/>
                <w:szCs w:val="22"/>
              </w:rPr>
              <w:t xml:space="preserve">Math </w:t>
            </w:r>
            <w:r w:rsidR="002A24AB" w:rsidRPr="48F6C493">
              <w:rPr>
                <w:sz w:val="22"/>
                <w:szCs w:val="22"/>
              </w:rPr>
              <w:t xml:space="preserve">Acceleration Academies. </w:t>
            </w:r>
            <w:r w:rsidR="00E02B07" w:rsidRPr="48F6C493">
              <w:rPr>
                <w:sz w:val="22"/>
                <w:szCs w:val="22"/>
              </w:rPr>
              <w:t xml:space="preserve">The approximate number of students served in each Academy are projections provided by schools/districts </w:t>
            </w:r>
            <w:r w:rsidR="00E75915" w:rsidRPr="48F6C493">
              <w:rPr>
                <w:sz w:val="22"/>
                <w:szCs w:val="22"/>
              </w:rPr>
              <w:t>in their grant applications.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5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92"/>
        <w:gridCol w:w="3382"/>
      </w:tblGrid>
      <w:tr w:rsidR="00A3595E" w14:paraId="2577C65C" w14:textId="77777777" w:rsidTr="00A3595E">
        <w:trPr>
          <w:cantSplit/>
          <w:trHeight w:val="299"/>
        </w:trPr>
        <w:tc>
          <w:tcPr>
            <w:tcW w:w="71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F6129C" w14:textId="77777777" w:rsidR="00A3595E" w:rsidRDefault="00A3595E" w:rsidP="00776A18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34C50A" w14:textId="77777777" w:rsidR="00A3595E" w:rsidRDefault="00A3595E" w:rsidP="00776A18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15"/>
        <w:gridCol w:w="3360"/>
      </w:tblGrid>
      <w:tr w:rsidR="00EB71AA" w:rsidRPr="00A3595E" w14:paraId="5B012F6A" w14:textId="77777777" w:rsidTr="7AC6FCAD">
        <w:tc>
          <w:tcPr>
            <w:tcW w:w="7215" w:type="dxa"/>
          </w:tcPr>
          <w:p w14:paraId="2D7269CA" w14:textId="3E133D5F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Acushnet Public Schools</w:t>
            </w:r>
          </w:p>
        </w:tc>
        <w:tc>
          <w:tcPr>
            <w:tcW w:w="3360" w:type="dxa"/>
          </w:tcPr>
          <w:p w14:paraId="1951323E" w14:textId="032649C5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$65,000 </w:t>
            </w:r>
          </w:p>
        </w:tc>
      </w:tr>
      <w:tr w:rsidR="00EB71AA" w:rsidRPr="00A3595E" w14:paraId="6AE1DAE9" w14:textId="77777777" w:rsidTr="7AC6FCAD">
        <w:tc>
          <w:tcPr>
            <w:tcW w:w="7215" w:type="dxa"/>
          </w:tcPr>
          <w:p w14:paraId="75860138" w14:textId="64AACB29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Andover Public Schools</w:t>
            </w:r>
          </w:p>
        </w:tc>
        <w:tc>
          <w:tcPr>
            <w:tcW w:w="3360" w:type="dxa"/>
          </w:tcPr>
          <w:p w14:paraId="4CD7625D" w14:textId="00D086D4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$81,760 </w:t>
            </w:r>
          </w:p>
        </w:tc>
      </w:tr>
      <w:tr w:rsidR="00EB71AA" w:rsidRPr="00A3595E" w14:paraId="1D8C7F6C" w14:textId="77777777" w:rsidTr="7AC6FCAD">
        <w:tc>
          <w:tcPr>
            <w:tcW w:w="7215" w:type="dxa"/>
          </w:tcPr>
          <w:p w14:paraId="556A8D7A" w14:textId="35985A15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Barnstable Public Schools</w:t>
            </w:r>
          </w:p>
        </w:tc>
        <w:tc>
          <w:tcPr>
            <w:tcW w:w="3360" w:type="dxa"/>
          </w:tcPr>
          <w:p w14:paraId="4C6D961C" w14:textId="2DEA609C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$170,000 </w:t>
            </w:r>
          </w:p>
        </w:tc>
      </w:tr>
      <w:tr w:rsidR="00EB71AA" w:rsidRPr="00A3595E" w14:paraId="2F7D9FB0" w14:textId="77777777" w:rsidTr="7AC6FCAD">
        <w:tc>
          <w:tcPr>
            <w:tcW w:w="7215" w:type="dxa"/>
          </w:tcPr>
          <w:p w14:paraId="4EF85EE1" w14:textId="051C4485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Bellingham Public Schools</w:t>
            </w:r>
          </w:p>
        </w:tc>
        <w:tc>
          <w:tcPr>
            <w:tcW w:w="3360" w:type="dxa"/>
          </w:tcPr>
          <w:p w14:paraId="411CE96A" w14:textId="28C52C18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$38,452 </w:t>
            </w:r>
          </w:p>
        </w:tc>
      </w:tr>
      <w:tr w:rsidR="00EB71AA" w:rsidRPr="00A3595E" w14:paraId="72924980" w14:textId="77777777" w:rsidTr="7AC6FCAD">
        <w:tc>
          <w:tcPr>
            <w:tcW w:w="7215" w:type="dxa"/>
          </w:tcPr>
          <w:p w14:paraId="389F15FE" w14:textId="4CE186A1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Berkley Public Schools</w:t>
            </w:r>
          </w:p>
        </w:tc>
        <w:tc>
          <w:tcPr>
            <w:tcW w:w="3360" w:type="dxa"/>
          </w:tcPr>
          <w:p w14:paraId="5886C1E5" w14:textId="1AFD9DF7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$32,000 </w:t>
            </w:r>
          </w:p>
        </w:tc>
      </w:tr>
      <w:tr w:rsidR="00EB71AA" w:rsidRPr="00A3595E" w14:paraId="0A35F6B0" w14:textId="77777777" w:rsidTr="7AC6FCAD">
        <w:tc>
          <w:tcPr>
            <w:tcW w:w="7215" w:type="dxa"/>
          </w:tcPr>
          <w:p w14:paraId="2017A9D6" w14:textId="3686002C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Bridge Boston Charter School</w:t>
            </w:r>
          </w:p>
        </w:tc>
        <w:tc>
          <w:tcPr>
            <w:tcW w:w="3360" w:type="dxa"/>
          </w:tcPr>
          <w:p w14:paraId="485C9B29" w14:textId="378AD198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$26,800 </w:t>
            </w:r>
          </w:p>
        </w:tc>
      </w:tr>
      <w:tr w:rsidR="00EB71AA" w:rsidRPr="00A3595E" w14:paraId="44E0BC79" w14:textId="77777777" w:rsidTr="7AC6FCAD">
        <w:tc>
          <w:tcPr>
            <w:tcW w:w="7215" w:type="dxa"/>
          </w:tcPr>
          <w:p w14:paraId="4B9EB2DB" w14:textId="10D6D725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Cohasset Public Schools</w:t>
            </w:r>
          </w:p>
        </w:tc>
        <w:tc>
          <w:tcPr>
            <w:tcW w:w="3360" w:type="dxa"/>
          </w:tcPr>
          <w:p w14:paraId="5337BC82" w14:textId="656340F5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$80,000 </w:t>
            </w:r>
          </w:p>
        </w:tc>
      </w:tr>
      <w:tr w:rsidR="00EB71AA" w:rsidRPr="00A3595E" w14:paraId="70C9807C" w14:textId="77777777" w:rsidTr="7AC6FCAD">
        <w:tc>
          <w:tcPr>
            <w:tcW w:w="7215" w:type="dxa"/>
          </w:tcPr>
          <w:p w14:paraId="3D0497EC" w14:textId="153C1D77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East Bridgewater Public Schools</w:t>
            </w:r>
          </w:p>
        </w:tc>
        <w:tc>
          <w:tcPr>
            <w:tcW w:w="3360" w:type="dxa"/>
          </w:tcPr>
          <w:p w14:paraId="374BD881" w14:textId="39B43652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$116,000 </w:t>
            </w:r>
          </w:p>
        </w:tc>
      </w:tr>
      <w:tr w:rsidR="00EB71AA" w:rsidRPr="00A3595E" w14:paraId="5C27E7D0" w14:textId="77777777" w:rsidTr="7AC6FCAD">
        <w:tc>
          <w:tcPr>
            <w:tcW w:w="7215" w:type="dxa"/>
          </w:tcPr>
          <w:p w14:paraId="5AB31742" w14:textId="72D0E72D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Essex North Shore Agricultural and Technical School District</w:t>
            </w:r>
          </w:p>
        </w:tc>
        <w:tc>
          <w:tcPr>
            <w:tcW w:w="3360" w:type="dxa"/>
          </w:tcPr>
          <w:p w14:paraId="1AC40E5A" w14:textId="4CFEC518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$86,500 </w:t>
            </w:r>
          </w:p>
        </w:tc>
      </w:tr>
      <w:tr w:rsidR="00EB71AA" w:rsidRPr="00A3595E" w14:paraId="330EF240" w14:textId="77777777" w:rsidTr="7AC6FCAD">
        <w:tc>
          <w:tcPr>
            <w:tcW w:w="7215" w:type="dxa"/>
          </w:tcPr>
          <w:p w14:paraId="76D84F26" w14:textId="5DBC308A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Everett Public Schools</w:t>
            </w:r>
          </w:p>
        </w:tc>
        <w:tc>
          <w:tcPr>
            <w:tcW w:w="3360" w:type="dxa"/>
          </w:tcPr>
          <w:p w14:paraId="30DDBB0C" w14:textId="138F392A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$231,000 </w:t>
            </w:r>
          </w:p>
        </w:tc>
      </w:tr>
      <w:tr w:rsidR="00EB71AA" w:rsidRPr="00A3595E" w14:paraId="113DC3FD" w14:textId="77777777" w:rsidTr="7AC6FCAD">
        <w:tc>
          <w:tcPr>
            <w:tcW w:w="7215" w:type="dxa"/>
          </w:tcPr>
          <w:p w14:paraId="6A7EB787" w14:textId="03473511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Hadley Public Schools</w:t>
            </w:r>
          </w:p>
        </w:tc>
        <w:tc>
          <w:tcPr>
            <w:tcW w:w="3360" w:type="dxa"/>
          </w:tcPr>
          <w:p w14:paraId="3EEC3B2B" w14:textId="48C07083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$11,310 </w:t>
            </w:r>
          </w:p>
        </w:tc>
      </w:tr>
      <w:tr w:rsidR="00EB71AA" w:rsidRPr="00A3595E" w14:paraId="0828ED55" w14:textId="77777777" w:rsidTr="7AC6FCAD">
        <w:tc>
          <w:tcPr>
            <w:tcW w:w="7215" w:type="dxa"/>
          </w:tcPr>
          <w:p w14:paraId="6A45665B" w14:textId="6C7F1E0E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Lowell Public Schools</w:t>
            </w:r>
          </w:p>
        </w:tc>
        <w:tc>
          <w:tcPr>
            <w:tcW w:w="3360" w:type="dxa"/>
          </w:tcPr>
          <w:p w14:paraId="5FFD2D73" w14:textId="22B8645B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$227,258 </w:t>
            </w:r>
          </w:p>
        </w:tc>
      </w:tr>
      <w:tr w:rsidR="00EB71AA" w:rsidRPr="00A3595E" w14:paraId="4C695BAB" w14:textId="77777777" w:rsidTr="7AC6FCAD">
        <w:tc>
          <w:tcPr>
            <w:tcW w:w="7215" w:type="dxa"/>
          </w:tcPr>
          <w:p w14:paraId="030F6FE3" w14:textId="458799B1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Marion Public Schools</w:t>
            </w:r>
          </w:p>
        </w:tc>
        <w:tc>
          <w:tcPr>
            <w:tcW w:w="3360" w:type="dxa"/>
          </w:tcPr>
          <w:p w14:paraId="0044F9FD" w14:textId="385D22F6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$50,000 </w:t>
            </w:r>
          </w:p>
        </w:tc>
      </w:tr>
      <w:tr w:rsidR="00EB71AA" w:rsidRPr="00A3595E" w14:paraId="3BB45900" w14:textId="77777777" w:rsidTr="7AC6FCAD">
        <w:tc>
          <w:tcPr>
            <w:tcW w:w="7215" w:type="dxa"/>
          </w:tcPr>
          <w:p w14:paraId="4E580794" w14:textId="0E2CA039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Mattapoisett Public Schools</w:t>
            </w:r>
          </w:p>
        </w:tc>
        <w:tc>
          <w:tcPr>
            <w:tcW w:w="3360" w:type="dxa"/>
          </w:tcPr>
          <w:p w14:paraId="79487E46" w14:textId="4F67E4ED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$50,000 </w:t>
            </w:r>
          </w:p>
        </w:tc>
      </w:tr>
      <w:tr w:rsidR="00EB71AA" w:rsidRPr="00A3595E" w14:paraId="5292CB4A" w14:textId="77777777" w:rsidTr="7AC6FCAD">
        <w:tc>
          <w:tcPr>
            <w:tcW w:w="7215" w:type="dxa"/>
          </w:tcPr>
          <w:p w14:paraId="77F2C2DF" w14:textId="1F558696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Milford Public Schools</w:t>
            </w:r>
          </w:p>
        </w:tc>
        <w:tc>
          <w:tcPr>
            <w:tcW w:w="3360" w:type="dxa"/>
          </w:tcPr>
          <w:p w14:paraId="0EF91249" w14:textId="48D77B8B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$54,134 </w:t>
            </w:r>
          </w:p>
        </w:tc>
      </w:tr>
      <w:tr w:rsidR="00EB71AA" w:rsidRPr="00A3595E" w14:paraId="7220ED36" w14:textId="77777777" w:rsidTr="7AC6FCAD">
        <w:tc>
          <w:tcPr>
            <w:tcW w:w="7215" w:type="dxa"/>
          </w:tcPr>
          <w:p w14:paraId="7B826DE1" w14:textId="468D4F6F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Millis Public Schools</w:t>
            </w:r>
          </w:p>
        </w:tc>
        <w:tc>
          <w:tcPr>
            <w:tcW w:w="3360" w:type="dxa"/>
          </w:tcPr>
          <w:p w14:paraId="6FA7D28D" w14:textId="64AB8C70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$23,360 </w:t>
            </w:r>
          </w:p>
        </w:tc>
      </w:tr>
      <w:tr w:rsidR="00EB71AA" w:rsidRPr="00A3595E" w14:paraId="32E15C25" w14:textId="77777777" w:rsidTr="7AC6FCAD">
        <w:tc>
          <w:tcPr>
            <w:tcW w:w="7215" w:type="dxa"/>
          </w:tcPr>
          <w:p w14:paraId="6EF51C75" w14:textId="09D57B9E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New Bedford Public Schools</w:t>
            </w:r>
          </w:p>
        </w:tc>
        <w:tc>
          <w:tcPr>
            <w:tcW w:w="3360" w:type="dxa"/>
          </w:tcPr>
          <w:p w14:paraId="09E143CC" w14:textId="155FEC4A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$257,500 </w:t>
            </w:r>
          </w:p>
        </w:tc>
      </w:tr>
      <w:tr w:rsidR="00EB71AA" w:rsidRPr="00A3595E" w14:paraId="6A270555" w14:textId="77777777" w:rsidTr="7AC6FCAD">
        <w:tc>
          <w:tcPr>
            <w:tcW w:w="7215" w:type="dxa"/>
          </w:tcPr>
          <w:p w14:paraId="6FB532A4" w14:textId="0CD0006B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Newburyport Public Schools</w:t>
            </w:r>
          </w:p>
        </w:tc>
        <w:tc>
          <w:tcPr>
            <w:tcW w:w="3360" w:type="dxa"/>
          </w:tcPr>
          <w:p w14:paraId="11E48938" w14:textId="53F11563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$83,180 </w:t>
            </w:r>
          </w:p>
        </w:tc>
      </w:tr>
      <w:tr w:rsidR="00EB71AA" w:rsidRPr="00A3595E" w14:paraId="09B949A3" w14:textId="77777777" w:rsidTr="7AC6FCAD">
        <w:tc>
          <w:tcPr>
            <w:tcW w:w="7215" w:type="dxa"/>
          </w:tcPr>
          <w:p w14:paraId="54869050" w14:textId="681C6E5A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Newton Public Schools</w:t>
            </w:r>
          </w:p>
        </w:tc>
        <w:tc>
          <w:tcPr>
            <w:tcW w:w="3360" w:type="dxa"/>
          </w:tcPr>
          <w:p w14:paraId="4C2035AE" w14:textId="5E1756F8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$139,780 </w:t>
            </w:r>
          </w:p>
        </w:tc>
      </w:tr>
      <w:tr w:rsidR="00EB71AA" w:rsidRPr="00A3595E" w14:paraId="686B3218" w14:textId="77777777" w:rsidTr="7AC6FCAD">
        <w:tc>
          <w:tcPr>
            <w:tcW w:w="7215" w:type="dxa"/>
          </w:tcPr>
          <w:p w14:paraId="3D2FB1FE" w14:textId="701448FA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North Andover Public Schools</w:t>
            </w:r>
          </w:p>
        </w:tc>
        <w:tc>
          <w:tcPr>
            <w:tcW w:w="3360" w:type="dxa"/>
          </w:tcPr>
          <w:p w14:paraId="7EB655BF" w14:textId="1E94834A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$280,000 </w:t>
            </w:r>
          </w:p>
        </w:tc>
      </w:tr>
      <w:tr w:rsidR="00EB71AA" w:rsidRPr="00A3595E" w14:paraId="651FCF09" w14:textId="77777777" w:rsidTr="7AC6FCAD">
        <w:tc>
          <w:tcPr>
            <w:tcW w:w="7215" w:type="dxa"/>
          </w:tcPr>
          <w:p w14:paraId="547EC532" w14:textId="18D32AA9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North Middlesex Regional School District</w:t>
            </w:r>
          </w:p>
        </w:tc>
        <w:tc>
          <w:tcPr>
            <w:tcW w:w="3360" w:type="dxa"/>
          </w:tcPr>
          <w:p w14:paraId="04379DCE" w14:textId="6E95F6D2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$81,900</w:t>
            </w:r>
          </w:p>
        </w:tc>
      </w:tr>
      <w:tr w:rsidR="00EB71AA" w:rsidRPr="00A3595E" w14:paraId="3B23266D" w14:textId="77777777" w:rsidTr="7AC6FCAD">
        <w:tc>
          <w:tcPr>
            <w:tcW w:w="7215" w:type="dxa"/>
          </w:tcPr>
          <w:p w14:paraId="28EF4B2F" w14:textId="0A72969D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Norwood Public Schools</w:t>
            </w:r>
          </w:p>
        </w:tc>
        <w:tc>
          <w:tcPr>
            <w:tcW w:w="3360" w:type="dxa"/>
          </w:tcPr>
          <w:p w14:paraId="2EC82282" w14:textId="77B0A624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$95,401 </w:t>
            </w:r>
          </w:p>
        </w:tc>
      </w:tr>
      <w:tr w:rsidR="00EB71AA" w:rsidRPr="00A3595E" w14:paraId="7EFBC641" w14:textId="77777777" w:rsidTr="7AC6FCAD">
        <w:tc>
          <w:tcPr>
            <w:tcW w:w="7215" w:type="dxa"/>
          </w:tcPr>
          <w:p w14:paraId="18B8458D" w14:textId="40B4032E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Old Rochester Regional School District</w:t>
            </w:r>
          </w:p>
        </w:tc>
        <w:tc>
          <w:tcPr>
            <w:tcW w:w="3360" w:type="dxa"/>
          </w:tcPr>
          <w:p w14:paraId="31F0243B" w14:textId="00686F96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$100,000 </w:t>
            </w:r>
          </w:p>
        </w:tc>
      </w:tr>
      <w:tr w:rsidR="00EB71AA" w:rsidRPr="00A3595E" w14:paraId="6381304C" w14:textId="77777777" w:rsidTr="7AC6FCAD">
        <w:tc>
          <w:tcPr>
            <w:tcW w:w="7215" w:type="dxa"/>
          </w:tcPr>
          <w:p w14:paraId="21BED631" w14:textId="2186C362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Orange Elementary Schools</w:t>
            </w:r>
          </w:p>
        </w:tc>
        <w:tc>
          <w:tcPr>
            <w:tcW w:w="3360" w:type="dxa"/>
          </w:tcPr>
          <w:p w14:paraId="28DB37F3" w14:textId="72891D83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$10,000 </w:t>
            </w:r>
          </w:p>
        </w:tc>
      </w:tr>
      <w:tr w:rsidR="00EB71AA" w:rsidRPr="00A3595E" w14:paraId="0AF0C62F" w14:textId="77777777" w:rsidTr="7AC6FCAD">
        <w:tc>
          <w:tcPr>
            <w:tcW w:w="7215" w:type="dxa"/>
          </w:tcPr>
          <w:p w14:paraId="235C53D9" w14:textId="607B6BF7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Pathfinder Regional Vocational Technical High School</w:t>
            </w:r>
          </w:p>
        </w:tc>
        <w:tc>
          <w:tcPr>
            <w:tcW w:w="3360" w:type="dxa"/>
          </w:tcPr>
          <w:p w14:paraId="29170A70" w14:textId="3DB1B6A0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$24,400 </w:t>
            </w:r>
          </w:p>
        </w:tc>
      </w:tr>
      <w:tr w:rsidR="00EB71AA" w:rsidRPr="00A3595E" w14:paraId="52D96077" w14:textId="77777777" w:rsidTr="7AC6FCAD">
        <w:tc>
          <w:tcPr>
            <w:tcW w:w="7215" w:type="dxa"/>
          </w:tcPr>
          <w:p w14:paraId="267073D9" w14:textId="1234A262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Pittsfield Public Schools</w:t>
            </w:r>
          </w:p>
        </w:tc>
        <w:tc>
          <w:tcPr>
            <w:tcW w:w="3360" w:type="dxa"/>
          </w:tcPr>
          <w:p w14:paraId="304D1FFE" w14:textId="6307AD46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$148,000 </w:t>
            </w:r>
          </w:p>
        </w:tc>
      </w:tr>
      <w:tr w:rsidR="00EB71AA" w:rsidRPr="00A3595E" w14:paraId="61012C72" w14:textId="77777777" w:rsidTr="7AC6FCAD">
        <w:tc>
          <w:tcPr>
            <w:tcW w:w="7215" w:type="dxa"/>
          </w:tcPr>
          <w:p w14:paraId="0C8E6A26" w14:textId="69429DD2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Quaboag Regional School District</w:t>
            </w:r>
          </w:p>
        </w:tc>
        <w:tc>
          <w:tcPr>
            <w:tcW w:w="3360" w:type="dxa"/>
          </w:tcPr>
          <w:p w14:paraId="5ECD6448" w14:textId="40D2035D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$60,000 </w:t>
            </w:r>
          </w:p>
        </w:tc>
      </w:tr>
      <w:tr w:rsidR="00CB6342" w:rsidRPr="00A3595E" w14:paraId="7996E76A" w14:textId="77777777" w:rsidTr="7AC6FCAD">
        <w:tc>
          <w:tcPr>
            <w:tcW w:w="7215" w:type="dxa"/>
          </w:tcPr>
          <w:p w14:paraId="452BDB9E" w14:textId="5BA007C1" w:rsidR="00CB6342" w:rsidRPr="00A3595E" w:rsidRDefault="00CB6342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Rochester</w:t>
            </w:r>
          </w:p>
        </w:tc>
        <w:tc>
          <w:tcPr>
            <w:tcW w:w="3360" w:type="dxa"/>
          </w:tcPr>
          <w:p w14:paraId="3E951D6E" w14:textId="578CD228" w:rsidR="00CB6342" w:rsidRPr="00A3595E" w:rsidRDefault="00CB6342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$5</w:t>
            </w:r>
            <w:r w:rsidR="00FB6841">
              <w:rPr>
                <w:rFonts w:eastAsia="Calibri"/>
                <w:color w:val="000000" w:themeColor="text1"/>
                <w:sz w:val="22"/>
                <w:szCs w:val="22"/>
              </w:rPr>
              <w:t>0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,000</w:t>
            </w:r>
          </w:p>
        </w:tc>
      </w:tr>
      <w:tr w:rsidR="00EB71AA" w:rsidRPr="00A3595E" w14:paraId="637908A1" w14:textId="77777777" w:rsidTr="7AC6FCAD">
        <w:tc>
          <w:tcPr>
            <w:tcW w:w="7215" w:type="dxa"/>
          </w:tcPr>
          <w:p w14:paraId="63E22FA2" w14:textId="03B9F65C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Sandwich Public Schools</w:t>
            </w:r>
          </w:p>
        </w:tc>
        <w:tc>
          <w:tcPr>
            <w:tcW w:w="3360" w:type="dxa"/>
          </w:tcPr>
          <w:p w14:paraId="37E86BA6" w14:textId="77D5E9EE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$136,400 </w:t>
            </w:r>
          </w:p>
        </w:tc>
      </w:tr>
      <w:tr w:rsidR="00EB71AA" w:rsidRPr="00A3595E" w14:paraId="354DC26F" w14:textId="77777777" w:rsidTr="7AC6FCAD">
        <w:tc>
          <w:tcPr>
            <w:tcW w:w="7215" w:type="dxa"/>
          </w:tcPr>
          <w:p w14:paraId="2C98D542" w14:textId="759CC7B3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Scituate Public Schools</w:t>
            </w:r>
          </w:p>
        </w:tc>
        <w:tc>
          <w:tcPr>
            <w:tcW w:w="3360" w:type="dxa"/>
          </w:tcPr>
          <w:p w14:paraId="7CA32038" w14:textId="16C2A37F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$48,600 </w:t>
            </w:r>
          </w:p>
        </w:tc>
      </w:tr>
      <w:tr w:rsidR="00EB71AA" w:rsidRPr="00A3595E" w14:paraId="7944555E" w14:textId="77777777" w:rsidTr="7AC6FCAD">
        <w:tc>
          <w:tcPr>
            <w:tcW w:w="7215" w:type="dxa"/>
          </w:tcPr>
          <w:p w14:paraId="59023E03" w14:textId="326C1D3A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Westfield Public Schools</w:t>
            </w:r>
          </w:p>
        </w:tc>
        <w:tc>
          <w:tcPr>
            <w:tcW w:w="3360" w:type="dxa"/>
          </w:tcPr>
          <w:p w14:paraId="5F615B0B" w14:textId="4D48FECC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$150,000 </w:t>
            </w:r>
          </w:p>
        </w:tc>
      </w:tr>
      <w:tr w:rsidR="00EB71AA" w:rsidRPr="00A3595E" w14:paraId="432D621E" w14:textId="77777777" w:rsidTr="7AC6FCAD">
        <w:tc>
          <w:tcPr>
            <w:tcW w:w="7215" w:type="dxa"/>
          </w:tcPr>
          <w:p w14:paraId="0C5F3966" w14:textId="6F916A40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Westport Community Schools</w:t>
            </w:r>
          </w:p>
        </w:tc>
        <w:tc>
          <w:tcPr>
            <w:tcW w:w="3360" w:type="dxa"/>
          </w:tcPr>
          <w:p w14:paraId="69E39450" w14:textId="69B590E6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$68,110 </w:t>
            </w:r>
          </w:p>
        </w:tc>
      </w:tr>
      <w:tr w:rsidR="00EB71AA" w:rsidRPr="00A3595E" w14:paraId="6E72D8A8" w14:textId="77777777" w:rsidTr="7AC6FCAD">
        <w:tc>
          <w:tcPr>
            <w:tcW w:w="7215" w:type="dxa"/>
          </w:tcPr>
          <w:p w14:paraId="05EB8F03" w14:textId="7FE03623" w:rsidR="00EB71AA" w:rsidRPr="00A3595E" w:rsidRDefault="00EB71AA" w:rsidP="00EB71AA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>Worthington School District</w:t>
            </w:r>
          </w:p>
        </w:tc>
        <w:tc>
          <w:tcPr>
            <w:tcW w:w="3360" w:type="dxa"/>
          </w:tcPr>
          <w:p w14:paraId="298448DE" w14:textId="454BFB77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color w:val="000000" w:themeColor="text1"/>
                <w:sz w:val="22"/>
                <w:szCs w:val="22"/>
              </w:rPr>
              <w:t xml:space="preserve"> $5,000 </w:t>
            </w:r>
          </w:p>
        </w:tc>
      </w:tr>
      <w:tr w:rsidR="00EB71AA" w:rsidRPr="00A3595E" w14:paraId="54A5AC0A" w14:textId="77777777" w:rsidTr="7AC6FCAD">
        <w:tc>
          <w:tcPr>
            <w:tcW w:w="7215" w:type="dxa"/>
          </w:tcPr>
          <w:p w14:paraId="1338C587" w14:textId="78180DFD" w:rsidR="00EB71AA" w:rsidRPr="00A3595E" w:rsidRDefault="00EB71AA" w:rsidP="00EB71AA">
            <w:pPr>
              <w:spacing w:line="259" w:lineRule="auto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A3595E">
              <w:rPr>
                <w:b/>
                <w:bCs/>
                <w:sz w:val="22"/>
                <w:szCs w:val="22"/>
              </w:rPr>
              <w:t>TOTAL FEDERAL FUNDS</w:t>
            </w:r>
          </w:p>
        </w:tc>
        <w:tc>
          <w:tcPr>
            <w:tcW w:w="3360" w:type="dxa"/>
          </w:tcPr>
          <w:p w14:paraId="03FE7A47" w14:textId="16B9B5BA" w:rsidR="00EB71AA" w:rsidRPr="00A3595E" w:rsidRDefault="00EB71AA" w:rsidP="00EB71AA">
            <w:pPr>
              <w:spacing w:line="259" w:lineRule="auto"/>
              <w:jc w:val="right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A3595E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 $3,03</w:t>
            </w:r>
            <w:r w:rsidR="00CB634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A3595E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,845</w:t>
            </w:r>
          </w:p>
        </w:tc>
      </w:tr>
    </w:tbl>
    <w:p w14:paraId="499BD57C" w14:textId="6DCB33B9" w:rsidR="00410797" w:rsidRPr="00A3595E" w:rsidRDefault="00410797" w:rsidP="48F6C493">
      <w:pPr>
        <w:spacing w:before="60" w:after="60"/>
        <w:jc w:val="both"/>
        <w:rPr>
          <w:sz w:val="22"/>
          <w:szCs w:val="22"/>
        </w:rPr>
      </w:pPr>
    </w:p>
    <w:sectPr w:rsidR="00410797" w:rsidRPr="00A3595E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0FB9"/>
    <w:rsid w:val="0008114B"/>
    <w:rsid w:val="00095201"/>
    <w:rsid w:val="000C6C68"/>
    <w:rsid w:val="000D5B52"/>
    <w:rsid w:val="001522C7"/>
    <w:rsid w:val="001A433F"/>
    <w:rsid w:val="001B3607"/>
    <w:rsid w:val="001B5362"/>
    <w:rsid w:val="001B78A6"/>
    <w:rsid w:val="001C6572"/>
    <w:rsid w:val="001E2790"/>
    <w:rsid w:val="00224F8E"/>
    <w:rsid w:val="00271F7C"/>
    <w:rsid w:val="002A24AB"/>
    <w:rsid w:val="002B4344"/>
    <w:rsid w:val="002C532F"/>
    <w:rsid w:val="002C5D9D"/>
    <w:rsid w:val="002D5121"/>
    <w:rsid w:val="0031794D"/>
    <w:rsid w:val="003226AE"/>
    <w:rsid w:val="00330653"/>
    <w:rsid w:val="00351281"/>
    <w:rsid w:val="00372996"/>
    <w:rsid w:val="00386C98"/>
    <w:rsid w:val="00410797"/>
    <w:rsid w:val="00427DA8"/>
    <w:rsid w:val="00427E3F"/>
    <w:rsid w:val="004355C5"/>
    <w:rsid w:val="0047165D"/>
    <w:rsid w:val="00501320"/>
    <w:rsid w:val="00514109"/>
    <w:rsid w:val="00521A12"/>
    <w:rsid w:val="0053436E"/>
    <w:rsid w:val="00534FE7"/>
    <w:rsid w:val="00542157"/>
    <w:rsid w:val="005736D2"/>
    <w:rsid w:val="0059743A"/>
    <w:rsid w:val="005C5EA8"/>
    <w:rsid w:val="005C6417"/>
    <w:rsid w:val="006040C0"/>
    <w:rsid w:val="00621A1B"/>
    <w:rsid w:val="0063378A"/>
    <w:rsid w:val="00634CDE"/>
    <w:rsid w:val="006517BC"/>
    <w:rsid w:val="00652A79"/>
    <w:rsid w:val="006D0656"/>
    <w:rsid w:val="006D71B2"/>
    <w:rsid w:val="006E2BF9"/>
    <w:rsid w:val="006E3250"/>
    <w:rsid w:val="006F4293"/>
    <w:rsid w:val="00730E52"/>
    <w:rsid w:val="007315F8"/>
    <w:rsid w:val="007506C8"/>
    <w:rsid w:val="007911BB"/>
    <w:rsid w:val="007B06D3"/>
    <w:rsid w:val="007B2582"/>
    <w:rsid w:val="007B4D54"/>
    <w:rsid w:val="007D0D4F"/>
    <w:rsid w:val="007E6177"/>
    <w:rsid w:val="008256FF"/>
    <w:rsid w:val="00827401"/>
    <w:rsid w:val="00837F08"/>
    <w:rsid w:val="00842E20"/>
    <w:rsid w:val="00880285"/>
    <w:rsid w:val="008941CA"/>
    <w:rsid w:val="008A14D9"/>
    <w:rsid w:val="008A4CAA"/>
    <w:rsid w:val="008B2255"/>
    <w:rsid w:val="008D1631"/>
    <w:rsid w:val="008F2001"/>
    <w:rsid w:val="00902203"/>
    <w:rsid w:val="00920656"/>
    <w:rsid w:val="009F2CC1"/>
    <w:rsid w:val="00A06377"/>
    <w:rsid w:val="00A2134E"/>
    <w:rsid w:val="00A24F93"/>
    <w:rsid w:val="00A3595E"/>
    <w:rsid w:val="00A97E98"/>
    <w:rsid w:val="00AA0D43"/>
    <w:rsid w:val="00AF1A04"/>
    <w:rsid w:val="00B23916"/>
    <w:rsid w:val="00B329DA"/>
    <w:rsid w:val="00BA484A"/>
    <w:rsid w:val="00BE225D"/>
    <w:rsid w:val="00C036D4"/>
    <w:rsid w:val="00C056D3"/>
    <w:rsid w:val="00C34967"/>
    <w:rsid w:val="00C44806"/>
    <w:rsid w:val="00C61D46"/>
    <w:rsid w:val="00C721A9"/>
    <w:rsid w:val="00CB6342"/>
    <w:rsid w:val="00CC222A"/>
    <w:rsid w:val="00CF534A"/>
    <w:rsid w:val="00CF5517"/>
    <w:rsid w:val="00D219CA"/>
    <w:rsid w:val="00D35F1B"/>
    <w:rsid w:val="00D44810"/>
    <w:rsid w:val="00D54B03"/>
    <w:rsid w:val="00D85054"/>
    <w:rsid w:val="00D96130"/>
    <w:rsid w:val="00DA73E5"/>
    <w:rsid w:val="00DB56D5"/>
    <w:rsid w:val="00DE52E6"/>
    <w:rsid w:val="00DF31B4"/>
    <w:rsid w:val="00E02B07"/>
    <w:rsid w:val="00E220AD"/>
    <w:rsid w:val="00E62FF8"/>
    <w:rsid w:val="00E75915"/>
    <w:rsid w:val="00EB71AA"/>
    <w:rsid w:val="00F07E13"/>
    <w:rsid w:val="00F11240"/>
    <w:rsid w:val="00FA17BE"/>
    <w:rsid w:val="00FB6841"/>
    <w:rsid w:val="00FC3664"/>
    <w:rsid w:val="05EAF2E1"/>
    <w:rsid w:val="0C282C7D"/>
    <w:rsid w:val="0CEE2495"/>
    <w:rsid w:val="0EF08554"/>
    <w:rsid w:val="101A1F4B"/>
    <w:rsid w:val="1C1FAC65"/>
    <w:rsid w:val="222816DB"/>
    <w:rsid w:val="22DDFD38"/>
    <w:rsid w:val="2486F04C"/>
    <w:rsid w:val="2D8DB2A7"/>
    <w:rsid w:val="34017EB1"/>
    <w:rsid w:val="375A6BF5"/>
    <w:rsid w:val="3E17EF07"/>
    <w:rsid w:val="43362D84"/>
    <w:rsid w:val="4426356B"/>
    <w:rsid w:val="44FB4DAE"/>
    <w:rsid w:val="477F731D"/>
    <w:rsid w:val="48F6C493"/>
    <w:rsid w:val="549332ED"/>
    <w:rsid w:val="558AA4D6"/>
    <w:rsid w:val="594B4124"/>
    <w:rsid w:val="594CA9E4"/>
    <w:rsid w:val="5A4CCE29"/>
    <w:rsid w:val="5B60295E"/>
    <w:rsid w:val="61D27C0F"/>
    <w:rsid w:val="67E34103"/>
    <w:rsid w:val="6FBDD2C0"/>
    <w:rsid w:val="753DFC7F"/>
    <w:rsid w:val="759190F1"/>
    <w:rsid w:val="793B4878"/>
    <w:rsid w:val="7A778848"/>
    <w:rsid w:val="7AC6FCAD"/>
    <w:rsid w:val="7BDC5DDF"/>
    <w:rsid w:val="7ECFC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109"/>
  </w:style>
  <w:style w:type="character" w:customStyle="1" w:styleId="CommentTextChar">
    <w:name w:val="Comment Text Char"/>
    <w:basedOn w:val="DefaultParagraphFont"/>
    <w:link w:val="CommentText"/>
    <w:uiPriority w:val="99"/>
    <w:rsid w:val="00514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Zorich, Thomas (DESE)</DisplayName>
        <AccountId>24</AccountId>
        <AccountType/>
      </UserInfo>
      <UserInfo>
        <DisplayName>Bettencourt, Helene H. (DESE)</DisplayName>
        <AccountId>91</AccountId>
        <AccountType/>
      </UserInfo>
      <UserInfo>
        <DisplayName>Leitz, Jessica (DESE)</DisplayName>
        <AccountId>184</AccountId>
        <AccountType/>
      </UserInfo>
      <UserInfo>
        <DisplayName>Capitolin, Benie (DESE)</DisplayName>
        <AccountId>463</AccountId>
        <AccountType/>
      </UserInfo>
      <UserInfo>
        <DisplayName>Celata, Elizabeth (DESE)</DisplayName>
        <AccountId>186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5F0681F-E2BE-485C-B38F-90994F6E5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FY23 125 Board Package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FC125 Board Package</dc:title>
  <dc:creator>DESE</dc:creator>
  <cp:lastModifiedBy>Zou, Dong (EOE)</cp:lastModifiedBy>
  <cp:revision>20</cp:revision>
  <cp:lastPrinted>2001-07-23T18:06:00Z</cp:lastPrinted>
  <dcterms:created xsi:type="dcterms:W3CDTF">2023-01-03T20:52:00Z</dcterms:created>
  <dcterms:modified xsi:type="dcterms:W3CDTF">2023-01-31T20:13:00Z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2023 12:00AM</vt:lpwstr>
  </property>
</Properties>
</file>