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0F43ED9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1AA77E7" w:rsidR="00410797" w:rsidRDefault="00584F59" w:rsidP="001E692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Incubator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5A9F88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584F59">
              <w:rPr>
                <w:sz w:val="22"/>
              </w:rPr>
              <w:t>160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48F933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584F59">
              <w:rPr>
                <w:sz w:val="22"/>
              </w:rPr>
              <w:t>2</w:t>
            </w:r>
            <w:r w:rsidR="00FF6282">
              <w:rPr>
                <w:sz w:val="22"/>
              </w:rPr>
              <w:t>,000,000</w:t>
            </w:r>
            <w:r w:rsidR="007B2582">
              <w:rPr>
                <w:sz w:val="22"/>
              </w:rPr>
              <w:t xml:space="preserve">            </w:t>
            </w:r>
            <w:r>
              <w:rPr>
                <w:sz w:val="22"/>
              </w:rPr>
              <w:t>(Federal)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74A32E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584F59">
              <w:rPr>
                <w:sz w:val="22"/>
              </w:rPr>
              <w:t>2</w:t>
            </w:r>
            <w:r w:rsidR="00FF6282">
              <w:rPr>
                <w:sz w:val="22"/>
              </w:rPr>
              <w:t>,000,000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AF3C3E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584F59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584F59" w:rsidRPr="007B7D56">
              <w:rPr>
                <w:color w:val="201F1E"/>
                <w:sz w:val="22"/>
                <w:szCs w:val="22"/>
                <w:shd w:val="clear" w:color="auto" w:fill="FFFFFF"/>
              </w:rPr>
              <w:t>The purpose of these grants is to provide significant planning and support resources to non-Designated Early College partnerships to build out innovative Early College models that will significantly increase the number of underrepresented students served in the Commonwealth through thoughtful implementation plans</w:t>
            </w:r>
            <w:r w:rsidR="00584F59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56FDB2E" w:rsidR="00410797" w:rsidRDefault="00584F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  <w:r w:rsidR="00A33F41">
              <w:rPr>
                <w:sz w:val="22"/>
              </w:rPr>
              <w:t>*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F387BDB" w:rsidR="00410797" w:rsidRDefault="00584F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  <w:r w:rsidR="00A33F41">
              <w:rPr>
                <w:sz w:val="22"/>
              </w:rPr>
              <w:t>*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66E3775C" w:rsidR="00410797" w:rsidRDefault="00584F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3D524FAF" w:rsidR="00D85054" w:rsidRPr="00557B61" w:rsidRDefault="00410797" w:rsidP="00C34967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DF36A9" w:rsidRPr="007B7D56">
              <w:rPr>
                <w:bCs/>
                <w:sz w:val="22"/>
              </w:rPr>
              <w:t xml:space="preserve">ESSER funds will cover the </w:t>
            </w:r>
            <w:r w:rsidR="00A33F41">
              <w:rPr>
                <w:bCs/>
                <w:sz w:val="22"/>
              </w:rPr>
              <w:t>$</w:t>
            </w:r>
            <w:r w:rsidR="00DF36A9" w:rsidRPr="007B7D56">
              <w:rPr>
                <w:bCs/>
                <w:sz w:val="22"/>
              </w:rPr>
              <w:t>2</w:t>
            </w:r>
            <w:r w:rsidR="00A33F41">
              <w:rPr>
                <w:bCs/>
                <w:sz w:val="22"/>
              </w:rPr>
              <w:t xml:space="preserve"> </w:t>
            </w:r>
            <w:r w:rsidR="00DF36A9" w:rsidRPr="007B7D56">
              <w:rPr>
                <w:bCs/>
                <w:sz w:val="22"/>
              </w:rPr>
              <w:t>million</w:t>
            </w:r>
            <w:r w:rsidR="00557B61">
              <w:rPr>
                <w:bCs/>
                <w:sz w:val="22"/>
              </w:rPr>
              <w:t xml:space="preserve"> and support applicants in pursuing Early College Designation for underrepresented students</w:t>
            </w:r>
            <w:r w:rsidR="00DF36A9" w:rsidRPr="007B7D56">
              <w:rPr>
                <w:bCs/>
                <w:sz w:val="22"/>
              </w:rPr>
              <w:t>.</w:t>
            </w:r>
            <w:r w:rsidR="00557B61">
              <w:rPr>
                <w:bCs/>
                <w:sz w:val="22"/>
              </w:rPr>
              <w:t xml:space="preserve"> The leadership team will be assigned to coaches to aid in the development of plans for a sustainable program.</w:t>
            </w:r>
            <w:r w:rsidR="00DF36A9" w:rsidRPr="007B7D56">
              <w:rPr>
                <w:bCs/>
                <w:sz w:val="22"/>
              </w:rPr>
              <w:t xml:space="preserve"> </w:t>
            </w:r>
          </w:p>
          <w:p w14:paraId="5ACFA215" w14:textId="77777777" w:rsidR="00D85054" w:rsidRPr="00FA17BE" w:rsidRDefault="00D85054" w:rsidP="00557B61">
            <w:pPr>
              <w:pStyle w:val="pf0"/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9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582"/>
      </w:tblGrid>
      <w:tr w:rsidR="00410797" w14:paraId="0D3A9C74" w14:textId="77777777" w:rsidTr="00A33F41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584F59" w:rsidRPr="00584F59" w14:paraId="4EF00959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7221" w14:textId="77777777" w:rsidR="00584F59" w:rsidRPr="001E692C" w:rsidRDefault="00584F59" w:rsidP="00584F59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Brockton Public Schools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A190D" w14:textId="77777777" w:rsidR="00584F59" w:rsidRPr="00584F59" w:rsidRDefault="00584F59" w:rsidP="00584F59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$200,000</w:t>
            </w:r>
          </w:p>
        </w:tc>
      </w:tr>
      <w:tr w:rsidR="00A33F41" w:rsidRPr="00584F59" w14:paraId="5FAAA952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28398" w14:textId="62AEC200" w:rsidR="00A33F41" w:rsidRPr="001E692C" w:rsidRDefault="00A33F41" w:rsidP="003B7150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B</w:t>
            </w:r>
            <w:r>
              <w:rPr>
                <w:bCs/>
                <w:sz w:val="22"/>
                <w:szCs w:val="21"/>
              </w:rPr>
              <w:t>oston Public Schools</w:t>
            </w:r>
            <w:r w:rsidRPr="001E692C">
              <w:rPr>
                <w:bCs/>
                <w:sz w:val="22"/>
                <w:szCs w:val="21"/>
              </w:rPr>
              <w:t xml:space="preserve"> Roxbury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F2566" w14:textId="77777777" w:rsidR="00A33F41" w:rsidRPr="00584F59" w:rsidRDefault="00A33F41" w:rsidP="003B7150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$120,000</w:t>
            </w:r>
          </w:p>
        </w:tc>
      </w:tr>
      <w:tr w:rsidR="00A33F41" w:rsidRPr="00584F59" w14:paraId="7FF2BCA3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95C3" w14:textId="05761CE4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Digital Ready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F176F" w14:textId="1F3EF973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$120,000</w:t>
            </w:r>
          </w:p>
        </w:tc>
      </w:tr>
      <w:tr w:rsidR="00A33F41" w:rsidRPr="00584F59" w14:paraId="436CF96B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CE180" w14:textId="14871A8E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Greenfield CC/ Franklin County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3D05A" w14:textId="1E12796D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$200,000</w:t>
            </w:r>
          </w:p>
        </w:tc>
      </w:tr>
      <w:tr w:rsidR="00A33F41" w:rsidRPr="00584F59" w14:paraId="4A0F7F15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37E4F" w14:textId="77777777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Lynn Public Schools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19AE1" w14:textId="77777777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$200,000</w:t>
            </w:r>
          </w:p>
        </w:tc>
      </w:tr>
      <w:tr w:rsidR="00A33F41" w:rsidRPr="00584F59" w14:paraId="045FA154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B1E32" w14:textId="77777777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Merrimack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24EA4" w14:textId="77777777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$120,000</w:t>
            </w:r>
          </w:p>
        </w:tc>
      </w:tr>
      <w:tr w:rsidR="00A33F41" w:rsidRPr="00584F59" w14:paraId="7546186E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CC62" w14:textId="77777777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South Shore Consortium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9C6A2" w14:textId="77777777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$100,000</w:t>
            </w:r>
          </w:p>
        </w:tc>
      </w:tr>
      <w:tr w:rsidR="00A33F41" w:rsidRPr="00584F59" w14:paraId="70A9876A" w14:textId="77777777" w:rsidTr="00A33F4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41D2A" w14:textId="31D0509F" w:rsidR="00A33F41" w:rsidRPr="001E692C" w:rsidRDefault="00A33F41" w:rsidP="00A33F41">
            <w:pPr>
              <w:spacing w:before="20" w:after="20"/>
              <w:rPr>
                <w:bCs/>
                <w:sz w:val="22"/>
                <w:szCs w:val="21"/>
              </w:rPr>
            </w:pPr>
            <w:r w:rsidRPr="001E692C">
              <w:rPr>
                <w:bCs/>
                <w:sz w:val="22"/>
                <w:szCs w:val="21"/>
              </w:rPr>
              <w:t>U</w:t>
            </w:r>
            <w:r>
              <w:rPr>
                <w:bCs/>
                <w:sz w:val="22"/>
                <w:szCs w:val="21"/>
              </w:rPr>
              <w:t>Mass President’s Office</w:t>
            </w:r>
            <w:r w:rsidR="00424CBB">
              <w:rPr>
                <w:bCs/>
                <w:sz w:val="22"/>
                <w:szCs w:val="21"/>
              </w:rPr>
              <w:t xml:space="preserve">  *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88A3" w14:textId="2550947D" w:rsidR="00A33F41" w:rsidRPr="00584F59" w:rsidRDefault="00A33F41" w:rsidP="00A33F4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4F59">
              <w:rPr>
                <w:sz w:val="22"/>
                <w:szCs w:val="21"/>
              </w:rPr>
              <w:t>$</w:t>
            </w:r>
            <w:r>
              <w:rPr>
                <w:sz w:val="22"/>
                <w:szCs w:val="21"/>
              </w:rPr>
              <w:t>940,000</w:t>
            </w:r>
          </w:p>
        </w:tc>
      </w:tr>
      <w:tr w:rsidR="00A33F41" w14:paraId="1AE7CC78" w14:textId="77777777" w:rsidTr="00A33F41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F16BE8C" w:rsidR="00A33F41" w:rsidRPr="00B329DA" w:rsidRDefault="00A33F41" w:rsidP="00A33F41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5CC8303" w:rsidR="00A33F41" w:rsidRPr="00FF6282" w:rsidRDefault="00A33F41" w:rsidP="00A33F41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FF6282">
              <w:rPr>
                <w:b/>
                <w:bCs/>
                <w:snapToGrid w:val="0"/>
                <w:color w:val="000000"/>
                <w:sz w:val="22"/>
                <w:szCs w:val="21"/>
              </w:rPr>
              <w:t>$2,000,000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footerReference w:type="default" r:id="rId11"/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C306B" w14:textId="77777777" w:rsidR="002338D9" w:rsidRDefault="002338D9" w:rsidP="00A33F41">
      <w:r>
        <w:separator/>
      </w:r>
    </w:p>
  </w:endnote>
  <w:endnote w:type="continuationSeparator" w:id="0">
    <w:p w14:paraId="03610813" w14:textId="77777777" w:rsidR="002338D9" w:rsidRDefault="002338D9" w:rsidP="00A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C8BE" w14:textId="066FF754" w:rsidR="00A33F41" w:rsidRDefault="00A33EB8" w:rsidP="00A33EB8">
    <w:pPr>
      <w:pStyle w:val="Footer"/>
      <w:ind w:left="720"/>
    </w:pPr>
    <w:r>
      <w:t>*</w:t>
    </w:r>
    <w:r w:rsidR="00424CBB">
      <w:rPr>
        <w:color w:val="222222"/>
        <w:shd w:val="clear" w:color="auto" w:fill="FFFFFF"/>
      </w:rPr>
      <w:t xml:space="preserve"> UMass President’s Office to administer both UMass Lowell and UMass Dartmouth grants.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341E" w14:textId="77777777" w:rsidR="002338D9" w:rsidRDefault="002338D9" w:rsidP="00A33F41">
      <w:r>
        <w:separator/>
      </w:r>
    </w:p>
  </w:footnote>
  <w:footnote w:type="continuationSeparator" w:id="0">
    <w:p w14:paraId="50D98693" w14:textId="77777777" w:rsidR="002338D9" w:rsidRDefault="002338D9" w:rsidP="00A3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728"/>
    <w:multiLevelType w:val="hybridMultilevel"/>
    <w:tmpl w:val="E6BE8C1E"/>
    <w:lvl w:ilvl="0" w:tplc="867A7A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D689A"/>
    <w:rsid w:val="001522C7"/>
    <w:rsid w:val="001A433F"/>
    <w:rsid w:val="001B5362"/>
    <w:rsid w:val="001B78A6"/>
    <w:rsid w:val="001C6572"/>
    <w:rsid w:val="001E2790"/>
    <w:rsid w:val="001E692C"/>
    <w:rsid w:val="001F3324"/>
    <w:rsid w:val="00224F8E"/>
    <w:rsid w:val="002338D9"/>
    <w:rsid w:val="002D5121"/>
    <w:rsid w:val="0031794D"/>
    <w:rsid w:val="003226AE"/>
    <w:rsid w:val="00330653"/>
    <w:rsid w:val="00351281"/>
    <w:rsid w:val="00372996"/>
    <w:rsid w:val="00410797"/>
    <w:rsid w:val="00424CBB"/>
    <w:rsid w:val="00427DA8"/>
    <w:rsid w:val="00476CF2"/>
    <w:rsid w:val="00521A12"/>
    <w:rsid w:val="00534FE7"/>
    <w:rsid w:val="00542157"/>
    <w:rsid w:val="00557B61"/>
    <w:rsid w:val="005736D2"/>
    <w:rsid w:val="00584F59"/>
    <w:rsid w:val="005E7EC3"/>
    <w:rsid w:val="006040C0"/>
    <w:rsid w:val="00634CDE"/>
    <w:rsid w:val="00652A79"/>
    <w:rsid w:val="006D71B2"/>
    <w:rsid w:val="00730E52"/>
    <w:rsid w:val="007506C8"/>
    <w:rsid w:val="007911BB"/>
    <w:rsid w:val="007B2582"/>
    <w:rsid w:val="007B7D56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35B74"/>
    <w:rsid w:val="00A33EB8"/>
    <w:rsid w:val="00A33F41"/>
    <w:rsid w:val="00AF1A04"/>
    <w:rsid w:val="00B20136"/>
    <w:rsid w:val="00B23916"/>
    <w:rsid w:val="00B329DA"/>
    <w:rsid w:val="00BA484A"/>
    <w:rsid w:val="00C056D3"/>
    <w:rsid w:val="00C34967"/>
    <w:rsid w:val="00C44806"/>
    <w:rsid w:val="00C654A7"/>
    <w:rsid w:val="00C721A9"/>
    <w:rsid w:val="00C7774F"/>
    <w:rsid w:val="00CD3BE5"/>
    <w:rsid w:val="00CF534A"/>
    <w:rsid w:val="00CF5517"/>
    <w:rsid w:val="00D40C23"/>
    <w:rsid w:val="00D85054"/>
    <w:rsid w:val="00D96130"/>
    <w:rsid w:val="00DA73E5"/>
    <w:rsid w:val="00DB56D5"/>
    <w:rsid w:val="00DF36A9"/>
    <w:rsid w:val="00E62B6C"/>
    <w:rsid w:val="00F11240"/>
    <w:rsid w:val="00F86AF6"/>
    <w:rsid w:val="00FA17BE"/>
    <w:rsid w:val="00FF203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D56"/>
    <w:rPr>
      <w:b/>
      <w:bCs/>
      <w:sz w:val="20"/>
      <w:szCs w:val="20"/>
    </w:rPr>
  </w:style>
  <w:style w:type="paragraph" w:customStyle="1" w:styleId="pf0">
    <w:name w:val="pf0"/>
    <w:basedOn w:val="Normal"/>
    <w:rsid w:val="00557B6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557B61"/>
    <w:rPr>
      <w:rFonts w:ascii="Segoe UI" w:hAnsi="Segoe UI" w:cs="Segoe UI" w:hint="default"/>
      <w:color w:val="22222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4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3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D09E7E7-1FB0-4AB6-A141-A2D55547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FC160 Board Package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FC160 Board Package</dc:title>
  <dc:creator>DESE</dc:creator>
  <cp:lastModifiedBy>Zou, Dong (EOE)</cp:lastModifiedBy>
  <cp:revision>5</cp:revision>
  <cp:lastPrinted>2001-07-23T18:06:00Z</cp:lastPrinted>
  <dcterms:created xsi:type="dcterms:W3CDTF">2022-08-01T20:40:00Z</dcterms:created>
  <dcterms:modified xsi:type="dcterms:W3CDTF">2022-08-04T17:41:00Z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2022</vt:lpwstr>
  </property>
</Properties>
</file>