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5E9EAD53" w:rsidR="00410797" w:rsidRDefault="00F50CF7">
            <w:pPr>
              <w:pStyle w:val="Heading1"/>
              <w:jc w:val="both"/>
              <w:rPr>
                <w:sz w:val="22"/>
              </w:rPr>
            </w:pPr>
            <w:r>
              <w:rPr>
                <w:sz w:val="22"/>
              </w:rPr>
              <w:t>Expanded Learning Time (ELT)</w:t>
            </w:r>
          </w:p>
        </w:tc>
        <w:tc>
          <w:tcPr>
            <w:tcW w:w="2430" w:type="dxa"/>
            <w:tcBorders>
              <w:top w:val="nil"/>
              <w:left w:val="nil"/>
              <w:bottom w:val="nil"/>
              <w:right w:val="nil"/>
            </w:tcBorders>
          </w:tcPr>
          <w:p w14:paraId="5813D72A" w14:textId="17D19BB2" w:rsidR="00410797" w:rsidRDefault="00410797" w:rsidP="007B2582">
            <w:pPr>
              <w:spacing w:after="120"/>
              <w:jc w:val="both"/>
              <w:rPr>
                <w:sz w:val="22"/>
              </w:rPr>
            </w:pPr>
            <w:r>
              <w:rPr>
                <w:b/>
                <w:sz w:val="22"/>
              </w:rPr>
              <w:t>FUND CODE:</w:t>
            </w:r>
            <w:r w:rsidR="00372996">
              <w:rPr>
                <w:sz w:val="22"/>
              </w:rPr>
              <w:t xml:space="preserve"> </w:t>
            </w:r>
            <w:r w:rsidR="00F50CF7">
              <w:rPr>
                <w:sz w:val="22"/>
              </w:rPr>
              <w:t>225</w:t>
            </w:r>
          </w:p>
        </w:tc>
      </w:tr>
      <w:tr w:rsidR="00410797" w14:paraId="16366702" w14:textId="77777777">
        <w:trPr>
          <w:cantSplit/>
        </w:trPr>
        <w:tc>
          <w:tcPr>
            <w:tcW w:w="3438" w:type="dxa"/>
            <w:tcBorders>
              <w:top w:val="nil"/>
              <w:left w:val="nil"/>
              <w:bottom w:val="nil"/>
              <w:right w:val="nil"/>
            </w:tcBorders>
          </w:tcPr>
          <w:p w14:paraId="02866615" w14:textId="77777777" w:rsidR="00410797" w:rsidRPr="00B03FAF" w:rsidRDefault="00410797">
            <w:pPr>
              <w:spacing w:after="120"/>
              <w:jc w:val="both"/>
              <w:rPr>
                <w:bCs/>
                <w:sz w:val="22"/>
              </w:rPr>
            </w:pPr>
            <w:r w:rsidRPr="00B03FAF">
              <w:rPr>
                <w:bCs/>
                <w:sz w:val="22"/>
              </w:rPr>
              <w:t xml:space="preserve">FUNDS ALLOCATED:     </w:t>
            </w:r>
          </w:p>
        </w:tc>
        <w:tc>
          <w:tcPr>
            <w:tcW w:w="7470" w:type="dxa"/>
            <w:gridSpan w:val="3"/>
            <w:tcBorders>
              <w:top w:val="nil"/>
              <w:left w:val="nil"/>
              <w:bottom w:val="nil"/>
              <w:right w:val="nil"/>
            </w:tcBorders>
          </w:tcPr>
          <w:p w14:paraId="7906D56B" w14:textId="76EBEF7A" w:rsidR="00410797" w:rsidRDefault="00410797" w:rsidP="007B2582">
            <w:pPr>
              <w:spacing w:after="120"/>
              <w:jc w:val="both"/>
              <w:rPr>
                <w:sz w:val="22"/>
              </w:rPr>
            </w:pPr>
            <w:r>
              <w:rPr>
                <w:sz w:val="22"/>
              </w:rPr>
              <w:t>$</w:t>
            </w:r>
            <w:r w:rsidR="003445F3" w:rsidRPr="00B03FAF">
              <w:rPr>
                <w:sz w:val="22"/>
                <w:szCs w:val="22"/>
              </w:rPr>
              <w:t>3,773,857</w:t>
            </w:r>
            <w:r w:rsidR="007B2582">
              <w:rPr>
                <w:sz w:val="22"/>
              </w:rPr>
              <w:t xml:space="preserve">          </w:t>
            </w:r>
            <w:r>
              <w:rPr>
                <w:sz w:val="22"/>
              </w:rPr>
              <w:t>(</w:t>
            </w:r>
            <w:r w:rsidR="007B2582">
              <w:rPr>
                <w:sz w:val="22"/>
              </w:rPr>
              <w:t>State</w:t>
            </w:r>
            <w:r w:rsidR="00F50CF7">
              <w:rPr>
                <w:sz w:val="22"/>
              </w:rPr>
              <w:t>)</w:t>
            </w:r>
          </w:p>
        </w:tc>
      </w:tr>
      <w:tr w:rsidR="00410797" w14:paraId="3F43B3FC" w14:textId="77777777">
        <w:trPr>
          <w:cantSplit/>
        </w:trPr>
        <w:tc>
          <w:tcPr>
            <w:tcW w:w="3438" w:type="dxa"/>
            <w:tcBorders>
              <w:top w:val="nil"/>
              <w:left w:val="nil"/>
              <w:bottom w:val="nil"/>
              <w:right w:val="nil"/>
            </w:tcBorders>
          </w:tcPr>
          <w:p w14:paraId="401A68F4" w14:textId="77777777" w:rsidR="00410797" w:rsidRPr="00B03FAF" w:rsidRDefault="00410797">
            <w:pPr>
              <w:spacing w:after="120"/>
              <w:jc w:val="both"/>
              <w:rPr>
                <w:bCs/>
                <w:sz w:val="22"/>
              </w:rPr>
            </w:pPr>
            <w:r w:rsidRPr="00B03FAF">
              <w:rPr>
                <w:bCs/>
                <w:sz w:val="22"/>
              </w:rPr>
              <w:t>FUNDS REQUESTED:</w:t>
            </w:r>
          </w:p>
        </w:tc>
        <w:tc>
          <w:tcPr>
            <w:tcW w:w="7470" w:type="dxa"/>
            <w:gridSpan w:val="3"/>
            <w:tcBorders>
              <w:top w:val="nil"/>
              <w:left w:val="nil"/>
              <w:bottom w:val="nil"/>
              <w:right w:val="nil"/>
            </w:tcBorders>
          </w:tcPr>
          <w:p w14:paraId="50393F71" w14:textId="0D340DE8" w:rsidR="00410797" w:rsidRPr="00B03FAF" w:rsidRDefault="00410797" w:rsidP="007B2582">
            <w:pPr>
              <w:spacing w:after="120"/>
              <w:jc w:val="both"/>
              <w:rPr>
                <w:bCs/>
                <w:sz w:val="22"/>
              </w:rPr>
            </w:pPr>
            <w:r w:rsidRPr="00B03FAF">
              <w:rPr>
                <w:bCs/>
                <w:sz w:val="22"/>
              </w:rPr>
              <w:t>$</w:t>
            </w:r>
            <w:r w:rsidR="003445F3" w:rsidRPr="00B03FAF">
              <w:rPr>
                <w:bCs/>
                <w:sz w:val="22"/>
                <w:szCs w:val="22"/>
              </w:rPr>
              <w:t>3,773,857</w:t>
            </w:r>
          </w:p>
        </w:tc>
      </w:tr>
      <w:tr w:rsidR="00410797" w:rsidRPr="00B170C4" w14:paraId="30AE8315" w14:textId="77777777">
        <w:trPr>
          <w:cantSplit/>
        </w:trPr>
        <w:tc>
          <w:tcPr>
            <w:tcW w:w="10908" w:type="dxa"/>
            <w:gridSpan w:val="4"/>
            <w:tcBorders>
              <w:top w:val="nil"/>
              <w:left w:val="nil"/>
              <w:bottom w:val="nil"/>
              <w:right w:val="nil"/>
            </w:tcBorders>
          </w:tcPr>
          <w:p w14:paraId="565BB16F" w14:textId="77777777" w:rsidR="00266FC7" w:rsidRPr="00B170C4" w:rsidRDefault="00410797" w:rsidP="00266FC7">
            <w:pPr>
              <w:jc w:val="both"/>
              <w:textAlignment w:val="baseline"/>
              <w:rPr>
                <w:sz w:val="22"/>
                <w:szCs w:val="22"/>
              </w:rPr>
            </w:pPr>
            <w:r w:rsidRPr="00B170C4">
              <w:rPr>
                <w:b/>
                <w:sz w:val="22"/>
                <w:szCs w:val="22"/>
              </w:rPr>
              <w:t xml:space="preserve">PURPOSE: </w:t>
            </w:r>
            <w:r w:rsidR="00266FC7" w:rsidRPr="00B170C4">
              <w:rPr>
                <w:sz w:val="22"/>
                <w:szCs w:val="22"/>
                <w:lang w:val="en"/>
              </w:rPr>
              <w:t xml:space="preserve">There is a body of research supporting the efficacy of Expanded Learning Time (ELT) in </w:t>
            </w:r>
            <w:hyperlink r:id="rId9" w:tgtFrame="_blank" w:history="1">
              <w:r w:rsidR="00266FC7" w:rsidRPr="00B170C4">
                <w:rPr>
                  <w:color w:val="0563C1"/>
                  <w:sz w:val="22"/>
                  <w:szCs w:val="22"/>
                  <w:u w:val="single"/>
                  <w:lang w:val="en"/>
                </w:rPr>
                <w:t>accelerating student achievement</w:t>
              </w:r>
            </w:hyperlink>
            <w:r w:rsidR="00266FC7" w:rsidRPr="00B170C4">
              <w:rPr>
                <w:sz w:val="22"/>
                <w:szCs w:val="22"/>
                <w:lang w:val="en"/>
              </w:rPr>
              <w:t xml:space="preserve"> and closing gaps. Research suggests that, “</w:t>
            </w:r>
            <w:hyperlink r:id="rId10" w:tgtFrame="_blank" w:history="1">
              <w:r w:rsidR="00266FC7" w:rsidRPr="00B170C4">
                <w:rPr>
                  <w:color w:val="0563C1"/>
                  <w:sz w:val="22"/>
                  <w:szCs w:val="22"/>
                  <w:u w:val="single"/>
                  <w:lang w:val="en"/>
                </w:rPr>
                <w:t>ELT is especially beneficial for students from low-income families, students of color, and students who are academically behind</w:t>
              </w:r>
            </w:hyperlink>
            <w:r w:rsidR="00266FC7" w:rsidRPr="00B170C4">
              <w:rPr>
                <w:color w:val="212529"/>
                <w:sz w:val="22"/>
                <w:szCs w:val="22"/>
                <w:lang w:val="en"/>
              </w:rPr>
              <w:t>” as it provides access to academic support, engaging enrichment opportunities, and high quality instruction by teachers who regularly participate in meaningful collaboration.</w:t>
            </w:r>
            <w:r w:rsidR="00266FC7" w:rsidRPr="00B170C4">
              <w:rPr>
                <w:color w:val="212529"/>
                <w:sz w:val="22"/>
                <w:szCs w:val="22"/>
              </w:rPr>
              <w:t> </w:t>
            </w:r>
          </w:p>
          <w:p w14:paraId="16B2C5F2" w14:textId="77777777" w:rsidR="00266FC7" w:rsidRPr="00B170C4" w:rsidRDefault="00266FC7" w:rsidP="00266FC7">
            <w:pPr>
              <w:jc w:val="both"/>
              <w:textAlignment w:val="baseline"/>
              <w:rPr>
                <w:sz w:val="22"/>
                <w:szCs w:val="22"/>
              </w:rPr>
            </w:pPr>
            <w:r w:rsidRPr="00B170C4">
              <w:rPr>
                <w:color w:val="212529"/>
                <w:sz w:val="22"/>
                <w:szCs w:val="22"/>
              </w:rPr>
              <w:t> </w:t>
            </w:r>
          </w:p>
          <w:p w14:paraId="6360877D" w14:textId="0AE55194" w:rsidR="00266FC7" w:rsidRPr="00B170C4" w:rsidRDefault="00266FC7" w:rsidP="00266FC7">
            <w:pPr>
              <w:jc w:val="both"/>
              <w:textAlignment w:val="baseline"/>
              <w:rPr>
                <w:sz w:val="22"/>
                <w:szCs w:val="22"/>
                <w:lang w:val="en"/>
              </w:rPr>
            </w:pPr>
            <w:r w:rsidRPr="00B170C4">
              <w:rPr>
                <w:sz w:val="22"/>
                <w:szCs w:val="22"/>
                <w:lang w:val="en"/>
              </w:rPr>
              <w:t>As we have learned in over a decade of funding the expanded day model through Massachusetts state funding (</w:t>
            </w:r>
            <w:hyperlink r:id="rId11" w:history="1">
              <w:r w:rsidR="000C790E">
                <w:rPr>
                  <w:rStyle w:val="Hyperlink"/>
                  <w:sz w:val="22"/>
                  <w:szCs w:val="22"/>
                  <w:lang w:val="en"/>
                </w:rPr>
                <w:t>https://budget.digital.mass.gov/summary/fy23/enacted/education/education-k-12/70619412</w:t>
              </w:r>
            </w:hyperlink>
            <w:r w:rsidRPr="00B170C4">
              <w:rPr>
                <w:sz w:val="22"/>
                <w:szCs w:val="22"/>
                <w:lang w:val="en"/>
              </w:rPr>
              <w:t xml:space="preserve">), successful implementation of additional time relies on a balanced and embedded allocation of additional time which includes one or more of the following ELT components: </w:t>
            </w:r>
          </w:p>
          <w:p w14:paraId="093AB78E" w14:textId="77777777" w:rsidR="00266FC7" w:rsidRPr="00B170C4" w:rsidRDefault="00266FC7" w:rsidP="00266FC7">
            <w:pPr>
              <w:jc w:val="both"/>
              <w:textAlignment w:val="baseline"/>
              <w:rPr>
                <w:sz w:val="22"/>
                <w:szCs w:val="22"/>
                <w:lang w:val="en"/>
              </w:rPr>
            </w:pPr>
          </w:p>
          <w:p w14:paraId="598A70B2" w14:textId="77777777" w:rsidR="000540EF" w:rsidRPr="00B170C4" w:rsidRDefault="00266FC7" w:rsidP="00B443B7">
            <w:pPr>
              <w:ind w:left="720"/>
              <w:jc w:val="both"/>
              <w:textAlignment w:val="baseline"/>
              <w:rPr>
                <w:sz w:val="22"/>
                <w:szCs w:val="22"/>
                <w:lang w:val="en"/>
              </w:rPr>
            </w:pPr>
            <w:r w:rsidRPr="00B170C4">
              <w:rPr>
                <w:sz w:val="22"/>
                <w:szCs w:val="22"/>
                <w:lang w:val="en"/>
              </w:rPr>
              <w:t xml:space="preserve">1. additional time for core academics (including academic support and acceleration), </w:t>
            </w:r>
          </w:p>
          <w:p w14:paraId="2CA080B4" w14:textId="1016E636" w:rsidR="00266FC7" w:rsidRPr="00B170C4" w:rsidRDefault="00266FC7" w:rsidP="00B443B7">
            <w:pPr>
              <w:ind w:left="720"/>
              <w:jc w:val="both"/>
              <w:textAlignment w:val="baseline"/>
              <w:rPr>
                <w:sz w:val="22"/>
                <w:szCs w:val="22"/>
                <w:lang w:val="en"/>
              </w:rPr>
            </w:pPr>
            <w:r w:rsidRPr="00B170C4">
              <w:rPr>
                <w:sz w:val="22"/>
                <w:szCs w:val="22"/>
                <w:lang w:val="en"/>
              </w:rPr>
              <w:t xml:space="preserve">2. teacher collaboration and professional development, and </w:t>
            </w:r>
          </w:p>
          <w:p w14:paraId="2476431F" w14:textId="77777777" w:rsidR="00266FC7" w:rsidRPr="00B170C4" w:rsidRDefault="00266FC7" w:rsidP="00B443B7">
            <w:pPr>
              <w:ind w:left="720"/>
              <w:jc w:val="both"/>
              <w:textAlignment w:val="baseline"/>
              <w:rPr>
                <w:sz w:val="22"/>
                <w:szCs w:val="22"/>
              </w:rPr>
            </w:pPr>
            <w:r w:rsidRPr="00B170C4">
              <w:rPr>
                <w:sz w:val="22"/>
                <w:szCs w:val="22"/>
                <w:lang w:val="en"/>
              </w:rPr>
              <w:t>3. enrichment opportunities informed by student voice.</w:t>
            </w:r>
            <w:r w:rsidRPr="00B170C4">
              <w:rPr>
                <w:sz w:val="22"/>
                <w:szCs w:val="22"/>
              </w:rPr>
              <w:t> </w:t>
            </w:r>
          </w:p>
          <w:p w14:paraId="67F9CBE9" w14:textId="77777777" w:rsidR="00266FC7" w:rsidRPr="00B170C4" w:rsidRDefault="00266FC7" w:rsidP="00266FC7">
            <w:pPr>
              <w:jc w:val="both"/>
              <w:textAlignment w:val="baseline"/>
              <w:rPr>
                <w:sz w:val="22"/>
                <w:szCs w:val="22"/>
              </w:rPr>
            </w:pPr>
            <w:r w:rsidRPr="00B170C4">
              <w:rPr>
                <w:sz w:val="22"/>
                <w:szCs w:val="22"/>
              </w:rPr>
              <w:t> </w:t>
            </w:r>
          </w:p>
          <w:p w14:paraId="751086B4" w14:textId="09CE7D31" w:rsidR="00266FC7" w:rsidRPr="00B170C4" w:rsidRDefault="00266FC7" w:rsidP="00266FC7">
            <w:pPr>
              <w:jc w:val="both"/>
              <w:textAlignment w:val="baseline"/>
              <w:rPr>
                <w:sz w:val="22"/>
                <w:szCs w:val="22"/>
              </w:rPr>
            </w:pPr>
            <w:r w:rsidRPr="00B170C4">
              <w:rPr>
                <w:sz w:val="22"/>
                <w:szCs w:val="22"/>
                <w:lang w:val="en"/>
              </w:rPr>
              <w:t xml:space="preserve">Districts </w:t>
            </w:r>
            <w:r w:rsidR="000C790E">
              <w:rPr>
                <w:sz w:val="22"/>
                <w:szCs w:val="22"/>
                <w:lang w:val="en"/>
              </w:rPr>
              <w:t xml:space="preserve">applied </w:t>
            </w:r>
            <w:r w:rsidRPr="00B170C4">
              <w:rPr>
                <w:sz w:val="22"/>
                <w:szCs w:val="22"/>
                <w:lang w:val="en"/>
              </w:rPr>
              <w:t>for funding to schools adding time to their day/year schedule for all students. Additional time must be calculated in comparison with and above the district average and can include up to an additional 300 hours and no fewer than 50 hours, depending on model. This grant will support additional time for ALL students within the school day or year to incorporate one, two or all three components of ELT (additional time for core academics, collaboration time for teachers, and/or enrichment opportunities for students). </w:t>
            </w:r>
            <w:r w:rsidRPr="00B170C4">
              <w:rPr>
                <w:sz w:val="22"/>
                <w:szCs w:val="22"/>
              </w:rPr>
              <w:t> </w:t>
            </w:r>
          </w:p>
          <w:p w14:paraId="235C8D89" w14:textId="160C9829" w:rsidR="00410797" w:rsidRPr="00B170C4" w:rsidRDefault="00410797" w:rsidP="007B2582">
            <w:pPr>
              <w:spacing w:after="120"/>
              <w:jc w:val="both"/>
              <w:rPr>
                <w:sz w:val="22"/>
                <w:szCs w:val="22"/>
              </w:rPr>
            </w:pPr>
          </w:p>
        </w:tc>
      </w:tr>
      <w:tr w:rsidR="00410797" w14:paraId="6559C0FA" w14:textId="77777777">
        <w:tc>
          <w:tcPr>
            <w:tcW w:w="5418" w:type="dxa"/>
            <w:gridSpan w:val="2"/>
            <w:tcBorders>
              <w:top w:val="nil"/>
              <w:left w:val="nil"/>
              <w:bottom w:val="nil"/>
              <w:right w:val="nil"/>
            </w:tcBorders>
          </w:tcPr>
          <w:p w14:paraId="31E78CF4" w14:textId="01B1E32E" w:rsidR="00410797" w:rsidRDefault="00410797">
            <w:pPr>
              <w:spacing w:after="120"/>
              <w:jc w:val="both"/>
              <w:rPr>
                <w:b/>
                <w:sz w:val="22"/>
              </w:rPr>
            </w:pPr>
            <w:r>
              <w:rPr>
                <w:b/>
                <w:sz w:val="22"/>
              </w:rPr>
              <w:t>NUMBER OF PROPOSALS RECEIVED:</w:t>
            </w:r>
            <w:r w:rsidR="00491984">
              <w:rPr>
                <w:b/>
                <w:sz w:val="22"/>
              </w:rPr>
              <w:t xml:space="preserve"> </w:t>
            </w:r>
          </w:p>
        </w:tc>
        <w:tc>
          <w:tcPr>
            <w:tcW w:w="5490" w:type="dxa"/>
            <w:gridSpan w:val="2"/>
            <w:tcBorders>
              <w:top w:val="nil"/>
              <w:left w:val="nil"/>
              <w:bottom w:val="nil"/>
              <w:right w:val="nil"/>
            </w:tcBorders>
          </w:tcPr>
          <w:p w14:paraId="1B173BB1" w14:textId="6D2062CF" w:rsidR="00410797" w:rsidRDefault="00B03FAF">
            <w:pPr>
              <w:spacing w:after="120"/>
              <w:jc w:val="both"/>
              <w:rPr>
                <w:sz w:val="22"/>
              </w:rPr>
            </w:pPr>
            <w:r>
              <w:rPr>
                <w:sz w:val="22"/>
              </w:rPr>
              <w:t>6</w:t>
            </w:r>
          </w:p>
        </w:tc>
      </w:tr>
      <w:tr w:rsidR="00410797" w14:paraId="761730FA" w14:textId="77777777">
        <w:trPr>
          <w:trHeight w:val="224"/>
        </w:trPr>
        <w:tc>
          <w:tcPr>
            <w:tcW w:w="5418" w:type="dxa"/>
            <w:gridSpan w:val="2"/>
            <w:tcBorders>
              <w:top w:val="nil"/>
              <w:left w:val="nil"/>
              <w:bottom w:val="nil"/>
              <w:right w:val="nil"/>
            </w:tcBorders>
          </w:tcPr>
          <w:p w14:paraId="3F4D2231" w14:textId="65156ADF" w:rsidR="00410797" w:rsidRDefault="00410797">
            <w:pPr>
              <w:spacing w:after="120"/>
              <w:jc w:val="both"/>
              <w:rPr>
                <w:b/>
                <w:sz w:val="22"/>
              </w:rPr>
            </w:pPr>
            <w:r>
              <w:rPr>
                <w:b/>
                <w:sz w:val="22"/>
              </w:rPr>
              <w:t>NUMBER OF PROPOSALS RECOMMENDED:</w:t>
            </w:r>
            <w:r w:rsidR="00491984">
              <w:rPr>
                <w:b/>
                <w:sz w:val="22"/>
              </w:rPr>
              <w:t xml:space="preserve"> </w:t>
            </w:r>
          </w:p>
        </w:tc>
        <w:tc>
          <w:tcPr>
            <w:tcW w:w="5490" w:type="dxa"/>
            <w:gridSpan w:val="2"/>
            <w:tcBorders>
              <w:top w:val="nil"/>
              <w:left w:val="nil"/>
              <w:bottom w:val="nil"/>
              <w:right w:val="nil"/>
            </w:tcBorders>
          </w:tcPr>
          <w:p w14:paraId="0D2596CF" w14:textId="0E7B88B4" w:rsidR="00410797" w:rsidRDefault="00B03FAF">
            <w:pPr>
              <w:spacing w:after="120"/>
              <w:jc w:val="both"/>
              <w:rPr>
                <w:sz w:val="22"/>
              </w:rPr>
            </w:pPr>
            <w:r>
              <w:rPr>
                <w:sz w:val="22"/>
              </w:rPr>
              <w:t>6</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2064F9FC" w:rsidR="00410797" w:rsidRDefault="00410797">
            <w:pPr>
              <w:spacing w:after="120"/>
              <w:jc w:val="both"/>
              <w:rPr>
                <w:b/>
                <w:sz w:val="22"/>
              </w:rPr>
            </w:pPr>
            <w:r>
              <w:rPr>
                <w:b/>
                <w:sz w:val="22"/>
              </w:rPr>
              <w:t>NUMBER OF PROPOSALS NOT RECOMMENDED:</w:t>
            </w:r>
            <w:r w:rsidR="00491984">
              <w:rPr>
                <w:b/>
                <w:sz w:val="22"/>
              </w:rPr>
              <w:t xml:space="preserve">  </w:t>
            </w:r>
          </w:p>
        </w:tc>
        <w:tc>
          <w:tcPr>
            <w:tcW w:w="5490" w:type="dxa"/>
            <w:gridSpan w:val="2"/>
            <w:tcBorders>
              <w:top w:val="nil"/>
              <w:left w:val="nil"/>
              <w:bottom w:val="nil"/>
              <w:right w:val="nil"/>
            </w:tcBorders>
          </w:tcPr>
          <w:p w14:paraId="2097C42B" w14:textId="34380B47" w:rsidR="00410797" w:rsidRDefault="00B03FAF">
            <w:pPr>
              <w:spacing w:after="120"/>
              <w:jc w:val="both"/>
              <w:rPr>
                <w:sz w:val="22"/>
              </w:rPr>
            </w:pPr>
            <w:r>
              <w:rPr>
                <w:sz w:val="22"/>
              </w:rPr>
              <w:t>0</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77777777" w:rsidR="00410797" w:rsidRDefault="00410797" w:rsidP="007B2582">
            <w:pPr>
              <w:rPr>
                <w:b/>
                <w:sz w:val="22"/>
              </w:rPr>
            </w:pPr>
            <w:r w:rsidRPr="001C6572">
              <w:rPr>
                <w:b/>
                <w:sz w:val="22"/>
              </w:rPr>
              <w:t xml:space="preserve">RESULT OF FUNDING: </w:t>
            </w:r>
          </w:p>
          <w:p w14:paraId="5ACFA215" w14:textId="2DD69AB4" w:rsidR="00D85054" w:rsidRPr="00B57FE5" w:rsidRDefault="00B57FE5" w:rsidP="00C34967">
            <w:pPr>
              <w:rPr>
                <w:i/>
                <w:sz w:val="22"/>
                <w:szCs w:val="22"/>
              </w:rPr>
            </w:pPr>
            <w:r>
              <w:rPr>
                <w:bCs/>
                <w:sz w:val="22"/>
              </w:rPr>
              <w:t>All a</w:t>
            </w:r>
            <w:r w:rsidR="000540EF">
              <w:rPr>
                <w:bCs/>
                <w:sz w:val="22"/>
              </w:rPr>
              <w:t xml:space="preserve">pplicants received funding to support activities aligned with the ELT components </w:t>
            </w:r>
            <w:r w:rsidR="00492FCF">
              <w:rPr>
                <w:bCs/>
                <w:sz w:val="22"/>
              </w:rPr>
              <w:t>of implementing additional time for core academics, teacher collaboration and professional development, and/or enrichment opportunities for students</w:t>
            </w:r>
            <w:r w:rsidR="00DE767F" w:rsidRPr="00DE767F">
              <w:rPr>
                <w:bCs/>
                <w:sz w:val="22"/>
                <w:szCs w:val="22"/>
              </w:rPr>
              <w:t xml:space="preserve">. </w:t>
            </w:r>
            <w:r w:rsidR="00DE767F" w:rsidRPr="00DE767F">
              <w:rPr>
                <w:sz w:val="22"/>
                <w:szCs w:val="22"/>
              </w:rPr>
              <w:t>The Department received six (6) applications for nineteen (19) schools and a total of six (6) awards are recommended. Based on the scope of proposed projects, awards range from $185,250 to $1,078,968</w:t>
            </w:r>
            <w:r w:rsidR="00B03FAF">
              <w:rPr>
                <w:sz w:val="22"/>
                <w:szCs w:val="22"/>
              </w:rPr>
              <w:t>.</w:t>
            </w: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657CA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rsidRPr="0058157E" w14:paraId="2557505B" w14:textId="77777777" w:rsidTr="00657CA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0B30167D" w:rsidR="00372996" w:rsidRPr="00B03FAF" w:rsidRDefault="00491984" w:rsidP="00D57F6E">
            <w:pPr>
              <w:spacing w:before="20" w:after="20"/>
              <w:rPr>
                <w:bCs/>
                <w:sz w:val="22"/>
                <w:szCs w:val="22"/>
              </w:rPr>
            </w:pPr>
            <w:r w:rsidRPr="00B03FAF">
              <w:rPr>
                <w:bCs/>
                <w:sz w:val="22"/>
                <w:szCs w:val="22"/>
              </w:rPr>
              <w:t>Boston (Boston Arts Academy, Young Achievers)</w:t>
            </w:r>
          </w:p>
        </w:tc>
        <w:tc>
          <w:tcPr>
            <w:tcW w:w="1440" w:type="dxa"/>
            <w:tcBorders>
              <w:top w:val="single" w:sz="6" w:space="0" w:color="auto"/>
              <w:left w:val="single" w:sz="6" w:space="0" w:color="auto"/>
              <w:bottom w:val="single" w:sz="6" w:space="0" w:color="auto"/>
              <w:right w:val="single" w:sz="6" w:space="0" w:color="auto"/>
            </w:tcBorders>
            <w:vAlign w:val="center"/>
          </w:tcPr>
          <w:p w14:paraId="59CC03D8" w14:textId="77777777" w:rsidR="00B00C8B" w:rsidRPr="00B03FAF" w:rsidRDefault="00B00C8B" w:rsidP="00B03FAF">
            <w:pPr>
              <w:contextualSpacing/>
              <w:jc w:val="right"/>
              <w:rPr>
                <w:bCs/>
                <w:sz w:val="22"/>
                <w:szCs w:val="22"/>
              </w:rPr>
            </w:pPr>
            <w:r w:rsidRPr="00B03FAF">
              <w:rPr>
                <w:bCs/>
                <w:sz w:val="22"/>
                <w:szCs w:val="22"/>
              </w:rPr>
              <w:t>$1,078,968</w:t>
            </w:r>
          </w:p>
          <w:p w14:paraId="78F33579" w14:textId="77777777" w:rsidR="00372996" w:rsidRPr="00B03FAF" w:rsidRDefault="00372996" w:rsidP="00B03FAF">
            <w:pPr>
              <w:spacing w:before="20" w:after="20"/>
              <w:jc w:val="right"/>
              <w:rPr>
                <w:bCs/>
                <w:sz w:val="22"/>
                <w:szCs w:val="22"/>
              </w:rPr>
            </w:pPr>
          </w:p>
        </w:tc>
      </w:tr>
      <w:tr w:rsidR="00372996" w:rsidRPr="0058157E" w14:paraId="41529082" w14:textId="77777777" w:rsidTr="00657C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6D95A41" w:rsidR="00372996" w:rsidRPr="00B03FAF" w:rsidRDefault="00B00C8B" w:rsidP="00372996">
            <w:pPr>
              <w:spacing w:before="20" w:after="20"/>
              <w:rPr>
                <w:bCs/>
                <w:sz w:val="22"/>
                <w:szCs w:val="22"/>
              </w:rPr>
            </w:pPr>
            <w:r w:rsidRPr="00B03FAF">
              <w:rPr>
                <w:bCs/>
                <w:sz w:val="22"/>
                <w:szCs w:val="22"/>
              </w:rPr>
              <w:t>Cambridge (Fletcher-Maynard Academy, Dr. Martin Luther King, Jr.)</w:t>
            </w:r>
          </w:p>
        </w:tc>
        <w:tc>
          <w:tcPr>
            <w:tcW w:w="1440" w:type="dxa"/>
            <w:tcBorders>
              <w:top w:val="single" w:sz="6" w:space="0" w:color="auto"/>
              <w:left w:val="single" w:sz="6" w:space="0" w:color="auto"/>
              <w:bottom w:val="single" w:sz="6" w:space="0" w:color="auto"/>
              <w:right w:val="single" w:sz="6" w:space="0" w:color="auto"/>
            </w:tcBorders>
            <w:vAlign w:val="center"/>
          </w:tcPr>
          <w:p w14:paraId="461CEE9A" w14:textId="77777777" w:rsidR="002A7805" w:rsidRPr="00B03FAF" w:rsidRDefault="002A7805" w:rsidP="00B03FAF">
            <w:pPr>
              <w:contextualSpacing/>
              <w:jc w:val="right"/>
              <w:rPr>
                <w:bCs/>
                <w:sz w:val="22"/>
                <w:szCs w:val="22"/>
              </w:rPr>
            </w:pPr>
            <w:r w:rsidRPr="00B03FAF">
              <w:rPr>
                <w:bCs/>
                <w:sz w:val="22"/>
                <w:szCs w:val="22"/>
              </w:rPr>
              <w:t>$763,100</w:t>
            </w:r>
          </w:p>
          <w:p w14:paraId="5533DA82" w14:textId="77777777" w:rsidR="00372996" w:rsidRPr="00B03FAF" w:rsidRDefault="00372996" w:rsidP="00B03FAF">
            <w:pPr>
              <w:spacing w:before="20" w:after="20"/>
              <w:jc w:val="right"/>
              <w:rPr>
                <w:bCs/>
                <w:sz w:val="22"/>
                <w:szCs w:val="22"/>
              </w:rPr>
            </w:pPr>
          </w:p>
        </w:tc>
      </w:tr>
      <w:tr w:rsidR="00372996" w:rsidRPr="0058157E" w14:paraId="54E1A07B" w14:textId="77777777" w:rsidTr="00657C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12D99DCC" w:rsidR="00372996" w:rsidRPr="00B03FAF" w:rsidRDefault="00093D9C" w:rsidP="00D57F6E">
            <w:pPr>
              <w:spacing w:before="20" w:after="20"/>
              <w:rPr>
                <w:bCs/>
                <w:sz w:val="22"/>
                <w:szCs w:val="22"/>
              </w:rPr>
            </w:pPr>
            <w:r w:rsidRPr="00B03FAF">
              <w:rPr>
                <w:bCs/>
                <w:sz w:val="22"/>
                <w:szCs w:val="22"/>
              </w:rPr>
              <w:t>Dennis-Yarmouth (</w:t>
            </w:r>
            <w:r w:rsidR="007E510F" w:rsidRPr="00B03FAF">
              <w:rPr>
                <w:bCs/>
                <w:sz w:val="22"/>
                <w:szCs w:val="22"/>
              </w:rPr>
              <w:t xml:space="preserve">Nathaniel </w:t>
            </w:r>
            <w:proofErr w:type="spellStart"/>
            <w:r w:rsidR="007E510F" w:rsidRPr="00B03FAF">
              <w:rPr>
                <w:bCs/>
                <w:sz w:val="22"/>
                <w:szCs w:val="22"/>
              </w:rPr>
              <w:t>Wixon</w:t>
            </w:r>
            <w:proofErr w:type="spellEnd"/>
            <w:r w:rsidR="007E510F" w:rsidRPr="00B03FAF">
              <w:rPr>
                <w:bCs/>
                <w:sz w:val="22"/>
                <w:szCs w:val="22"/>
              </w:rPr>
              <w:t xml:space="preserve">,  </w:t>
            </w:r>
            <w:proofErr w:type="spellStart"/>
            <w:r w:rsidR="007E510F" w:rsidRPr="00B03FAF">
              <w:rPr>
                <w:bCs/>
                <w:sz w:val="22"/>
                <w:szCs w:val="22"/>
              </w:rPr>
              <w:t>Mattacheese</w:t>
            </w:r>
            <w:proofErr w:type="spellEnd"/>
            <w:r w:rsidR="007E510F" w:rsidRPr="00B03FAF">
              <w:rPr>
                <w:bCs/>
                <w:sz w:val="22"/>
                <w:szCs w:val="22"/>
              </w:rPr>
              <w:t xml:space="preserve">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3D5C944B" w:rsidR="00372996" w:rsidRPr="00B03FAF" w:rsidRDefault="00093D9C" w:rsidP="00B03FAF">
            <w:pPr>
              <w:spacing w:before="20" w:after="20"/>
              <w:jc w:val="right"/>
              <w:rPr>
                <w:bCs/>
                <w:sz w:val="22"/>
                <w:szCs w:val="22"/>
              </w:rPr>
            </w:pPr>
            <w:r w:rsidRPr="00B03FAF">
              <w:rPr>
                <w:bCs/>
                <w:sz w:val="22"/>
                <w:szCs w:val="22"/>
              </w:rPr>
              <w:t>$859,250</w:t>
            </w:r>
          </w:p>
        </w:tc>
      </w:tr>
      <w:tr w:rsidR="00372996" w:rsidRPr="0058157E" w14:paraId="4338704C" w14:textId="77777777" w:rsidTr="00657C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3E30461B" w:rsidR="00372996" w:rsidRPr="00B03FAF" w:rsidRDefault="007E510F" w:rsidP="00D57F6E">
            <w:pPr>
              <w:spacing w:before="20" w:after="20"/>
              <w:rPr>
                <w:bCs/>
                <w:sz w:val="22"/>
                <w:szCs w:val="22"/>
              </w:rPr>
            </w:pPr>
            <w:r w:rsidRPr="00B03FAF">
              <w:rPr>
                <w:bCs/>
                <w:sz w:val="22"/>
                <w:szCs w:val="22"/>
              </w:rPr>
              <w:t>Norwood</w:t>
            </w:r>
            <w:r w:rsidR="00D0585F" w:rsidRPr="00B03FAF">
              <w:rPr>
                <w:bCs/>
                <w:sz w:val="22"/>
                <w:szCs w:val="22"/>
              </w:rPr>
              <w:t xml:space="preserve"> (</w:t>
            </w:r>
            <w:r w:rsidR="0058157E" w:rsidRPr="00B03FAF">
              <w:rPr>
                <w:bCs/>
                <w:sz w:val="22"/>
                <w:szCs w:val="22"/>
              </w:rPr>
              <w:t>Balch, Charles J. Prescott, Cornelius M. Callahan, F.A. Cleveland, John P. Oldham)</w:t>
            </w:r>
          </w:p>
        </w:tc>
        <w:tc>
          <w:tcPr>
            <w:tcW w:w="1440" w:type="dxa"/>
            <w:tcBorders>
              <w:top w:val="single" w:sz="6" w:space="0" w:color="auto"/>
              <w:left w:val="single" w:sz="6" w:space="0" w:color="auto"/>
              <w:bottom w:val="single" w:sz="6" w:space="0" w:color="auto"/>
              <w:right w:val="single" w:sz="6" w:space="0" w:color="auto"/>
            </w:tcBorders>
            <w:vAlign w:val="center"/>
          </w:tcPr>
          <w:p w14:paraId="63280354" w14:textId="77777777" w:rsidR="00D0585F" w:rsidRPr="00B03FAF" w:rsidRDefault="00D0585F" w:rsidP="00B03FAF">
            <w:pPr>
              <w:contextualSpacing/>
              <w:jc w:val="right"/>
              <w:rPr>
                <w:bCs/>
                <w:sz w:val="22"/>
                <w:szCs w:val="22"/>
              </w:rPr>
            </w:pPr>
            <w:r w:rsidRPr="00B03FAF">
              <w:rPr>
                <w:bCs/>
                <w:sz w:val="22"/>
                <w:szCs w:val="22"/>
              </w:rPr>
              <w:t>$373,000</w:t>
            </w:r>
          </w:p>
          <w:p w14:paraId="32DC29B2" w14:textId="77777777" w:rsidR="00372996" w:rsidRPr="00B03FAF" w:rsidRDefault="00372996" w:rsidP="00B03FAF">
            <w:pPr>
              <w:spacing w:before="20" w:after="20"/>
              <w:jc w:val="right"/>
              <w:rPr>
                <w:bCs/>
                <w:sz w:val="22"/>
                <w:szCs w:val="22"/>
              </w:rPr>
            </w:pPr>
          </w:p>
        </w:tc>
      </w:tr>
      <w:tr w:rsidR="00372996" w:rsidRPr="00BB5818" w14:paraId="34AB2A19" w14:textId="77777777" w:rsidTr="00657C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3F7CF753" w:rsidR="00372996" w:rsidRPr="00B03FAF" w:rsidRDefault="0058157E" w:rsidP="00372996">
            <w:pPr>
              <w:spacing w:before="20" w:after="20"/>
              <w:rPr>
                <w:bCs/>
                <w:sz w:val="22"/>
                <w:szCs w:val="22"/>
              </w:rPr>
            </w:pPr>
            <w:proofErr w:type="spellStart"/>
            <w:r w:rsidRPr="00B03FAF">
              <w:rPr>
                <w:bCs/>
                <w:sz w:val="22"/>
                <w:szCs w:val="22"/>
              </w:rPr>
              <w:t>Quabbin</w:t>
            </w:r>
            <w:proofErr w:type="spellEnd"/>
            <w:r w:rsidRPr="00B03FAF">
              <w:rPr>
                <w:bCs/>
                <w:sz w:val="22"/>
                <w:szCs w:val="22"/>
              </w:rPr>
              <w:t xml:space="preserve"> (</w:t>
            </w:r>
            <w:r w:rsidR="00BB5818" w:rsidRPr="00B03FAF">
              <w:rPr>
                <w:bCs/>
                <w:sz w:val="22"/>
                <w:szCs w:val="22"/>
              </w:rPr>
              <w:t xml:space="preserve">Hardwick Elementary, Oakham Center School, New Braintree Grade School, Hubbardston Center School, Ruggles Lane Elementary, </w:t>
            </w:r>
            <w:proofErr w:type="spellStart"/>
            <w:r w:rsidR="00BB5818" w:rsidRPr="00B03FAF">
              <w:rPr>
                <w:bCs/>
                <w:sz w:val="22"/>
                <w:szCs w:val="22"/>
              </w:rPr>
              <w:t>Quabbin</w:t>
            </w:r>
            <w:proofErr w:type="spellEnd"/>
            <w:r w:rsidR="00BB5818" w:rsidRPr="00B03FAF">
              <w:rPr>
                <w:bCs/>
                <w:sz w:val="22"/>
                <w:szCs w:val="22"/>
              </w:rPr>
              <w:t xml:space="preserve"> Regional Middle School, </w:t>
            </w:r>
            <w:proofErr w:type="spellStart"/>
            <w:r w:rsidR="00BB5818" w:rsidRPr="00B03FAF">
              <w:rPr>
                <w:bCs/>
                <w:sz w:val="22"/>
                <w:szCs w:val="22"/>
              </w:rPr>
              <w:t>Quabbin</w:t>
            </w:r>
            <w:proofErr w:type="spellEnd"/>
            <w:r w:rsidR="00BB5818" w:rsidRPr="00B03FAF">
              <w:rPr>
                <w:bCs/>
                <w:sz w:val="22"/>
                <w:szCs w:val="22"/>
              </w:rPr>
              <w:t xml:space="preserve"> Regional High School)</w:t>
            </w:r>
          </w:p>
        </w:tc>
        <w:tc>
          <w:tcPr>
            <w:tcW w:w="1440" w:type="dxa"/>
            <w:tcBorders>
              <w:top w:val="single" w:sz="6" w:space="0" w:color="auto"/>
              <w:left w:val="single" w:sz="6" w:space="0" w:color="auto"/>
              <w:bottom w:val="single" w:sz="6" w:space="0" w:color="auto"/>
              <w:right w:val="single" w:sz="6" w:space="0" w:color="auto"/>
            </w:tcBorders>
            <w:vAlign w:val="center"/>
          </w:tcPr>
          <w:p w14:paraId="6EA64DFA" w14:textId="77777777" w:rsidR="00DE16F0" w:rsidRPr="00B03FAF" w:rsidRDefault="00DE16F0" w:rsidP="00B03FAF">
            <w:pPr>
              <w:contextualSpacing/>
              <w:jc w:val="right"/>
              <w:rPr>
                <w:bCs/>
                <w:sz w:val="22"/>
                <w:szCs w:val="22"/>
              </w:rPr>
            </w:pPr>
            <w:r w:rsidRPr="00B03FAF">
              <w:rPr>
                <w:bCs/>
                <w:sz w:val="22"/>
                <w:szCs w:val="22"/>
              </w:rPr>
              <w:t>$185,250</w:t>
            </w:r>
          </w:p>
          <w:p w14:paraId="1058AB2A" w14:textId="77777777" w:rsidR="00372996" w:rsidRPr="00B03FAF" w:rsidRDefault="00372996" w:rsidP="00B03FAF">
            <w:pPr>
              <w:spacing w:before="20" w:after="20"/>
              <w:jc w:val="right"/>
              <w:rPr>
                <w:bCs/>
                <w:sz w:val="22"/>
                <w:szCs w:val="22"/>
              </w:rPr>
            </w:pPr>
          </w:p>
        </w:tc>
      </w:tr>
      <w:tr w:rsidR="00372996" w:rsidRPr="00657CAF" w14:paraId="7EE361BA" w14:textId="77777777" w:rsidTr="00657CAF">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58D6FF12" w:rsidR="00372996" w:rsidRPr="00B03FAF" w:rsidRDefault="00B12CFE" w:rsidP="00372996">
            <w:pPr>
              <w:spacing w:before="20" w:after="20"/>
              <w:rPr>
                <w:bCs/>
                <w:sz w:val="22"/>
                <w:szCs w:val="22"/>
              </w:rPr>
            </w:pPr>
            <w:r w:rsidRPr="00B03FAF">
              <w:rPr>
                <w:bCs/>
                <w:sz w:val="22"/>
                <w:szCs w:val="22"/>
              </w:rPr>
              <w:t>Salem (Collins Middle School)</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15AFE32C" w:rsidR="00372996" w:rsidRPr="00B03FAF" w:rsidRDefault="00657CAF" w:rsidP="00B03FAF">
            <w:pPr>
              <w:spacing w:before="20" w:after="20"/>
              <w:jc w:val="right"/>
              <w:rPr>
                <w:bCs/>
                <w:sz w:val="22"/>
                <w:szCs w:val="22"/>
              </w:rPr>
            </w:pPr>
            <w:r w:rsidRPr="00B03FAF">
              <w:rPr>
                <w:bCs/>
                <w:sz w:val="22"/>
                <w:szCs w:val="22"/>
              </w:rPr>
              <w:t>$514,289</w:t>
            </w:r>
          </w:p>
        </w:tc>
      </w:tr>
      <w:tr w:rsidR="00372996" w:rsidRPr="00B73AA5" w14:paraId="1AE7CC78" w14:textId="77777777" w:rsidTr="00657CA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59DA026F" w:rsidR="00372996" w:rsidRPr="00B73AA5" w:rsidRDefault="00372996" w:rsidP="00FA17BE">
            <w:pPr>
              <w:pStyle w:val="Heading2"/>
              <w:spacing w:before="20" w:after="20"/>
              <w:jc w:val="both"/>
              <w:rPr>
                <w:rFonts w:ascii="Times New Roman" w:hAnsi="Times New Roman"/>
                <w:sz w:val="22"/>
                <w:szCs w:val="22"/>
              </w:rPr>
            </w:pPr>
            <w:r w:rsidRPr="00B73AA5">
              <w:rPr>
                <w:rFonts w:ascii="Times New Roman" w:hAnsi="Times New Roman"/>
                <w:sz w:val="22"/>
                <w:szCs w:val="22"/>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08BCF7AD" w:rsidR="00372996" w:rsidRPr="00B73AA5" w:rsidRDefault="00B73AA5" w:rsidP="007B2582">
            <w:pPr>
              <w:spacing w:before="20" w:after="20"/>
              <w:jc w:val="right"/>
              <w:rPr>
                <w:b/>
                <w:snapToGrid w:val="0"/>
                <w:color w:val="000000"/>
                <w:sz w:val="22"/>
                <w:szCs w:val="22"/>
              </w:rPr>
            </w:pPr>
            <w:r w:rsidRPr="00B73AA5">
              <w:rPr>
                <w:b/>
                <w:snapToGrid w:val="0"/>
                <w:color w:val="000000"/>
                <w:sz w:val="22"/>
                <w:szCs w:val="22"/>
              </w:rPr>
              <w:t>$3,773,857</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40EF"/>
    <w:rsid w:val="00093D9C"/>
    <w:rsid w:val="000C6C68"/>
    <w:rsid w:val="000C790E"/>
    <w:rsid w:val="0012121E"/>
    <w:rsid w:val="0015073F"/>
    <w:rsid w:val="001522C7"/>
    <w:rsid w:val="001A433F"/>
    <w:rsid w:val="001B5362"/>
    <w:rsid w:val="001B78A6"/>
    <w:rsid w:val="001C6572"/>
    <w:rsid w:val="001E2790"/>
    <w:rsid w:val="00224F8E"/>
    <w:rsid w:val="00266FC7"/>
    <w:rsid w:val="002A7805"/>
    <w:rsid w:val="002D5121"/>
    <w:rsid w:val="0031794D"/>
    <w:rsid w:val="003226AE"/>
    <w:rsid w:val="00330653"/>
    <w:rsid w:val="003445F3"/>
    <w:rsid w:val="00351281"/>
    <w:rsid w:val="00372996"/>
    <w:rsid w:val="00410797"/>
    <w:rsid w:val="00427DA8"/>
    <w:rsid w:val="00491984"/>
    <w:rsid w:val="00492FCF"/>
    <w:rsid w:val="00521A12"/>
    <w:rsid w:val="005276B9"/>
    <w:rsid w:val="00534FE7"/>
    <w:rsid w:val="00542157"/>
    <w:rsid w:val="005736D2"/>
    <w:rsid w:val="0058157E"/>
    <w:rsid w:val="006040C0"/>
    <w:rsid w:val="00634CDE"/>
    <w:rsid w:val="00652A79"/>
    <w:rsid w:val="00657CAF"/>
    <w:rsid w:val="00677C99"/>
    <w:rsid w:val="006D71B2"/>
    <w:rsid w:val="00730E52"/>
    <w:rsid w:val="007506C8"/>
    <w:rsid w:val="007911BB"/>
    <w:rsid w:val="007B2582"/>
    <w:rsid w:val="007D0D4F"/>
    <w:rsid w:val="007E510F"/>
    <w:rsid w:val="008256FF"/>
    <w:rsid w:val="00837F08"/>
    <w:rsid w:val="00842E20"/>
    <w:rsid w:val="008941CA"/>
    <w:rsid w:val="008B2255"/>
    <w:rsid w:val="008C1AD3"/>
    <w:rsid w:val="008D1631"/>
    <w:rsid w:val="008F2001"/>
    <w:rsid w:val="00920656"/>
    <w:rsid w:val="009D6026"/>
    <w:rsid w:val="00AF1A04"/>
    <w:rsid w:val="00B00C8B"/>
    <w:rsid w:val="00B03FAF"/>
    <w:rsid w:val="00B12CFE"/>
    <w:rsid w:val="00B170C4"/>
    <w:rsid w:val="00B23916"/>
    <w:rsid w:val="00B329DA"/>
    <w:rsid w:val="00B443B7"/>
    <w:rsid w:val="00B5486C"/>
    <w:rsid w:val="00B57FE5"/>
    <w:rsid w:val="00B73AA5"/>
    <w:rsid w:val="00BA484A"/>
    <w:rsid w:val="00BB5818"/>
    <w:rsid w:val="00C056D3"/>
    <w:rsid w:val="00C34967"/>
    <w:rsid w:val="00C44806"/>
    <w:rsid w:val="00C721A9"/>
    <w:rsid w:val="00CC7AD2"/>
    <w:rsid w:val="00CF534A"/>
    <w:rsid w:val="00CF5517"/>
    <w:rsid w:val="00D0585F"/>
    <w:rsid w:val="00D40FF3"/>
    <w:rsid w:val="00D85054"/>
    <w:rsid w:val="00D96130"/>
    <w:rsid w:val="00DA73E5"/>
    <w:rsid w:val="00DB56D5"/>
    <w:rsid w:val="00DE16F0"/>
    <w:rsid w:val="00DE767F"/>
    <w:rsid w:val="00E82B56"/>
    <w:rsid w:val="00F11240"/>
    <w:rsid w:val="00F50CF7"/>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266FC7"/>
    <w:rPr>
      <w:color w:val="0000FF"/>
      <w:u w:val="single"/>
    </w:rPr>
  </w:style>
  <w:style w:type="character" w:styleId="CommentReference">
    <w:name w:val="annotation reference"/>
    <w:basedOn w:val="DefaultParagraphFont"/>
    <w:uiPriority w:val="99"/>
    <w:semiHidden/>
    <w:unhideWhenUsed/>
    <w:rsid w:val="005276B9"/>
    <w:rPr>
      <w:sz w:val="16"/>
      <w:szCs w:val="16"/>
    </w:rPr>
  </w:style>
  <w:style w:type="paragraph" w:styleId="CommentText">
    <w:name w:val="annotation text"/>
    <w:basedOn w:val="Normal"/>
    <w:link w:val="CommentTextChar"/>
    <w:uiPriority w:val="99"/>
    <w:unhideWhenUsed/>
    <w:rsid w:val="005276B9"/>
  </w:style>
  <w:style w:type="character" w:customStyle="1" w:styleId="CommentTextChar">
    <w:name w:val="Comment Text Char"/>
    <w:basedOn w:val="DefaultParagraphFont"/>
    <w:link w:val="CommentText"/>
    <w:uiPriority w:val="99"/>
    <w:rsid w:val="005276B9"/>
    <w:rPr>
      <w:sz w:val="20"/>
      <w:szCs w:val="20"/>
    </w:rPr>
  </w:style>
  <w:style w:type="paragraph" w:styleId="CommentSubject">
    <w:name w:val="annotation subject"/>
    <w:basedOn w:val="CommentText"/>
    <w:next w:val="CommentText"/>
    <w:link w:val="CommentSubjectChar"/>
    <w:uiPriority w:val="99"/>
    <w:semiHidden/>
    <w:unhideWhenUsed/>
    <w:rsid w:val="005276B9"/>
    <w:rPr>
      <w:b/>
      <w:bCs/>
    </w:rPr>
  </w:style>
  <w:style w:type="character" w:customStyle="1" w:styleId="CommentSubjectChar">
    <w:name w:val="Comment Subject Char"/>
    <w:basedOn w:val="CommentTextChar"/>
    <w:link w:val="CommentSubject"/>
    <w:uiPriority w:val="99"/>
    <w:semiHidden/>
    <w:rsid w:val="005276B9"/>
    <w:rPr>
      <w:b/>
      <w:bCs/>
      <w:sz w:val="20"/>
      <w:szCs w:val="20"/>
    </w:rPr>
  </w:style>
  <w:style w:type="character" w:styleId="UnresolvedMention">
    <w:name w:val="Unresolved Mention"/>
    <w:basedOn w:val="DefaultParagraphFont"/>
    <w:uiPriority w:val="99"/>
    <w:semiHidden/>
    <w:unhideWhenUsed/>
    <w:rsid w:val="008C1AD3"/>
    <w:rPr>
      <w:color w:val="605E5C"/>
      <w:shd w:val="clear" w:color="auto" w:fill="E1DFDD"/>
    </w:rPr>
  </w:style>
  <w:style w:type="character" w:styleId="FollowedHyperlink">
    <w:name w:val="FollowedHyperlink"/>
    <w:basedOn w:val="DefaultParagraphFont"/>
    <w:uiPriority w:val="99"/>
    <w:semiHidden/>
    <w:unhideWhenUsed/>
    <w:rsid w:val="000C79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budget.digital.mass.gov/summary/fy23/enacted/education/education-k-12/70619412" TargetMode="External"/><Relationship Id="rId5" Type="http://schemas.openxmlformats.org/officeDocument/2006/relationships/numbering" Target="numbering.xml"/><Relationship Id="rId10" Type="http://schemas.openxmlformats.org/officeDocument/2006/relationships/hyperlink" Target="https://restart-reinvent.learningpolicyinstitute.org/provide-expanded-learning-time" TargetMode="External"/><Relationship Id="rId4" Type="http://schemas.openxmlformats.org/officeDocument/2006/relationships/customXml" Target="../customXml/item3.xml"/><Relationship Id="rId9" Type="http://schemas.openxmlformats.org/officeDocument/2006/relationships/hyperlink" Target="https://journals.sagepub.com/doi/abs/10.1177/0013124513495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4FC902A3-8B2F-42BF-978E-5B2CCB96A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FY23 225 Board Package</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FC225 Board Package</dc:title>
  <dc:creator>DESE</dc:creator>
  <cp:lastModifiedBy>Zou, Dong (EOE)</cp:lastModifiedBy>
  <cp:revision>3</cp:revision>
  <cp:lastPrinted>2001-07-23T18:06:00Z</cp:lastPrinted>
  <dcterms:created xsi:type="dcterms:W3CDTF">2022-09-09T12:38:00Z</dcterms:created>
  <dcterms:modified xsi:type="dcterms:W3CDTF">2022-09-09T13:33:00Z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2022</vt:lpwstr>
  </property>
</Properties>
</file>