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12"/>
        <w:gridCol w:w="3063"/>
        <w:gridCol w:w="2430"/>
      </w:tblGrid>
      <w:tr w:rsidR="00410797" w14:paraId="60DB9035" w14:textId="77777777" w:rsidTr="001753E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0DB9032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33" w14:textId="0B0B5B52" w:rsidR="00410797" w:rsidRDefault="00ED1817" w:rsidP="006E473A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Career and Technical Education Partnership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0DB9034" w14:textId="728BAF4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A970EB">
              <w:rPr>
                <w:sz w:val="22"/>
              </w:rPr>
              <w:t>412</w:t>
            </w:r>
          </w:p>
        </w:tc>
      </w:tr>
      <w:tr w:rsidR="00410797" w:rsidRPr="00D6243D" w14:paraId="60DB9038" w14:textId="77777777" w:rsidTr="001753E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0DB9036" w14:textId="77777777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B9037" w14:textId="465BAD99" w:rsidR="00410797" w:rsidRPr="00D6243D" w:rsidRDefault="009D085D" w:rsidP="007B2582">
            <w:pPr>
              <w:spacing w:after="120"/>
              <w:jc w:val="both"/>
              <w:rPr>
                <w:sz w:val="22"/>
              </w:rPr>
            </w:pPr>
            <w:r w:rsidRPr="00D6243D">
              <w:rPr>
                <w:sz w:val="22"/>
              </w:rPr>
              <w:t>$5</w:t>
            </w:r>
            <w:r w:rsidR="005339B5">
              <w:rPr>
                <w:sz w:val="22"/>
              </w:rPr>
              <w:t>75,336</w:t>
            </w:r>
            <w:r w:rsidRPr="00D6243D">
              <w:rPr>
                <w:sz w:val="22"/>
              </w:rPr>
              <w:t xml:space="preserve"> (State)</w:t>
            </w:r>
          </w:p>
        </w:tc>
      </w:tr>
      <w:tr w:rsidR="00410797" w:rsidRPr="00D6243D" w14:paraId="60DB903B" w14:textId="77777777" w:rsidTr="001753E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0DB9039" w14:textId="77777777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FUNDS REQUESTED:</w:t>
            </w:r>
          </w:p>
        </w:tc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B903A" w14:textId="5CA9B4FC" w:rsidR="00410797" w:rsidRPr="00D6243D" w:rsidRDefault="00410797" w:rsidP="007B2582">
            <w:pPr>
              <w:spacing w:after="120"/>
              <w:jc w:val="both"/>
              <w:rPr>
                <w:sz w:val="22"/>
              </w:rPr>
            </w:pPr>
            <w:r w:rsidRPr="00D6243D">
              <w:rPr>
                <w:sz w:val="22"/>
              </w:rPr>
              <w:t>$</w:t>
            </w:r>
            <w:r w:rsidR="00BD1954">
              <w:rPr>
                <w:sz w:val="22"/>
              </w:rPr>
              <w:t>2,000,000</w:t>
            </w:r>
          </w:p>
        </w:tc>
      </w:tr>
      <w:tr w:rsidR="00410797" w:rsidRPr="00D6243D" w14:paraId="60DB903D" w14:textId="77777777" w:rsidTr="001753E5">
        <w:trPr>
          <w:cantSplit/>
        </w:trPr>
        <w:tc>
          <w:tcPr>
            <w:tcW w:w="11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44A13" w14:textId="77777777" w:rsidR="00410797" w:rsidRDefault="00410797" w:rsidP="006E473A">
            <w:pPr>
              <w:spacing w:after="120"/>
              <w:jc w:val="both"/>
              <w:rPr>
                <w:sz w:val="22"/>
                <w:szCs w:val="22"/>
              </w:rPr>
            </w:pPr>
            <w:r w:rsidRPr="00D6243D">
              <w:rPr>
                <w:b/>
                <w:sz w:val="22"/>
                <w:szCs w:val="22"/>
              </w:rPr>
              <w:t xml:space="preserve">PURPOSE: </w:t>
            </w:r>
            <w:r w:rsidR="00ED1817" w:rsidRPr="00D6243D">
              <w:rPr>
                <w:sz w:val="22"/>
                <w:szCs w:val="22"/>
              </w:rPr>
              <w:t xml:space="preserve">The purpose of this </w:t>
            </w:r>
            <w:r w:rsidR="00A970EB" w:rsidRPr="00D6243D">
              <w:rPr>
                <w:sz w:val="22"/>
                <w:szCs w:val="22"/>
              </w:rPr>
              <w:t>state-f</w:t>
            </w:r>
            <w:r w:rsidR="00ED1817" w:rsidRPr="00D6243D">
              <w:rPr>
                <w:sz w:val="22"/>
                <w:szCs w:val="22"/>
              </w:rPr>
              <w:t xml:space="preserve">unded competitive Career and Technical Education (CTE) Partnership </w:t>
            </w:r>
            <w:r w:rsidR="006E473A" w:rsidRPr="00D6243D">
              <w:rPr>
                <w:sz w:val="22"/>
                <w:szCs w:val="22"/>
              </w:rPr>
              <w:t>Implementation</w:t>
            </w:r>
            <w:r w:rsidR="00ED1817" w:rsidRPr="00D6243D">
              <w:rPr>
                <w:sz w:val="22"/>
                <w:szCs w:val="22"/>
              </w:rPr>
              <w:t xml:space="preserve"> Grant is to support regional and local partnerships to expand existing and/or develop new CTE programs and initiatives that increase student access to CTE opportunities, primarily through more effective use and integration of existing capacity and resources. </w:t>
            </w:r>
          </w:p>
          <w:p w14:paraId="60DB903C" w14:textId="4827F6CF" w:rsidR="004B524B" w:rsidRPr="00D6243D" w:rsidRDefault="004B524B" w:rsidP="006E473A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10797" w:rsidRPr="00D6243D" w14:paraId="60DB9040" w14:textId="77777777" w:rsidTr="001753E5"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3E" w14:textId="26172B61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NUMBER OF PROPOSALS RECEIVED:</w:t>
            </w:r>
            <w:r w:rsidR="001753E5" w:rsidRPr="00D6243D">
              <w:rPr>
                <w:b/>
                <w:sz w:val="22"/>
              </w:rPr>
              <w:t xml:space="preserve"> </w:t>
            </w:r>
            <w:r w:rsidR="00170EDA">
              <w:rPr>
                <w:sz w:val="22"/>
              </w:rPr>
              <w:t>6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3F" w14:textId="77777777" w:rsidR="00410797" w:rsidRPr="00D6243D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:rsidRPr="00D6243D" w14:paraId="60DB9043" w14:textId="77777777" w:rsidTr="001753E5">
        <w:trPr>
          <w:trHeight w:val="224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1" w14:textId="1BB8D58B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NUMBER OF PROPOSALS RECOMMENDED:</w:t>
            </w:r>
            <w:r w:rsidR="001753E5" w:rsidRPr="00D6243D">
              <w:rPr>
                <w:b/>
                <w:sz w:val="22"/>
              </w:rPr>
              <w:t xml:space="preserve"> </w:t>
            </w:r>
            <w:r w:rsidR="00170EDA">
              <w:rPr>
                <w:sz w:val="22"/>
              </w:rPr>
              <w:t>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2" w14:textId="77777777" w:rsidR="00410797" w:rsidRPr="00D6243D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:rsidRPr="00D6243D" w14:paraId="60DB9046" w14:textId="77777777" w:rsidTr="001753E5">
        <w:trPr>
          <w:trHeight w:val="117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4" w14:textId="195F355E" w:rsidR="00410797" w:rsidRPr="00D6243D" w:rsidRDefault="00410797" w:rsidP="001753E5">
            <w:pPr>
              <w:spacing w:after="120"/>
              <w:ind w:right="-108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NUMBER OF PROPOSALS NOT RECOMMENDED:</w:t>
            </w:r>
            <w:r w:rsidR="001753E5" w:rsidRPr="00D6243D">
              <w:rPr>
                <w:b/>
                <w:sz w:val="22"/>
              </w:rPr>
              <w:t xml:space="preserve"> </w:t>
            </w:r>
            <w:r w:rsidR="00170EDA">
              <w:rPr>
                <w:sz w:val="22"/>
              </w:rPr>
              <w:t>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5" w14:textId="77777777" w:rsidR="00410797" w:rsidRPr="00D6243D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:rsidRPr="00D6243D" w14:paraId="60DB904A" w14:textId="77777777" w:rsidTr="001753E5">
        <w:trPr>
          <w:cantSplit/>
          <w:trHeight w:val="828"/>
        </w:trPr>
        <w:tc>
          <w:tcPr>
            <w:tcW w:w="11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B9047" w14:textId="77777777" w:rsidR="00410797" w:rsidRPr="00D6243D" w:rsidRDefault="00410797" w:rsidP="007B2582">
            <w:pPr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 xml:space="preserve">RESULT OF FUNDING: </w:t>
            </w:r>
          </w:p>
          <w:p w14:paraId="60DB9048" w14:textId="049E4349" w:rsidR="00D85054" w:rsidRPr="00D6243D" w:rsidRDefault="00D85054" w:rsidP="00C34967">
            <w:pPr>
              <w:rPr>
                <w:b/>
                <w:sz w:val="22"/>
              </w:rPr>
            </w:pPr>
          </w:p>
          <w:p w14:paraId="6878A888" w14:textId="480BDA81" w:rsidR="007300A0" w:rsidRPr="00D6243D" w:rsidRDefault="00E75B17" w:rsidP="007300A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Three</w:t>
            </w:r>
            <w:r w:rsidR="007300A0" w:rsidRPr="00D6243D">
              <w:rPr>
                <w:color w:val="333333"/>
                <w:sz w:val="22"/>
                <w:szCs w:val="22"/>
              </w:rPr>
              <w:t xml:space="preserve"> (</w:t>
            </w:r>
            <w:r>
              <w:rPr>
                <w:color w:val="333333"/>
                <w:sz w:val="22"/>
                <w:szCs w:val="22"/>
              </w:rPr>
              <w:t>3</w:t>
            </w:r>
            <w:r w:rsidR="007300A0" w:rsidRPr="00D6243D">
              <w:rPr>
                <w:color w:val="333333"/>
                <w:sz w:val="22"/>
                <w:szCs w:val="22"/>
              </w:rPr>
              <w:t>) school districts</w:t>
            </w:r>
            <w:r w:rsidR="00D6243D" w:rsidRPr="00D6243D">
              <w:rPr>
                <w:color w:val="333333"/>
                <w:sz w:val="22"/>
                <w:szCs w:val="22"/>
              </w:rPr>
              <w:t xml:space="preserve"> </w:t>
            </w:r>
            <w:r w:rsidR="007300A0" w:rsidRPr="00D6243D">
              <w:rPr>
                <w:color w:val="333333"/>
                <w:sz w:val="22"/>
                <w:szCs w:val="22"/>
              </w:rPr>
              <w:t xml:space="preserve">will receive funding to implement, with identified partners, new CTE initiatives that increase student access to CTE opportunities, primarily through more effective use and integration of existing capacity and resources. </w:t>
            </w:r>
            <w:r w:rsidR="007300A0" w:rsidRPr="00D6243D">
              <w:rPr>
                <w:color w:val="333333"/>
                <w:sz w:val="22"/>
                <w:szCs w:val="22"/>
              </w:rPr>
              <w:br/>
            </w:r>
            <w:r w:rsidR="007300A0" w:rsidRPr="00D6243D">
              <w:rPr>
                <w:color w:val="333333"/>
                <w:sz w:val="22"/>
                <w:szCs w:val="22"/>
              </w:rPr>
              <w:br/>
            </w:r>
            <w:r>
              <w:rPr>
                <w:color w:val="333333"/>
                <w:sz w:val="22"/>
                <w:szCs w:val="22"/>
              </w:rPr>
              <w:t>Two of the three</w:t>
            </w:r>
            <w:r w:rsidR="007300A0" w:rsidRPr="00D6243D">
              <w:rPr>
                <w:color w:val="333333"/>
                <w:sz w:val="22"/>
                <w:szCs w:val="22"/>
              </w:rPr>
              <w:t xml:space="preserve"> projects awarded funding involve </w:t>
            </w:r>
            <w:hyperlink r:id="rId9" w:history="1">
              <w:r w:rsidR="007300A0" w:rsidRPr="00D6243D">
                <w:rPr>
                  <w:rStyle w:val="Hyperlink"/>
                  <w:sz w:val="22"/>
                  <w:szCs w:val="22"/>
                </w:rPr>
                <w:t>Gateway Cities</w:t>
              </w:r>
            </w:hyperlink>
            <w:r w:rsidR="007300A0" w:rsidRPr="00D6243D">
              <w:rPr>
                <w:color w:val="333333"/>
                <w:sz w:val="22"/>
                <w:szCs w:val="22"/>
              </w:rPr>
              <w:t xml:space="preserve">, and </w:t>
            </w:r>
            <w:r w:rsidR="00462F69">
              <w:rPr>
                <w:color w:val="333333"/>
                <w:sz w:val="22"/>
                <w:szCs w:val="22"/>
              </w:rPr>
              <w:t>all three</w:t>
            </w:r>
            <w:r w:rsidR="007300A0" w:rsidRPr="00D6243D">
              <w:rPr>
                <w:color w:val="333333"/>
                <w:sz w:val="22"/>
                <w:szCs w:val="22"/>
              </w:rPr>
              <w:t xml:space="preserve"> increase access to </w:t>
            </w:r>
            <w:hyperlink r:id="rId10" w:history="1">
              <w:r w:rsidR="007300A0" w:rsidRPr="00D6243D">
                <w:rPr>
                  <w:rStyle w:val="Hyperlink"/>
                  <w:sz w:val="22"/>
                  <w:szCs w:val="22"/>
                </w:rPr>
                <w:t>Chapter 74 state-approved vocational technical education programming</w:t>
              </w:r>
            </w:hyperlink>
            <w:r w:rsidR="007300A0" w:rsidRPr="00D6243D">
              <w:rPr>
                <w:sz w:val="22"/>
                <w:szCs w:val="22"/>
              </w:rPr>
              <w:t xml:space="preserve"> for students who would otherwise not be served during hours when vocational technical facilities are un- or under-utilized.</w:t>
            </w:r>
          </w:p>
          <w:p w14:paraId="4687F2C1" w14:textId="77777777" w:rsidR="007300A0" w:rsidRPr="00D6243D" w:rsidRDefault="007300A0" w:rsidP="00C34967">
            <w:pPr>
              <w:rPr>
                <w:b/>
                <w:sz w:val="22"/>
              </w:rPr>
            </w:pPr>
          </w:p>
          <w:p w14:paraId="60DB9049" w14:textId="77777777" w:rsidR="00D85054" w:rsidRPr="00D6243D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60DB904B" w14:textId="77777777" w:rsidR="00410797" w:rsidRPr="00D6243D" w:rsidRDefault="00410797">
      <w:pPr>
        <w:jc w:val="both"/>
        <w:rPr>
          <w:sz w:val="22"/>
        </w:rPr>
      </w:pPr>
      <w:r w:rsidRPr="00D6243D"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D6243D" w14:paraId="60DB904E" w14:textId="77777777" w:rsidTr="001753E5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DB904C" w14:textId="77777777" w:rsidR="00410797" w:rsidRPr="00D6243D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6243D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DB904D" w14:textId="77777777" w:rsidR="00410797" w:rsidRPr="00D6243D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6243D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BD1954" w:rsidRPr="00D6243D" w14:paraId="60DB9057" w14:textId="77777777" w:rsidTr="000325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5" w14:textId="6C5F46F0" w:rsidR="00BD1954" w:rsidRPr="00D6243D" w:rsidRDefault="00BD1954" w:rsidP="00BD1954">
            <w:pPr>
              <w:spacing w:before="20" w:after="20"/>
              <w:rPr>
                <w:sz w:val="22"/>
                <w:szCs w:val="21"/>
              </w:rPr>
            </w:pPr>
            <w:r w:rsidRPr="00D6243D">
              <w:rPr>
                <w:rFonts w:ascii="Calibri" w:hAnsi="Calibri"/>
                <w:color w:val="000000"/>
                <w:sz w:val="22"/>
                <w:szCs w:val="22"/>
              </w:rPr>
              <w:t>Essex North Shore A&amp;TSD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6" w14:textId="442791DA" w:rsidR="00BD1954" w:rsidRPr="00D6243D" w:rsidRDefault="00BD1954" w:rsidP="00BD195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DA1B80">
              <w:rPr>
                <w:rFonts w:ascii="Calibri" w:hAnsi="Calibri" w:cs="Calibri"/>
                <w:color w:val="000000"/>
                <w:sz w:val="22"/>
                <w:szCs w:val="22"/>
              </w:rPr>
              <w:t>250,000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716B" w:rsidRPr="00D6243D" w14:paraId="5F86E04B" w14:textId="77777777" w:rsidTr="00F33F5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E93E8" w14:textId="77777777" w:rsidR="00C3716B" w:rsidRPr="00D6243D" w:rsidRDefault="00C3716B" w:rsidP="00F33F59">
            <w:pPr>
              <w:spacing w:before="20" w:after="20"/>
              <w:rPr>
                <w:sz w:val="22"/>
                <w:szCs w:val="21"/>
              </w:rPr>
            </w:pPr>
            <w:r w:rsidRPr="00D6243D">
              <w:rPr>
                <w:rFonts w:ascii="Calibri" w:hAnsi="Calibri"/>
                <w:color w:val="000000"/>
                <w:sz w:val="22"/>
                <w:szCs w:val="22"/>
              </w:rPr>
              <w:t>Greater Lawrence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D12CC" w14:textId="77777777" w:rsidR="00C3716B" w:rsidRPr="00D6243D" w:rsidRDefault="00C3716B" w:rsidP="00F33F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$225,336 </w:t>
            </w:r>
          </w:p>
        </w:tc>
      </w:tr>
      <w:tr w:rsidR="00BD1954" w:rsidRPr="00D6243D" w14:paraId="60DB905A" w14:textId="77777777" w:rsidTr="000325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8" w14:textId="1E3148C5" w:rsidR="00BD1954" w:rsidRPr="00D6243D" w:rsidRDefault="00BD1954" w:rsidP="00BD1954">
            <w:pPr>
              <w:spacing w:before="20" w:after="20"/>
              <w:rPr>
                <w:b/>
                <w:sz w:val="22"/>
                <w:szCs w:val="21"/>
              </w:rPr>
            </w:pPr>
            <w:r w:rsidRPr="00D6243D">
              <w:rPr>
                <w:rFonts w:ascii="Calibri" w:hAnsi="Calibri"/>
                <w:color w:val="000000"/>
                <w:sz w:val="22"/>
                <w:szCs w:val="22"/>
              </w:rPr>
              <w:t>Greater Lowell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9" w14:textId="6C69154A" w:rsidR="00BD1954" w:rsidRPr="00D6243D" w:rsidRDefault="00BD1954" w:rsidP="00BD195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DA1B80">
              <w:rPr>
                <w:rFonts w:ascii="Calibri" w:hAnsi="Calibri" w:cs="Calibri"/>
                <w:color w:val="000000"/>
                <w:sz w:val="22"/>
                <w:szCs w:val="22"/>
              </w:rPr>
              <w:t>100,000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53E5" w14:paraId="60DB9084" w14:textId="77777777" w:rsidTr="001753E5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DB9082" w14:textId="66C93C19" w:rsidR="001753E5" w:rsidRPr="00D6243D" w:rsidRDefault="001753E5" w:rsidP="001753E5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D6243D">
              <w:rPr>
                <w:rFonts w:ascii="Times New Roman" w:hAnsi="Times New Roman"/>
                <w:sz w:val="22"/>
                <w:szCs w:val="21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DB9083" w14:textId="4FCA710E" w:rsidR="001753E5" w:rsidRPr="00B329DA" w:rsidRDefault="00A970EB" w:rsidP="001753E5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 w:rsidRPr="00D6243D">
              <w:rPr>
                <w:snapToGrid w:val="0"/>
                <w:color w:val="000000"/>
                <w:sz w:val="22"/>
                <w:szCs w:val="21"/>
              </w:rPr>
              <w:t>$</w:t>
            </w:r>
            <w:r w:rsidR="00942DC0">
              <w:rPr>
                <w:snapToGrid w:val="0"/>
                <w:color w:val="000000"/>
                <w:sz w:val="22"/>
                <w:szCs w:val="21"/>
              </w:rPr>
              <w:t>575</w:t>
            </w:r>
            <w:r w:rsidR="00DA1B80">
              <w:rPr>
                <w:snapToGrid w:val="0"/>
                <w:color w:val="000000"/>
                <w:sz w:val="22"/>
                <w:szCs w:val="21"/>
              </w:rPr>
              <w:t>,336</w:t>
            </w:r>
          </w:p>
        </w:tc>
      </w:tr>
    </w:tbl>
    <w:p w14:paraId="60DB9085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3216E"/>
    <w:rsid w:val="000C6C68"/>
    <w:rsid w:val="001522C7"/>
    <w:rsid w:val="00170EDA"/>
    <w:rsid w:val="001753E5"/>
    <w:rsid w:val="001A433F"/>
    <w:rsid w:val="001B5362"/>
    <w:rsid w:val="001B78A6"/>
    <w:rsid w:val="001C63CF"/>
    <w:rsid w:val="001C6572"/>
    <w:rsid w:val="001E2790"/>
    <w:rsid w:val="00224F8E"/>
    <w:rsid w:val="002D2119"/>
    <w:rsid w:val="002D5121"/>
    <w:rsid w:val="0031794D"/>
    <w:rsid w:val="003226AE"/>
    <w:rsid w:val="00330653"/>
    <w:rsid w:val="00351281"/>
    <w:rsid w:val="00372996"/>
    <w:rsid w:val="003731E3"/>
    <w:rsid w:val="00410797"/>
    <w:rsid w:val="00427DA8"/>
    <w:rsid w:val="00462F69"/>
    <w:rsid w:val="004B524B"/>
    <w:rsid w:val="00514156"/>
    <w:rsid w:val="00521A12"/>
    <w:rsid w:val="005339B5"/>
    <w:rsid w:val="00534FE7"/>
    <w:rsid w:val="00542157"/>
    <w:rsid w:val="00567597"/>
    <w:rsid w:val="005736D2"/>
    <w:rsid w:val="006040C0"/>
    <w:rsid w:val="00634CDE"/>
    <w:rsid w:val="00652A79"/>
    <w:rsid w:val="006D71B2"/>
    <w:rsid w:val="006E473A"/>
    <w:rsid w:val="007300A0"/>
    <w:rsid w:val="00730E52"/>
    <w:rsid w:val="007506C8"/>
    <w:rsid w:val="007911BB"/>
    <w:rsid w:val="007B2582"/>
    <w:rsid w:val="007D0D4F"/>
    <w:rsid w:val="008256FF"/>
    <w:rsid w:val="00842E20"/>
    <w:rsid w:val="008941CA"/>
    <w:rsid w:val="008B2255"/>
    <w:rsid w:val="008D1631"/>
    <w:rsid w:val="008D49A1"/>
    <w:rsid w:val="008F2001"/>
    <w:rsid w:val="00920656"/>
    <w:rsid w:val="00942DC0"/>
    <w:rsid w:val="009D085D"/>
    <w:rsid w:val="00A970EB"/>
    <w:rsid w:val="00AF1A04"/>
    <w:rsid w:val="00B17B22"/>
    <w:rsid w:val="00B23916"/>
    <w:rsid w:val="00B329DA"/>
    <w:rsid w:val="00B4449F"/>
    <w:rsid w:val="00B50CDB"/>
    <w:rsid w:val="00BA484A"/>
    <w:rsid w:val="00BD1954"/>
    <w:rsid w:val="00C056D3"/>
    <w:rsid w:val="00C34967"/>
    <w:rsid w:val="00C3716B"/>
    <w:rsid w:val="00C44806"/>
    <w:rsid w:val="00C721A9"/>
    <w:rsid w:val="00CF1AC3"/>
    <w:rsid w:val="00CF534A"/>
    <w:rsid w:val="00CF5517"/>
    <w:rsid w:val="00D6243D"/>
    <w:rsid w:val="00D85054"/>
    <w:rsid w:val="00D85CF4"/>
    <w:rsid w:val="00D96130"/>
    <w:rsid w:val="00DA1B80"/>
    <w:rsid w:val="00DA73E5"/>
    <w:rsid w:val="00DB56D5"/>
    <w:rsid w:val="00E75B17"/>
    <w:rsid w:val="00ED1817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B9032"/>
  <w15:docId w15:val="{732B509E-3235-46D3-8129-30507AE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18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ccte/cvte/programs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s://massinc.org/our-work/policy-center/gateway-cities/about-the-gateway-c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7B5260C-6F65-423E-A930-F4D6C234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FC412 Board Package</dc:title>
  <dc:creator>DESE</dc:creator>
  <cp:lastModifiedBy>Zou, Dong (EOE)</cp:lastModifiedBy>
  <cp:revision>14</cp:revision>
  <cp:lastPrinted>2019-10-07T16:58:00Z</cp:lastPrinted>
  <dcterms:created xsi:type="dcterms:W3CDTF">2022-05-03T12:49:00Z</dcterms:created>
  <dcterms:modified xsi:type="dcterms:W3CDTF">2022-05-27T15:25:00Z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2022</vt:lpwstr>
  </property>
</Properties>
</file>