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A034B8" w14:paraId="7FAE4CFC" w14:textId="77777777" w:rsidTr="00E61468">
        <w:trPr>
          <w:cantSplit/>
        </w:trPr>
        <w:tc>
          <w:tcPr>
            <w:tcW w:w="3438" w:type="dxa"/>
            <w:tcBorders>
              <w:top w:val="nil"/>
              <w:left w:val="nil"/>
              <w:bottom w:val="nil"/>
              <w:right w:val="nil"/>
            </w:tcBorders>
          </w:tcPr>
          <w:p w14:paraId="7FAE4CF9" w14:textId="77777777" w:rsidR="00A034B8" w:rsidRDefault="00A034B8" w:rsidP="00A034B8">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7FAE4CFA" w14:textId="49454D24" w:rsidR="00A034B8" w:rsidRDefault="007C0B0C" w:rsidP="00A034B8">
            <w:pPr>
              <w:pStyle w:val="Heading1"/>
              <w:jc w:val="both"/>
              <w:rPr>
                <w:sz w:val="22"/>
              </w:rPr>
            </w:pPr>
            <w:r w:rsidRPr="002B5FB0">
              <w:rPr>
                <w:sz w:val="22"/>
                <w:szCs w:val="22"/>
              </w:rPr>
              <w:t>School Nutrition Equipment Assistance for Schools</w:t>
            </w:r>
          </w:p>
        </w:tc>
        <w:tc>
          <w:tcPr>
            <w:tcW w:w="2430" w:type="dxa"/>
            <w:tcBorders>
              <w:top w:val="nil"/>
              <w:left w:val="nil"/>
              <w:bottom w:val="nil"/>
              <w:right w:val="nil"/>
            </w:tcBorders>
          </w:tcPr>
          <w:p w14:paraId="7FAE4CFB" w14:textId="661FC590" w:rsidR="00A034B8" w:rsidRDefault="00A034B8" w:rsidP="00A034B8">
            <w:pPr>
              <w:spacing w:after="120"/>
              <w:jc w:val="both"/>
              <w:rPr>
                <w:sz w:val="22"/>
              </w:rPr>
            </w:pPr>
            <w:r>
              <w:rPr>
                <w:b/>
                <w:sz w:val="22"/>
              </w:rPr>
              <w:t>FUND CODE:</w:t>
            </w:r>
            <w:r>
              <w:rPr>
                <w:sz w:val="22"/>
              </w:rPr>
              <w:t xml:space="preserve"> 722</w:t>
            </w:r>
            <w:r w:rsidR="00FC629B">
              <w:rPr>
                <w:sz w:val="22"/>
              </w:rPr>
              <w:t>/757</w:t>
            </w:r>
          </w:p>
        </w:tc>
      </w:tr>
      <w:tr w:rsidR="00A034B8" w14:paraId="7FAE4CFF" w14:textId="77777777" w:rsidTr="00E61468">
        <w:trPr>
          <w:cantSplit/>
        </w:trPr>
        <w:tc>
          <w:tcPr>
            <w:tcW w:w="3438" w:type="dxa"/>
            <w:tcBorders>
              <w:top w:val="nil"/>
              <w:left w:val="nil"/>
              <w:bottom w:val="nil"/>
              <w:right w:val="nil"/>
            </w:tcBorders>
          </w:tcPr>
          <w:p w14:paraId="7FAE4CFD" w14:textId="77777777" w:rsidR="00A034B8" w:rsidRPr="008705AB" w:rsidRDefault="00A034B8" w:rsidP="00A034B8">
            <w:pPr>
              <w:spacing w:after="120"/>
              <w:jc w:val="both"/>
              <w:rPr>
                <w:b/>
                <w:sz w:val="22"/>
              </w:rPr>
            </w:pPr>
            <w:r w:rsidRPr="008705AB">
              <w:rPr>
                <w:b/>
                <w:sz w:val="22"/>
              </w:rPr>
              <w:t xml:space="preserve">FUNDS ALLOCATED:     </w:t>
            </w:r>
          </w:p>
        </w:tc>
        <w:tc>
          <w:tcPr>
            <w:tcW w:w="7470" w:type="dxa"/>
            <w:gridSpan w:val="3"/>
            <w:tcBorders>
              <w:top w:val="nil"/>
              <w:left w:val="nil"/>
              <w:bottom w:val="nil"/>
              <w:right w:val="nil"/>
            </w:tcBorders>
          </w:tcPr>
          <w:p w14:paraId="7FAE4CFE" w14:textId="0D773953" w:rsidR="00A034B8" w:rsidRPr="00853B00" w:rsidRDefault="00CA576D" w:rsidP="00157C49">
            <w:pPr>
              <w:spacing w:after="120"/>
              <w:jc w:val="both"/>
              <w:rPr>
                <w:bCs/>
                <w:sz w:val="22"/>
              </w:rPr>
            </w:pPr>
            <w:r w:rsidRPr="00853B00">
              <w:rPr>
                <w:b/>
                <w:sz w:val="22"/>
              </w:rPr>
              <w:t>$</w:t>
            </w:r>
            <w:r w:rsidRPr="008705AB">
              <w:rPr>
                <w:bCs/>
                <w:sz w:val="22"/>
              </w:rPr>
              <w:t>1,166,241</w:t>
            </w:r>
            <w:r w:rsidR="008705AB" w:rsidRPr="008705AB">
              <w:rPr>
                <w:bCs/>
                <w:sz w:val="22"/>
              </w:rPr>
              <w:t xml:space="preserve"> (Federal: FC 722: </w:t>
            </w:r>
            <w:r w:rsidR="00157C49" w:rsidRPr="008705AB">
              <w:rPr>
                <w:bCs/>
                <w:sz w:val="22"/>
              </w:rPr>
              <w:t>$43</w:t>
            </w:r>
            <w:r w:rsidR="00D00E2C" w:rsidRPr="008705AB">
              <w:rPr>
                <w:bCs/>
                <w:sz w:val="22"/>
              </w:rPr>
              <w:t>7</w:t>
            </w:r>
            <w:r w:rsidR="00157C49" w:rsidRPr="008705AB">
              <w:rPr>
                <w:bCs/>
                <w:sz w:val="22"/>
              </w:rPr>
              <w:t>,</w:t>
            </w:r>
            <w:r w:rsidR="00D00E2C" w:rsidRPr="008705AB">
              <w:rPr>
                <w:bCs/>
                <w:sz w:val="22"/>
              </w:rPr>
              <w:t>329</w:t>
            </w:r>
            <w:r w:rsidR="008705AB" w:rsidRPr="008705AB">
              <w:rPr>
                <w:bCs/>
                <w:sz w:val="22"/>
              </w:rPr>
              <w:t xml:space="preserve">  ; FC 757: </w:t>
            </w:r>
            <w:r w:rsidR="00157C49" w:rsidRPr="008705AB">
              <w:rPr>
                <w:bCs/>
                <w:sz w:val="22"/>
              </w:rPr>
              <w:t xml:space="preserve">$728,912 </w:t>
            </w:r>
            <w:r w:rsidR="008705AB" w:rsidRPr="008705AB">
              <w:rPr>
                <w:bCs/>
                <w:sz w:val="22"/>
              </w:rPr>
              <w:t>(</w:t>
            </w:r>
            <w:r w:rsidR="00157C49" w:rsidRPr="008705AB">
              <w:rPr>
                <w:bCs/>
                <w:sz w:val="22"/>
              </w:rPr>
              <w:t>ARPA</w:t>
            </w:r>
            <w:r w:rsidR="008705AB" w:rsidRPr="008705AB">
              <w:rPr>
                <w:bCs/>
                <w:sz w:val="22"/>
              </w:rPr>
              <w:t>)</w:t>
            </w:r>
            <w:r w:rsidR="006E184D" w:rsidRPr="008705AB">
              <w:rPr>
                <w:bCs/>
                <w:sz w:val="22"/>
              </w:rPr>
              <w:t>)</w:t>
            </w:r>
          </w:p>
        </w:tc>
      </w:tr>
      <w:tr w:rsidR="00A034B8" w14:paraId="7FAE4D02" w14:textId="77777777" w:rsidTr="00E61468">
        <w:trPr>
          <w:cantSplit/>
        </w:trPr>
        <w:tc>
          <w:tcPr>
            <w:tcW w:w="3438" w:type="dxa"/>
            <w:tcBorders>
              <w:top w:val="nil"/>
              <w:left w:val="nil"/>
              <w:bottom w:val="nil"/>
              <w:right w:val="nil"/>
            </w:tcBorders>
          </w:tcPr>
          <w:p w14:paraId="7FAE4D00" w14:textId="77777777" w:rsidR="00A034B8" w:rsidRDefault="00A034B8" w:rsidP="00A034B8">
            <w:pPr>
              <w:spacing w:after="120"/>
              <w:jc w:val="both"/>
              <w:rPr>
                <w:b/>
                <w:sz w:val="22"/>
              </w:rPr>
            </w:pPr>
            <w:r>
              <w:rPr>
                <w:b/>
                <w:sz w:val="22"/>
              </w:rPr>
              <w:t>FUNDS REQUESTED:</w:t>
            </w:r>
          </w:p>
        </w:tc>
        <w:tc>
          <w:tcPr>
            <w:tcW w:w="7470" w:type="dxa"/>
            <w:gridSpan w:val="3"/>
            <w:tcBorders>
              <w:top w:val="nil"/>
              <w:left w:val="nil"/>
              <w:bottom w:val="nil"/>
              <w:right w:val="nil"/>
            </w:tcBorders>
          </w:tcPr>
          <w:p w14:paraId="7FAE4D01" w14:textId="1B66F78F" w:rsidR="007B438B" w:rsidRDefault="006905C0" w:rsidP="007B438B">
            <w:pPr>
              <w:spacing w:after="120"/>
              <w:jc w:val="both"/>
              <w:rPr>
                <w:sz w:val="22"/>
              </w:rPr>
            </w:pPr>
            <w:r w:rsidRPr="006905C0">
              <w:rPr>
                <w:sz w:val="22"/>
              </w:rPr>
              <w:t>$3,269,543</w:t>
            </w:r>
          </w:p>
        </w:tc>
      </w:tr>
      <w:tr w:rsidR="00E61468" w14:paraId="7FAE4D04" w14:textId="77777777" w:rsidTr="00E61468">
        <w:trPr>
          <w:cantSplit/>
        </w:trPr>
        <w:tc>
          <w:tcPr>
            <w:tcW w:w="10908" w:type="dxa"/>
            <w:gridSpan w:val="4"/>
            <w:tcBorders>
              <w:top w:val="nil"/>
              <w:left w:val="nil"/>
              <w:bottom w:val="nil"/>
              <w:right w:val="nil"/>
            </w:tcBorders>
          </w:tcPr>
          <w:p w14:paraId="36655709" w14:textId="18DE694E" w:rsidR="00F27B05" w:rsidRPr="00BB19DF" w:rsidRDefault="000C0B6E" w:rsidP="00F27B05">
            <w:pPr>
              <w:rPr>
                <w:sz w:val="22"/>
                <w:szCs w:val="22"/>
              </w:rPr>
            </w:pPr>
            <w:r>
              <w:rPr>
                <w:b/>
                <w:sz w:val="22"/>
              </w:rPr>
              <w:t xml:space="preserve">PURPOSE: </w:t>
            </w:r>
            <w:r w:rsidR="00F27B05">
              <w:rPr>
                <w:sz w:val="22"/>
                <w:szCs w:val="22"/>
              </w:rPr>
              <w:t>T</w:t>
            </w:r>
            <w:r w:rsidR="00F27B05" w:rsidRPr="00BB19DF">
              <w:rPr>
                <w:sz w:val="22"/>
                <w:szCs w:val="22"/>
              </w:rPr>
              <w:t>he goal of the competitive grant is to enhance and improve the school breakfast and national school lunch programs so that all students will receive the nutrition they need to achieve in school. Equipment such as a refrigerator, freezer, or cold and hot serving counters increases the capacity of schools to store</w:t>
            </w:r>
            <w:r w:rsidR="00F27B05">
              <w:rPr>
                <w:sz w:val="22"/>
                <w:szCs w:val="22"/>
              </w:rPr>
              <w:t xml:space="preserve"> </w:t>
            </w:r>
            <w:r w:rsidR="00F27B05" w:rsidRPr="00BB19DF">
              <w:rPr>
                <w:sz w:val="22"/>
                <w:szCs w:val="22"/>
              </w:rPr>
              <w:t xml:space="preserve">and offer a wider variety of </w:t>
            </w:r>
            <w:r w:rsidR="00F27B05">
              <w:rPr>
                <w:sz w:val="22"/>
                <w:szCs w:val="22"/>
              </w:rPr>
              <w:t xml:space="preserve">appetizing meals, including </w:t>
            </w:r>
            <w:r w:rsidR="00F27B05" w:rsidRPr="00BB19DF">
              <w:rPr>
                <w:sz w:val="22"/>
                <w:szCs w:val="22"/>
              </w:rPr>
              <w:t>fruits and vegetables</w:t>
            </w:r>
            <w:r w:rsidR="00F27B05">
              <w:rPr>
                <w:sz w:val="22"/>
                <w:szCs w:val="22"/>
              </w:rPr>
              <w:t>,</w:t>
            </w:r>
            <w:r w:rsidR="00F27B05" w:rsidRPr="00BB19DF">
              <w:rPr>
                <w:sz w:val="22"/>
                <w:szCs w:val="22"/>
              </w:rPr>
              <w:t xml:space="preserve"> from which the students can choose. Investing in cooking equipment such as tilt skillets, steamers, and convection ovens enhances the quality, safety, and appeal of meals offered to students by improving cooking methods, such as batch cooking closer to when the meal is served. The equipment also helps the school meet the USDA meal pattern requirements. </w:t>
            </w:r>
          </w:p>
          <w:p w14:paraId="7FAE4D03" w14:textId="07071961" w:rsidR="00E61468" w:rsidRDefault="00E61468" w:rsidP="00E61468">
            <w:pPr>
              <w:spacing w:after="120"/>
              <w:rPr>
                <w:sz w:val="22"/>
              </w:rPr>
            </w:pPr>
          </w:p>
        </w:tc>
      </w:tr>
      <w:tr w:rsidR="00A034B8" w14:paraId="7FAE4D07" w14:textId="77777777" w:rsidTr="00E61468">
        <w:tc>
          <w:tcPr>
            <w:tcW w:w="5418" w:type="dxa"/>
            <w:gridSpan w:val="2"/>
            <w:tcBorders>
              <w:top w:val="nil"/>
              <w:left w:val="nil"/>
              <w:bottom w:val="nil"/>
              <w:right w:val="nil"/>
            </w:tcBorders>
          </w:tcPr>
          <w:p w14:paraId="7FAE4D05" w14:textId="77777777" w:rsidR="00A034B8" w:rsidRDefault="00A034B8" w:rsidP="00A034B8">
            <w:pPr>
              <w:spacing w:after="120"/>
              <w:jc w:val="both"/>
              <w:rPr>
                <w:b/>
                <w:sz w:val="22"/>
              </w:rPr>
            </w:pPr>
            <w:r>
              <w:rPr>
                <w:b/>
                <w:sz w:val="22"/>
              </w:rPr>
              <w:t>NUMBER OF PROPOSALS RECEIVED:</w:t>
            </w:r>
          </w:p>
        </w:tc>
        <w:tc>
          <w:tcPr>
            <w:tcW w:w="5490" w:type="dxa"/>
            <w:gridSpan w:val="2"/>
            <w:tcBorders>
              <w:top w:val="nil"/>
              <w:left w:val="nil"/>
              <w:bottom w:val="nil"/>
              <w:right w:val="nil"/>
            </w:tcBorders>
          </w:tcPr>
          <w:p w14:paraId="7FAE4D06" w14:textId="53FBD669" w:rsidR="00A034B8" w:rsidRDefault="00C65925" w:rsidP="00A034B8">
            <w:pPr>
              <w:spacing w:after="120"/>
              <w:jc w:val="both"/>
              <w:rPr>
                <w:sz w:val="22"/>
              </w:rPr>
            </w:pPr>
            <w:r>
              <w:rPr>
                <w:sz w:val="22"/>
              </w:rPr>
              <w:t>1</w:t>
            </w:r>
            <w:r w:rsidR="005C6B02">
              <w:rPr>
                <w:sz w:val="22"/>
              </w:rPr>
              <w:t>01</w:t>
            </w:r>
          </w:p>
        </w:tc>
      </w:tr>
      <w:tr w:rsidR="00A034B8" w14:paraId="7FAE4D0A" w14:textId="77777777" w:rsidTr="00E61468">
        <w:trPr>
          <w:trHeight w:val="224"/>
        </w:trPr>
        <w:tc>
          <w:tcPr>
            <w:tcW w:w="5418" w:type="dxa"/>
            <w:gridSpan w:val="2"/>
            <w:tcBorders>
              <w:top w:val="nil"/>
              <w:left w:val="nil"/>
              <w:bottom w:val="nil"/>
              <w:right w:val="nil"/>
            </w:tcBorders>
          </w:tcPr>
          <w:p w14:paraId="7FAE4D08" w14:textId="77777777" w:rsidR="00A034B8" w:rsidRDefault="00A034B8" w:rsidP="00A034B8">
            <w:pPr>
              <w:spacing w:after="120"/>
              <w:jc w:val="both"/>
              <w:rPr>
                <w:b/>
                <w:sz w:val="22"/>
              </w:rPr>
            </w:pPr>
            <w:r>
              <w:rPr>
                <w:b/>
                <w:sz w:val="22"/>
              </w:rPr>
              <w:t>NUMBER OF PROPOSALS RECOMMENDED:</w:t>
            </w:r>
          </w:p>
        </w:tc>
        <w:tc>
          <w:tcPr>
            <w:tcW w:w="5490" w:type="dxa"/>
            <w:gridSpan w:val="2"/>
            <w:tcBorders>
              <w:top w:val="nil"/>
              <w:left w:val="nil"/>
              <w:bottom w:val="nil"/>
              <w:right w:val="nil"/>
            </w:tcBorders>
          </w:tcPr>
          <w:p w14:paraId="7FAE4D09" w14:textId="5AEFB7D4" w:rsidR="00A034B8" w:rsidRDefault="00F956FD" w:rsidP="00A034B8">
            <w:pPr>
              <w:spacing w:after="120"/>
              <w:jc w:val="both"/>
              <w:rPr>
                <w:sz w:val="22"/>
              </w:rPr>
            </w:pPr>
            <w:r>
              <w:rPr>
                <w:sz w:val="22"/>
              </w:rPr>
              <w:t>53</w:t>
            </w:r>
          </w:p>
        </w:tc>
      </w:tr>
      <w:tr w:rsidR="00A034B8" w14:paraId="7FAE4D0D" w14:textId="77777777" w:rsidTr="00E61468">
        <w:trPr>
          <w:trHeight w:val="117"/>
        </w:trPr>
        <w:tc>
          <w:tcPr>
            <w:tcW w:w="5418" w:type="dxa"/>
            <w:gridSpan w:val="2"/>
            <w:tcBorders>
              <w:top w:val="nil"/>
              <w:left w:val="nil"/>
              <w:bottom w:val="nil"/>
              <w:right w:val="nil"/>
            </w:tcBorders>
          </w:tcPr>
          <w:p w14:paraId="7FAE4D0B" w14:textId="77777777" w:rsidR="00A034B8" w:rsidRDefault="00A034B8" w:rsidP="00A034B8">
            <w:pPr>
              <w:spacing w:after="120"/>
              <w:jc w:val="both"/>
              <w:rPr>
                <w:b/>
                <w:sz w:val="22"/>
              </w:rPr>
            </w:pPr>
            <w:r>
              <w:rPr>
                <w:b/>
                <w:sz w:val="22"/>
              </w:rPr>
              <w:t>NUMBER OF PROPOSALS NOT RECOMMENDED:</w:t>
            </w:r>
          </w:p>
        </w:tc>
        <w:tc>
          <w:tcPr>
            <w:tcW w:w="5490" w:type="dxa"/>
            <w:gridSpan w:val="2"/>
            <w:tcBorders>
              <w:top w:val="nil"/>
              <w:left w:val="nil"/>
              <w:bottom w:val="nil"/>
              <w:right w:val="nil"/>
            </w:tcBorders>
          </w:tcPr>
          <w:p w14:paraId="4B9F023D" w14:textId="69345A35" w:rsidR="006D0059" w:rsidRDefault="00F956FD" w:rsidP="00BE3E91">
            <w:pPr>
              <w:spacing w:after="120"/>
              <w:jc w:val="both"/>
              <w:rPr>
                <w:sz w:val="22"/>
              </w:rPr>
            </w:pPr>
            <w:r>
              <w:rPr>
                <w:sz w:val="22"/>
              </w:rPr>
              <w:t>48</w:t>
            </w:r>
          </w:p>
          <w:p w14:paraId="7FAE4D0C" w14:textId="0EE9E0D4" w:rsidR="00B336CC" w:rsidRDefault="00B336CC" w:rsidP="00BE3E91">
            <w:pPr>
              <w:spacing w:after="120"/>
              <w:jc w:val="both"/>
              <w:rPr>
                <w:sz w:val="22"/>
              </w:rPr>
            </w:pPr>
            <w:r>
              <w:rPr>
                <w:sz w:val="22"/>
                <w:szCs w:val="22"/>
              </w:rPr>
              <w:t>The demand was greater than the amount of USDA funds available to award.</w:t>
            </w:r>
            <w:r w:rsidR="00C21E75">
              <w:rPr>
                <w:sz w:val="22"/>
                <w:szCs w:val="22"/>
              </w:rPr>
              <w:t xml:space="preserve"> The LEAs with the highest grant scores were awarded grants until the funds were entirely depleted.</w:t>
            </w:r>
          </w:p>
        </w:tc>
      </w:tr>
      <w:tr w:rsidR="00A034B8" w14:paraId="7FAE4D11" w14:textId="77777777" w:rsidTr="00E61468">
        <w:trPr>
          <w:cantSplit/>
          <w:trHeight w:val="828"/>
        </w:trPr>
        <w:tc>
          <w:tcPr>
            <w:tcW w:w="10908" w:type="dxa"/>
            <w:gridSpan w:val="4"/>
            <w:tcBorders>
              <w:top w:val="nil"/>
              <w:left w:val="nil"/>
              <w:bottom w:val="nil"/>
              <w:right w:val="nil"/>
            </w:tcBorders>
          </w:tcPr>
          <w:p w14:paraId="4BDF36A7" w14:textId="7A2CABAF" w:rsidR="006D0059" w:rsidRPr="003E47DD" w:rsidRDefault="00A034B8" w:rsidP="006D0059">
            <w:pPr>
              <w:rPr>
                <w:b/>
                <w:sz w:val="22"/>
              </w:rPr>
            </w:pPr>
            <w:r w:rsidRPr="001C6572">
              <w:rPr>
                <w:b/>
                <w:sz w:val="22"/>
              </w:rPr>
              <w:t xml:space="preserve">RESULT OF FUNDING: </w:t>
            </w:r>
            <w:r w:rsidR="005C0961">
              <w:rPr>
                <w:sz w:val="22"/>
              </w:rPr>
              <w:t>Fifty-three</w:t>
            </w:r>
            <w:r w:rsidR="006D0059" w:rsidRPr="00BB19DF">
              <w:rPr>
                <w:sz w:val="22"/>
              </w:rPr>
              <w:t xml:space="preserve"> school districts representing </w:t>
            </w:r>
            <w:r w:rsidR="005C0961">
              <w:rPr>
                <w:sz w:val="22"/>
              </w:rPr>
              <w:t>eighty</w:t>
            </w:r>
            <w:r w:rsidR="00A91EC8">
              <w:rPr>
                <w:sz w:val="22"/>
              </w:rPr>
              <w:t xml:space="preserve"> </w:t>
            </w:r>
            <w:r w:rsidR="006D0059" w:rsidRPr="00BB19DF">
              <w:rPr>
                <w:sz w:val="22"/>
              </w:rPr>
              <w:t>schools are recommended for grants ranging in amounts from</w:t>
            </w:r>
            <w:r w:rsidR="00914E38">
              <w:rPr>
                <w:sz w:val="22"/>
              </w:rPr>
              <w:t xml:space="preserve"> </w:t>
            </w:r>
            <w:r w:rsidR="002B4FAB" w:rsidRPr="002B4FAB">
              <w:rPr>
                <w:sz w:val="22"/>
              </w:rPr>
              <w:t>$</w:t>
            </w:r>
            <w:r w:rsidR="00D11523">
              <w:rPr>
                <w:sz w:val="22"/>
              </w:rPr>
              <w:t>4,039</w:t>
            </w:r>
            <w:r w:rsidR="006D0059" w:rsidRPr="00BB19DF">
              <w:rPr>
                <w:sz w:val="22"/>
              </w:rPr>
              <w:t xml:space="preserve"> to</w:t>
            </w:r>
            <w:r w:rsidR="00B336CC">
              <w:rPr>
                <w:sz w:val="22"/>
              </w:rPr>
              <w:t xml:space="preserve"> </w:t>
            </w:r>
            <w:r w:rsidR="00D65C98" w:rsidRPr="00D65C98">
              <w:rPr>
                <w:sz w:val="22"/>
              </w:rPr>
              <w:t>$</w:t>
            </w:r>
            <w:r w:rsidR="00D773BD">
              <w:rPr>
                <w:sz w:val="22"/>
              </w:rPr>
              <w:t>20,000</w:t>
            </w:r>
            <w:r w:rsidR="006D0059" w:rsidRPr="00BB19DF">
              <w:rPr>
                <w:sz w:val="22"/>
              </w:rPr>
              <w:t xml:space="preserve">. </w:t>
            </w:r>
          </w:p>
          <w:p w14:paraId="4D4087CC" w14:textId="78089B7D" w:rsidR="006D0059" w:rsidRPr="00BB19DF" w:rsidRDefault="006D0059" w:rsidP="006D0059">
            <w:pPr>
              <w:spacing w:before="100" w:beforeAutospacing="1" w:after="100" w:afterAutospacing="1"/>
              <w:rPr>
                <w:sz w:val="22"/>
                <w:szCs w:val="22"/>
              </w:rPr>
            </w:pPr>
            <w:r w:rsidRPr="00BB19DF">
              <w:rPr>
                <w:sz w:val="22"/>
                <w:szCs w:val="22"/>
              </w:rPr>
              <w:t>In general, the funds may be used for purchasing equipment for the implementation of the National School Lunch Program (NSLP) in (</w:t>
            </w:r>
            <w:r w:rsidRPr="00BB19DF">
              <w:rPr>
                <w:b/>
                <w:sz w:val="22"/>
                <w:szCs w:val="22"/>
              </w:rPr>
              <w:t>and only in) the specific school requesting the grant</w:t>
            </w:r>
            <w:r w:rsidRPr="00BB19DF">
              <w:rPr>
                <w:sz w:val="22"/>
                <w:szCs w:val="22"/>
              </w:rPr>
              <w:t>. Examples include equipment for heating, cooking, holding, serving, and refrigeration of foods used in the NSLP. The grant funds can be used for installation and delivery costs of the equipment purchased. If the equipment purchased for the school is ever sold, the proceeds must be returned to the School’s Nutrition Program Account. All equipment purchased with these grant funds must be tagged with a label identifyin</w:t>
            </w:r>
            <w:r w:rsidR="00CD1FC9">
              <w:rPr>
                <w:sz w:val="22"/>
                <w:szCs w:val="22"/>
              </w:rPr>
              <w:t>g it as being purchased with FY2</w:t>
            </w:r>
            <w:r w:rsidR="00110E59">
              <w:rPr>
                <w:sz w:val="22"/>
                <w:szCs w:val="22"/>
              </w:rPr>
              <w:t>2</w:t>
            </w:r>
            <w:r w:rsidRPr="00BB19DF">
              <w:rPr>
                <w:sz w:val="22"/>
                <w:szCs w:val="22"/>
              </w:rPr>
              <w:t xml:space="preserve"> USDA School Nutrition Assistance Grant Funds.</w:t>
            </w:r>
          </w:p>
          <w:p w14:paraId="7FAE4D0F" w14:textId="31621D49" w:rsidR="00A034B8" w:rsidRDefault="006D0059" w:rsidP="006D0059">
            <w:pPr>
              <w:rPr>
                <w:b/>
                <w:sz w:val="22"/>
              </w:rPr>
            </w:pPr>
            <w:r w:rsidRPr="00BB19DF">
              <w:rPr>
                <w:sz w:val="22"/>
                <w:szCs w:val="22"/>
              </w:rPr>
              <w:t>Schools with fewer hungry students benefit from students that are more engaged in learning; visit the school nurse less for hunger pains; and have improved attendance. Reducing these barriers to learning and increasing the overall health of students supports the effectiveness of the school.</w:t>
            </w:r>
          </w:p>
          <w:p w14:paraId="7FAE4D10" w14:textId="77777777" w:rsidR="00A034B8" w:rsidRPr="00FA17BE" w:rsidRDefault="00A034B8" w:rsidP="00A034B8">
            <w:pPr>
              <w:rPr>
                <w:sz w:val="22"/>
                <w:szCs w:val="22"/>
              </w:rPr>
            </w:pPr>
          </w:p>
        </w:tc>
      </w:tr>
    </w:tbl>
    <w:p w14:paraId="7FAE4D12"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8812"/>
        <w:gridCol w:w="2018"/>
      </w:tblGrid>
      <w:tr w:rsidR="00410797" w:rsidRPr="00251EDC" w14:paraId="7FAE4D15" w14:textId="77777777" w:rsidTr="00BC6777">
        <w:trPr>
          <w:cantSplit/>
          <w:trHeight w:val="264"/>
        </w:trPr>
        <w:tc>
          <w:tcPr>
            <w:tcW w:w="8812" w:type="dxa"/>
            <w:tcBorders>
              <w:top w:val="single" w:sz="6" w:space="0" w:color="auto"/>
              <w:left w:val="single" w:sz="6" w:space="0" w:color="auto"/>
              <w:bottom w:val="single" w:sz="4" w:space="0" w:color="auto"/>
              <w:right w:val="single" w:sz="6" w:space="0" w:color="auto"/>
            </w:tcBorders>
          </w:tcPr>
          <w:p w14:paraId="7FAE4D13" w14:textId="77777777" w:rsidR="00410797" w:rsidRPr="00251EDC" w:rsidRDefault="00410797" w:rsidP="00B329DA">
            <w:pPr>
              <w:spacing w:before="20" w:after="20"/>
              <w:jc w:val="center"/>
              <w:rPr>
                <w:b/>
                <w:snapToGrid w:val="0"/>
                <w:color w:val="000000"/>
                <w:sz w:val="22"/>
                <w:szCs w:val="22"/>
              </w:rPr>
            </w:pPr>
            <w:r w:rsidRPr="00251EDC">
              <w:rPr>
                <w:b/>
                <w:snapToGrid w:val="0"/>
                <w:color w:val="000000"/>
                <w:sz w:val="22"/>
                <w:szCs w:val="22"/>
              </w:rPr>
              <w:t>RECIPIENTS</w:t>
            </w:r>
          </w:p>
        </w:tc>
        <w:tc>
          <w:tcPr>
            <w:tcW w:w="2018" w:type="dxa"/>
            <w:tcBorders>
              <w:top w:val="single" w:sz="6" w:space="0" w:color="auto"/>
              <w:left w:val="single" w:sz="6" w:space="0" w:color="auto"/>
              <w:bottom w:val="single" w:sz="4" w:space="0" w:color="auto"/>
              <w:right w:val="single" w:sz="6" w:space="0" w:color="auto"/>
            </w:tcBorders>
          </w:tcPr>
          <w:p w14:paraId="7FAE4D14" w14:textId="77777777" w:rsidR="00410797" w:rsidRPr="00251EDC" w:rsidRDefault="00410797" w:rsidP="00B329DA">
            <w:pPr>
              <w:spacing w:before="20" w:after="20"/>
              <w:jc w:val="center"/>
              <w:rPr>
                <w:b/>
                <w:snapToGrid w:val="0"/>
                <w:color w:val="000000"/>
                <w:sz w:val="22"/>
                <w:szCs w:val="22"/>
              </w:rPr>
            </w:pPr>
            <w:r w:rsidRPr="00251EDC">
              <w:rPr>
                <w:b/>
                <w:snapToGrid w:val="0"/>
                <w:color w:val="000000"/>
                <w:sz w:val="22"/>
                <w:szCs w:val="22"/>
              </w:rPr>
              <w:t>AMOUNTS</w:t>
            </w:r>
          </w:p>
        </w:tc>
      </w:tr>
      <w:tr w:rsidR="004E3D12" w:rsidRPr="00422AA0" w14:paraId="1C232CE1"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609A8853"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Acton-Boxborough Regional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236CB331"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$20,000</w:t>
            </w:r>
          </w:p>
        </w:tc>
      </w:tr>
      <w:tr w:rsidR="004E3D12" w:rsidRPr="00422AA0" w14:paraId="407C46F8"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0C7D718F"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Agawam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437A28CE"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$20,026</w:t>
            </w:r>
          </w:p>
        </w:tc>
      </w:tr>
      <w:tr w:rsidR="004E3D12" w:rsidRPr="00422AA0" w14:paraId="2AC2F817"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7ABB73A7"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Andover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0450CC87"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$20,000</w:t>
            </w:r>
          </w:p>
        </w:tc>
      </w:tr>
      <w:tr w:rsidR="004E3D12" w:rsidRPr="00422AA0" w14:paraId="487E4651"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14B441CE"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Argosy Collegiate Charter School</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624D3F32"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$11,295</w:t>
            </w:r>
          </w:p>
        </w:tc>
      </w:tr>
      <w:tr w:rsidR="004E3D12" w:rsidRPr="00422AA0" w14:paraId="7E93793C"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2F5C7382"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 xml:space="preserve">Bay State Community Services </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08C81327"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$33,850</w:t>
            </w:r>
          </w:p>
        </w:tc>
      </w:tr>
      <w:tr w:rsidR="004E3D12" w:rsidRPr="00422AA0" w14:paraId="5CDFB27B"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7A9EEA3B"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Belmont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3D8CC7F4"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$6,617</w:t>
            </w:r>
          </w:p>
        </w:tc>
      </w:tr>
      <w:tr w:rsidR="004E3D12" w:rsidRPr="00422AA0" w14:paraId="40C856E4"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0CCF0688"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Berlin-Boylston Regional School District</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7D3A4DD1"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$4,039</w:t>
            </w:r>
          </w:p>
        </w:tc>
      </w:tr>
      <w:tr w:rsidR="004E3D12" w:rsidRPr="00422AA0" w14:paraId="12C8AB15"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60BA4E5B"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Boston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665CD79E"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$113,520</w:t>
            </w:r>
          </w:p>
        </w:tc>
      </w:tr>
      <w:tr w:rsidR="004E3D12" w:rsidRPr="00422AA0" w14:paraId="0C4C06B9"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37580093"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Chesterfield-Goshen Regional</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461AC6DE"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$14,078</w:t>
            </w:r>
          </w:p>
        </w:tc>
      </w:tr>
      <w:tr w:rsidR="004E3D12" w:rsidRPr="00422AA0" w14:paraId="267E026E"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5BAA930A"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 xml:space="preserve">Community Day Charter Public School </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39D7CA70"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$2,549</w:t>
            </w:r>
          </w:p>
        </w:tc>
      </w:tr>
      <w:tr w:rsidR="004E3D12" w:rsidRPr="00422AA0" w14:paraId="3D19048F"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4B300456"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Dartmouth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0C2330EF"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$19,577</w:t>
            </w:r>
          </w:p>
        </w:tc>
      </w:tr>
      <w:tr w:rsidR="004E3D12" w:rsidRPr="00422AA0" w14:paraId="49AD251B"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03D0C396"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Department of Youth Services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7AEBF89A"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$34,017</w:t>
            </w:r>
          </w:p>
        </w:tc>
      </w:tr>
      <w:tr w:rsidR="004E3D12" w:rsidRPr="00422AA0" w14:paraId="749FBF2C"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12754BB6"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Douglas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38E642DC"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$23,741</w:t>
            </w:r>
          </w:p>
        </w:tc>
      </w:tr>
      <w:tr w:rsidR="004E3D12" w:rsidRPr="00422AA0" w14:paraId="6026AC15"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2F75DF3D"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Eagle Hill School</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5802027F"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$18,787</w:t>
            </w:r>
          </w:p>
        </w:tc>
      </w:tr>
      <w:tr w:rsidR="004E3D12" w:rsidRPr="00422AA0" w14:paraId="6CEEF313"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46A49BB0"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Farmington River Regional School District</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33F584A8"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$8,714</w:t>
            </w:r>
          </w:p>
        </w:tc>
      </w:tr>
      <w:tr w:rsidR="004E3D12" w:rsidRPr="00422AA0" w14:paraId="0DA8849D"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25F01C23"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Foxborough Regional Charter School</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0774247D"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$13,769</w:t>
            </w:r>
          </w:p>
        </w:tc>
      </w:tr>
      <w:tr w:rsidR="004E3D12" w:rsidRPr="00422AA0" w14:paraId="11AD56B3"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14F42D2A"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Franklin County Technical School</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76756B96"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$18,800</w:t>
            </w:r>
          </w:p>
        </w:tc>
      </w:tr>
      <w:tr w:rsidR="004E3D12" w:rsidRPr="00422AA0" w14:paraId="4CB2EDDB"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41E3D896"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lastRenderedPageBreak/>
              <w:t>Franklin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5CF8B7E0"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$20,000</w:t>
            </w:r>
          </w:p>
        </w:tc>
      </w:tr>
      <w:tr w:rsidR="004E3D12" w:rsidRPr="00422AA0" w14:paraId="3D43A75B"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075BD077"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Gardner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685919E7"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$20,000</w:t>
            </w:r>
          </w:p>
        </w:tc>
      </w:tr>
      <w:tr w:rsidR="004E3D12" w:rsidRPr="00422AA0" w14:paraId="7D2FC35E"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6778323C"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Greenfield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092C2262"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$52,618</w:t>
            </w:r>
          </w:p>
        </w:tc>
      </w:tr>
      <w:tr w:rsidR="004E3D12" w:rsidRPr="00422AA0" w14:paraId="705F9DC3"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2C66EF13"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Holyoke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03EE848C"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$40,000</w:t>
            </w:r>
          </w:p>
        </w:tc>
      </w:tr>
      <w:tr w:rsidR="004E3D12" w:rsidRPr="00422AA0" w14:paraId="4A945AC8"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1F3436CE"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Kingston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31274525"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$19,053</w:t>
            </w:r>
          </w:p>
        </w:tc>
      </w:tr>
      <w:tr w:rsidR="004E3D12" w:rsidRPr="00422AA0" w14:paraId="6A6CD097"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386B894B"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KIPP Academy Lynn Charter School</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107EC589"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$17,222</w:t>
            </w:r>
          </w:p>
        </w:tc>
      </w:tr>
      <w:tr w:rsidR="004E3D12" w:rsidRPr="00422AA0" w14:paraId="75159CAA"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6B8B170E"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Lawrence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52006AFF"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$27,984</w:t>
            </w:r>
          </w:p>
        </w:tc>
      </w:tr>
      <w:tr w:rsidR="004E3D12" w:rsidRPr="00422AA0" w14:paraId="2D26C34D"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59281267"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Lee Public Schools </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7156E1F1"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$24,941</w:t>
            </w:r>
          </w:p>
        </w:tc>
      </w:tr>
      <w:tr w:rsidR="004E3D12" w:rsidRPr="00422AA0" w14:paraId="40280DAF"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431F386A"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Leverett Elementary School </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1FC41360"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$9,700</w:t>
            </w:r>
          </w:p>
        </w:tc>
      </w:tr>
      <w:tr w:rsidR="004E3D12" w:rsidRPr="00422AA0" w14:paraId="2D0DCA90"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5BA1DB2C"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Martha's Vineyard</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6B6216B3"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$15,809</w:t>
            </w:r>
          </w:p>
        </w:tc>
      </w:tr>
      <w:tr w:rsidR="004E3D12" w:rsidRPr="00422AA0" w14:paraId="718E5B7C"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0520C1C5"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Match Charter Public School</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54B652AB"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$6,997</w:t>
            </w:r>
          </w:p>
        </w:tc>
      </w:tr>
      <w:tr w:rsidR="004E3D12" w:rsidRPr="00422AA0" w14:paraId="4A691F26"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7D589D6D"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Maynard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4B9C68B1"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$28,462</w:t>
            </w:r>
          </w:p>
        </w:tc>
      </w:tr>
      <w:tr w:rsidR="004E3D12" w:rsidRPr="00422AA0" w14:paraId="2B7D8BF9"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3DDCCE45"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Medfield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5AE20242"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$10,283</w:t>
            </w:r>
          </w:p>
        </w:tc>
      </w:tr>
      <w:tr w:rsidR="004E3D12" w:rsidRPr="00422AA0" w14:paraId="39AF213A"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0A6F9BD0"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Newburyport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76B9318F"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$20,000</w:t>
            </w:r>
          </w:p>
        </w:tc>
      </w:tr>
      <w:tr w:rsidR="004E3D12" w:rsidRPr="00422AA0" w14:paraId="6B16DF18"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0E9A85AA"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Newton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59068B32"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$19,809</w:t>
            </w:r>
          </w:p>
        </w:tc>
      </w:tr>
      <w:tr w:rsidR="004E3D12" w:rsidRPr="00422AA0" w14:paraId="6BA2CC42"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67798511"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North Adams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3BF2C600"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$15,483</w:t>
            </w:r>
          </w:p>
        </w:tc>
      </w:tr>
      <w:tr w:rsidR="004E3D12" w:rsidRPr="00422AA0" w14:paraId="294976A3"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5F82ED25"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North Attleborough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3CD0974F"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$40,000</w:t>
            </w:r>
          </w:p>
        </w:tc>
      </w:tr>
      <w:tr w:rsidR="004E3D12" w:rsidRPr="00422AA0" w14:paraId="7C335CB9"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025902E4"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North Middlesex Regional School District</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2BD096BB"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$20,000</w:t>
            </w:r>
          </w:p>
        </w:tc>
      </w:tr>
      <w:tr w:rsidR="004E3D12" w:rsidRPr="00422AA0" w14:paraId="06EA39F0"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59791F6A"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Northbridge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16B7093D"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$10,933</w:t>
            </w:r>
          </w:p>
        </w:tc>
      </w:tr>
      <w:tr w:rsidR="004E3D12" w:rsidRPr="00422AA0" w14:paraId="2706A211"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62BD5852"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Norton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14F21B1B"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$33,000</w:t>
            </w:r>
          </w:p>
        </w:tc>
      </w:tr>
      <w:tr w:rsidR="004E3D12" w:rsidRPr="00422AA0" w14:paraId="5154C08E"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4484360D"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Old Rochester Regional School District</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1F1A5C54"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$45,813</w:t>
            </w:r>
          </w:p>
        </w:tc>
      </w:tr>
      <w:tr w:rsidR="004E3D12" w:rsidRPr="00422AA0" w14:paraId="54656626"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3B6BF0B6"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Phoenix Charter Academy Network</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36FE49E3"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$9,938</w:t>
            </w:r>
          </w:p>
        </w:tc>
      </w:tr>
      <w:tr w:rsidR="004E3D12" w:rsidRPr="00422AA0" w14:paraId="305B03D4"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510CB418"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Pioneer Charter Schools of Science</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6F65D2F5"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$5,500</w:t>
            </w:r>
          </w:p>
        </w:tc>
      </w:tr>
      <w:tr w:rsidR="004E3D12" w:rsidRPr="00422AA0" w14:paraId="2B907484"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2EAEBB8D"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Pittsfield Public Schools </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005DDA68"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$25,926</w:t>
            </w:r>
          </w:p>
        </w:tc>
      </w:tr>
      <w:tr w:rsidR="004E3D12" w:rsidRPr="00422AA0" w14:paraId="1904E8D0"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5FD2B04A"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Prospect Hill Academy Charter School</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30C1E1EC"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$38,910</w:t>
            </w:r>
          </w:p>
        </w:tc>
      </w:tr>
      <w:tr w:rsidR="004E3D12" w:rsidRPr="00422AA0" w14:paraId="25B4AAA4"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6C643160" w14:textId="77777777" w:rsidR="00422AA0" w:rsidRPr="00422AA0" w:rsidRDefault="00422AA0" w:rsidP="00422AA0">
            <w:pPr>
              <w:spacing w:before="20" w:after="20"/>
              <w:rPr>
                <w:bCs/>
                <w:snapToGrid w:val="0"/>
                <w:color w:val="000000"/>
                <w:sz w:val="22"/>
                <w:szCs w:val="22"/>
              </w:rPr>
            </w:pPr>
            <w:proofErr w:type="spellStart"/>
            <w:r w:rsidRPr="00422AA0">
              <w:rPr>
                <w:bCs/>
                <w:snapToGrid w:val="0"/>
                <w:color w:val="000000"/>
                <w:sz w:val="22"/>
                <w:szCs w:val="22"/>
              </w:rPr>
              <w:t>Quabbin</w:t>
            </w:r>
            <w:proofErr w:type="spellEnd"/>
            <w:r w:rsidRPr="00422AA0">
              <w:rPr>
                <w:bCs/>
                <w:snapToGrid w:val="0"/>
                <w:color w:val="000000"/>
                <w:sz w:val="22"/>
                <w:szCs w:val="22"/>
              </w:rPr>
              <w:t xml:space="preserve"> Regional School District</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5AC72A75"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$20,000</w:t>
            </w:r>
          </w:p>
        </w:tc>
      </w:tr>
      <w:tr w:rsidR="004E3D12" w:rsidRPr="00422AA0" w14:paraId="5CAB825A"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1F030AC8"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 xml:space="preserve">Silver Lake Regional School District </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52C14CC8"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$34,765</w:t>
            </w:r>
          </w:p>
        </w:tc>
      </w:tr>
      <w:tr w:rsidR="004E3D12" w:rsidRPr="00422AA0" w14:paraId="0485A1D1"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3AB48D8A"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Sizer School, A North Central Charter Essential School</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3BA6AE9D"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$20,000</w:t>
            </w:r>
          </w:p>
        </w:tc>
      </w:tr>
      <w:tr w:rsidR="004E3D12" w:rsidRPr="00422AA0" w14:paraId="06CDEB95"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159D8E2B"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Somerville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5863C6C9"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$15,282</w:t>
            </w:r>
          </w:p>
        </w:tc>
      </w:tr>
      <w:tr w:rsidR="004E3D12" w:rsidRPr="00422AA0" w14:paraId="3BAA5AAC"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24D36F73"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Springfield Prep Charter School</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5E674AB8"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$7,412</w:t>
            </w:r>
          </w:p>
        </w:tc>
      </w:tr>
      <w:tr w:rsidR="004E3D12" w:rsidRPr="00422AA0" w14:paraId="2BE89D76"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11654C8F"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The Learning Center for the Deaf </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7636B5C7"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$20,000</w:t>
            </w:r>
          </w:p>
        </w:tc>
      </w:tr>
      <w:tr w:rsidR="004E3D12" w:rsidRPr="00422AA0" w14:paraId="2146000D"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15ED8F9C"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Tri-County Regional School District</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55AB220C"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$11,124</w:t>
            </w:r>
          </w:p>
        </w:tc>
      </w:tr>
      <w:tr w:rsidR="004E3D12" w:rsidRPr="00422AA0" w14:paraId="34237431"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157CB676"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Uxbridge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6C708822"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$16,073</w:t>
            </w:r>
          </w:p>
        </w:tc>
      </w:tr>
      <w:tr w:rsidR="004E3D12" w:rsidRPr="00422AA0" w14:paraId="70B4D0B2"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4F2D4EBF"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Walpole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1832D227"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$20,000</w:t>
            </w:r>
          </w:p>
        </w:tc>
      </w:tr>
      <w:tr w:rsidR="004E3D12" w:rsidRPr="00422AA0" w14:paraId="49F0A271"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63B73526"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Webster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067ECFA5"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$20,000</w:t>
            </w:r>
          </w:p>
        </w:tc>
      </w:tr>
      <w:tr w:rsidR="004E3D12" w:rsidRPr="00422AA0" w14:paraId="5A716B2A" w14:textId="77777777" w:rsidTr="00BC6777">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tcPr>
          <w:p w14:paraId="2F94970D" w14:textId="77777777" w:rsidR="00422AA0" w:rsidRPr="00422AA0" w:rsidRDefault="00422AA0" w:rsidP="00422AA0">
            <w:pPr>
              <w:spacing w:before="20" w:after="20"/>
              <w:rPr>
                <w:bCs/>
                <w:snapToGrid w:val="0"/>
                <w:color w:val="000000"/>
                <w:sz w:val="22"/>
                <w:szCs w:val="22"/>
              </w:rPr>
            </w:pPr>
            <w:r w:rsidRPr="00422AA0">
              <w:rPr>
                <w:bCs/>
                <w:snapToGrid w:val="0"/>
                <w:color w:val="000000"/>
                <w:sz w:val="22"/>
                <w:szCs w:val="22"/>
              </w:rPr>
              <w:t>Worcester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tcPr>
          <w:p w14:paraId="7273AAEE" w14:textId="77777777" w:rsidR="00422AA0" w:rsidRPr="00422AA0" w:rsidRDefault="00422AA0" w:rsidP="004E3D12">
            <w:pPr>
              <w:spacing w:before="20" w:after="20"/>
              <w:jc w:val="right"/>
              <w:rPr>
                <w:bCs/>
                <w:snapToGrid w:val="0"/>
                <w:color w:val="000000"/>
                <w:sz w:val="22"/>
                <w:szCs w:val="22"/>
              </w:rPr>
            </w:pPr>
            <w:r w:rsidRPr="00422AA0">
              <w:rPr>
                <w:bCs/>
                <w:snapToGrid w:val="0"/>
                <w:color w:val="000000"/>
                <w:sz w:val="22"/>
                <w:szCs w:val="22"/>
              </w:rPr>
              <w:t>$19,825</w:t>
            </w:r>
          </w:p>
        </w:tc>
      </w:tr>
      <w:tr w:rsidR="00372996" w:rsidRPr="00251EDC" w14:paraId="7FAE4D4B" w14:textId="77777777" w:rsidTr="00BC6777">
        <w:trPr>
          <w:cantSplit/>
          <w:trHeight w:val="138"/>
        </w:trPr>
        <w:tc>
          <w:tcPr>
            <w:tcW w:w="8812" w:type="dxa"/>
            <w:tcBorders>
              <w:top w:val="double" w:sz="6" w:space="0" w:color="auto"/>
              <w:left w:val="single" w:sz="6" w:space="0" w:color="auto"/>
              <w:bottom w:val="single" w:sz="4" w:space="0" w:color="auto"/>
              <w:right w:val="single" w:sz="6" w:space="0" w:color="auto"/>
            </w:tcBorders>
          </w:tcPr>
          <w:p w14:paraId="7FAE4D49" w14:textId="7501240B" w:rsidR="00372996" w:rsidRPr="00251EDC" w:rsidRDefault="00372996" w:rsidP="00FA17BE">
            <w:pPr>
              <w:pStyle w:val="Heading2"/>
              <w:spacing w:before="20" w:after="20"/>
              <w:jc w:val="both"/>
              <w:rPr>
                <w:rFonts w:ascii="Times New Roman" w:hAnsi="Times New Roman"/>
                <w:sz w:val="22"/>
                <w:szCs w:val="22"/>
              </w:rPr>
            </w:pPr>
            <w:r w:rsidRPr="00251EDC">
              <w:rPr>
                <w:rFonts w:ascii="Times New Roman" w:hAnsi="Times New Roman"/>
                <w:sz w:val="22"/>
                <w:szCs w:val="22"/>
              </w:rPr>
              <w:t>TOTAL FEDERAL FUNDS</w:t>
            </w:r>
          </w:p>
        </w:tc>
        <w:tc>
          <w:tcPr>
            <w:tcW w:w="2018" w:type="dxa"/>
            <w:tcBorders>
              <w:top w:val="double" w:sz="6" w:space="0" w:color="auto"/>
              <w:left w:val="single" w:sz="6" w:space="0" w:color="auto"/>
              <w:bottom w:val="single" w:sz="4" w:space="0" w:color="auto"/>
              <w:right w:val="single" w:sz="6" w:space="0" w:color="auto"/>
            </w:tcBorders>
            <w:vAlign w:val="center"/>
          </w:tcPr>
          <w:p w14:paraId="7FAE4D4A" w14:textId="3B175552" w:rsidR="00875700" w:rsidRPr="00251EDC" w:rsidRDefault="00FB3626" w:rsidP="008705AB">
            <w:pPr>
              <w:spacing w:before="20" w:after="20"/>
              <w:jc w:val="right"/>
              <w:rPr>
                <w:b/>
                <w:bCs/>
                <w:snapToGrid w:val="0"/>
                <w:color w:val="000000"/>
                <w:sz w:val="22"/>
                <w:szCs w:val="22"/>
              </w:rPr>
            </w:pPr>
            <w:r w:rsidRPr="00251EDC">
              <w:rPr>
                <w:b/>
                <w:bCs/>
                <w:snapToGrid w:val="0"/>
                <w:color w:val="000000"/>
                <w:sz w:val="22"/>
                <w:szCs w:val="22"/>
              </w:rPr>
              <w:t>$</w:t>
            </w:r>
            <w:r w:rsidR="00881C49">
              <w:rPr>
                <w:b/>
                <w:bCs/>
                <w:snapToGrid w:val="0"/>
                <w:color w:val="000000"/>
                <w:sz w:val="22"/>
                <w:szCs w:val="22"/>
              </w:rPr>
              <w:t>1,166,241</w:t>
            </w:r>
          </w:p>
        </w:tc>
      </w:tr>
    </w:tbl>
    <w:p w14:paraId="7FAE4D4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55476"/>
    <w:rsid w:val="00065422"/>
    <w:rsid w:val="000C0B6E"/>
    <w:rsid w:val="000C6C68"/>
    <w:rsid w:val="000F1282"/>
    <w:rsid w:val="001035BA"/>
    <w:rsid w:val="00110E59"/>
    <w:rsid w:val="0011728F"/>
    <w:rsid w:val="00150BD5"/>
    <w:rsid w:val="001522C7"/>
    <w:rsid w:val="00157C49"/>
    <w:rsid w:val="001A433F"/>
    <w:rsid w:val="001B5362"/>
    <w:rsid w:val="001B78A6"/>
    <w:rsid w:val="001C03F0"/>
    <w:rsid w:val="001C6572"/>
    <w:rsid w:val="001E2790"/>
    <w:rsid w:val="0020796B"/>
    <w:rsid w:val="00224F8E"/>
    <w:rsid w:val="00230ED8"/>
    <w:rsid w:val="00243423"/>
    <w:rsid w:val="00251EDC"/>
    <w:rsid w:val="0027790C"/>
    <w:rsid w:val="002867D5"/>
    <w:rsid w:val="00294006"/>
    <w:rsid w:val="002A63B7"/>
    <w:rsid w:val="002B4FAB"/>
    <w:rsid w:val="002B5FB0"/>
    <w:rsid w:val="002C0352"/>
    <w:rsid w:val="002D5121"/>
    <w:rsid w:val="002F087A"/>
    <w:rsid w:val="00313A69"/>
    <w:rsid w:val="0031794D"/>
    <w:rsid w:val="003226AE"/>
    <w:rsid w:val="00330653"/>
    <w:rsid w:val="0034451D"/>
    <w:rsid w:val="00351281"/>
    <w:rsid w:val="00355DAD"/>
    <w:rsid w:val="00372996"/>
    <w:rsid w:val="00374E68"/>
    <w:rsid w:val="00383C84"/>
    <w:rsid w:val="003B6E19"/>
    <w:rsid w:val="003E47DD"/>
    <w:rsid w:val="00410797"/>
    <w:rsid w:val="00422AA0"/>
    <w:rsid w:val="00422BCC"/>
    <w:rsid w:val="00427DA8"/>
    <w:rsid w:val="004409ED"/>
    <w:rsid w:val="004550C0"/>
    <w:rsid w:val="004552BB"/>
    <w:rsid w:val="00460793"/>
    <w:rsid w:val="0046695A"/>
    <w:rsid w:val="0047239C"/>
    <w:rsid w:val="00494DD8"/>
    <w:rsid w:val="004C4A1C"/>
    <w:rsid w:val="004D4455"/>
    <w:rsid w:val="004E3D12"/>
    <w:rsid w:val="00521A12"/>
    <w:rsid w:val="00534FE7"/>
    <w:rsid w:val="00542157"/>
    <w:rsid w:val="005577F4"/>
    <w:rsid w:val="00565E5F"/>
    <w:rsid w:val="005736D2"/>
    <w:rsid w:val="005A0117"/>
    <w:rsid w:val="005C0961"/>
    <w:rsid w:val="005C379F"/>
    <w:rsid w:val="005C4C83"/>
    <w:rsid w:val="005C6B02"/>
    <w:rsid w:val="005E48F1"/>
    <w:rsid w:val="00601767"/>
    <w:rsid w:val="006040C0"/>
    <w:rsid w:val="00634CDE"/>
    <w:rsid w:val="00652A79"/>
    <w:rsid w:val="006711FA"/>
    <w:rsid w:val="006802F4"/>
    <w:rsid w:val="006905C0"/>
    <w:rsid w:val="006914DD"/>
    <w:rsid w:val="006979E0"/>
    <w:rsid w:val="006A04D3"/>
    <w:rsid w:val="006D0059"/>
    <w:rsid w:val="006D71B2"/>
    <w:rsid w:val="006E184D"/>
    <w:rsid w:val="006E4A13"/>
    <w:rsid w:val="006F7C1F"/>
    <w:rsid w:val="00707D57"/>
    <w:rsid w:val="007167C6"/>
    <w:rsid w:val="00730E52"/>
    <w:rsid w:val="007506C8"/>
    <w:rsid w:val="0075158F"/>
    <w:rsid w:val="007911BB"/>
    <w:rsid w:val="007960F6"/>
    <w:rsid w:val="007B2582"/>
    <w:rsid w:val="007B438B"/>
    <w:rsid w:val="007C0B0C"/>
    <w:rsid w:val="007C4D60"/>
    <w:rsid w:val="007D0D4F"/>
    <w:rsid w:val="00814563"/>
    <w:rsid w:val="008256FF"/>
    <w:rsid w:val="00842E20"/>
    <w:rsid w:val="008516A5"/>
    <w:rsid w:val="00853B00"/>
    <w:rsid w:val="008705AB"/>
    <w:rsid w:val="00875700"/>
    <w:rsid w:val="00881C49"/>
    <w:rsid w:val="00891A08"/>
    <w:rsid w:val="008941CA"/>
    <w:rsid w:val="00895400"/>
    <w:rsid w:val="008A5CE7"/>
    <w:rsid w:val="008B2255"/>
    <w:rsid w:val="008C23DD"/>
    <w:rsid w:val="008D1631"/>
    <w:rsid w:val="008E06AB"/>
    <w:rsid w:val="008F2001"/>
    <w:rsid w:val="008F5E4D"/>
    <w:rsid w:val="00902073"/>
    <w:rsid w:val="0090393F"/>
    <w:rsid w:val="00914E38"/>
    <w:rsid w:val="00920656"/>
    <w:rsid w:val="00962E27"/>
    <w:rsid w:val="0098764E"/>
    <w:rsid w:val="009C2000"/>
    <w:rsid w:val="009C60F9"/>
    <w:rsid w:val="00A034B8"/>
    <w:rsid w:val="00A252B0"/>
    <w:rsid w:val="00A45179"/>
    <w:rsid w:val="00A625F0"/>
    <w:rsid w:val="00A91EC8"/>
    <w:rsid w:val="00AF1A04"/>
    <w:rsid w:val="00B033F0"/>
    <w:rsid w:val="00B078EF"/>
    <w:rsid w:val="00B23916"/>
    <w:rsid w:val="00B329DA"/>
    <w:rsid w:val="00B336CC"/>
    <w:rsid w:val="00B41722"/>
    <w:rsid w:val="00B611F6"/>
    <w:rsid w:val="00B75088"/>
    <w:rsid w:val="00BA484A"/>
    <w:rsid w:val="00BC6777"/>
    <w:rsid w:val="00BE3E91"/>
    <w:rsid w:val="00C056D3"/>
    <w:rsid w:val="00C15F45"/>
    <w:rsid w:val="00C21E75"/>
    <w:rsid w:val="00C24138"/>
    <w:rsid w:val="00C34967"/>
    <w:rsid w:val="00C44806"/>
    <w:rsid w:val="00C56205"/>
    <w:rsid w:val="00C65925"/>
    <w:rsid w:val="00C721A9"/>
    <w:rsid w:val="00CA4AC0"/>
    <w:rsid w:val="00CA576D"/>
    <w:rsid w:val="00CA5E6E"/>
    <w:rsid w:val="00CD1FC9"/>
    <w:rsid w:val="00CD68C2"/>
    <w:rsid w:val="00CE1B33"/>
    <w:rsid w:val="00CF534A"/>
    <w:rsid w:val="00CF5517"/>
    <w:rsid w:val="00D00E2C"/>
    <w:rsid w:val="00D033C4"/>
    <w:rsid w:val="00D11523"/>
    <w:rsid w:val="00D2076C"/>
    <w:rsid w:val="00D26336"/>
    <w:rsid w:val="00D3578F"/>
    <w:rsid w:val="00D65C98"/>
    <w:rsid w:val="00D773BD"/>
    <w:rsid w:val="00D85054"/>
    <w:rsid w:val="00D96130"/>
    <w:rsid w:val="00DA0AA2"/>
    <w:rsid w:val="00DA73E5"/>
    <w:rsid w:val="00DB56D5"/>
    <w:rsid w:val="00DF68CF"/>
    <w:rsid w:val="00E009C7"/>
    <w:rsid w:val="00E03C39"/>
    <w:rsid w:val="00E211DC"/>
    <w:rsid w:val="00E45E39"/>
    <w:rsid w:val="00E60306"/>
    <w:rsid w:val="00E61468"/>
    <w:rsid w:val="00E76830"/>
    <w:rsid w:val="00EA3C8F"/>
    <w:rsid w:val="00EB373E"/>
    <w:rsid w:val="00EB69D2"/>
    <w:rsid w:val="00EC5850"/>
    <w:rsid w:val="00EE1C80"/>
    <w:rsid w:val="00F014D1"/>
    <w:rsid w:val="00F11240"/>
    <w:rsid w:val="00F27B05"/>
    <w:rsid w:val="00F77C3D"/>
    <w:rsid w:val="00F956FD"/>
    <w:rsid w:val="00F96A07"/>
    <w:rsid w:val="00FA17BE"/>
    <w:rsid w:val="00FB3626"/>
    <w:rsid w:val="00FC3030"/>
    <w:rsid w:val="00FC62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E4CF9"/>
  <w15:docId w15:val="{E3E9CE49-8541-4B02-A78A-3D83A6B3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Hyperlink">
    <w:name w:val="Hyperlink"/>
    <w:basedOn w:val="DefaultParagraphFont"/>
    <w:uiPriority w:val="99"/>
    <w:unhideWhenUsed/>
    <w:rsid w:val="00565E5F"/>
    <w:rPr>
      <w:color w:val="0000FF" w:themeColor="hyperlink"/>
      <w:u w:val="single"/>
    </w:rPr>
  </w:style>
  <w:style w:type="character" w:styleId="FollowedHyperlink">
    <w:name w:val="FollowedHyperlink"/>
    <w:basedOn w:val="DefaultParagraphFont"/>
    <w:uiPriority w:val="99"/>
    <w:semiHidden/>
    <w:unhideWhenUsed/>
    <w:rsid w:val="00C56205"/>
    <w:rPr>
      <w:color w:val="800080" w:themeColor="followedHyperlink"/>
      <w:u w:val="single"/>
    </w:rPr>
  </w:style>
  <w:style w:type="paragraph" w:styleId="BalloonText">
    <w:name w:val="Balloon Text"/>
    <w:basedOn w:val="Normal"/>
    <w:link w:val="BalloonTextChar"/>
    <w:uiPriority w:val="99"/>
    <w:semiHidden/>
    <w:unhideWhenUsed/>
    <w:rsid w:val="005A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117"/>
    <w:rPr>
      <w:rFonts w:ascii="Segoe UI" w:hAnsi="Segoe UI" w:cs="Segoe UI"/>
      <w:sz w:val="18"/>
      <w:szCs w:val="18"/>
    </w:rPr>
  </w:style>
  <w:style w:type="character" w:styleId="CommentReference">
    <w:name w:val="annotation reference"/>
    <w:basedOn w:val="DefaultParagraphFont"/>
    <w:uiPriority w:val="99"/>
    <w:semiHidden/>
    <w:unhideWhenUsed/>
    <w:rsid w:val="003E47DD"/>
    <w:rPr>
      <w:sz w:val="16"/>
      <w:szCs w:val="16"/>
    </w:rPr>
  </w:style>
  <w:style w:type="paragraph" w:styleId="CommentText">
    <w:name w:val="annotation text"/>
    <w:basedOn w:val="Normal"/>
    <w:link w:val="CommentTextChar"/>
    <w:uiPriority w:val="99"/>
    <w:semiHidden/>
    <w:unhideWhenUsed/>
    <w:rsid w:val="003E47DD"/>
  </w:style>
  <w:style w:type="character" w:customStyle="1" w:styleId="CommentTextChar">
    <w:name w:val="Comment Text Char"/>
    <w:basedOn w:val="DefaultParagraphFont"/>
    <w:link w:val="CommentText"/>
    <w:uiPriority w:val="99"/>
    <w:semiHidden/>
    <w:rsid w:val="003E47DD"/>
    <w:rPr>
      <w:sz w:val="20"/>
      <w:szCs w:val="20"/>
    </w:rPr>
  </w:style>
  <w:style w:type="paragraph" w:styleId="CommentSubject">
    <w:name w:val="annotation subject"/>
    <w:basedOn w:val="CommentText"/>
    <w:next w:val="CommentText"/>
    <w:link w:val="CommentSubjectChar"/>
    <w:uiPriority w:val="99"/>
    <w:semiHidden/>
    <w:unhideWhenUsed/>
    <w:rsid w:val="003E47DD"/>
    <w:rPr>
      <w:b/>
      <w:bCs/>
    </w:rPr>
  </w:style>
  <w:style w:type="character" w:customStyle="1" w:styleId="CommentSubjectChar">
    <w:name w:val="Comment Subject Char"/>
    <w:basedOn w:val="CommentTextChar"/>
    <w:link w:val="CommentSubject"/>
    <w:uiPriority w:val="99"/>
    <w:semiHidden/>
    <w:rsid w:val="003E47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5844">
      <w:bodyDiv w:val="1"/>
      <w:marLeft w:val="0"/>
      <w:marRight w:val="0"/>
      <w:marTop w:val="0"/>
      <w:marBottom w:val="0"/>
      <w:divBdr>
        <w:top w:val="none" w:sz="0" w:space="0" w:color="auto"/>
        <w:left w:val="none" w:sz="0" w:space="0" w:color="auto"/>
        <w:bottom w:val="none" w:sz="0" w:space="0" w:color="auto"/>
        <w:right w:val="none" w:sz="0" w:space="0" w:color="auto"/>
      </w:divBdr>
    </w:div>
    <w:div w:id="103775028">
      <w:bodyDiv w:val="1"/>
      <w:marLeft w:val="0"/>
      <w:marRight w:val="0"/>
      <w:marTop w:val="0"/>
      <w:marBottom w:val="0"/>
      <w:divBdr>
        <w:top w:val="none" w:sz="0" w:space="0" w:color="auto"/>
        <w:left w:val="none" w:sz="0" w:space="0" w:color="auto"/>
        <w:bottom w:val="none" w:sz="0" w:space="0" w:color="auto"/>
        <w:right w:val="none" w:sz="0" w:space="0" w:color="auto"/>
      </w:divBdr>
    </w:div>
    <w:div w:id="120616276">
      <w:bodyDiv w:val="1"/>
      <w:marLeft w:val="0"/>
      <w:marRight w:val="0"/>
      <w:marTop w:val="0"/>
      <w:marBottom w:val="0"/>
      <w:divBdr>
        <w:top w:val="none" w:sz="0" w:space="0" w:color="auto"/>
        <w:left w:val="none" w:sz="0" w:space="0" w:color="auto"/>
        <w:bottom w:val="none" w:sz="0" w:space="0" w:color="auto"/>
        <w:right w:val="none" w:sz="0" w:space="0" w:color="auto"/>
      </w:divBdr>
    </w:div>
    <w:div w:id="150103693">
      <w:bodyDiv w:val="1"/>
      <w:marLeft w:val="0"/>
      <w:marRight w:val="0"/>
      <w:marTop w:val="0"/>
      <w:marBottom w:val="0"/>
      <w:divBdr>
        <w:top w:val="none" w:sz="0" w:space="0" w:color="auto"/>
        <w:left w:val="none" w:sz="0" w:space="0" w:color="auto"/>
        <w:bottom w:val="none" w:sz="0" w:space="0" w:color="auto"/>
        <w:right w:val="none" w:sz="0" w:space="0" w:color="auto"/>
      </w:divBdr>
    </w:div>
    <w:div w:id="203173937">
      <w:bodyDiv w:val="1"/>
      <w:marLeft w:val="0"/>
      <w:marRight w:val="0"/>
      <w:marTop w:val="0"/>
      <w:marBottom w:val="0"/>
      <w:divBdr>
        <w:top w:val="none" w:sz="0" w:space="0" w:color="auto"/>
        <w:left w:val="none" w:sz="0" w:space="0" w:color="auto"/>
        <w:bottom w:val="none" w:sz="0" w:space="0" w:color="auto"/>
        <w:right w:val="none" w:sz="0" w:space="0" w:color="auto"/>
      </w:divBdr>
    </w:div>
    <w:div w:id="222525911">
      <w:bodyDiv w:val="1"/>
      <w:marLeft w:val="0"/>
      <w:marRight w:val="0"/>
      <w:marTop w:val="0"/>
      <w:marBottom w:val="0"/>
      <w:divBdr>
        <w:top w:val="none" w:sz="0" w:space="0" w:color="auto"/>
        <w:left w:val="none" w:sz="0" w:space="0" w:color="auto"/>
        <w:bottom w:val="none" w:sz="0" w:space="0" w:color="auto"/>
        <w:right w:val="none" w:sz="0" w:space="0" w:color="auto"/>
      </w:divBdr>
    </w:div>
    <w:div w:id="425619992">
      <w:bodyDiv w:val="1"/>
      <w:marLeft w:val="0"/>
      <w:marRight w:val="0"/>
      <w:marTop w:val="0"/>
      <w:marBottom w:val="0"/>
      <w:divBdr>
        <w:top w:val="none" w:sz="0" w:space="0" w:color="auto"/>
        <w:left w:val="none" w:sz="0" w:space="0" w:color="auto"/>
        <w:bottom w:val="none" w:sz="0" w:space="0" w:color="auto"/>
        <w:right w:val="none" w:sz="0" w:space="0" w:color="auto"/>
      </w:divBdr>
    </w:div>
    <w:div w:id="446587569">
      <w:bodyDiv w:val="1"/>
      <w:marLeft w:val="0"/>
      <w:marRight w:val="0"/>
      <w:marTop w:val="0"/>
      <w:marBottom w:val="0"/>
      <w:divBdr>
        <w:top w:val="none" w:sz="0" w:space="0" w:color="auto"/>
        <w:left w:val="none" w:sz="0" w:space="0" w:color="auto"/>
        <w:bottom w:val="none" w:sz="0" w:space="0" w:color="auto"/>
        <w:right w:val="none" w:sz="0" w:space="0" w:color="auto"/>
      </w:divBdr>
    </w:div>
    <w:div w:id="553540498">
      <w:bodyDiv w:val="1"/>
      <w:marLeft w:val="0"/>
      <w:marRight w:val="0"/>
      <w:marTop w:val="0"/>
      <w:marBottom w:val="0"/>
      <w:divBdr>
        <w:top w:val="none" w:sz="0" w:space="0" w:color="auto"/>
        <w:left w:val="none" w:sz="0" w:space="0" w:color="auto"/>
        <w:bottom w:val="none" w:sz="0" w:space="0" w:color="auto"/>
        <w:right w:val="none" w:sz="0" w:space="0" w:color="auto"/>
      </w:divBdr>
    </w:div>
    <w:div w:id="559632432">
      <w:bodyDiv w:val="1"/>
      <w:marLeft w:val="0"/>
      <w:marRight w:val="0"/>
      <w:marTop w:val="0"/>
      <w:marBottom w:val="0"/>
      <w:divBdr>
        <w:top w:val="none" w:sz="0" w:space="0" w:color="auto"/>
        <w:left w:val="none" w:sz="0" w:space="0" w:color="auto"/>
        <w:bottom w:val="none" w:sz="0" w:space="0" w:color="auto"/>
        <w:right w:val="none" w:sz="0" w:space="0" w:color="auto"/>
      </w:divBdr>
    </w:div>
    <w:div w:id="609631990">
      <w:bodyDiv w:val="1"/>
      <w:marLeft w:val="0"/>
      <w:marRight w:val="0"/>
      <w:marTop w:val="0"/>
      <w:marBottom w:val="0"/>
      <w:divBdr>
        <w:top w:val="none" w:sz="0" w:space="0" w:color="auto"/>
        <w:left w:val="none" w:sz="0" w:space="0" w:color="auto"/>
        <w:bottom w:val="none" w:sz="0" w:space="0" w:color="auto"/>
        <w:right w:val="none" w:sz="0" w:space="0" w:color="auto"/>
      </w:divBdr>
    </w:div>
    <w:div w:id="631979535">
      <w:bodyDiv w:val="1"/>
      <w:marLeft w:val="0"/>
      <w:marRight w:val="0"/>
      <w:marTop w:val="0"/>
      <w:marBottom w:val="0"/>
      <w:divBdr>
        <w:top w:val="none" w:sz="0" w:space="0" w:color="auto"/>
        <w:left w:val="none" w:sz="0" w:space="0" w:color="auto"/>
        <w:bottom w:val="none" w:sz="0" w:space="0" w:color="auto"/>
        <w:right w:val="none" w:sz="0" w:space="0" w:color="auto"/>
      </w:divBdr>
    </w:div>
    <w:div w:id="735861571">
      <w:bodyDiv w:val="1"/>
      <w:marLeft w:val="0"/>
      <w:marRight w:val="0"/>
      <w:marTop w:val="0"/>
      <w:marBottom w:val="0"/>
      <w:divBdr>
        <w:top w:val="none" w:sz="0" w:space="0" w:color="auto"/>
        <w:left w:val="none" w:sz="0" w:space="0" w:color="auto"/>
        <w:bottom w:val="none" w:sz="0" w:space="0" w:color="auto"/>
        <w:right w:val="none" w:sz="0" w:space="0" w:color="auto"/>
      </w:divBdr>
    </w:div>
    <w:div w:id="765734257">
      <w:bodyDiv w:val="1"/>
      <w:marLeft w:val="0"/>
      <w:marRight w:val="0"/>
      <w:marTop w:val="0"/>
      <w:marBottom w:val="0"/>
      <w:divBdr>
        <w:top w:val="none" w:sz="0" w:space="0" w:color="auto"/>
        <w:left w:val="none" w:sz="0" w:space="0" w:color="auto"/>
        <w:bottom w:val="none" w:sz="0" w:space="0" w:color="auto"/>
        <w:right w:val="none" w:sz="0" w:space="0" w:color="auto"/>
      </w:divBdr>
    </w:div>
    <w:div w:id="770323573">
      <w:bodyDiv w:val="1"/>
      <w:marLeft w:val="0"/>
      <w:marRight w:val="0"/>
      <w:marTop w:val="0"/>
      <w:marBottom w:val="0"/>
      <w:divBdr>
        <w:top w:val="none" w:sz="0" w:space="0" w:color="auto"/>
        <w:left w:val="none" w:sz="0" w:space="0" w:color="auto"/>
        <w:bottom w:val="none" w:sz="0" w:space="0" w:color="auto"/>
        <w:right w:val="none" w:sz="0" w:space="0" w:color="auto"/>
      </w:divBdr>
    </w:div>
    <w:div w:id="822432486">
      <w:bodyDiv w:val="1"/>
      <w:marLeft w:val="0"/>
      <w:marRight w:val="0"/>
      <w:marTop w:val="0"/>
      <w:marBottom w:val="0"/>
      <w:divBdr>
        <w:top w:val="none" w:sz="0" w:space="0" w:color="auto"/>
        <w:left w:val="none" w:sz="0" w:space="0" w:color="auto"/>
        <w:bottom w:val="none" w:sz="0" w:space="0" w:color="auto"/>
        <w:right w:val="none" w:sz="0" w:space="0" w:color="auto"/>
      </w:divBdr>
    </w:div>
    <w:div w:id="858549588">
      <w:bodyDiv w:val="1"/>
      <w:marLeft w:val="0"/>
      <w:marRight w:val="0"/>
      <w:marTop w:val="0"/>
      <w:marBottom w:val="0"/>
      <w:divBdr>
        <w:top w:val="none" w:sz="0" w:space="0" w:color="auto"/>
        <w:left w:val="none" w:sz="0" w:space="0" w:color="auto"/>
        <w:bottom w:val="none" w:sz="0" w:space="0" w:color="auto"/>
        <w:right w:val="none" w:sz="0" w:space="0" w:color="auto"/>
      </w:divBdr>
    </w:div>
    <w:div w:id="867451716">
      <w:bodyDiv w:val="1"/>
      <w:marLeft w:val="0"/>
      <w:marRight w:val="0"/>
      <w:marTop w:val="0"/>
      <w:marBottom w:val="0"/>
      <w:divBdr>
        <w:top w:val="none" w:sz="0" w:space="0" w:color="auto"/>
        <w:left w:val="none" w:sz="0" w:space="0" w:color="auto"/>
        <w:bottom w:val="none" w:sz="0" w:space="0" w:color="auto"/>
        <w:right w:val="none" w:sz="0" w:space="0" w:color="auto"/>
      </w:divBdr>
    </w:div>
    <w:div w:id="899291303">
      <w:bodyDiv w:val="1"/>
      <w:marLeft w:val="0"/>
      <w:marRight w:val="0"/>
      <w:marTop w:val="0"/>
      <w:marBottom w:val="0"/>
      <w:divBdr>
        <w:top w:val="none" w:sz="0" w:space="0" w:color="auto"/>
        <w:left w:val="none" w:sz="0" w:space="0" w:color="auto"/>
        <w:bottom w:val="none" w:sz="0" w:space="0" w:color="auto"/>
        <w:right w:val="none" w:sz="0" w:space="0" w:color="auto"/>
      </w:divBdr>
    </w:div>
    <w:div w:id="987825596">
      <w:bodyDiv w:val="1"/>
      <w:marLeft w:val="0"/>
      <w:marRight w:val="0"/>
      <w:marTop w:val="0"/>
      <w:marBottom w:val="0"/>
      <w:divBdr>
        <w:top w:val="none" w:sz="0" w:space="0" w:color="auto"/>
        <w:left w:val="none" w:sz="0" w:space="0" w:color="auto"/>
        <w:bottom w:val="none" w:sz="0" w:space="0" w:color="auto"/>
        <w:right w:val="none" w:sz="0" w:space="0" w:color="auto"/>
      </w:divBdr>
    </w:div>
    <w:div w:id="1028067096">
      <w:bodyDiv w:val="1"/>
      <w:marLeft w:val="0"/>
      <w:marRight w:val="0"/>
      <w:marTop w:val="0"/>
      <w:marBottom w:val="0"/>
      <w:divBdr>
        <w:top w:val="none" w:sz="0" w:space="0" w:color="auto"/>
        <w:left w:val="none" w:sz="0" w:space="0" w:color="auto"/>
        <w:bottom w:val="none" w:sz="0" w:space="0" w:color="auto"/>
        <w:right w:val="none" w:sz="0" w:space="0" w:color="auto"/>
      </w:divBdr>
    </w:div>
    <w:div w:id="1090855255">
      <w:bodyDiv w:val="1"/>
      <w:marLeft w:val="0"/>
      <w:marRight w:val="0"/>
      <w:marTop w:val="0"/>
      <w:marBottom w:val="0"/>
      <w:divBdr>
        <w:top w:val="none" w:sz="0" w:space="0" w:color="auto"/>
        <w:left w:val="none" w:sz="0" w:space="0" w:color="auto"/>
        <w:bottom w:val="none" w:sz="0" w:space="0" w:color="auto"/>
        <w:right w:val="none" w:sz="0" w:space="0" w:color="auto"/>
      </w:divBdr>
    </w:div>
    <w:div w:id="1200430438">
      <w:bodyDiv w:val="1"/>
      <w:marLeft w:val="0"/>
      <w:marRight w:val="0"/>
      <w:marTop w:val="0"/>
      <w:marBottom w:val="0"/>
      <w:divBdr>
        <w:top w:val="none" w:sz="0" w:space="0" w:color="auto"/>
        <w:left w:val="none" w:sz="0" w:space="0" w:color="auto"/>
        <w:bottom w:val="none" w:sz="0" w:space="0" w:color="auto"/>
        <w:right w:val="none" w:sz="0" w:space="0" w:color="auto"/>
      </w:divBdr>
    </w:div>
    <w:div w:id="1250122198">
      <w:bodyDiv w:val="1"/>
      <w:marLeft w:val="0"/>
      <w:marRight w:val="0"/>
      <w:marTop w:val="0"/>
      <w:marBottom w:val="0"/>
      <w:divBdr>
        <w:top w:val="none" w:sz="0" w:space="0" w:color="auto"/>
        <w:left w:val="none" w:sz="0" w:space="0" w:color="auto"/>
        <w:bottom w:val="none" w:sz="0" w:space="0" w:color="auto"/>
        <w:right w:val="none" w:sz="0" w:space="0" w:color="auto"/>
      </w:divBdr>
    </w:div>
    <w:div w:id="1310594958">
      <w:bodyDiv w:val="1"/>
      <w:marLeft w:val="0"/>
      <w:marRight w:val="0"/>
      <w:marTop w:val="0"/>
      <w:marBottom w:val="0"/>
      <w:divBdr>
        <w:top w:val="none" w:sz="0" w:space="0" w:color="auto"/>
        <w:left w:val="none" w:sz="0" w:space="0" w:color="auto"/>
        <w:bottom w:val="none" w:sz="0" w:space="0" w:color="auto"/>
        <w:right w:val="none" w:sz="0" w:space="0" w:color="auto"/>
      </w:divBdr>
    </w:div>
    <w:div w:id="1401099077">
      <w:bodyDiv w:val="1"/>
      <w:marLeft w:val="0"/>
      <w:marRight w:val="0"/>
      <w:marTop w:val="0"/>
      <w:marBottom w:val="0"/>
      <w:divBdr>
        <w:top w:val="none" w:sz="0" w:space="0" w:color="auto"/>
        <w:left w:val="none" w:sz="0" w:space="0" w:color="auto"/>
        <w:bottom w:val="none" w:sz="0" w:space="0" w:color="auto"/>
        <w:right w:val="none" w:sz="0" w:space="0" w:color="auto"/>
      </w:divBdr>
    </w:div>
    <w:div w:id="1412388310">
      <w:bodyDiv w:val="1"/>
      <w:marLeft w:val="0"/>
      <w:marRight w:val="0"/>
      <w:marTop w:val="0"/>
      <w:marBottom w:val="0"/>
      <w:divBdr>
        <w:top w:val="none" w:sz="0" w:space="0" w:color="auto"/>
        <w:left w:val="none" w:sz="0" w:space="0" w:color="auto"/>
        <w:bottom w:val="none" w:sz="0" w:space="0" w:color="auto"/>
        <w:right w:val="none" w:sz="0" w:space="0" w:color="auto"/>
      </w:divBdr>
    </w:div>
    <w:div w:id="1495148222">
      <w:bodyDiv w:val="1"/>
      <w:marLeft w:val="0"/>
      <w:marRight w:val="0"/>
      <w:marTop w:val="0"/>
      <w:marBottom w:val="0"/>
      <w:divBdr>
        <w:top w:val="none" w:sz="0" w:space="0" w:color="auto"/>
        <w:left w:val="none" w:sz="0" w:space="0" w:color="auto"/>
        <w:bottom w:val="none" w:sz="0" w:space="0" w:color="auto"/>
        <w:right w:val="none" w:sz="0" w:space="0" w:color="auto"/>
      </w:divBdr>
    </w:div>
    <w:div w:id="1502699836">
      <w:bodyDiv w:val="1"/>
      <w:marLeft w:val="0"/>
      <w:marRight w:val="0"/>
      <w:marTop w:val="0"/>
      <w:marBottom w:val="0"/>
      <w:divBdr>
        <w:top w:val="none" w:sz="0" w:space="0" w:color="auto"/>
        <w:left w:val="none" w:sz="0" w:space="0" w:color="auto"/>
        <w:bottom w:val="none" w:sz="0" w:space="0" w:color="auto"/>
        <w:right w:val="none" w:sz="0" w:space="0" w:color="auto"/>
      </w:divBdr>
    </w:div>
    <w:div w:id="1543517782">
      <w:bodyDiv w:val="1"/>
      <w:marLeft w:val="0"/>
      <w:marRight w:val="0"/>
      <w:marTop w:val="0"/>
      <w:marBottom w:val="0"/>
      <w:divBdr>
        <w:top w:val="none" w:sz="0" w:space="0" w:color="auto"/>
        <w:left w:val="none" w:sz="0" w:space="0" w:color="auto"/>
        <w:bottom w:val="none" w:sz="0" w:space="0" w:color="auto"/>
        <w:right w:val="none" w:sz="0" w:space="0" w:color="auto"/>
      </w:divBdr>
    </w:div>
    <w:div w:id="1971861720">
      <w:bodyDiv w:val="1"/>
      <w:marLeft w:val="0"/>
      <w:marRight w:val="0"/>
      <w:marTop w:val="0"/>
      <w:marBottom w:val="0"/>
      <w:divBdr>
        <w:top w:val="none" w:sz="0" w:space="0" w:color="auto"/>
        <w:left w:val="none" w:sz="0" w:space="0" w:color="auto"/>
        <w:bottom w:val="none" w:sz="0" w:space="0" w:color="auto"/>
        <w:right w:val="none" w:sz="0" w:space="0" w:color="auto"/>
      </w:divBdr>
    </w:div>
    <w:div w:id="205750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Count xmlns="9324d023-3849-46fe-9182-6ce950756bea" xsi:nil="true"/>
    <lcf76f155ced4ddcb4097134ff3c332f xmlns="9324d023-3849-46fe-9182-6ce950756b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2.xml><?xml version="1.0" encoding="utf-8"?>
<ds:datastoreItem xmlns:ds="http://schemas.openxmlformats.org/officeDocument/2006/customXml" ds:itemID="{0743D91E-9417-474B-BCE6-F7D38B8CC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FY21 FC 722 Board Package</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722 757 Board Package</dc:title>
  <dc:creator>DESE</dc:creator>
  <cp:lastModifiedBy>Zou, Dong (EOE)</cp:lastModifiedBy>
  <cp:revision>31</cp:revision>
  <cp:lastPrinted>2019-12-16T15:25:00Z</cp:lastPrinted>
  <dcterms:created xsi:type="dcterms:W3CDTF">2023-01-04T20:25:00Z</dcterms:created>
  <dcterms:modified xsi:type="dcterms:W3CDTF">2023-02-01T18:46:00Z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 2023</vt:lpwstr>
  </property>
</Properties>
</file>