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D6593" w14:textId="3393EE10" w:rsidR="00E34005" w:rsidRPr="00D06F92" w:rsidRDefault="00D36420" w:rsidP="097CE698">
      <w:pPr>
        <w:rPr>
          <w:rFonts w:asciiTheme="minorHAnsi" w:hAnsiTheme="minorHAnsi" w:cstheme="minorBidi"/>
          <w:sz w:val="22"/>
          <w:szCs w:val="22"/>
        </w:rPr>
      </w:pPr>
      <w:r w:rsidRPr="097CE698">
        <w:rPr>
          <w:rFonts w:asciiTheme="minorHAnsi" w:hAnsiTheme="minorHAnsi" w:cstheme="minorBidi"/>
          <w:b/>
          <w:bCs/>
          <w:sz w:val="22"/>
          <w:szCs w:val="22"/>
        </w:rPr>
        <w:t xml:space="preserve">Part III – </w:t>
      </w:r>
      <w:r w:rsidR="00E3146A" w:rsidRPr="097CE698">
        <w:rPr>
          <w:rFonts w:asciiTheme="minorHAnsi" w:hAnsiTheme="minorHAnsi" w:cstheme="minorBidi"/>
          <w:b/>
          <w:bCs/>
          <w:sz w:val="22"/>
          <w:szCs w:val="22"/>
        </w:rPr>
        <w:t xml:space="preserve">Adult Education Data Overview </w:t>
      </w:r>
      <w:r w:rsidR="00D06F92">
        <w:rPr>
          <w:rFonts w:asciiTheme="minorHAnsi" w:hAnsiTheme="minorHAnsi" w:cstheme="minorBidi"/>
          <w:sz w:val="22"/>
          <w:szCs w:val="22"/>
        </w:rPr>
        <w:t>(revised 9/</w:t>
      </w:r>
      <w:r w:rsidR="00D53417">
        <w:rPr>
          <w:rFonts w:asciiTheme="minorHAnsi" w:hAnsiTheme="minorHAnsi" w:cstheme="minorBidi"/>
          <w:sz w:val="22"/>
          <w:szCs w:val="22"/>
        </w:rPr>
        <w:t>21</w:t>
      </w:r>
      <w:r w:rsidR="00D06F92">
        <w:rPr>
          <w:rFonts w:asciiTheme="minorHAnsi" w:hAnsiTheme="minorHAnsi" w:cstheme="minorBidi"/>
          <w:sz w:val="22"/>
          <w:szCs w:val="22"/>
        </w:rPr>
        <w:t>/22)</w:t>
      </w:r>
    </w:p>
    <w:p w14:paraId="60AE7B50" w14:textId="77777777" w:rsidR="00E34005" w:rsidRDefault="00E34005" w:rsidP="00D36420">
      <w:pPr>
        <w:rPr>
          <w:rFonts w:asciiTheme="minorHAnsi" w:hAnsiTheme="minorHAnsi" w:cstheme="minorHAnsi"/>
          <w:bCs/>
          <w:sz w:val="22"/>
          <w:szCs w:val="22"/>
        </w:rPr>
      </w:pPr>
    </w:p>
    <w:p w14:paraId="20BD8DC5" w14:textId="26CFC5A8" w:rsidR="00243828" w:rsidRDefault="009A0E44" w:rsidP="00243828">
      <w:pPr>
        <w:rPr>
          <w:rFonts w:asciiTheme="minorHAnsi" w:hAnsiTheme="minorHAnsi" w:cstheme="minorHAnsi"/>
          <w:bCs/>
          <w:sz w:val="22"/>
          <w:szCs w:val="22"/>
        </w:rPr>
      </w:pPr>
      <w:r>
        <w:rPr>
          <w:rFonts w:asciiTheme="minorHAnsi" w:hAnsiTheme="minorHAnsi" w:cstheme="minorHAnsi"/>
          <w:bCs/>
          <w:sz w:val="22"/>
          <w:szCs w:val="22"/>
        </w:rPr>
        <w:t xml:space="preserve">The </w:t>
      </w:r>
      <w:r w:rsidR="007D599D" w:rsidRPr="007D599D">
        <w:rPr>
          <w:rFonts w:asciiTheme="minorHAnsi" w:hAnsiTheme="minorHAnsi" w:cstheme="minorHAnsi"/>
          <w:bCs/>
          <w:sz w:val="22"/>
          <w:szCs w:val="22"/>
        </w:rPr>
        <w:t xml:space="preserve">Electronic Code of Federal Regulations (e-CFR), </w:t>
      </w:r>
      <w:hyperlink r:id="rId8" w:history="1">
        <w:r w:rsidR="007D599D" w:rsidRPr="007D599D">
          <w:rPr>
            <w:rStyle w:val="Hyperlink"/>
            <w:rFonts w:asciiTheme="minorHAnsi" w:hAnsiTheme="minorHAnsi" w:cstheme="minorHAnsi"/>
            <w:bCs/>
            <w:sz w:val="22"/>
            <w:szCs w:val="22"/>
          </w:rPr>
          <w:t>Title 34, Subtitle B, Chapter IV, Part 463</w:t>
        </w:r>
      </w:hyperlink>
      <w:r w:rsidR="007D599D" w:rsidRPr="007D599D">
        <w:rPr>
          <w:rFonts w:asciiTheme="minorHAnsi" w:hAnsiTheme="minorHAnsi" w:cstheme="minorHAnsi"/>
          <w:bCs/>
          <w:sz w:val="22"/>
          <w:szCs w:val="22"/>
        </w:rPr>
        <w:t xml:space="preserve">, </w:t>
      </w:r>
      <w:hyperlink r:id="rId9" w:history="1">
        <w:r w:rsidR="007D599D" w:rsidRPr="007D599D">
          <w:rPr>
            <w:rStyle w:val="Hyperlink"/>
            <w:rFonts w:asciiTheme="minorHAnsi" w:hAnsiTheme="minorHAnsi" w:cstheme="minorHAnsi"/>
            <w:bCs/>
            <w:sz w:val="22"/>
            <w:szCs w:val="22"/>
          </w:rPr>
          <w:t>Subpart C</w:t>
        </w:r>
      </w:hyperlink>
      <w:r w:rsidR="007D599D" w:rsidRPr="007D599D">
        <w:rPr>
          <w:rFonts w:asciiTheme="minorHAnsi" w:hAnsiTheme="minorHAnsi" w:cstheme="minorHAnsi"/>
          <w:bCs/>
          <w:sz w:val="22"/>
          <w:szCs w:val="22"/>
        </w:rPr>
        <w:t xml:space="preserve"> outlines the process for states to award adult education grants.</w:t>
      </w:r>
      <w:r w:rsidR="00243828" w:rsidRPr="00243828">
        <w:rPr>
          <w:rFonts w:ascii="Calibri" w:eastAsia="Calibri" w:hAnsi="Calibri"/>
          <w:color w:val="000000" w:themeColor="text1"/>
          <w:kern w:val="24"/>
          <w:sz w:val="36"/>
          <w:szCs w:val="36"/>
        </w:rPr>
        <w:t xml:space="preserve"> </w:t>
      </w:r>
      <w:r w:rsidR="00243828" w:rsidRPr="00243828">
        <w:rPr>
          <w:rFonts w:asciiTheme="minorHAnsi" w:hAnsiTheme="minorHAnsi" w:cstheme="minorHAnsi"/>
          <w:bCs/>
          <w:sz w:val="22"/>
          <w:szCs w:val="22"/>
        </w:rPr>
        <w:t>The Adult Education Data workbook address</w:t>
      </w:r>
      <w:r w:rsidR="004E2857">
        <w:rPr>
          <w:rFonts w:asciiTheme="minorHAnsi" w:hAnsiTheme="minorHAnsi" w:cstheme="minorHAnsi"/>
          <w:bCs/>
          <w:sz w:val="22"/>
          <w:szCs w:val="22"/>
        </w:rPr>
        <w:t>es</w:t>
      </w:r>
      <w:r w:rsidR="00243828" w:rsidRPr="00243828">
        <w:rPr>
          <w:rFonts w:asciiTheme="minorHAnsi" w:hAnsiTheme="minorHAnsi" w:cstheme="minorHAnsi"/>
          <w:bCs/>
          <w:sz w:val="22"/>
          <w:szCs w:val="22"/>
        </w:rPr>
        <w:t xml:space="preserve"> two of the requirements</w:t>
      </w:r>
      <w:r w:rsidR="000A19FA">
        <w:rPr>
          <w:rFonts w:asciiTheme="minorHAnsi" w:hAnsiTheme="minorHAnsi" w:cstheme="minorHAnsi"/>
          <w:bCs/>
          <w:sz w:val="22"/>
          <w:szCs w:val="22"/>
        </w:rPr>
        <w:t>.</w:t>
      </w:r>
    </w:p>
    <w:p w14:paraId="22F49303" w14:textId="77777777" w:rsidR="000A19FA" w:rsidRPr="00243828" w:rsidRDefault="000A19FA" w:rsidP="00243828">
      <w:pPr>
        <w:rPr>
          <w:rFonts w:asciiTheme="minorHAnsi" w:hAnsiTheme="minorHAnsi" w:cstheme="minorHAnsi"/>
          <w:bCs/>
          <w:sz w:val="22"/>
          <w:szCs w:val="22"/>
        </w:rPr>
      </w:pPr>
    </w:p>
    <w:p w14:paraId="1BB8A8C4" w14:textId="77777777" w:rsidR="00215BCC" w:rsidRDefault="00243828" w:rsidP="00215BCC">
      <w:pPr>
        <w:tabs>
          <w:tab w:val="num" w:pos="720"/>
          <w:tab w:val="num" w:pos="1440"/>
        </w:tabs>
        <w:rPr>
          <w:rFonts w:asciiTheme="minorHAnsi" w:hAnsiTheme="minorHAnsi" w:cstheme="minorHAnsi"/>
          <w:bCs/>
          <w:sz w:val="22"/>
          <w:szCs w:val="22"/>
        </w:rPr>
      </w:pPr>
      <w:r w:rsidRPr="00243828">
        <w:rPr>
          <w:rFonts w:asciiTheme="minorHAnsi" w:hAnsiTheme="minorHAnsi" w:cstheme="minorHAnsi"/>
          <w:bCs/>
          <w:sz w:val="22"/>
          <w:szCs w:val="22"/>
        </w:rPr>
        <w:t>The first is Demonstrated Effectiveness</w:t>
      </w:r>
      <w:r w:rsidR="00FC1A17">
        <w:rPr>
          <w:rFonts w:asciiTheme="minorHAnsi" w:hAnsiTheme="minorHAnsi" w:cstheme="minorHAnsi"/>
          <w:bCs/>
          <w:sz w:val="22"/>
          <w:szCs w:val="22"/>
        </w:rPr>
        <w:t xml:space="preserve"> (</w:t>
      </w:r>
      <w:hyperlink r:id="rId10" w:history="1">
        <w:r w:rsidR="007D599D" w:rsidRPr="007D599D">
          <w:rPr>
            <w:rStyle w:val="Hyperlink"/>
            <w:rFonts w:asciiTheme="minorHAnsi" w:hAnsiTheme="minorHAnsi" w:cstheme="minorHAnsi"/>
            <w:bCs/>
            <w:sz w:val="22"/>
            <w:szCs w:val="22"/>
          </w:rPr>
          <w:t>§463.24</w:t>
        </w:r>
      </w:hyperlink>
      <w:r w:rsidR="00FC1A17">
        <w:rPr>
          <w:rFonts w:asciiTheme="minorHAnsi" w:hAnsiTheme="minorHAnsi" w:cstheme="minorHAnsi"/>
          <w:bCs/>
          <w:sz w:val="22"/>
          <w:szCs w:val="22"/>
        </w:rPr>
        <w:t>)</w:t>
      </w:r>
      <w:r w:rsidRPr="00243828">
        <w:rPr>
          <w:rFonts w:asciiTheme="minorHAnsi" w:hAnsiTheme="minorHAnsi" w:cstheme="minorHAnsi"/>
          <w:bCs/>
          <w:sz w:val="22"/>
          <w:szCs w:val="22"/>
        </w:rPr>
        <w:t xml:space="preserve">, which is a federally mandated requirement for </w:t>
      </w:r>
      <w:r w:rsidR="00D93F97">
        <w:rPr>
          <w:rFonts w:asciiTheme="minorHAnsi" w:hAnsiTheme="minorHAnsi" w:cstheme="minorHAnsi"/>
          <w:bCs/>
          <w:sz w:val="22"/>
          <w:szCs w:val="22"/>
        </w:rPr>
        <w:t>eligible agencies seeking</w:t>
      </w:r>
      <w:r w:rsidR="00EE77CC">
        <w:rPr>
          <w:rFonts w:asciiTheme="minorHAnsi" w:hAnsiTheme="minorHAnsi" w:cstheme="minorHAnsi"/>
          <w:bCs/>
          <w:sz w:val="22"/>
          <w:szCs w:val="22"/>
        </w:rPr>
        <w:t xml:space="preserve"> an</w:t>
      </w:r>
      <w:r w:rsidR="00D93F97">
        <w:rPr>
          <w:rFonts w:asciiTheme="minorHAnsi" w:hAnsiTheme="minorHAnsi" w:cstheme="minorHAnsi"/>
          <w:bCs/>
          <w:sz w:val="22"/>
          <w:szCs w:val="22"/>
        </w:rPr>
        <w:t xml:space="preserve"> </w:t>
      </w:r>
      <w:r w:rsidR="00D93F97" w:rsidRPr="005E789B">
        <w:rPr>
          <w:rFonts w:asciiTheme="minorHAnsi" w:hAnsiTheme="minorHAnsi" w:cstheme="minorHAnsi"/>
          <w:bCs/>
          <w:sz w:val="22"/>
          <w:szCs w:val="22"/>
        </w:rPr>
        <w:t>Adult Education and Family Literacy Act (AEFLA)</w:t>
      </w:r>
      <w:r w:rsidR="00EE77CC">
        <w:rPr>
          <w:rFonts w:asciiTheme="minorHAnsi" w:hAnsiTheme="minorHAnsi" w:cstheme="minorHAnsi"/>
          <w:bCs/>
          <w:sz w:val="22"/>
          <w:szCs w:val="22"/>
        </w:rPr>
        <w:t xml:space="preserve"> grant</w:t>
      </w:r>
      <w:r w:rsidR="000A19FA">
        <w:rPr>
          <w:rFonts w:asciiTheme="minorHAnsi" w:hAnsiTheme="minorHAnsi" w:cstheme="minorHAnsi"/>
          <w:bCs/>
          <w:sz w:val="22"/>
          <w:szCs w:val="22"/>
        </w:rPr>
        <w:t xml:space="preserve">. </w:t>
      </w:r>
      <w:r w:rsidR="00EE77CC" w:rsidRPr="005E789B">
        <w:rPr>
          <w:rFonts w:asciiTheme="minorHAnsi" w:hAnsiTheme="minorHAnsi" w:cstheme="minorHAnsi"/>
          <w:bCs/>
          <w:sz w:val="22"/>
          <w:szCs w:val="22"/>
        </w:rPr>
        <w:t xml:space="preserve">AEFLA is </w:t>
      </w:r>
      <w:r w:rsidR="00EE77CC">
        <w:rPr>
          <w:rFonts w:asciiTheme="minorHAnsi" w:hAnsiTheme="minorHAnsi" w:cstheme="minorHAnsi"/>
          <w:bCs/>
          <w:sz w:val="22"/>
          <w:szCs w:val="22"/>
        </w:rPr>
        <w:t>T</w:t>
      </w:r>
      <w:r w:rsidR="00EE77CC" w:rsidRPr="005E789B">
        <w:rPr>
          <w:rFonts w:asciiTheme="minorHAnsi" w:hAnsiTheme="minorHAnsi" w:cstheme="minorHAnsi"/>
          <w:bCs/>
          <w:sz w:val="22"/>
          <w:szCs w:val="22"/>
        </w:rPr>
        <w:t>itle II of the Workforce Innovation and Opportunity Act (WIOA</w:t>
      </w:r>
      <w:r w:rsidR="00E81F70" w:rsidRPr="005E789B">
        <w:rPr>
          <w:rFonts w:asciiTheme="minorHAnsi" w:hAnsiTheme="minorHAnsi" w:cstheme="minorHAnsi"/>
          <w:bCs/>
          <w:sz w:val="22"/>
          <w:szCs w:val="22"/>
        </w:rPr>
        <w:t>).</w:t>
      </w:r>
      <w:r w:rsidR="00E81F70">
        <w:rPr>
          <w:rFonts w:asciiTheme="minorHAnsi" w:hAnsiTheme="minorHAnsi" w:cstheme="minorHAnsi"/>
          <w:bCs/>
          <w:sz w:val="22"/>
          <w:szCs w:val="22"/>
        </w:rPr>
        <w:t xml:space="preserve"> It</w:t>
      </w:r>
      <w:r w:rsidR="000A19FA">
        <w:rPr>
          <w:rFonts w:asciiTheme="minorHAnsi" w:hAnsiTheme="minorHAnsi" w:cstheme="minorHAnsi"/>
          <w:bCs/>
          <w:sz w:val="22"/>
          <w:szCs w:val="22"/>
        </w:rPr>
        <w:t xml:space="preserve"> </w:t>
      </w:r>
      <w:r w:rsidRPr="00243828">
        <w:rPr>
          <w:rFonts w:asciiTheme="minorHAnsi" w:hAnsiTheme="minorHAnsi" w:cstheme="minorHAnsi"/>
          <w:bCs/>
          <w:sz w:val="22"/>
          <w:szCs w:val="22"/>
        </w:rPr>
        <w:t xml:space="preserve">is a screening process to determine whether an application will be reviewed, scored, and considered for funding. Applications must </w:t>
      </w:r>
      <w:r w:rsidR="00DB7CFD">
        <w:rPr>
          <w:rFonts w:asciiTheme="minorHAnsi" w:hAnsiTheme="minorHAnsi" w:cstheme="minorHAnsi"/>
          <w:bCs/>
          <w:sz w:val="22"/>
          <w:szCs w:val="22"/>
        </w:rPr>
        <w:t>complet</w:t>
      </w:r>
      <w:r w:rsidRPr="00243828">
        <w:rPr>
          <w:rFonts w:asciiTheme="minorHAnsi" w:hAnsiTheme="minorHAnsi" w:cstheme="minorHAnsi"/>
          <w:bCs/>
          <w:sz w:val="22"/>
          <w:szCs w:val="22"/>
        </w:rPr>
        <w:t xml:space="preserve">e </w:t>
      </w:r>
      <w:r w:rsidR="00711736">
        <w:rPr>
          <w:rFonts w:asciiTheme="minorHAnsi" w:hAnsiTheme="minorHAnsi" w:cstheme="minorHAnsi"/>
          <w:bCs/>
          <w:sz w:val="22"/>
          <w:szCs w:val="22"/>
        </w:rPr>
        <w:t>the Demonstrated Effectiveness</w:t>
      </w:r>
      <w:r w:rsidRPr="00243828">
        <w:rPr>
          <w:rFonts w:asciiTheme="minorHAnsi" w:hAnsiTheme="minorHAnsi" w:cstheme="minorHAnsi"/>
          <w:bCs/>
          <w:sz w:val="22"/>
          <w:szCs w:val="22"/>
        </w:rPr>
        <w:t xml:space="preserve"> sheet in the workbook in order to be eligible to be evaluated for AEFLA funds. Applications submitted without a completed Demonstrated Effectiveness worksheet will not be evaluated.</w:t>
      </w:r>
      <w:r w:rsidR="00215BCC">
        <w:rPr>
          <w:rFonts w:asciiTheme="minorHAnsi" w:hAnsiTheme="minorHAnsi" w:cstheme="minorHAnsi"/>
          <w:bCs/>
          <w:sz w:val="22"/>
          <w:szCs w:val="22"/>
        </w:rPr>
        <w:t xml:space="preserve"> D</w:t>
      </w:r>
      <w:r w:rsidRPr="00243828">
        <w:rPr>
          <w:rFonts w:asciiTheme="minorHAnsi" w:hAnsiTheme="minorHAnsi" w:cstheme="minorHAnsi"/>
          <w:bCs/>
          <w:sz w:val="22"/>
          <w:szCs w:val="22"/>
        </w:rPr>
        <w:t>emonstrated Effectiveness is not scored</w:t>
      </w:r>
      <w:r w:rsidR="007121C1">
        <w:rPr>
          <w:rFonts w:asciiTheme="minorHAnsi" w:hAnsiTheme="minorHAnsi" w:cstheme="minorHAnsi"/>
          <w:bCs/>
          <w:sz w:val="22"/>
          <w:szCs w:val="22"/>
        </w:rPr>
        <w:t xml:space="preserve">, However, the data provided will contribute to the Part V, </w:t>
      </w:r>
      <w:r w:rsidR="007121C1" w:rsidRPr="00A038BF">
        <w:rPr>
          <w:rFonts w:asciiTheme="minorHAnsi" w:hAnsiTheme="minorHAnsi" w:cstheme="minorHAnsi"/>
          <w:bCs/>
          <w:sz w:val="22"/>
          <w:szCs w:val="22"/>
        </w:rPr>
        <w:t>6. Student Progres</w:t>
      </w:r>
      <w:r w:rsidR="007121C1">
        <w:rPr>
          <w:rFonts w:asciiTheme="minorHAnsi" w:hAnsiTheme="minorHAnsi" w:cstheme="minorHAnsi"/>
          <w:bCs/>
          <w:sz w:val="22"/>
          <w:szCs w:val="22"/>
        </w:rPr>
        <w:t xml:space="preserve">s – Past </w:t>
      </w:r>
      <w:r w:rsidR="007121C1" w:rsidRPr="00A038BF">
        <w:rPr>
          <w:rFonts w:asciiTheme="minorHAnsi" w:hAnsiTheme="minorHAnsi" w:cstheme="minorHAnsi"/>
          <w:bCs/>
          <w:sz w:val="22"/>
          <w:szCs w:val="22"/>
        </w:rPr>
        <w:t>Effectiveness</w:t>
      </w:r>
      <w:r w:rsidR="007121C1">
        <w:rPr>
          <w:rFonts w:asciiTheme="minorHAnsi" w:hAnsiTheme="minorHAnsi" w:cstheme="minorHAnsi"/>
          <w:bCs/>
          <w:sz w:val="22"/>
          <w:szCs w:val="22"/>
        </w:rPr>
        <w:t xml:space="preserve"> score.</w:t>
      </w:r>
    </w:p>
    <w:p w14:paraId="162F3668" w14:textId="77777777" w:rsidR="00215BCC" w:rsidRDefault="00215BCC" w:rsidP="00215BCC">
      <w:pPr>
        <w:tabs>
          <w:tab w:val="num" w:pos="720"/>
          <w:tab w:val="num" w:pos="1440"/>
        </w:tabs>
        <w:rPr>
          <w:rFonts w:asciiTheme="minorHAnsi" w:hAnsiTheme="minorHAnsi" w:cstheme="minorHAnsi"/>
          <w:bCs/>
          <w:sz w:val="22"/>
          <w:szCs w:val="22"/>
        </w:rPr>
      </w:pPr>
    </w:p>
    <w:p w14:paraId="2C46E709" w14:textId="5171F17D" w:rsidR="00243828" w:rsidRDefault="00243828" w:rsidP="00215BCC">
      <w:pPr>
        <w:tabs>
          <w:tab w:val="num" w:pos="720"/>
          <w:tab w:val="num" w:pos="1440"/>
        </w:tabs>
        <w:rPr>
          <w:rFonts w:asciiTheme="minorHAnsi" w:hAnsiTheme="minorHAnsi" w:cstheme="minorBidi"/>
          <w:sz w:val="22"/>
          <w:szCs w:val="22"/>
        </w:rPr>
      </w:pPr>
      <w:r w:rsidRPr="357E1BB8">
        <w:rPr>
          <w:rFonts w:asciiTheme="minorHAnsi" w:hAnsiTheme="minorHAnsi" w:cstheme="minorBidi"/>
          <w:sz w:val="22"/>
          <w:szCs w:val="22"/>
        </w:rPr>
        <w:t>Second, states must consider the Past Effectiveness of eligible applicants</w:t>
      </w:r>
      <w:r w:rsidR="001A4004" w:rsidRPr="357E1BB8">
        <w:rPr>
          <w:rFonts w:asciiTheme="minorHAnsi" w:hAnsiTheme="minorHAnsi" w:cstheme="minorBidi"/>
          <w:sz w:val="22"/>
          <w:szCs w:val="22"/>
        </w:rPr>
        <w:t xml:space="preserve"> (</w:t>
      </w:r>
      <w:hyperlink r:id="rId11">
        <w:r w:rsidR="007D599D" w:rsidRPr="357E1BB8">
          <w:rPr>
            <w:rStyle w:val="Hyperlink"/>
            <w:rFonts w:asciiTheme="minorHAnsi" w:hAnsiTheme="minorHAnsi" w:cstheme="minorBidi"/>
            <w:sz w:val="22"/>
            <w:szCs w:val="22"/>
          </w:rPr>
          <w:t>§ 463.20(d)(3)</w:t>
        </w:r>
      </w:hyperlink>
      <w:r w:rsidR="001A4004" w:rsidRPr="357E1BB8">
        <w:rPr>
          <w:rFonts w:asciiTheme="minorHAnsi" w:hAnsiTheme="minorHAnsi" w:cstheme="minorBidi"/>
          <w:sz w:val="22"/>
          <w:szCs w:val="22"/>
        </w:rPr>
        <w:t>)</w:t>
      </w:r>
      <w:r w:rsidRPr="357E1BB8">
        <w:rPr>
          <w:rFonts w:asciiTheme="minorHAnsi" w:hAnsiTheme="minorHAnsi" w:cstheme="minorBidi"/>
          <w:sz w:val="22"/>
          <w:szCs w:val="22"/>
        </w:rPr>
        <w:t>. The Department meets this requirement by scoring past performance. The demonstrated effectiveness data and enrollment information that eligible applicants enter in the workbook result in points that will be entered into Part V</w:t>
      </w:r>
      <w:r w:rsidR="00016F47" w:rsidRPr="357E1BB8">
        <w:rPr>
          <w:rFonts w:asciiTheme="minorHAnsi" w:hAnsiTheme="minorHAnsi" w:cstheme="minorBidi"/>
          <w:sz w:val="22"/>
          <w:szCs w:val="22"/>
        </w:rPr>
        <w:t xml:space="preserve"> as the response to prompt 6.</w:t>
      </w:r>
    </w:p>
    <w:p w14:paraId="371A010A" w14:textId="77777777" w:rsidR="00E54EA0" w:rsidRDefault="00E54EA0" w:rsidP="00E54EA0">
      <w:pPr>
        <w:rPr>
          <w:rFonts w:asciiTheme="minorHAnsi" w:hAnsiTheme="minorHAnsi" w:cstheme="minorHAnsi"/>
          <w:bCs/>
          <w:sz w:val="22"/>
          <w:szCs w:val="22"/>
        </w:rPr>
      </w:pPr>
    </w:p>
    <w:p w14:paraId="7BA69C05" w14:textId="77777777" w:rsidR="00E54EA0" w:rsidRPr="00BD4155" w:rsidRDefault="00E54EA0" w:rsidP="00E54EA0">
      <w:pPr>
        <w:rPr>
          <w:rFonts w:cstheme="minorHAnsi"/>
          <w:bCs/>
        </w:rPr>
      </w:pPr>
      <w:r w:rsidRPr="00621BAC">
        <w:rPr>
          <w:rFonts w:asciiTheme="minorHAnsi" w:hAnsiTheme="minorHAnsi" w:cstheme="minorHAnsi"/>
          <w:bCs/>
          <w:sz w:val="22"/>
          <w:szCs w:val="22"/>
        </w:rPr>
        <w:t>Eligible agencies can only apply to propose adult education services if they demonstrated effectiveness performance data in that service area (e.g., an applicant with demonstrated effectiveness in only ABE cannot propose ESOL services).</w:t>
      </w:r>
    </w:p>
    <w:p w14:paraId="41BC5F48" w14:textId="77777777" w:rsidR="00313B01" w:rsidRDefault="00313B01" w:rsidP="00313B01">
      <w:pPr>
        <w:rPr>
          <w:rFonts w:asciiTheme="minorHAnsi" w:hAnsiTheme="minorHAnsi" w:cstheme="minorHAnsi"/>
          <w:bCs/>
          <w:sz w:val="22"/>
          <w:szCs w:val="22"/>
        </w:rPr>
      </w:pPr>
    </w:p>
    <w:p w14:paraId="72A0238C" w14:textId="77777777" w:rsidR="00313B01" w:rsidRDefault="00313B01" w:rsidP="00313B01">
      <w:pPr>
        <w:rPr>
          <w:rFonts w:asciiTheme="minorHAnsi" w:hAnsiTheme="minorHAnsi" w:cstheme="minorHAnsi"/>
          <w:bCs/>
          <w:sz w:val="22"/>
          <w:szCs w:val="22"/>
        </w:rPr>
      </w:pPr>
      <w:r w:rsidRPr="00621BAC">
        <w:rPr>
          <w:rFonts w:asciiTheme="minorHAnsi" w:hAnsiTheme="minorHAnsi" w:cstheme="minorHAnsi"/>
          <w:bCs/>
          <w:sz w:val="22"/>
          <w:szCs w:val="22"/>
        </w:rPr>
        <w:t xml:space="preserve">All partners in a consortium must </w:t>
      </w:r>
      <w:r>
        <w:rPr>
          <w:rFonts w:asciiTheme="minorHAnsi" w:hAnsiTheme="minorHAnsi" w:cstheme="minorHAnsi"/>
          <w:bCs/>
          <w:sz w:val="22"/>
          <w:szCs w:val="22"/>
        </w:rPr>
        <w:t>provide their student data in their own workbook</w:t>
      </w:r>
      <w:r w:rsidRPr="00621BAC">
        <w:rPr>
          <w:rFonts w:asciiTheme="minorHAnsi" w:hAnsiTheme="minorHAnsi" w:cstheme="minorHAnsi"/>
          <w:bCs/>
          <w:sz w:val="22"/>
          <w:szCs w:val="22"/>
        </w:rPr>
        <w:t xml:space="preserve"> which the lead applicant will submit.</w:t>
      </w:r>
    </w:p>
    <w:p w14:paraId="04809C43" w14:textId="77777777" w:rsidR="00E54EA0" w:rsidRDefault="00E54EA0" w:rsidP="00E54EA0">
      <w:pPr>
        <w:rPr>
          <w:rFonts w:asciiTheme="minorHAnsi" w:hAnsiTheme="minorHAnsi" w:cstheme="minorHAnsi"/>
          <w:bCs/>
          <w:sz w:val="22"/>
          <w:szCs w:val="22"/>
        </w:rPr>
      </w:pPr>
    </w:p>
    <w:p w14:paraId="54F7671E" w14:textId="77777777" w:rsidR="00E54EA0" w:rsidRPr="00621BAC" w:rsidRDefault="00E54EA0" w:rsidP="00E54EA0">
      <w:pPr>
        <w:rPr>
          <w:rFonts w:asciiTheme="minorHAnsi" w:hAnsiTheme="minorHAnsi" w:cstheme="minorHAnsi"/>
          <w:bCs/>
          <w:sz w:val="22"/>
          <w:szCs w:val="22"/>
        </w:rPr>
      </w:pPr>
      <w:r>
        <w:rPr>
          <w:rFonts w:asciiTheme="minorHAnsi" w:hAnsiTheme="minorHAnsi" w:cstheme="minorHAnsi"/>
          <w:bCs/>
          <w:sz w:val="22"/>
          <w:szCs w:val="22"/>
        </w:rPr>
        <w:t xml:space="preserve">The student data must be entered into the Adult Education Data workbook and submitted as Part III. </w:t>
      </w:r>
      <w:r w:rsidRPr="00621BAC">
        <w:rPr>
          <w:rFonts w:asciiTheme="minorHAnsi" w:hAnsiTheme="minorHAnsi" w:cstheme="minorHAnsi"/>
          <w:bCs/>
          <w:sz w:val="22"/>
          <w:szCs w:val="22"/>
        </w:rPr>
        <w:t xml:space="preserve">There are two versions of </w:t>
      </w:r>
      <w:r>
        <w:rPr>
          <w:rFonts w:asciiTheme="minorHAnsi" w:hAnsiTheme="minorHAnsi" w:cstheme="minorHAnsi"/>
          <w:bCs/>
          <w:sz w:val="22"/>
          <w:szCs w:val="22"/>
        </w:rPr>
        <w:t>the workbook</w:t>
      </w:r>
      <w:r w:rsidRPr="00621BAC">
        <w:rPr>
          <w:rFonts w:asciiTheme="minorHAnsi" w:hAnsiTheme="minorHAnsi" w:cstheme="minorHAnsi"/>
          <w:bCs/>
          <w:sz w:val="22"/>
          <w:szCs w:val="22"/>
        </w:rPr>
        <w:t>:</w:t>
      </w:r>
    </w:p>
    <w:p w14:paraId="323BCD41" w14:textId="741FBFB4" w:rsidR="00E54EA0" w:rsidRPr="00621BAC" w:rsidRDefault="00E54EA0" w:rsidP="00E54EA0">
      <w:pPr>
        <w:pStyle w:val="Header"/>
        <w:numPr>
          <w:ilvl w:val="0"/>
          <w:numId w:val="1"/>
        </w:numPr>
        <w:rPr>
          <w:rFonts w:asciiTheme="minorHAnsi" w:hAnsiTheme="minorHAnsi" w:cstheme="minorHAnsi"/>
          <w:bCs/>
          <w:sz w:val="22"/>
          <w:szCs w:val="22"/>
        </w:rPr>
      </w:pPr>
      <w:r w:rsidRPr="00621BAC">
        <w:rPr>
          <w:rFonts w:asciiTheme="minorHAnsi" w:hAnsiTheme="minorHAnsi" w:cstheme="minorHAnsi"/>
          <w:bCs/>
          <w:sz w:val="22"/>
          <w:szCs w:val="22"/>
        </w:rPr>
        <w:t xml:space="preserve">Applicants that currently receive DESE adult education grant funding will provide LACES data for all years that they were funded in the current grant cycle in </w:t>
      </w:r>
      <w:hyperlink r:id="rId12" w:history="1">
        <w:r w:rsidRPr="00B87B06">
          <w:rPr>
            <w:rStyle w:val="Hyperlink"/>
            <w:rFonts w:asciiTheme="minorHAnsi" w:hAnsiTheme="minorHAnsi" w:cstheme="minorHAnsi"/>
            <w:bCs/>
            <w:sz w:val="22"/>
            <w:szCs w:val="22"/>
          </w:rPr>
          <w:t>Part III, Adult Education Data for Current AE Grantees</w:t>
        </w:r>
        <w:r w:rsidR="00D34363" w:rsidRPr="00B87B06">
          <w:rPr>
            <w:rStyle w:val="Hyperlink"/>
            <w:rFonts w:asciiTheme="minorHAnsi" w:hAnsiTheme="minorHAnsi" w:cstheme="minorHAnsi"/>
            <w:bCs/>
            <w:sz w:val="22"/>
            <w:szCs w:val="22"/>
          </w:rPr>
          <w:t xml:space="preserve"> (v.</w:t>
        </w:r>
        <w:r w:rsidR="00144241" w:rsidRPr="00B87B06">
          <w:rPr>
            <w:rStyle w:val="Hyperlink"/>
            <w:rFonts w:asciiTheme="minorHAnsi" w:hAnsiTheme="minorHAnsi" w:cstheme="minorHAnsi"/>
            <w:bCs/>
            <w:sz w:val="22"/>
            <w:szCs w:val="22"/>
          </w:rPr>
          <w:t>4</w:t>
        </w:r>
        <w:r w:rsidR="00D34363" w:rsidRPr="00B87B06">
          <w:rPr>
            <w:rStyle w:val="Hyperlink"/>
            <w:rFonts w:asciiTheme="minorHAnsi" w:hAnsiTheme="minorHAnsi" w:cstheme="minorHAnsi"/>
            <w:bCs/>
            <w:sz w:val="22"/>
            <w:szCs w:val="22"/>
          </w:rPr>
          <w:t>)</w:t>
        </w:r>
        <w:r w:rsidRPr="00B87B06">
          <w:rPr>
            <w:rStyle w:val="Hyperlink"/>
            <w:rFonts w:asciiTheme="minorHAnsi" w:hAnsiTheme="minorHAnsi" w:cstheme="minorHAnsi"/>
            <w:bCs/>
            <w:sz w:val="22"/>
            <w:szCs w:val="22"/>
          </w:rPr>
          <w:t>.</w:t>
        </w:r>
      </w:hyperlink>
      <w:r w:rsidR="00D53417">
        <w:rPr>
          <w:rFonts w:asciiTheme="minorHAnsi" w:hAnsiTheme="minorHAnsi" w:cstheme="minorHAnsi"/>
          <w:bCs/>
          <w:sz w:val="22"/>
          <w:szCs w:val="22"/>
        </w:rPr>
        <w:t xml:space="preserve"> </w:t>
      </w:r>
    </w:p>
    <w:p w14:paraId="3B3E0AE9" w14:textId="17E8E878" w:rsidR="00E54EA0" w:rsidRPr="00621BAC" w:rsidRDefault="00E54EA0" w:rsidP="00E54EA0">
      <w:pPr>
        <w:pStyle w:val="Header"/>
        <w:numPr>
          <w:ilvl w:val="0"/>
          <w:numId w:val="1"/>
        </w:numPr>
        <w:rPr>
          <w:rFonts w:asciiTheme="minorHAnsi" w:hAnsiTheme="minorHAnsi" w:cstheme="minorHAnsi"/>
          <w:bCs/>
          <w:sz w:val="22"/>
          <w:szCs w:val="22"/>
        </w:rPr>
      </w:pPr>
      <w:r w:rsidRPr="00621BAC">
        <w:rPr>
          <w:rFonts w:asciiTheme="minorHAnsi" w:hAnsiTheme="minorHAnsi" w:cstheme="minorHAnsi"/>
          <w:bCs/>
          <w:sz w:val="22"/>
          <w:szCs w:val="22"/>
        </w:rPr>
        <w:t xml:space="preserve">Applicants that do not have current DESE adult education grants will enter that data in </w:t>
      </w:r>
      <w:hyperlink r:id="rId13" w:history="1">
        <w:r>
          <w:rPr>
            <w:rStyle w:val="Hyperlink"/>
            <w:rFonts w:asciiTheme="minorHAnsi" w:hAnsiTheme="minorHAnsi" w:cstheme="minorHAnsi"/>
            <w:bCs/>
            <w:sz w:val="22"/>
            <w:szCs w:val="22"/>
          </w:rPr>
          <w:t>Part III</w:t>
        </w:r>
        <w:r w:rsidRPr="00621BAC">
          <w:rPr>
            <w:rStyle w:val="Hyperlink"/>
            <w:rFonts w:asciiTheme="minorHAnsi" w:hAnsiTheme="minorHAnsi" w:cstheme="minorHAnsi"/>
            <w:bCs/>
            <w:sz w:val="22"/>
            <w:szCs w:val="22"/>
          </w:rPr>
          <w:t>, Adult Education Data for New Applicants</w:t>
        </w:r>
      </w:hyperlink>
      <w:r w:rsidRPr="00621BAC">
        <w:rPr>
          <w:rFonts w:asciiTheme="minorHAnsi" w:hAnsiTheme="minorHAnsi" w:cstheme="minorHAnsi"/>
          <w:bCs/>
          <w:sz w:val="22"/>
          <w:szCs w:val="22"/>
        </w:rPr>
        <w:t>.</w:t>
      </w:r>
    </w:p>
    <w:p w14:paraId="56354D62" w14:textId="77777777" w:rsidR="00E54EA0" w:rsidRDefault="00E54EA0" w:rsidP="00E54EA0">
      <w:pPr>
        <w:rPr>
          <w:rFonts w:asciiTheme="minorHAnsi" w:hAnsiTheme="minorHAnsi" w:cstheme="minorHAnsi"/>
          <w:bCs/>
          <w:sz w:val="22"/>
          <w:szCs w:val="22"/>
        </w:rPr>
      </w:pPr>
    </w:p>
    <w:p w14:paraId="55E6800B" w14:textId="4BA41E13" w:rsidR="00E54EA0" w:rsidRDefault="00E54EA0" w:rsidP="00E54EA0">
      <w:pPr>
        <w:rPr>
          <w:rFonts w:asciiTheme="minorHAnsi" w:hAnsiTheme="minorHAnsi" w:cstheme="minorHAnsi"/>
          <w:bCs/>
          <w:sz w:val="22"/>
          <w:szCs w:val="22"/>
        </w:rPr>
      </w:pPr>
      <w:r>
        <w:rPr>
          <w:rFonts w:asciiTheme="minorHAnsi" w:hAnsiTheme="minorHAnsi" w:cstheme="minorHAnsi"/>
          <w:bCs/>
          <w:sz w:val="22"/>
          <w:szCs w:val="22"/>
        </w:rPr>
        <w:t xml:space="preserve">Applicants currently funded by DESE to provide adult education are strongly encouraged to watch the PowerPoint </w:t>
      </w:r>
      <w:hyperlink r:id="rId14" w:history="1">
        <w:r w:rsidRPr="00B939B4">
          <w:rPr>
            <w:rStyle w:val="Hyperlink"/>
            <w:rFonts w:asciiTheme="minorHAnsi" w:hAnsiTheme="minorHAnsi" w:cstheme="minorHAnsi"/>
            <w:bCs/>
            <w:sz w:val="22"/>
            <w:szCs w:val="22"/>
          </w:rPr>
          <w:t>tutorial for current grantees</w:t>
        </w:r>
      </w:hyperlink>
      <w:r>
        <w:rPr>
          <w:rFonts w:asciiTheme="minorHAnsi" w:hAnsiTheme="minorHAnsi" w:cstheme="minorHAnsi"/>
          <w:bCs/>
          <w:sz w:val="22"/>
          <w:szCs w:val="22"/>
        </w:rPr>
        <w:t xml:space="preserve">. The tutorial provides guidance on locating the data in LACES and entering it into the Part III </w:t>
      </w:r>
      <w:r w:rsidR="003A1C4C">
        <w:rPr>
          <w:rFonts w:asciiTheme="minorHAnsi" w:hAnsiTheme="minorHAnsi" w:cstheme="minorHAnsi"/>
          <w:bCs/>
          <w:sz w:val="22"/>
          <w:szCs w:val="22"/>
        </w:rPr>
        <w:t xml:space="preserve">Adult Education Data </w:t>
      </w:r>
      <w:r>
        <w:rPr>
          <w:rFonts w:asciiTheme="minorHAnsi" w:hAnsiTheme="minorHAnsi" w:cstheme="minorHAnsi"/>
          <w:bCs/>
          <w:sz w:val="22"/>
          <w:szCs w:val="22"/>
        </w:rPr>
        <w:t xml:space="preserve">workbook. </w:t>
      </w:r>
    </w:p>
    <w:p w14:paraId="06CAFEDD" w14:textId="77777777" w:rsidR="00E54EA0" w:rsidRDefault="00E54EA0" w:rsidP="00E54EA0">
      <w:pPr>
        <w:rPr>
          <w:rFonts w:asciiTheme="minorHAnsi" w:hAnsiTheme="minorHAnsi" w:cstheme="minorHAnsi"/>
          <w:bCs/>
          <w:sz w:val="22"/>
          <w:szCs w:val="22"/>
        </w:rPr>
      </w:pPr>
    </w:p>
    <w:p w14:paraId="34A02819" w14:textId="3C09861B" w:rsidR="00243828" w:rsidRDefault="00E54EA0" w:rsidP="00E54EA0">
      <w:pPr>
        <w:tabs>
          <w:tab w:val="num" w:pos="720"/>
          <w:tab w:val="num" w:pos="1440"/>
        </w:tabs>
        <w:rPr>
          <w:rFonts w:asciiTheme="minorHAnsi" w:hAnsiTheme="minorHAnsi" w:cstheme="minorHAnsi"/>
          <w:bCs/>
          <w:sz w:val="22"/>
          <w:szCs w:val="22"/>
        </w:rPr>
      </w:pPr>
      <w:r>
        <w:rPr>
          <w:rFonts w:asciiTheme="minorHAnsi" w:hAnsiTheme="minorHAnsi" w:cstheme="minorHAnsi"/>
          <w:bCs/>
          <w:sz w:val="22"/>
          <w:szCs w:val="22"/>
        </w:rPr>
        <w:t xml:space="preserve">Applicants that do not currently receive DESE adult education funding should review the </w:t>
      </w:r>
      <w:hyperlink r:id="rId15" w:history="1">
        <w:r w:rsidRPr="003B7F48">
          <w:rPr>
            <w:rStyle w:val="Hyperlink"/>
            <w:rFonts w:asciiTheme="minorHAnsi" w:hAnsiTheme="minorHAnsi" w:cstheme="minorHAnsi"/>
            <w:bCs/>
            <w:sz w:val="22"/>
            <w:szCs w:val="22"/>
          </w:rPr>
          <w:t>new applicant tutorial</w:t>
        </w:r>
      </w:hyperlink>
      <w:r>
        <w:rPr>
          <w:rFonts w:asciiTheme="minorHAnsi" w:hAnsiTheme="minorHAnsi" w:cstheme="minorHAnsi"/>
          <w:bCs/>
          <w:sz w:val="22"/>
          <w:szCs w:val="22"/>
        </w:rPr>
        <w:t xml:space="preserve"> for guidance in providing performance data to demonstrate their past effectiveness in service basic skills-deficient eligible individuals. </w:t>
      </w:r>
      <w:r w:rsidR="00F70E1D">
        <w:rPr>
          <w:rFonts w:asciiTheme="minorHAnsi" w:hAnsiTheme="minorHAnsi" w:cstheme="minorHAnsi"/>
          <w:bCs/>
          <w:sz w:val="22"/>
          <w:szCs w:val="22"/>
        </w:rPr>
        <w:t xml:space="preserve">The tutorial provides guidance on locating the data in LACES and entering it into the Part III Adult Education Data workbook. </w:t>
      </w:r>
      <w:r>
        <w:rPr>
          <w:rFonts w:asciiTheme="minorHAnsi" w:hAnsiTheme="minorHAnsi" w:cstheme="minorHAnsi"/>
          <w:bCs/>
          <w:sz w:val="22"/>
          <w:szCs w:val="22"/>
        </w:rPr>
        <w:t>Applicants must provide sufficient citations and descriptions in the Part III workbook so DESE reviewers can determine the suitability of the submitted data. For example, an applicant may submit enrollment and completion rates in the target service. Another may submit pre- and post-assessment data for students.</w:t>
      </w:r>
    </w:p>
    <w:p w14:paraId="7F2F0951" w14:textId="77777777" w:rsidR="00243828" w:rsidRDefault="00243828" w:rsidP="00215BCC">
      <w:pPr>
        <w:tabs>
          <w:tab w:val="num" w:pos="720"/>
          <w:tab w:val="num" w:pos="1440"/>
        </w:tabs>
        <w:rPr>
          <w:rFonts w:asciiTheme="minorHAnsi" w:hAnsiTheme="minorHAnsi" w:cstheme="minorHAnsi"/>
          <w:bCs/>
          <w:sz w:val="22"/>
          <w:szCs w:val="22"/>
        </w:rPr>
      </w:pPr>
    </w:p>
    <w:sectPr w:rsidR="00243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67A89"/>
    <w:multiLevelType w:val="hybridMultilevel"/>
    <w:tmpl w:val="4DB6B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A12E4E"/>
    <w:multiLevelType w:val="hybridMultilevel"/>
    <w:tmpl w:val="41282096"/>
    <w:lvl w:ilvl="0" w:tplc="6E727D8E">
      <w:start w:val="1"/>
      <w:numFmt w:val="bullet"/>
      <w:lvlText w:val="•"/>
      <w:lvlJc w:val="left"/>
      <w:pPr>
        <w:tabs>
          <w:tab w:val="num" w:pos="720"/>
        </w:tabs>
        <w:ind w:left="720" w:hanging="360"/>
      </w:pPr>
      <w:rPr>
        <w:rFonts w:ascii="Arial" w:hAnsi="Arial" w:hint="default"/>
      </w:rPr>
    </w:lvl>
    <w:lvl w:ilvl="1" w:tplc="156AF608">
      <w:numFmt w:val="bullet"/>
      <w:lvlText w:val="•"/>
      <w:lvlJc w:val="left"/>
      <w:pPr>
        <w:tabs>
          <w:tab w:val="num" w:pos="1440"/>
        </w:tabs>
        <w:ind w:left="1440" w:hanging="360"/>
      </w:pPr>
      <w:rPr>
        <w:rFonts w:ascii="Arial" w:hAnsi="Arial" w:hint="default"/>
      </w:rPr>
    </w:lvl>
    <w:lvl w:ilvl="2" w:tplc="231C67A0" w:tentative="1">
      <w:start w:val="1"/>
      <w:numFmt w:val="bullet"/>
      <w:lvlText w:val="•"/>
      <w:lvlJc w:val="left"/>
      <w:pPr>
        <w:tabs>
          <w:tab w:val="num" w:pos="2160"/>
        </w:tabs>
        <w:ind w:left="2160" w:hanging="360"/>
      </w:pPr>
      <w:rPr>
        <w:rFonts w:ascii="Arial" w:hAnsi="Arial" w:hint="default"/>
      </w:rPr>
    </w:lvl>
    <w:lvl w:ilvl="3" w:tplc="EFB8FD54" w:tentative="1">
      <w:start w:val="1"/>
      <w:numFmt w:val="bullet"/>
      <w:lvlText w:val="•"/>
      <w:lvlJc w:val="left"/>
      <w:pPr>
        <w:tabs>
          <w:tab w:val="num" w:pos="2880"/>
        </w:tabs>
        <w:ind w:left="2880" w:hanging="360"/>
      </w:pPr>
      <w:rPr>
        <w:rFonts w:ascii="Arial" w:hAnsi="Arial" w:hint="default"/>
      </w:rPr>
    </w:lvl>
    <w:lvl w:ilvl="4" w:tplc="219EFF56" w:tentative="1">
      <w:start w:val="1"/>
      <w:numFmt w:val="bullet"/>
      <w:lvlText w:val="•"/>
      <w:lvlJc w:val="left"/>
      <w:pPr>
        <w:tabs>
          <w:tab w:val="num" w:pos="3600"/>
        </w:tabs>
        <w:ind w:left="3600" w:hanging="360"/>
      </w:pPr>
      <w:rPr>
        <w:rFonts w:ascii="Arial" w:hAnsi="Arial" w:hint="default"/>
      </w:rPr>
    </w:lvl>
    <w:lvl w:ilvl="5" w:tplc="09D8E276" w:tentative="1">
      <w:start w:val="1"/>
      <w:numFmt w:val="bullet"/>
      <w:lvlText w:val="•"/>
      <w:lvlJc w:val="left"/>
      <w:pPr>
        <w:tabs>
          <w:tab w:val="num" w:pos="4320"/>
        </w:tabs>
        <w:ind w:left="4320" w:hanging="360"/>
      </w:pPr>
      <w:rPr>
        <w:rFonts w:ascii="Arial" w:hAnsi="Arial" w:hint="default"/>
      </w:rPr>
    </w:lvl>
    <w:lvl w:ilvl="6" w:tplc="451C944C" w:tentative="1">
      <w:start w:val="1"/>
      <w:numFmt w:val="bullet"/>
      <w:lvlText w:val="•"/>
      <w:lvlJc w:val="left"/>
      <w:pPr>
        <w:tabs>
          <w:tab w:val="num" w:pos="5040"/>
        </w:tabs>
        <w:ind w:left="5040" w:hanging="360"/>
      </w:pPr>
      <w:rPr>
        <w:rFonts w:ascii="Arial" w:hAnsi="Arial" w:hint="default"/>
      </w:rPr>
    </w:lvl>
    <w:lvl w:ilvl="7" w:tplc="B582DF42" w:tentative="1">
      <w:start w:val="1"/>
      <w:numFmt w:val="bullet"/>
      <w:lvlText w:val="•"/>
      <w:lvlJc w:val="left"/>
      <w:pPr>
        <w:tabs>
          <w:tab w:val="num" w:pos="5760"/>
        </w:tabs>
        <w:ind w:left="5760" w:hanging="360"/>
      </w:pPr>
      <w:rPr>
        <w:rFonts w:ascii="Arial" w:hAnsi="Arial" w:hint="default"/>
      </w:rPr>
    </w:lvl>
    <w:lvl w:ilvl="8" w:tplc="6DC814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AE948C9"/>
    <w:multiLevelType w:val="hybridMultilevel"/>
    <w:tmpl w:val="F486762A"/>
    <w:lvl w:ilvl="0" w:tplc="840E744A">
      <w:start w:val="1"/>
      <w:numFmt w:val="bullet"/>
      <w:lvlText w:val="•"/>
      <w:lvlJc w:val="left"/>
      <w:pPr>
        <w:tabs>
          <w:tab w:val="num" w:pos="720"/>
        </w:tabs>
        <w:ind w:left="720" w:hanging="360"/>
      </w:pPr>
      <w:rPr>
        <w:rFonts w:ascii="Arial" w:hAnsi="Arial" w:hint="default"/>
      </w:rPr>
    </w:lvl>
    <w:lvl w:ilvl="1" w:tplc="BE542856">
      <w:numFmt w:val="bullet"/>
      <w:lvlText w:val="o"/>
      <w:lvlJc w:val="left"/>
      <w:pPr>
        <w:tabs>
          <w:tab w:val="num" w:pos="1440"/>
        </w:tabs>
        <w:ind w:left="1440" w:hanging="360"/>
      </w:pPr>
      <w:rPr>
        <w:rFonts w:ascii="Courier New" w:hAnsi="Courier New" w:hint="default"/>
      </w:rPr>
    </w:lvl>
    <w:lvl w:ilvl="2" w:tplc="CDE8B5B8" w:tentative="1">
      <w:start w:val="1"/>
      <w:numFmt w:val="bullet"/>
      <w:lvlText w:val="•"/>
      <w:lvlJc w:val="left"/>
      <w:pPr>
        <w:tabs>
          <w:tab w:val="num" w:pos="2160"/>
        </w:tabs>
        <w:ind w:left="2160" w:hanging="360"/>
      </w:pPr>
      <w:rPr>
        <w:rFonts w:ascii="Arial" w:hAnsi="Arial" w:hint="default"/>
      </w:rPr>
    </w:lvl>
    <w:lvl w:ilvl="3" w:tplc="D9FACF7E" w:tentative="1">
      <w:start w:val="1"/>
      <w:numFmt w:val="bullet"/>
      <w:lvlText w:val="•"/>
      <w:lvlJc w:val="left"/>
      <w:pPr>
        <w:tabs>
          <w:tab w:val="num" w:pos="2880"/>
        </w:tabs>
        <w:ind w:left="2880" w:hanging="360"/>
      </w:pPr>
      <w:rPr>
        <w:rFonts w:ascii="Arial" w:hAnsi="Arial" w:hint="default"/>
      </w:rPr>
    </w:lvl>
    <w:lvl w:ilvl="4" w:tplc="BF9E8FB2" w:tentative="1">
      <w:start w:val="1"/>
      <w:numFmt w:val="bullet"/>
      <w:lvlText w:val="•"/>
      <w:lvlJc w:val="left"/>
      <w:pPr>
        <w:tabs>
          <w:tab w:val="num" w:pos="3600"/>
        </w:tabs>
        <w:ind w:left="3600" w:hanging="360"/>
      </w:pPr>
      <w:rPr>
        <w:rFonts w:ascii="Arial" w:hAnsi="Arial" w:hint="default"/>
      </w:rPr>
    </w:lvl>
    <w:lvl w:ilvl="5" w:tplc="1C3690F6" w:tentative="1">
      <w:start w:val="1"/>
      <w:numFmt w:val="bullet"/>
      <w:lvlText w:val="•"/>
      <w:lvlJc w:val="left"/>
      <w:pPr>
        <w:tabs>
          <w:tab w:val="num" w:pos="4320"/>
        </w:tabs>
        <w:ind w:left="4320" w:hanging="360"/>
      </w:pPr>
      <w:rPr>
        <w:rFonts w:ascii="Arial" w:hAnsi="Arial" w:hint="default"/>
      </w:rPr>
    </w:lvl>
    <w:lvl w:ilvl="6" w:tplc="B344AF86" w:tentative="1">
      <w:start w:val="1"/>
      <w:numFmt w:val="bullet"/>
      <w:lvlText w:val="•"/>
      <w:lvlJc w:val="left"/>
      <w:pPr>
        <w:tabs>
          <w:tab w:val="num" w:pos="5040"/>
        </w:tabs>
        <w:ind w:left="5040" w:hanging="360"/>
      </w:pPr>
      <w:rPr>
        <w:rFonts w:ascii="Arial" w:hAnsi="Arial" w:hint="default"/>
      </w:rPr>
    </w:lvl>
    <w:lvl w:ilvl="7" w:tplc="1C8EE374" w:tentative="1">
      <w:start w:val="1"/>
      <w:numFmt w:val="bullet"/>
      <w:lvlText w:val="•"/>
      <w:lvlJc w:val="left"/>
      <w:pPr>
        <w:tabs>
          <w:tab w:val="num" w:pos="5760"/>
        </w:tabs>
        <w:ind w:left="5760" w:hanging="360"/>
      </w:pPr>
      <w:rPr>
        <w:rFonts w:ascii="Arial" w:hAnsi="Arial" w:hint="default"/>
      </w:rPr>
    </w:lvl>
    <w:lvl w:ilvl="8" w:tplc="90F6B4D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420"/>
    <w:rsid w:val="00016F47"/>
    <w:rsid w:val="000A19FA"/>
    <w:rsid w:val="00106F36"/>
    <w:rsid w:val="00141181"/>
    <w:rsid w:val="00141EC6"/>
    <w:rsid w:val="00144241"/>
    <w:rsid w:val="001A4004"/>
    <w:rsid w:val="001B3868"/>
    <w:rsid w:val="001B3BC1"/>
    <w:rsid w:val="00215BCC"/>
    <w:rsid w:val="00243828"/>
    <w:rsid w:val="00291631"/>
    <w:rsid w:val="002D0ED3"/>
    <w:rsid w:val="00313B01"/>
    <w:rsid w:val="003A1C4C"/>
    <w:rsid w:val="003B7F48"/>
    <w:rsid w:val="004A6A77"/>
    <w:rsid w:val="004C1353"/>
    <w:rsid w:val="004E2857"/>
    <w:rsid w:val="004F782A"/>
    <w:rsid w:val="00534C62"/>
    <w:rsid w:val="006A428E"/>
    <w:rsid w:val="006F454C"/>
    <w:rsid w:val="00711736"/>
    <w:rsid w:val="007121C1"/>
    <w:rsid w:val="00716CC4"/>
    <w:rsid w:val="007A1E07"/>
    <w:rsid w:val="007D599D"/>
    <w:rsid w:val="00832654"/>
    <w:rsid w:val="008C03DF"/>
    <w:rsid w:val="00962C06"/>
    <w:rsid w:val="009A0E44"/>
    <w:rsid w:val="009D2A2C"/>
    <w:rsid w:val="00A83AE3"/>
    <w:rsid w:val="00AB50C4"/>
    <w:rsid w:val="00B058F6"/>
    <w:rsid w:val="00B87B06"/>
    <w:rsid w:val="00B939B4"/>
    <w:rsid w:val="00BA63FE"/>
    <w:rsid w:val="00BF574D"/>
    <w:rsid w:val="00C06A5F"/>
    <w:rsid w:val="00D06F92"/>
    <w:rsid w:val="00D24CCF"/>
    <w:rsid w:val="00D34363"/>
    <w:rsid w:val="00D36420"/>
    <w:rsid w:val="00D45C85"/>
    <w:rsid w:val="00D53417"/>
    <w:rsid w:val="00D54769"/>
    <w:rsid w:val="00D93F97"/>
    <w:rsid w:val="00DB7CFD"/>
    <w:rsid w:val="00DE047A"/>
    <w:rsid w:val="00E3146A"/>
    <w:rsid w:val="00E34005"/>
    <w:rsid w:val="00E54EA0"/>
    <w:rsid w:val="00E81F70"/>
    <w:rsid w:val="00EC6763"/>
    <w:rsid w:val="00EE77CC"/>
    <w:rsid w:val="00F034E7"/>
    <w:rsid w:val="00F1733D"/>
    <w:rsid w:val="00F70E1D"/>
    <w:rsid w:val="00FC1A17"/>
    <w:rsid w:val="00FE1AE8"/>
    <w:rsid w:val="00FE499E"/>
    <w:rsid w:val="097CE698"/>
    <w:rsid w:val="357E1B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56AF"/>
  <w15:chartTrackingRefBased/>
  <w15:docId w15:val="{57514F31-3B50-440E-A1C9-3880F98C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4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36420"/>
    <w:rPr>
      <w:color w:val="0000FF"/>
      <w:u w:val="single"/>
    </w:rPr>
  </w:style>
  <w:style w:type="paragraph" w:styleId="Header">
    <w:name w:val="header"/>
    <w:basedOn w:val="Normal"/>
    <w:link w:val="HeaderChar"/>
    <w:uiPriority w:val="99"/>
    <w:rsid w:val="00D36420"/>
    <w:pPr>
      <w:tabs>
        <w:tab w:val="center" w:pos="4680"/>
        <w:tab w:val="right" w:pos="9360"/>
      </w:tabs>
    </w:pPr>
  </w:style>
  <w:style w:type="character" w:customStyle="1" w:styleId="HeaderChar">
    <w:name w:val="Header Char"/>
    <w:basedOn w:val="DefaultParagraphFont"/>
    <w:link w:val="Header"/>
    <w:uiPriority w:val="99"/>
    <w:rsid w:val="00D36420"/>
    <w:rPr>
      <w:rFonts w:ascii="Times New Roman" w:eastAsia="Times New Roman" w:hAnsi="Times New Roman" w:cs="Times New Roman"/>
      <w:sz w:val="24"/>
      <w:szCs w:val="24"/>
    </w:rPr>
  </w:style>
  <w:style w:type="character" w:styleId="CommentReference">
    <w:name w:val="annotation reference"/>
    <w:rsid w:val="00D36420"/>
    <w:rPr>
      <w:sz w:val="16"/>
      <w:szCs w:val="16"/>
    </w:rPr>
  </w:style>
  <w:style w:type="paragraph" w:styleId="CommentText">
    <w:name w:val="annotation text"/>
    <w:basedOn w:val="Normal"/>
    <w:link w:val="CommentTextChar"/>
    <w:rsid w:val="00D36420"/>
    <w:rPr>
      <w:sz w:val="20"/>
      <w:szCs w:val="20"/>
    </w:rPr>
  </w:style>
  <w:style w:type="character" w:customStyle="1" w:styleId="CommentTextChar">
    <w:name w:val="Comment Text Char"/>
    <w:basedOn w:val="DefaultParagraphFont"/>
    <w:link w:val="CommentText"/>
    <w:rsid w:val="00D36420"/>
    <w:rPr>
      <w:rFonts w:ascii="Times New Roman" w:eastAsia="Times New Roman" w:hAnsi="Times New Roman" w:cs="Times New Roman"/>
      <w:sz w:val="20"/>
      <w:szCs w:val="20"/>
    </w:rPr>
  </w:style>
  <w:style w:type="character" w:styleId="Mention">
    <w:name w:val="Mention"/>
    <w:basedOn w:val="DefaultParagraphFont"/>
    <w:uiPriority w:val="99"/>
    <w:unhideWhenUsed/>
    <w:rsid w:val="00D36420"/>
    <w:rPr>
      <w:color w:val="2B579A"/>
      <w:shd w:val="clear" w:color="auto" w:fill="E6E6E6"/>
    </w:rPr>
  </w:style>
  <w:style w:type="character" w:styleId="UnresolvedMention">
    <w:name w:val="Unresolved Mention"/>
    <w:basedOn w:val="DefaultParagraphFont"/>
    <w:uiPriority w:val="99"/>
    <w:unhideWhenUsed/>
    <w:rsid w:val="007D599D"/>
    <w:rPr>
      <w:color w:val="605E5C"/>
      <w:shd w:val="clear" w:color="auto" w:fill="E1DFDD"/>
    </w:rPr>
  </w:style>
  <w:style w:type="paragraph" w:styleId="NormalWeb">
    <w:name w:val="Normal (Web)"/>
    <w:basedOn w:val="Normal"/>
    <w:uiPriority w:val="99"/>
    <w:semiHidden/>
    <w:unhideWhenUsed/>
    <w:rsid w:val="00243828"/>
  </w:style>
  <w:style w:type="paragraph" w:styleId="CommentSubject">
    <w:name w:val="annotation subject"/>
    <w:basedOn w:val="CommentText"/>
    <w:next w:val="CommentText"/>
    <w:link w:val="CommentSubjectChar"/>
    <w:uiPriority w:val="99"/>
    <w:semiHidden/>
    <w:unhideWhenUsed/>
    <w:rsid w:val="00B058F6"/>
    <w:rPr>
      <w:b/>
      <w:bCs/>
    </w:rPr>
  </w:style>
  <w:style w:type="character" w:customStyle="1" w:styleId="CommentSubjectChar">
    <w:name w:val="Comment Subject Char"/>
    <w:basedOn w:val="CommentTextChar"/>
    <w:link w:val="CommentSubject"/>
    <w:uiPriority w:val="99"/>
    <w:semiHidden/>
    <w:rsid w:val="00B058F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712919">
      <w:bodyDiv w:val="1"/>
      <w:marLeft w:val="0"/>
      <w:marRight w:val="0"/>
      <w:marTop w:val="0"/>
      <w:marBottom w:val="0"/>
      <w:divBdr>
        <w:top w:val="none" w:sz="0" w:space="0" w:color="auto"/>
        <w:left w:val="none" w:sz="0" w:space="0" w:color="auto"/>
        <w:bottom w:val="none" w:sz="0" w:space="0" w:color="auto"/>
        <w:right w:val="none" w:sz="0" w:space="0" w:color="auto"/>
      </w:divBdr>
      <w:divsChild>
        <w:div w:id="485629572">
          <w:marLeft w:val="461"/>
          <w:marRight w:val="0"/>
          <w:marTop w:val="0"/>
          <w:marBottom w:val="163"/>
          <w:divBdr>
            <w:top w:val="none" w:sz="0" w:space="0" w:color="auto"/>
            <w:left w:val="none" w:sz="0" w:space="0" w:color="auto"/>
            <w:bottom w:val="none" w:sz="0" w:space="0" w:color="auto"/>
            <w:right w:val="none" w:sz="0" w:space="0" w:color="auto"/>
          </w:divBdr>
        </w:div>
        <w:div w:id="672491979">
          <w:marLeft w:val="1195"/>
          <w:marRight w:val="0"/>
          <w:marTop w:val="0"/>
          <w:marBottom w:val="163"/>
          <w:divBdr>
            <w:top w:val="none" w:sz="0" w:space="0" w:color="auto"/>
            <w:left w:val="none" w:sz="0" w:space="0" w:color="auto"/>
            <w:bottom w:val="none" w:sz="0" w:space="0" w:color="auto"/>
            <w:right w:val="none" w:sz="0" w:space="0" w:color="auto"/>
          </w:divBdr>
        </w:div>
        <w:div w:id="2069760360">
          <w:marLeft w:val="1195"/>
          <w:marRight w:val="0"/>
          <w:marTop w:val="0"/>
          <w:marBottom w:val="163"/>
          <w:divBdr>
            <w:top w:val="none" w:sz="0" w:space="0" w:color="auto"/>
            <w:left w:val="none" w:sz="0" w:space="0" w:color="auto"/>
            <w:bottom w:val="none" w:sz="0" w:space="0" w:color="auto"/>
            <w:right w:val="none" w:sz="0" w:space="0" w:color="auto"/>
          </w:divBdr>
        </w:div>
        <w:div w:id="1614901323">
          <w:marLeft w:val="1195"/>
          <w:marRight w:val="0"/>
          <w:marTop w:val="0"/>
          <w:marBottom w:val="163"/>
          <w:divBdr>
            <w:top w:val="none" w:sz="0" w:space="0" w:color="auto"/>
            <w:left w:val="none" w:sz="0" w:space="0" w:color="auto"/>
            <w:bottom w:val="none" w:sz="0" w:space="0" w:color="auto"/>
            <w:right w:val="none" w:sz="0" w:space="0" w:color="auto"/>
          </w:divBdr>
        </w:div>
        <w:div w:id="1817331252">
          <w:marLeft w:val="461"/>
          <w:marRight w:val="0"/>
          <w:marTop w:val="0"/>
          <w:marBottom w:val="163"/>
          <w:divBdr>
            <w:top w:val="none" w:sz="0" w:space="0" w:color="auto"/>
            <w:left w:val="none" w:sz="0" w:space="0" w:color="auto"/>
            <w:bottom w:val="none" w:sz="0" w:space="0" w:color="auto"/>
            <w:right w:val="none" w:sz="0" w:space="0" w:color="auto"/>
          </w:divBdr>
        </w:div>
      </w:divsChild>
    </w:div>
    <w:div w:id="1615669431">
      <w:bodyDiv w:val="1"/>
      <w:marLeft w:val="0"/>
      <w:marRight w:val="0"/>
      <w:marTop w:val="0"/>
      <w:marBottom w:val="0"/>
      <w:divBdr>
        <w:top w:val="none" w:sz="0" w:space="0" w:color="auto"/>
        <w:left w:val="none" w:sz="0" w:space="0" w:color="auto"/>
        <w:bottom w:val="none" w:sz="0" w:space="0" w:color="auto"/>
        <w:right w:val="none" w:sz="0" w:space="0" w:color="auto"/>
      </w:divBdr>
      <w:divsChild>
        <w:div w:id="231738672">
          <w:marLeft w:val="360"/>
          <w:marRight w:val="0"/>
          <w:marTop w:val="200"/>
          <w:marBottom w:val="0"/>
          <w:divBdr>
            <w:top w:val="none" w:sz="0" w:space="0" w:color="auto"/>
            <w:left w:val="none" w:sz="0" w:space="0" w:color="auto"/>
            <w:bottom w:val="none" w:sz="0" w:space="0" w:color="auto"/>
            <w:right w:val="none" w:sz="0" w:space="0" w:color="auto"/>
          </w:divBdr>
        </w:div>
        <w:div w:id="237908862">
          <w:marLeft w:val="1166"/>
          <w:marRight w:val="0"/>
          <w:marTop w:val="100"/>
          <w:marBottom w:val="0"/>
          <w:divBdr>
            <w:top w:val="none" w:sz="0" w:space="0" w:color="auto"/>
            <w:left w:val="none" w:sz="0" w:space="0" w:color="auto"/>
            <w:bottom w:val="none" w:sz="0" w:space="0" w:color="auto"/>
            <w:right w:val="none" w:sz="0" w:space="0" w:color="auto"/>
          </w:divBdr>
        </w:div>
        <w:div w:id="236549776">
          <w:marLeft w:val="1166"/>
          <w:marRight w:val="0"/>
          <w:marTop w:val="100"/>
          <w:marBottom w:val="0"/>
          <w:divBdr>
            <w:top w:val="none" w:sz="0" w:space="0" w:color="auto"/>
            <w:left w:val="none" w:sz="0" w:space="0" w:color="auto"/>
            <w:bottom w:val="none" w:sz="0" w:space="0" w:color="auto"/>
            <w:right w:val="none" w:sz="0" w:space="0" w:color="auto"/>
          </w:divBdr>
        </w:div>
        <w:div w:id="938754670">
          <w:marLeft w:val="1166"/>
          <w:marRight w:val="0"/>
          <w:marTop w:val="100"/>
          <w:marBottom w:val="0"/>
          <w:divBdr>
            <w:top w:val="none" w:sz="0" w:space="0" w:color="auto"/>
            <w:left w:val="none" w:sz="0" w:space="0" w:color="auto"/>
            <w:bottom w:val="none" w:sz="0" w:space="0" w:color="auto"/>
            <w:right w:val="none" w:sz="0" w:space="0" w:color="auto"/>
          </w:divBdr>
        </w:div>
        <w:div w:id="1718580672">
          <w:marLeft w:val="360"/>
          <w:marRight w:val="0"/>
          <w:marTop w:val="200"/>
          <w:marBottom w:val="0"/>
          <w:divBdr>
            <w:top w:val="none" w:sz="0" w:space="0" w:color="auto"/>
            <w:left w:val="none" w:sz="0" w:space="0" w:color="auto"/>
            <w:bottom w:val="none" w:sz="0" w:space="0" w:color="auto"/>
            <w:right w:val="none" w:sz="0" w:space="0" w:color="auto"/>
          </w:divBdr>
        </w:div>
        <w:div w:id="1445491832">
          <w:marLeft w:val="1166"/>
          <w:marRight w:val="0"/>
          <w:marTop w:val="100"/>
          <w:marBottom w:val="0"/>
          <w:divBdr>
            <w:top w:val="none" w:sz="0" w:space="0" w:color="auto"/>
            <w:left w:val="none" w:sz="0" w:space="0" w:color="auto"/>
            <w:bottom w:val="none" w:sz="0" w:space="0" w:color="auto"/>
            <w:right w:val="none" w:sz="0" w:space="0" w:color="auto"/>
          </w:divBdr>
        </w:div>
        <w:div w:id="258955393">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bee1106de992709cf4423b6a5c4a8735&amp;mc=true&amp;node=pt34.3.463&amp;rgn=div5" TargetMode="External"/><Relationship Id="rId13" Type="http://schemas.openxmlformats.org/officeDocument/2006/relationships/hyperlink" Target="https://www.doe.mass.edu/grants/2024/340-345-359/partiii-ae-data-new-applicants.xls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grants/2024/340-345-359/partiii-ae-data-current-grantees.xls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subtitle-B/chapter-IV/part-463/subpart-C/section-463.20" TargetMode="External"/><Relationship Id="rId5" Type="http://schemas.openxmlformats.org/officeDocument/2006/relationships/styles" Target="styles.xml"/><Relationship Id="rId15" Type="http://schemas.openxmlformats.org/officeDocument/2006/relationships/hyperlink" Target="https://youtu.be/-jk1jng-fCo" TargetMode="External"/><Relationship Id="rId10" Type="http://schemas.openxmlformats.org/officeDocument/2006/relationships/hyperlink" Target="https://www.ecfr.gov/cgi-bin/text-idx?SID=bee1106de992709cf4423b6a5c4a8735&amp;mc=true&amp;node=pt34.3.463&amp;rgn=div5" TargetMode="External"/><Relationship Id="rId4" Type="http://schemas.openxmlformats.org/officeDocument/2006/relationships/numbering" Target="numbering.xml"/><Relationship Id="rId9" Type="http://schemas.openxmlformats.org/officeDocument/2006/relationships/hyperlink" Target="https://www.ecfr.gov/cgi-bin/text-idx?SID=bee1106de992709cf4423b6a5c4a8735&amp;mc=true&amp;node=pt34.3.463&amp;rgn=div5" TargetMode="External"/><Relationship Id="rId14" Type="http://schemas.openxmlformats.org/officeDocument/2006/relationships/hyperlink" Target="https://youtu.be/E3OoE1VEML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B8C1FD5C9134CB26E0C2FBC6A097A" ma:contentTypeVersion="12" ma:contentTypeDescription="Create a new document." ma:contentTypeScope="" ma:versionID="e534b4b63dd78d9639c304bc9ec8b0ac">
  <xsd:schema xmlns:xsd="http://www.w3.org/2001/XMLSchema" xmlns:xs="http://www.w3.org/2001/XMLSchema" xmlns:p="http://schemas.microsoft.com/office/2006/metadata/properties" xmlns:ns2="21f63a5e-6b78-480d-a378-4132d50da5af" xmlns:ns3="88d98d3a-7bfc-4e1a-a060-27e5f8042f12" targetNamespace="http://schemas.microsoft.com/office/2006/metadata/properties" ma:root="true" ma:fieldsID="cd6d591d33e78305e060429caac1a961" ns2:_="" ns3:_="">
    <xsd:import namespace="21f63a5e-6b78-480d-a378-4132d50da5af"/>
    <xsd:import namespace="88d98d3a-7bfc-4e1a-a060-27e5f8042f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63a5e-6b78-480d-a378-4132d50da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98d3a-7bfc-4e1a-a060-27e5f8042f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fcf7691-0f04-488c-9ca2-92f710ba5bbd}" ma:internalName="TaxCatchAll" ma:showField="CatchAllData" ma:web="88d98d3a-7bfc-4e1a-a060-27e5f8042f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8d98d3a-7bfc-4e1a-a060-27e5f8042f12">
      <UserInfo>
        <DisplayName>Stevens-Carter, Wyvonne (DESE)</DisplayName>
        <AccountId>19</AccountId>
        <AccountType/>
      </UserInfo>
      <UserInfo>
        <DisplayName>Chuang, Cliff (DESE)</DisplayName>
        <AccountId>29</AccountId>
        <AccountType/>
      </UserInfo>
      <UserInfo>
        <DisplayName>Conway, Jolanta (DESE)</DisplayName>
        <AccountId>23</AccountId>
        <AccountType/>
      </UserInfo>
    </SharedWithUsers>
    <TaxCatchAll xmlns="88d98d3a-7bfc-4e1a-a060-27e5f8042f12" xsi:nil="true"/>
    <lcf76f155ced4ddcb4097134ff3c332f xmlns="21f63a5e-6b78-480d-a378-4132d50da5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B93173-ACF7-4792-9FBE-0A9223D3C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63a5e-6b78-480d-a378-4132d50da5af"/>
    <ds:schemaRef ds:uri="88d98d3a-7bfc-4e1a-a060-27e5f8042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43A28D-B5E7-40EA-950C-D957F27D8E10}">
  <ds:schemaRefs>
    <ds:schemaRef ds:uri="http://schemas.microsoft.com/sharepoint/v3/contenttype/forms"/>
  </ds:schemaRefs>
</ds:datastoreItem>
</file>

<file path=customXml/itemProps3.xml><?xml version="1.0" encoding="utf-8"?>
<ds:datastoreItem xmlns:ds="http://schemas.openxmlformats.org/officeDocument/2006/customXml" ds:itemID="{3A5610F1-3AD7-4040-A9F6-8E18843258B5}">
  <ds:schemaRefs>
    <ds:schemaRef ds:uri="http://schemas.microsoft.com/office/2006/metadata/properties"/>
    <ds:schemaRef ds:uri="http://schemas.microsoft.com/office/infopath/2007/PartnerControls"/>
    <ds:schemaRef ds:uri="88d98d3a-7bfc-4e1a-a060-27e5f8042f12"/>
    <ds:schemaRef ds:uri="21f63a5e-6b78-480d-a378-4132d50da5af"/>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FY2024 FC 340 345 359 Adult Education and Family Literacy Services Part III</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340 345 359 Adult Education and Family Literacy Services Part III</dc:title>
  <dc:subject/>
  <dc:creator>DESE</dc:creator>
  <cp:keywords/>
  <dc:description/>
  <cp:lastModifiedBy>Zou, Dong (EOE)</cp:lastModifiedBy>
  <cp:revision>23</cp:revision>
  <dcterms:created xsi:type="dcterms:W3CDTF">2022-07-06T16:58:00Z</dcterms:created>
  <dcterms:modified xsi:type="dcterms:W3CDTF">2022-09-22T20:40:00Z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2022</vt:lpwstr>
  </property>
</Properties>
</file>