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907D4" w14:textId="6E0D0C25" w:rsidR="00886E5E" w:rsidRPr="0036078E" w:rsidRDefault="00920E8A" w:rsidP="00920E8A">
      <w:pPr>
        <w:spacing w:after="0" w:line="240" w:lineRule="auto"/>
        <w:jc w:val="center"/>
        <w:rPr>
          <w:rFonts w:ascii="Aparajita" w:hAnsi="Aparajita" w:cs="Aparajita"/>
          <w:b/>
          <w:sz w:val="20"/>
          <w:szCs w:val="20"/>
        </w:rPr>
      </w:pPr>
      <w:r>
        <w:rPr>
          <w:rFonts w:ascii="Aparajita" w:hAnsi="Aparajita" w:cs="Aparajita"/>
          <w:b/>
          <w:sz w:val="20"/>
          <w:szCs w:val="20"/>
        </w:rPr>
        <w:t>D</w:t>
      </w:r>
      <w:r w:rsidR="00886E5E" w:rsidRPr="0036078E">
        <w:rPr>
          <w:rFonts w:ascii="Aparajita" w:hAnsi="Aparajita" w:cs="Aparajita"/>
          <w:b/>
          <w:sz w:val="20"/>
          <w:szCs w:val="20"/>
        </w:rPr>
        <w:t xml:space="preserve">ESE/ACLS RFP for Adult </w:t>
      </w:r>
      <w:r w:rsidR="00824FF6" w:rsidRPr="0036078E">
        <w:rPr>
          <w:rFonts w:ascii="Aparajita" w:hAnsi="Aparajita" w:cs="Aparajita"/>
          <w:b/>
          <w:sz w:val="20"/>
          <w:szCs w:val="20"/>
        </w:rPr>
        <w:t>Education</w:t>
      </w:r>
    </w:p>
    <w:p w14:paraId="1AE907D5" w14:textId="12EA15EF" w:rsidR="003E325E" w:rsidRPr="0036078E" w:rsidRDefault="00886E5E" w:rsidP="00920E8A">
      <w:pPr>
        <w:spacing w:after="0" w:line="240" w:lineRule="auto"/>
        <w:jc w:val="center"/>
        <w:rPr>
          <w:rFonts w:ascii="Aparajita" w:hAnsi="Aparajita" w:cs="Aparajita"/>
          <w:b/>
          <w:sz w:val="20"/>
          <w:szCs w:val="20"/>
        </w:rPr>
      </w:pPr>
      <w:r w:rsidRPr="0036078E">
        <w:rPr>
          <w:rFonts w:ascii="Aparajita" w:hAnsi="Aparajita" w:cs="Aparajita"/>
          <w:b/>
          <w:sz w:val="20"/>
          <w:szCs w:val="20"/>
        </w:rPr>
        <w:t xml:space="preserve">Table 1: </w:t>
      </w:r>
      <w:r w:rsidR="00A529BD" w:rsidRPr="0036078E">
        <w:rPr>
          <w:rFonts w:ascii="Aparajita" w:hAnsi="Aparajita" w:cs="Aparajita"/>
          <w:b/>
          <w:sz w:val="20"/>
          <w:szCs w:val="20"/>
        </w:rPr>
        <w:t>FY20</w:t>
      </w:r>
      <w:r w:rsidR="00C82F1B">
        <w:rPr>
          <w:rFonts w:ascii="Aparajita" w:hAnsi="Aparajita" w:cs="Aparajita"/>
          <w:b/>
          <w:sz w:val="20"/>
          <w:szCs w:val="20"/>
        </w:rPr>
        <w:t>24</w:t>
      </w:r>
      <w:r w:rsidR="00A529BD" w:rsidRPr="0036078E">
        <w:rPr>
          <w:rFonts w:ascii="Aparajita" w:hAnsi="Aparajita" w:cs="Aparajita"/>
          <w:b/>
          <w:sz w:val="20"/>
          <w:szCs w:val="20"/>
        </w:rPr>
        <w:t xml:space="preserve"> </w:t>
      </w:r>
      <w:r w:rsidRPr="0036078E">
        <w:rPr>
          <w:rFonts w:ascii="Aparajita" w:hAnsi="Aparajita" w:cs="Aparajita"/>
          <w:b/>
          <w:sz w:val="20"/>
          <w:szCs w:val="20"/>
        </w:rPr>
        <w:t xml:space="preserve">Funding </w:t>
      </w:r>
      <w:r w:rsidR="003E344C" w:rsidRPr="0036078E">
        <w:rPr>
          <w:rFonts w:ascii="Aparajita" w:hAnsi="Aparajita" w:cs="Aparajita"/>
          <w:b/>
          <w:sz w:val="20"/>
          <w:szCs w:val="20"/>
        </w:rPr>
        <w:t>Projections</w:t>
      </w:r>
    </w:p>
    <w:p w14:paraId="1AE907D6" w14:textId="77777777" w:rsidR="00824FF6" w:rsidRPr="0036078E" w:rsidRDefault="00824FF6" w:rsidP="00824FF6">
      <w:pPr>
        <w:spacing w:after="0"/>
        <w:jc w:val="center"/>
        <w:rPr>
          <w:rFonts w:ascii="Aparajita" w:hAnsi="Aparajita" w:cs="Aparajita"/>
          <w:b/>
          <w:sz w:val="20"/>
          <w:szCs w:val="20"/>
        </w:rPr>
      </w:pPr>
    </w:p>
    <w:tbl>
      <w:tblPr>
        <w:tblStyle w:val="TableGrid"/>
        <w:tblW w:w="0" w:type="auto"/>
        <w:tblLook w:val="04A0" w:firstRow="1" w:lastRow="0" w:firstColumn="1" w:lastColumn="0" w:noHBand="0" w:noVBand="1"/>
      </w:tblPr>
      <w:tblGrid>
        <w:gridCol w:w="9638"/>
      </w:tblGrid>
      <w:tr w:rsidR="000547EE" w14:paraId="62348576" w14:textId="77777777" w:rsidTr="00E17187">
        <w:tc>
          <w:tcPr>
            <w:tcW w:w="9738" w:type="dxa"/>
          </w:tcPr>
          <w:p w14:paraId="3E1FBA22" w14:textId="795B486B" w:rsidR="000547EE" w:rsidRDefault="006730A4" w:rsidP="00705ED0">
            <w:pPr>
              <w:rPr>
                <w:rFonts w:ascii="Aparajita" w:hAnsi="Aparajita" w:cs="Aparajita"/>
                <w:sz w:val="20"/>
                <w:szCs w:val="20"/>
              </w:rPr>
            </w:pPr>
            <w:r w:rsidRPr="0036078E">
              <w:rPr>
                <w:rFonts w:ascii="Aparajita" w:hAnsi="Aparajita" w:cs="Aparajita"/>
                <w:b/>
                <w:sz w:val="20"/>
                <w:szCs w:val="20"/>
              </w:rPr>
              <w:t xml:space="preserve">Competition by Local Workforce Area </w:t>
            </w:r>
            <w:r w:rsidRPr="0036078E">
              <w:rPr>
                <w:rFonts w:ascii="Aparajita" w:hAnsi="Aparajita" w:cs="Aparajita"/>
                <w:b/>
                <w:sz w:val="20"/>
                <w:szCs w:val="20"/>
              </w:rPr>
              <w:tab/>
            </w:r>
            <w:r w:rsidRPr="0036078E">
              <w:rPr>
                <w:rFonts w:ascii="Aparajita" w:hAnsi="Aparajita" w:cs="Aparajita"/>
                <w:b/>
                <w:sz w:val="20"/>
                <w:szCs w:val="20"/>
              </w:rPr>
              <w:tab/>
            </w:r>
            <w:r w:rsidRPr="0036078E">
              <w:rPr>
                <w:rFonts w:ascii="Aparajita" w:hAnsi="Aparajita" w:cs="Aparajita"/>
                <w:b/>
                <w:sz w:val="20"/>
                <w:szCs w:val="20"/>
              </w:rPr>
              <w:tab/>
            </w:r>
            <w:r>
              <w:rPr>
                <w:rFonts w:ascii="Aparajita" w:hAnsi="Aparajita" w:cs="Aparajita"/>
                <w:b/>
                <w:sz w:val="20"/>
                <w:szCs w:val="20"/>
              </w:rPr>
              <w:t xml:space="preserve">                                    </w:t>
            </w:r>
            <w:r w:rsidRPr="0036078E">
              <w:rPr>
                <w:rFonts w:ascii="Aparajita" w:hAnsi="Aparajita" w:cs="Aparajita"/>
                <w:b/>
                <w:sz w:val="20"/>
                <w:szCs w:val="20"/>
              </w:rPr>
              <w:tab/>
            </w:r>
            <w:r w:rsidRPr="0036078E">
              <w:rPr>
                <w:rFonts w:ascii="Aparajita" w:hAnsi="Aparajita" w:cs="Aparajita"/>
                <w:b/>
                <w:sz w:val="20"/>
                <w:szCs w:val="20"/>
              </w:rPr>
              <w:tab/>
            </w:r>
            <w:r w:rsidR="00705ED0">
              <w:rPr>
                <w:rFonts w:ascii="Aparajita" w:hAnsi="Aparajita" w:cs="Aparajita"/>
                <w:b/>
                <w:sz w:val="20"/>
                <w:szCs w:val="20"/>
              </w:rPr>
              <w:t xml:space="preserve">           </w:t>
            </w:r>
            <w:r w:rsidRPr="0036078E">
              <w:rPr>
                <w:rFonts w:ascii="Aparajita" w:hAnsi="Aparajita" w:cs="Aparajita"/>
                <w:b/>
                <w:sz w:val="20"/>
                <w:szCs w:val="20"/>
              </w:rPr>
              <w:t>Fund codes: 340, 345, 359</w:t>
            </w:r>
          </w:p>
        </w:tc>
      </w:tr>
    </w:tbl>
    <w:p w14:paraId="1AE907D8" w14:textId="77777777" w:rsidR="00D22E08" w:rsidRPr="0036078E" w:rsidRDefault="00D22E08" w:rsidP="00824FF6">
      <w:pPr>
        <w:spacing w:after="0"/>
        <w:rPr>
          <w:rFonts w:ascii="Aparajita" w:hAnsi="Aparajita" w:cs="Aparajita"/>
          <w:sz w:val="20"/>
          <w:szCs w:val="20"/>
        </w:rPr>
      </w:pPr>
    </w:p>
    <w:p w14:paraId="1AE907D9" w14:textId="77777777" w:rsidR="003E344C" w:rsidRPr="009702CA" w:rsidRDefault="00F65329" w:rsidP="009A0B2D">
      <w:pPr>
        <w:rPr>
          <w:rFonts w:cstheme="minorHAnsi"/>
          <w:sz w:val="20"/>
          <w:szCs w:val="20"/>
        </w:rPr>
      </w:pPr>
      <w:r w:rsidRPr="009702CA">
        <w:rPr>
          <w:rFonts w:cstheme="minorHAnsi"/>
          <w:sz w:val="20"/>
          <w:szCs w:val="20"/>
        </w:rPr>
        <w:t>Important context for these projections</w:t>
      </w:r>
      <w:r w:rsidR="003E344C" w:rsidRPr="009702CA">
        <w:rPr>
          <w:rFonts w:cstheme="minorHAnsi"/>
          <w:sz w:val="20"/>
          <w:szCs w:val="20"/>
        </w:rPr>
        <w:t xml:space="preserve"> </w:t>
      </w:r>
    </w:p>
    <w:p w14:paraId="1AE907DA" w14:textId="304578A7" w:rsidR="00A67C85" w:rsidRPr="009702CA" w:rsidRDefault="003E344C" w:rsidP="009A0B2D">
      <w:pPr>
        <w:rPr>
          <w:rFonts w:cstheme="minorHAnsi"/>
          <w:sz w:val="20"/>
          <w:szCs w:val="20"/>
        </w:rPr>
      </w:pPr>
      <w:r w:rsidRPr="009702CA">
        <w:rPr>
          <w:rFonts w:cstheme="minorHAnsi"/>
          <w:sz w:val="20"/>
          <w:szCs w:val="20"/>
        </w:rPr>
        <w:t xml:space="preserve">The </w:t>
      </w:r>
      <w:r w:rsidR="007D2B49" w:rsidRPr="009702CA">
        <w:rPr>
          <w:rFonts w:cstheme="minorHAnsi"/>
          <w:sz w:val="20"/>
          <w:szCs w:val="20"/>
        </w:rPr>
        <w:t xml:space="preserve">Table 1 </w:t>
      </w:r>
      <w:r w:rsidR="00DA3844" w:rsidRPr="009702CA">
        <w:rPr>
          <w:rFonts w:cstheme="minorHAnsi"/>
          <w:sz w:val="20"/>
          <w:szCs w:val="20"/>
        </w:rPr>
        <w:t xml:space="preserve">estimates </w:t>
      </w:r>
      <w:r w:rsidRPr="009702CA">
        <w:rPr>
          <w:rFonts w:cstheme="minorHAnsi"/>
          <w:sz w:val="20"/>
          <w:szCs w:val="20"/>
        </w:rPr>
        <w:t xml:space="preserve">below are based on a projected annual amount of </w:t>
      </w:r>
      <w:r w:rsidR="00DA3844" w:rsidRPr="009702CA">
        <w:rPr>
          <w:rFonts w:cstheme="minorHAnsi"/>
          <w:sz w:val="20"/>
          <w:szCs w:val="20"/>
        </w:rPr>
        <w:t>$</w:t>
      </w:r>
      <w:r w:rsidR="007B1486" w:rsidRPr="009702CA">
        <w:rPr>
          <w:rFonts w:cstheme="minorHAnsi"/>
          <w:sz w:val="20"/>
          <w:szCs w:val="20"/>
        </w:rPr>
        <w:t>45</w:t>
      </w:r>
      <w:r w:rsidR="00DA3844" w:rsidRPr="009702CA">
        <w:rPr>
          <w:rFonts w:cstheme="minorHAnsi"/>
          <w:sz w:val="20"/>
          <w:szCs w:val="20"/>
        </w:rPr>
        <w:t>,</w:t>
      </w:r>
      <w:r w:rsidR="007B1486" w:rsidRPr="009702CA">
        <w:rPr>
          <w:rFonts w:cstheme="minorHAnsi"/>
          <w:sz w:val="20"/>
          <w:szCs w:val="20"/>
        </w:rPr>
        <w:t>8</w:t>
      </w:r>
      <w:r w:rsidR="00A81653" w:rsidRPr="009702CA">
        <w:rPr>
          <w:rFonts w:cstheme="minorHAnsi"/>
          <w:sz w:val="20"/>
          <w:szCs w:val="20"/>
        </w:rPr>
        <w:t>91</w:t>
      </w:r>
      <w:r w:rsidR="00DA3844" w:rsidRPr="009702CA">
        <w:rPr>
          <w:rFonts w:cstheme="minorHAnsi"/>
          <w:sz w:val="20"/>
          <w:szCs w:val="20"/>
        </w:rPr>
        <w:t>,000</w:t>
      </w:r>
      <w:r w:rsidR="00116420" w:rsidRPr="009702CA">
        <w:rPr>
          <w:rFonts w:cstheme="minorHAnsi"/>
          <w:sz w:val="20"/>
          <w:szCs w:val="20"/>
        </w:rPr>
        <w:t xml:space="preserve"> for Community Adult Learning Center</w:t>
      </w:r>
      <w:r w:rsidR="00DF0BD0" w:rsidRPr="009702CA">
        <w:rPr>
          <w:rFonts w:cstheme="minorHAnsi"/>
          <w:sz w:val="20"/>
          <w:szCs w:val="20"/>
        </w:rPr>
        <w:t xml:space="preserve"> </w:t>
      </w:r>
      <w:r w:rsidR="00824FF6" w:rsidRPr="009702CA">
        <w:rPr>
          <w:rFonts w:cstheme="minorHAnsi"/>
          <w:sz w:val="20"/>
          <w:szCs w:val="20"/>
        </w:rPr>
        <w:t xml:space="preserve">(CALC) </w:t>
      </w:r>
      <w:r w:rsidR="00DF0BD0" w:rsidRPr="009702CA">
        <w:rPr>
          <w:rFonts w:cstheme="minorHAnsi"/>
          <w:sz w:val="20"/>
          <w:szCs w:val="20"/>
        </w:rPr>
        <w:t>programs including</w:t>
      </w:r>
      <w:r w:rsidR="00116420" w:rsidRPr="009702CA">
        <w:rPr>
          <w:rFonts w:cstheme="minorHAnsi"/>
          <w:sz w:val="20"/>
          <w:szCs w:val="20"/>
        </w:rPr>
        <w:t xml:space="preserve"> Outstationing.</w:t>
      </w:r>
      <w:r w:rsidR="007B1486" w:rsidRPr="009702CA">
        <w:rPr>
          <w:rFonts w:cstheme="minorHAnsi"/>
          <w:sz w:val="20"/>
          <w:szCs w:val="20"/>
        </w:rPr>
        <w:t xml:space="preserve"> </w:t>
      </w:r>
      <w:r w:rsidRPr="009702CA">
        <w:rPr>
          <w:rFonts w:cstheme="minorHAnsi"/>
          <w:sz w:val="20"/>
          <w:szCs w:val="20"/>
        </w:rPr>
        <w:t>All values in th</w:t>
      </w:r>
      <w:r w:rsidR="00407564" w:rsidRPr="009702CA">
        <w:rPr>
          <w:rFonts w:cstheme="minorHAnsi"/>
          <w:sz w:val="20"/>
          <w:szCs w:val="20"/>
        </w:rPr>
        <w:t>ese</w:t>
      </w:r>
      <w:r w:rsidRPr="009702CA">
        <w:rPr>
          <w:rFonts w:cstheme="minorHAnsi"/>
          <w:sz w:val="20"/>
          <w:szCs w:val="20"/>
        </w:rPr>
        <w:t xml:space="preserve"> table</w:t>
      </w:r>
      <w:r w:rsidR="00407564" w:rsidRPr="009702CA">
        <w:rPr>
          <w:rFonts w:cstheme="minorHAnsi"/>
          <w:sz w:val="20"/>
          <w:szCs w:val="20"/>
        </w:rPr>
        <w:t>s</w:t>
      </w:r>
      <w:r w:rsidRPr="009702CA">
        <w:rPr>
          <w:rFonts w:cstheme="minorHAnsi"/>
          <w:sz w:val="20"/>
          <w:szCs w:val="20"/>
        </w:rPr>
        <w:t xml:space="preserve"> are estimates for planning purpose</w:t>
      </w:r>
      <w:r w:rsidR="00A67C85" w:rsidRPr="009702CA">
        <w:rPr>
          <w:rFonts w:cstheme="minorHAnsi"/>
          <w:sz w:val="20"/>
          <w:szCs w:val="20"/>
        </w:rPr>
        <w:t>s</w:t>
      </w:r>
      <w:r w:rsidRPr="009702CA">
        <w:rPr>
          <w:rFonts w:cstheme="minorHAnsi"/>
          <w:sz w:val="20"/>
          <w:szCs w:val="20"/>
        </w:rPr>
        <w:t xml:space="preserve"> only and are provided as guidance. </w:t>
      </w:r>
      <w:r w:rsidR="00A67C85" w:rsidRPr="009702CA">
        <w:rPr>
          <w:rFonts w:cstheme="minorHAnsi"/>
          <w:sz w:val="20"/>
          <w:szCs w:val="20"/>
        </w:rPr>
        <w:t>Because t</w:t>
      </w:r>
      <w:r w:rsidRPr="009702CA">
        <w:rPr>
          <w:rFonts w:cstheme="minorHAnsi"/>
          <w:sz w:val="20"/>
          <w:szCs w:val="20"/>
        </w:rPr>
        <w:t xml:space="preserve">hese figures are </w:t>
      </w:r>
      <w:r w:rsidR="00A67C85" w:rsidRPr="009702CA">
        <w:rPr>
          <w:rFonts w:cstheme="minorHAnsi"/>
          <w:sz w:val="20"/>
          <w:szCs w:val="20"/>
        </w:rPr>
        <w:t xml:space="preserve">subject to annual federal and state appropriations, they are </w:t>
      </w:r>
      <w:r w:rsidRPr="009702CA">
        <w:rPr>
          <w:rFonts w:cstheme="minorHAnsi"/>
          <w:sz w:val="20"/>
          <w:szCs w:val="20"/>
        </w:rPr>
        <w:t xml:space="preserve">not binding. </w:t>
      </w:r>
    </w:p>
    <w:p w14:paraId="1AE907DB" w14:textId="73671D9D" w:rsidR="00277BA2" w:rsidRPr="009702CA" w:rsidRDefault="00A67C85" w:rsidP="009A0B2D">
      <w:pPr>
        <w:rPr>
          <w:rFonts w:cstheme="minorHAnsi"/>
          <w:sz w:val="20"/>
          <w:szCs w:val="20"/>
        </w:rPr>
      </w:pPr>
      <w:r w:rsidRPr="009702CA">
        <w:rPr>
          <w:rFonts w:cstheme="minorHAnsi"/>
          <w:sz w:val="20"/>
          <w:szCs w:val="20"/>
        </w:rPr>
        <w:t xml:space="preserve">The </w:t>
      </w:r>
      <w:r w:rsidR="00685920" w:rsidRPr="009702CA">
        <w:rPr>
          <w:rFonts w:cstheme="minorHAnsi"/>
          <w:sz w:val="20"/>
          <w:szCs w:val="20"/>
        </w:rPr>
        <w:t>allocation estimates</w:t>
      </w:r>
      <w:r w:rsidRPr="009702CA">
        <w:rPr>
          <w:rFonts w:cstheme="minorHAnsi"/>
          <w:sz w:val="20"/>
          <w:szCs w:val="20"/>
        </w:rPr>
        <w:t xml:space="preserve"> listed </w:t>
      </w:r>
      <w:r w:rsidR="0080016F" w:rsidRPr="009702CA">
        <w:rPr>
          <w:rFonts w:cstheme="minorHAnsi"/>
          <w:sz w:val="20"/>
          <w:szCs w:val="20"/>
        </w:rPr>
        <w:t xml:space="preserve">in Table 1 </w:t>
      </w:r>
      <w:r w:rsidRPr="009702CA">
        <w:rPr>
          <w:rFonts w:cstheme="minorHAnsi"/>
          <w:sz w:val="20"/>
          <w:szCs w:val="20"/>
        </w:rPr>
        <w:t xml:space="preserve">are </w:t>
      </w:r>
      <w:r w:rsidR="39B39D23" w:rsidRPr="009702CA">
        <w:rPr>
          <w:rFonts w:cstheme="minorHAnsi"/>
          <w:sz w:val="20"/>
          <w:szCs w:val="20"/>
        </w:rPr>
        <w:t xml:space="preserve">set </w:t>
      </w:r>
      <w:r w:rsidRPr="009702CA">
        <w:rPr>
          <w:rFonts w:cstheme="minorHAnsi"/>
          <w:sz w:val="20"/>
          <w:szCs w:val="20"/>
        </w:rPr>
        <w:t xml:space="preserve">based on two data-based  considerations: adult educational need determined by the </w:t>
      </w:r>
      <w:r w:rsidR="00770A38" w:rsidRPr="009702CA">
        <w:rPr>
          <w:rFonts w:cstheme="minorHAnsi"/>
          <w:sz w:val="20"/>
          <w:szCs w:val="20"/>
        </w:rPr>
        <w:t xml:space="preserve">2020 </w:t>
      </w:r>
      <w:r w:rsidRPr="009702CA">
        <w:rPr>
          <w:rFonts w:cstheme="minorHAnsi"/>
          <w:sz w:val="20"/>
          <w:szCs w:val="20"/>
        </w:rPr>
        <w:t>American Community Survey (4</w:t>
      </w:r>
      <w:r w:rsidR="005B0D9D" w:rsidRPr="009702CA">
        <w:rPr>
          <w:rFonts w:cstheme="minorHAnsi"/>
          <w:sz w:val="20"/>
          <w:szCs w:val="20"/>
        </w:rPr>
        <w:t>0</w:t>
      </w:r>
      <w:r w:rsidRPr="009702CA">
        <w:rPr>
          <w:rFonts w:cstheme="minorHAnsi"/>
          <w:sz w:val="20"/>
          <w:szCs w:val="20"/>
        </w:rPr>
        <w:t>%)</w:t>
      </w:r>
      <w:r w:rsidR="005B0D9D" w:rsidRPr="009702CA">
        <w:rPr>
          <w:rFonts w:cstheme="minorHAnsi"/>
          <w:sz w:val="20"/>
          <w:szCs w:val="20"/>
        </w:rPr>
        <w:t xml:space="preserve"> </w:t>
      </w:r>
      <w:r w:rsidR="00AF4CE1" w:rsidRPr="009702CA">
        <w:rPr>
          <w:rFonts w:cstheme="minorHAnsi"/>
          <w:sz w:val="20"/>
          <w:szCs w:val="20"/>
        </w:rPr>
        <w:t xml:space="preserve">combined with the </w:t>
      </w:r>
      <w:hyperlink r:id="rId11" w:history="1">
        <w:r w:rsidR="00AF4CE1" w:rsidRPr="009702CA">
          <w:rPr>
            <w:rStyle w:val="Hyperlink"/>
            <w:rFonts w:cstheme="minorHAnsi"/>
            <w:sz w:val="20"/>
            <w:szCs w:val="20"/>
          </w:rPr>
          <w:t>Social Vulnerability Index</w:t>
        </w:r>
      </w:hyperlink>
      <w:r w:rsidR="00AF4CE1" w:rsidRPr="009702CA">
        <w:rPr>
          <w:rFonts w:cstheme="minorHAnsi"/>
          <w:sz w:val="20"/>
          <w:szCs w:val="20"/>
        </w:rPr>
        <w:t xml:space="preserve"> </w:t>
      </w:r>
      <w:r w:rsidR="0096632A" w:rsidRPr="009702CA">
        <w:rPr>
          <w:rFonts w:cstheme="minorHAnsi"/>
          <w:sz w:val="20"/>
          <w:szCs w:val="20"/>
        </w:rPr>
        <w:t>(10%); and</w:t>
      </w:r>
      <w:r w:rsidRPr="009702CA">
        <w:rPr>
          <w:rFonts w:cstheme="minorHAnsi"/>
          <w:sz w:val="20"/>
          <w:szCs w:val="20"/>
        </w:rPr>
        <w:t xml:space="preserve"> demand for adult education derived from </w:t>
      </w:r>
      <w:r w:rsidR="00F15826" w:rsidRPr="009702CA">
        <w:rPr>
          <w:rFonts w:cstheme="minorHAnsi"/>
          <w:sz w:val="20"/>
          <w:szCs w:val="20"/>
        </w:rPr>
        <w:t>DESE</w:t>
      </w:r>
      <w:r w:rsidR="00DE3E6B" w:rsidRPr="009702CA">
        <w:rPr>
          <w:rFonts w:cstheme="minorHAnsi"/>
          <w:sz w:val="20"/>
          <w:szCs w:val="20"/>
        </w:rPr>
        <w:t xml:space="preserve">/ACLS </w:t>
      </w:r>
      <w:r w:rsidR="00631470" w:rsidRPr="009702CA">
        <w:rPr>
          <w:rFonts w:cstheme="minorHAnsi"/>
          <w:sz w:val="20"/>
          <w:szCs w:val="20"/>
        </w:rPr>
        <w:t xml:space="preserve">FY22 </w:t>
      </w:r>
      <w:r w:rsidRPr="009702CA">
        <w:rPr>
          <w:rFonts w:cstheme="minorHAnsi"/>
          <w:sz w:val="20"/>
          <w:szCs w:val="20"/>
        </w:rPr>
        <w:t xml:space="preserve">enrollment </w:t>
      </w:r>
      <w:r w:rsidR="0096632A" w:rsidRPr="009702CA">
        <w:rPr>
          <w:rFonts w:cstheme="minorHAnsi"/>
          <w:sz w:val="20"/>
          <w:szCs w:val="20"/>
        </w:rPr>
        <w:t xml:space="preserve">(40%) </w:t>
      </w:r>
      <w:r w:rsidRPr="009702CA">
        <w:rPr>
          <w:rFonts w:cstheme="minorHAnsi"/>
          <w:sz w:val="20"/>
          <w:szCs w:val="20"/>
        </w:rPr>
        <w:t>and waitlist data (10%)</w:t>
      </w:r>
      <w:r w:rsidR="39B39D23" w:rsidRPr="009702CA">
        <w:rPr>
          <w:rFonts w:cstheme="minorHAnsi"/>
          <w:sz w:val="20"/>
          <w:szCs w:val="20"/>
        </w:rPr>
        <w:t>, after holding all regions “harmless” to FY22 allocation levels</w:t>
      </w:r>
      <w:r w:rsidR="00C05892">
        <w:rPr>
          <w:rFonts w:cstheme="minorHAnsi"/>
          <w:sz w:val="20"/>
          <w:szCs w:val="20"/>
        </w:rPr>
        <w:t>.</w:t>
      </w:r>
    </w:p>
    <w:p w14:paraId="32988EC4" w14:textId="259F51D7" w:rsidR="0008560F" w:rsidRDefault="004E1672" w:rsidP="00A6353C">
      <w:pPr>
        <w:rPr>
          <w:rFonts w:ascii="Aparajita" w:hAnsi="Aparajita" w:cs="Aparajita"/>
        </w:rPr>
      </w:pPr>
      <w:r w:rsidRPr="009702CA">
        <w:rPr>
          <w:rFonts w:cstheme="minorHAnsi"/>
          <w:iCs/>
          <w:color w:val="000000"/>
          <w:sz w:val="20"/>
          <w:szCs w:val="20"/>
        </w:rPr>
        <w:t>D</w:t>
      </w:r>
      <w:r w:rsidR="000E251E" w:rsidRPr="009702CA">
        <w:rPr>
          <w:rFonts w:cstheme="minorHAnsi"/>
          <w:iCs/>
          <w:color w:val="000000"/>
          <w:sz w:val="20"/>
          <w:szCs w:val="20"/>
        </w:rPr>
        <w:t>ESE reserves the right to adjust local workforce area allocations within the seven workforce planning regions based on local area needs and provider capacity, and to adjust allocations within individual workforce areas based on the communities’ needs for ABE and ESOL services.</w:t>
      </w:r>
      <w:r w:rsidR="005B6931" w:rsidRPr="009702CA">
        <w:rPr>
          <w:rFonts w:cstheme="minorHAnsi"/>
          <w:sz w:val="20"/>
          <w:szCs w:val="20"/>
        </w:rPr>
        <w:t xml:space="preserve"> The </w:t>
      </w:r>
      <w:r w:rsidR="00364D66" w:rsidRPr="009702CA">
        <w:rPr>
          <w:rFonts w:cstheme="minorHAnsi"/>
          <w:sz w:val="20"/>
          <w:szCs w:val="20"/>
        </w:rPr>
        <w:t>ABE:</w:t>
      </w:r>
      <w:r w:rsidR="005B6931" w:rsidRPr="009702CA">
        <w:rPr>
          <w:rFonts w:cstheme="minorHAnsi"/>
          <w:sz w:val="20"/>
          <w:szCs w:val="20"/>
        </w:rPr>
        <w:t xml:space="preserve">ESOL percentages are intended as guidance to ensure reasonable equitable services to address area </w:t>
      </w:r>
      <w:r w:rsidR="00AB083A" w:rsidRPr="009702CA">
        <w:rPr>
          <w:rFonts w:cstheme="minorHAnsi"/>
          <w:sz w:val="20"/>
          <w:szCs w:val="20"/>
        </w:rPr>
        <w:t>need and</w:t>
      </w:r>
      <w:r w:rsidR="005B6931" w:rsidRPr="009702CA">
        <w:rPr>
          <w:rFonts w:cstheme="minorHAnsi"/>
          <w:sz w:val="20"/>
          <w:szCs w:val="20"/>
        </w:rPr>
        <w:t xml:space="preserve"> are not intended to be used a</w:t>
      </w:r>
      <w:r w:rsidR="00807DEB" w:rsidRPr="009702CA">
        <w:rPr>
          <w:rFonts w:cstheme="minorHAnsi"/>
          <w:sz w:val="20"/>
          <w:szCs w:val="20"/>
        </w:rPr>
        <w:t>s</w:t>
      </w:r>
      <w:r w:rsidR="005B6931" w:rsidRPr="009702CA">
        <w:rPr>
          <w:rFonts w:cstheme="minorHAnsi"/>
          <w:sz w:val="20"/>
          <w:szCs w:val="20"/>
        </w:rPr>
        <w:t xml:space="preserve"> precise targets.</w:t>
      </w:r>
    </w:p>
    <w:p w14:paraId="16C3E931" w14:textId="6C136D8F" w:rsidR="0069472A" w:rsidRPr="00B66426" w:rsidRDefault="0079562F" w:rsidP="00C230B1">
      <w:pPr>
        <w:pStyle w:val="ListParagraph"/>
        <w:numPr>
          <w:ilvl w:val="0"/>
          <w:numId w:val="0"/>
        </w:numPr>
        <w:ind w:left="4"/>
        <w:rPr>
          <w:rFonts w:ascii="Aparajita" w:eastAsiaTheme="minorHAnsi" w:hAnsi="Aparajita" w:cs="Aparajita"/>
          <w:b/>
          <w:bCs/>
          <w:sz w:val="22"/>
          <w:szCs w:val="22"/>
        </w:rPr>
      </w:pPr>
      <w:r>
        <w:rPr>
          <w:rFonts w:ascii="Aparajita" w:eastAsiaTheme="minorHAnsi" w:hAnsi="Aparajita" w:cs="Aparajita"/>
          <w:b/>
          <w:bCs/>
          <w:sz w:val="22"/>
          <w:szCs w:val="22"/>
        </w:rPr>
        <w:t>Table 1</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551"/>
        <w:gridCol w:w="1620"/>
        <w:gridCol w:w="577"/>
        <w:gridCol w:w="956"/>
        <w:gridCol w:w="1596"/>
        <w:gridCol w:w="1641"/>
      </w:tblGrid>
      <w:tr w:rsidR="00A37B79" w:rsidRPr="00A6353C" w14:paraId="1AE907E5" w14:textId="77777777" w:rsidTr="001243C8">
        <w:trPr>
          <w:trHeight w:val="701"/>
          <w:jc w:val="center"/>
        </w:trPr>
        <w:tc>
          <w:tcPr>
            <w:tcW w:w="1642" w:type="dxa"/>
            <w:shd w:val="clear" w:color="auto" w:fill="D9D9D9" w:themeFill="background1" w:themeFillShade="D9"/>
            <w:vAlign w:val="bottom"/>
            <w:hideMark/>
          </w:tcPr>
          <w:p w14:paraId="1AE907DD" w14:textId="77777777" w:rsidR="00E86C47" w:rsidRPr="00A6353C" w:rsidRDefault="00E86C47" w:rsidP="00277BA2">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Planning Region</w:t>
            </w:r>
          </w:p>
        </w:tc>
        <w:tc>
          <w:tcPr>
            <w:tcW w:w="1551" w:type="dxa"/>
            <w:shd w:val="clear" w:color="auto" w:fill="D9D9D9" w:themeFill="background1" w:themeFillShade="D9"/>
            <w:vAlign w:val="bottom"/>
            <w:hideMark/>
          </w:tcPr>
          <w:p w14:paraId="1AE907DE" w14:textId="2357F8AC" w:rsidR="00E86C47" w:rsidRPr="00A6353C" w:rsidRDefault="2318AD20" w:rsidP="65B470D1">
            <w:pPr>
              <w:spacing w:after="0" w:line="240" w:lineRule="auto"/>
              <w:rPr>
                <w:rFonts w:eastAsia="Times New Roman"/>
                <w:color w:val="000000"/>
                <w:sz w:val="16"/>
                <w:szCs w:val="16"/>
              </w:rPr>
            </w:pPr>
            <w:r w:rsidRPr="00A6353C">
              <w:rPr>
                <w:rFonts w:eastAsia="Times New Roman"/>
                <w:color w:val="000000" w:themeColor="text1"/>
                <w:sz w:val="16"/>
                <w:szCs w:val="16"/>
              </w:rPr>
              <w:t>Estimated Regional Weighted FY22 Allocation (Rounded)</w:t>
            </w:r>
          </w:p>
        </w:tc>
        <w:tc>
          <w:tcPr>
            <w:tcW w:w="1620" w:type="dxa"/>
            <w:shd w:val="clear" w:color="auto" w:fill="D9D9D9" w:themeFill="background1" w:themeFillShade="D9"/>
            <w:vAlign w:val="bottom"/>
            <w:hideMark/>
          </w:tcPr>
          <w:p w14:paraId="1AE907DF" w14:textId="77777777" w:rsidR="00E86C47" w:rsidRPr="00A6353C" w:rsidRDefault="00E86C47" w:rsidP="00277BA2">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Local Workforce Area</w:t>
            </w:r>
          </w:p>
        </w:tc>
        <w:tc>
          <w:tcPr>
            <w:tcW w:w="1533" w:type="dxa"/>
            <w:gridSpan w:val="2"/>
            <w:tcBorders>
              <w:bottom w:val="single" w:sz="4" w:space="0" w:color="auto"/>
            </w:tcBorders>
            <w:shd w:val="clear" w:color="auto" w:fill="D9D9D9" w:themeFill="background1" w:themeFillShade="D9"/>
            <w:vAlign w:val="bottom"/>
          </w:tcPr>
          <w:p w14:paraId="1AE907E0" w14:textId="169A607F" w:rsidR="00E86C47" w:rsidRPr="00BB145A" w:rsidRDefault="00E86C47" w:rsidP="00E67ABB">
            <w:pPr>
              <w:spacing w:after="0" w:line="240" w:lineRule="auto"/>
              <w:rPr>
                <w:rFonts w:eastAsia="Times New Roman"/>
                <w:color w:val="000000"/>
                <w:sz w:val="16"/>
                <w:szCs w:val="16"/>
                <w:lang w:val="pt-BR"/>
              </w:rPr>
            </w:pPr>
            <w:r w:rsidRPr="00BB145A">
              <w:rPr>
                <w:rFonts w:eastAsia="Times New Roman"/>
                <w:color w:val="000000"/>
                <w:sz w:val="16"/>
                <w:szCs w:val="16"/>
                <w:lang w:val="pt-BR"/>
              </w:rPr>
              <w:t>ABE : ESOL     Minimum Percentage Service Ratios</w:t>
            </w:r>
            <w:r w:rsidRPr="00A6353C">
              <w:rPr>
                <w:rStyle w:val="FootnoteReference"/>
                <w:rFonts w:eastAsia="Times New Roman"/>
                <w:color w:val="000000"/>
                <w:sz w:val="16"/>
                <w:szCs w:val="16"/>
              </w:rPr>
              <w:footnoteReference w:id="2"/>
            </w:r>
          </w:p>
        </w:tc>
        <w:tc>
          <w:tcPr>
            <w:tcW w:w="1596" w:type="dxa"/>
            <w:shd w:val="clear" w:color="auto" w:fill="D9D9D9" w:themeFill="background1" w:themeFillShade="D9"/>
            <w:vAlign w:val="bottom"/>
            <w:hideMark/>
          </w:tcPr>
          <w:p w14:paraId="1AE907E1" w14:textId="13950B72" w:rsidR="00E86C47" w:rsidRPr="00A6353C" w:rsidRDefault="2318AD20" w:rsidP="65B470D1">
            <w:pPr>
              <w:spacing w:after="0" w:line="240" w:lineRule="auto"/>
              <w:rPr>
                <w:rFonts w:eastAsia="Times New Roman"/>
                <w:color w:val="000000"/>
                <w:sz w:val="16"/>
                <w:szCs w:val="16"/>
              </w:rPr>
            </w:pPr>
            <w:r w:rsidRPr="00A6353C">
              <w:rPr>
                <w:rFonts w:eastAsia="Times New Roman"/>
                <w:color w:val="000000" w:themeColor="text1"/>
                <w:sz w:val="16"/>
                <w:szCs w:val="16"/>
              </w:rPr>
              <w:t>Estimated Area Weighted FY22 Allocation (Rounded)</w:t>
            </w:r>
          </w:p>
        </w:tc>
        <w:tc>
          <w:tcPr>
            <w:tcW w:w="1641" w:type="dxa"/>
            <w:shd w:val="clear" w:color="auto" w:fill="D9D9D9" w:themeFill="background1" w:themeFillShade="D9"/>
            <w:vAlign w:val="bottom"/>
            <w:hideMark/>
          </w:tcPr>
          <w:p w14:paraId="1AE907E2" w14:textId="77777777" w:rsidR="00E86C47" w:rsidRPr="00A6353C" w:rsidRDefault="00E86C47" w:rsidP="00277BA2">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Outstationing (Included in the estimated allocation)</w:t>
            </w:r>
          </w:p>
        </w:tc>
      </w:tr>
      <w:tr w:rsidR="00A37B79" w:rsidRPr="00A6353C" w14:paraId="1AE907EF" w14:textId="77777777" w:rsidTr="00E13A1F">
        <w:trPr>
          <w:trHeight w:val="288"/>
          <w:jc w:val="center"/>
        </w:trPr>
        <w:tc>
          <w:tcPr>
            <w:tcW w:w="1642" w:type="dxa"/>
            <w:shd w:val="clear" w:color="auto" w:fill="auto"/>
            <w:vAlign w:val="bottom"/>
            <w:hideMark/>
          </w:tcPr>
          <w:p w14:paraId="1AE907E6" w14:textId="77777777" w:rsidR="00E86C47" w:rsidRPr="00A6353C" w:rsidRDefault="00E86C47" w:rsidP="00DF08E5">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Berkshire</w:t>
            </w:r>
          </w:p>
        </w:tc>
        <w:tc>
          <w:tcPr>
            <w:tcW w:w="1551" w:type="dxa"/>
            <w:shd w:val="clear" w:color="auto" w:fill="auto"/>
            <w:noWrap/>
            <w:vAlign w:val="bottom"/>
            <w:hideMark/>
          </w:tcPr>
          <w:p w14:paraId="1AE907E7" w14:textId="57E4E350" w:rsidR="00E86C47" w:rsidRPr="00A6353C" w:rsidRDefault="00E86C47" w:rsidP="00D30265">
            <w:pPr>
              <w:spacing w:after="0" w:line="240" w:lineRule="auto"/>
              <w:jc w:val="right"/>
              <w:rPr>
                <w:rFonts w:eastAsia="Times New Roman"/>
                <w:color w:val="000000"/>
                <w:sz w:val="16"/>
                <w:szCs w:val="16"/>
              </w:rPr>
            </w:pPr>
            <w:r w:rsidRPr="00A6353C">
              <w:rPr>
                <w:rFonts w:eastAsia="Times New Roman"/>
                <w:color w:val="000000" w:themeColor="text1"/>
                <w:sz w:val="16"/>
                <w:szCs w:val="16"/>
              </w:rPr>
              <w:t>$903,000</w:t>
            </w:r>
          </w:p>
        </w:tc>
        <w:tc>
          <w:tcPr>
            <w:tcW w:w="1620" w:type="dxa"/>
            <w:shd w:val="clear" w:color="auto" w:fill="auto"/>
            <w:vAlign w:val="bottom"/>
            <w:hideMark/>
          </w:tcPr>
          <w:p w14:paraId="1AE907E8" w14:textId="77777777" w:rsidR="00E86C47" w:rsidRPr="00A6353C" w:rsidRDefault="00E86C47" w:rsidP="00DF08E5">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Berkshire</w:t>
            </w:r>
          </w:p>
        </w:tc>
        <w:tc>
          <w:tcPr>
            <w:tcW w:w="577" w:type="dxa"/>
            <w:tcBorders>
              <w:right w:val="nil"/>
            </w:tcBorders>
            <w:vAlign w:val="bottom"/>
          </w:tcPr>
          <w:p w14:paraId="1AE907E9" w14:textId="7FD036DE" w:rsidR="00E86C47" w:rsidRPr="00A6353C" w:rsidRDefault="00E86C47" w:rsidP="00DF08E5">
            <w:pPr>
              <w:spacing w:after="0" w:line="240" w:lineRule="auto"/>
              <w:jc w:val="center"/>
              <w:rPr>
                <w:rFonts w:eastAsia="Times New Roman"/>
                <w:color w:val="000000"/>
                <w:sz w:val="16"/>
                <w:szCs w:val="16"/>
              </w:rPr>
            </w:pPr>
            <w:r w:rsidRPr="00A6353C">
              <w:rPr>
                <w:color w:val="000000" w:themeColor="text1"/>
                <w:sz w:val="16"/>
                <w:szCs w:val="16"/>
              </w:rPr>
              <w:t>65%</w:t>
            </w:r>
          </w:p>
        </w:tc>
        <w:tc>
          <w:tcPr>
            <w:tcW w:w="956" w:type="dxa"/>
            <w:tcBorders>
              <w:left w:val="nil"/>
            </w:tcBorders>
            <w:vAlign w:val="bottom"/>
          </w:tcPr>
          <w:p w14:paraId="1AE907EA" w14:textId="77777777" w:rsidR="00E86C47" w:rsidRPr="00A6353C" w:rsidRDefault="00E86C47" w:rsidP="00DF08E5">
            <w:pPr>
              <w:spacing w:after="0" w:line="240" w:lineRule="auto"/>
              <w:jc w:val="center"/>
              <w:rPr>
                <w:rFonts w:eastAsia="Times New Roman" w:cstheme="minorHAnsi"/>
                <w:color w:val="000000"/>
                <w:sz w:val="16"/>
                <w:szCs w:val="16"/>
              </w:rPr>
            </w:pPr>
            <w:r w:rsidRPr="00A6353C">
              <w:rPr>
                <w:rFonts w:cstheme="minorHAnsi"/>
                <w:color w:val="000000"/>
                <w:sz w:val="16"/>
                <w:szCs w:val="16"/>
              </w:rPr>
              <w:t>20%</w:t>
            </w:r>
          </w:p>
        </w:tc>
        <w:tc>
          <w:tcPr>
            <w:tcW w:w="1596" w:type="dxa"/>
            <w:shd w:val="clear" w:color="auto" w:fill="auto"/>
            <w:noWrap/>
            <w:vAlign w:val="bottom"/>
            <w:hideMark/>
          </w:tcPr>
          <w:p w14:paraId="1AE907EB" w14:textId="1B20DB71" w:rsidR="00E86C47" w:rsidRPr="00A6353C" w:rsidRDefault="00E86C47" w:rsidP="00D30265">
            <w:pPr>
              <w:spacing w:after="0" w:line="240" w:lineRule="auto"/>
              <w:jc w:val="right"/>
              <w:rPr>
                <w:rFonts w:eastAsia="Times New Roman" w:cstheme="minorHAnsi"/>
                <w:color w:val="000000"/>
                <w:sz w:val="16"/>
                <w:szCs w:val="16"/>
              </w:rPr>
            </w:pPr>
            <w:r w:rsidRPr="00A6353C">
              <w:rPr>
                <w:rFonts w:cstheme="minorHAnsi"/>
                <w:color w:val="000000"/>
                <w:sz w:val="16"/>
                <w:szCs w:val="16"/>
              </w:rPr>
              <w:t>$903,000</w:t>
            </w:r>
          </w:p>
        </w:tc>
        <w:tc>
          <w:tcPr>
            <w:tcW w:w="1641" w:type="dxa"/>
            <w:shd w:val="clear" w:color="auto" w:fill="auto"/>
            <w:noWrap/>
            <w:vAlign w:val="bottom"/>
            <w:hideMark/>
          </w:tcPr>
          <w:p w14:paraId="1AE907EC" w14:textId="75489AE8" w:rsidR="00E86C47" w:rsidRPr="00A6353C" w:rsidRDefault="00E86C47" w:rsidP="00D30265">
            <w:pPr>
              <w:spacing w:after="0" w:line="240" w:lineRule="auto"/>
              <w:jc w:val="right"/>
              <w:rPr>
                <w:rFonts w:eastAsia="Times New Roman" w:cstheme="minorHAnsi"/>
                <w:color w:val="000000"/>
                <w:sz w:val="16"/>
                <w:szCs w:val="16"/>
              </w:rPr>
            </w:pPr>
            <w:r w:rsidRPr="00A6353C">
              <w:rPr>
                <w:rFonts w:eastAsia="Times New Roman" w:cstheme="minorHAnsi"/>
                <w:color w:val="000000"/>
                <w:sz w:val="16"/>
                <w:szCs w:val="16"/>
              </w:rPr>
              <w:t>$1</w:t>
            </w:r>
            <w:r w:rsidR="00E13A1F">
              <w:rPr>
                <w:rFonts w:eastAsia="Times New Roman" w:cstheme="minorHAnsi"/>
                <w:color w:val="000000"/>
                <w:sz w:val="16"/>
                <w:szCs w:val="16"/>
              </w:rPr>
              <w:t>8</w:t>
            </w:r>
            <w:r w:rsidRPr="00A6353C">
              <w:rPr>
                <w:rFonts w:eastAsia="Times New Roman" w:cstheme="minorHAnsi"/>
                <w:color w:val="000000"/>
                <w:sz w:val="16"/>
                <w:szCs w:val="16"/>
              </w:rPr>
              <w:t>,000</w:t>
            </w:r>
          </w:p>
        </w:tc>
      </w:tr>
      <w:tr w:rsidR="00E13A1F" w:rsidRPr="00A6353C" w14:paraId="1AE907F9" w14:textId="77777777" w:rsidTr="00E13A1F">
        <w:trPr>
          <w:trHeight w:val="288"/>
          <w:jc w:val="center"/>
        </w:trPr>
        <w:tc>
          <w:tcPr>
            <w:tcW w:w="1642" w:type="dxa"/>
            <w:shd w:val="clear" w:color="auto" w:fill="auto"/>
            <w:vAlign w:val="bottom"/>
            <w:hideMark/>
          </w:tcPr>
          <w:p w14:paraId="1AE907F0"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Cape Cod and Islands</w:t>
            </w:r>
          </w:p>
        </w:tc>
        <w:tc>
          <w:tcPr>
            <w:tcW w:w="1551" w:type="dxa"/>
            <w:shd w:val="clear" w:color="auto" w:fill="auto"/>
            <w:noWrap/>
            <w:vAlign w:val="bottom"/>
            <w:hideMark/>
          </w:tcPr>
          <w:p w14:paraId="1AE907F1" w14:textId="42FF251A" w:rsidR="00E13A1F" w:rsidRPr="00A6353C" w:rsidRDefault="00264F32" w:rsidP="00D30265">
            <w:pPr>
              <w:spacing w:after="0" w:line="240" w:lineRule="auto"/>
              <w:jc w:val="right"/>
              <w:rPr>
                <w:rFonts w:eastAsia="Times New Roman"/>
                <w:color w:val="000000"/>
                <w:sz w:val="16"/>
                <w:szCs w:val="16"/>
              </w:rPr>
            </w:pPr>
            <w:r>
              <w:rPr>
                <w:rFonts w:eastAsia="Times New Roman"/>
                <w:color w:val="000000" w:themeColor="text1"/>
                <w:sz w:val="16"/>
                <w:szCs w:val="16"/>
              </w:rPr>
              <w:t>$</w:t>
            </w:r>
            <w:r w:rsidR="00A42C20">
              <w:rPr>
                <w:rFonts w:eastAsia="Times New Roman"/>
                <w:color w:val="000000" w:themeColor="text1"/>
                <w:sz w:val="16"/>
                <w:szCs w:val="16"/>
              </w:rPr>
              <w:t>1,034,000</w:t>
            </w:r>
          </w:p>
        </w:tc>
        <w:tc>
          <w:tcPr>
            <w:tcW w:w="1620" w:type="dxa"/>
            <w:shd w:val="clear" w:color="auto" w:fill="auto"/>
            <w:vAlign w:val="bottom"/>
            <w:hideMark/>
          </w:tcPr>
          <w:p w14:paraId="1AE907F2"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Cape Cod and Islands</w:t>
            </w:r>
          </w:p>
        </w:tc>
        <w:tc>
          <w:tcPr>
            <w:tcW w:w="577" w:type="dxa"/>
            <w:tcBorders>
              <w:right w:val="nil"/>
            </w:tcBorders>
            <w:vAlign w:val="bottom"/>
          </w:tcPr>
          <w:p w14:paraId="1AE907F3" w14:textId="05957316"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45%</w:t>
            </w:r>
          </w:p>
        </w:tc>
        <w:tc>
          <w:tcPr>
            <w:tcW w:w="956" w:type="dxa"/>
            <w:tcBorders>
              <w:left w:val="nil"/>
            </w:tcBorders>
            <w:vAlign w:val="bottom"/>
          </w:tcPr>
          <w:p w14:paraId="1AE907F4" w14:textId="516CCC3D"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40%</w:t>
            </w:r>
          </w:p>
        </w:tc>
        <w:tc>
          <w:tcPr>
            <w:tcW w:w="1596" w:type="dxa"/>
            <w:shd w:val="clear" w:color="auto" w:fill="auto"/>
            <w:noWrap/>
            <w:vAlign w:val="bottom"/>
            <w:hideMark/>
          </w:tcPr>
          <w:p w14:paraId="1AE907F5" w14:textId="138BA110" w:rsidR="00E13A1F" w:rsidRPr="00A6353C" w:rsidRDefault="00A42C20" w:rsidP="00D30265">
            <w:pPr>
              <w:spacing w:after="0" w:line="240" w:lineRule="auto"/>
              <w:jc w:val="right"/>
              <w:rPr>
                <w:rFonts w:eastAsia="Times New Roman" w:cstheme="minorHAnsi"/>
                <w:color w:val="000000"/>
                <w:sz w:val="16"/>
                <w:szCs w:val="16"/>
              </w:rPr>
            </w:pPr>
            <w:r>
              <w:rPr>
                <w:rFonts w:eastAsia="Times New Roman"/>
                <w:color w:val="000000" w:themeColor="text1"/>
                <w:sz w:val="16"/>
                <w:szCs w:val="16"/>
              </w:rPr>
              <w:t>$1,034,000</w:t>
            </w:r>
          </w:p>
        </w:tc>
        <w:tc>
          <w:tcPr>
            <w:tcW w:w="1641" w:type="dxa"/>
            <w:shd w:val="clear" w:color="auto" w:fill="auto"/>
            <w:noWrap/>
            <w:vAlign w:val="bottom"/>
            <w:hideMark/>
          </w:tcPr>
          <w:p w14:paraId="1AE907F6" w14:textId="612C525B" w:rsidR="00E13A1F" w:rsidRPr="00A6353C" w:rsidRDefault="00E13A1F" w:rsidP="00D30265">
            <w:pPr>
              <w:spacing w:after="0" w:line="240" w:lineRule="auto"/>
              <w:jc w:val="right"/>
              <w:rPr>
                <w:rFonts w:eastAsia="Times New Roman" w:cstheme="minorHAnsi"/>
                <w:color w:val="000000"/>
                <w:sz w:val="16"/>
                <w:szCs w:val="16"/>
              </w:rPr>
            </w:pPr>
            <w:r w:rsidRPr="00C77D34">
              <w:rPr>
                <w:rFonts w:eastAsia="Times New Roman" w:cstheme="minorHAnsi"/>
                <w:color w:val="000000"/>
                <w:sz w:val="16"/>
                <w:szCs w:val="16"/>
              </w:rPr>
              <w:t>$18,000</w:t>
            </w:r>
          </w:p>
        </w:tc>
      </w:tr>
      <w:tr w:rsidR="00E13A1F" w:rsidRPr="00A6353C" w14:paraId="1AE90803" w14:textId="77777777" w:rsidTr="00E13A1F">
        <w:trPr>
          <w:trHeight w:val="288"/>
          <w:jc w:val="center"/>
        </w:trPr>
        <w:tc>
          <w:tcPr>
            <w:tcW w:w="1642" w:type="dxa"/>
            <w:vMerge w:val="restart"/>
            <w:shd w:val="clear" w:color="auto" w:fill="auto"/>
            <w:vAlign w:val="center"/>
            <w:hideMark/>
          </w:tcPr>
          <w:p w14:paraId="1AE907FA"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Central Mass</w:t>
            </w:r>
          </w:p>
        </w:tc>
        <w:tc>
          <w:tcPr>
            <w:tcW w:w="1551" w:type="dxa"/>
            <w:vMerge w:val="restart"/>
            <w:shd w:val="clear" w:color="auto" w:fill="auto"/>
            <w:vAlign w:val="center"/>
            <w:hideMark/>
          </w:tcPr>
          <w:p w14:paraId="1AE907FB" w14:textId="37B975AD" w:rsidR="00E13A1F" w:rsidRPr="00A6353C" w:rsidRDefault="00E13A1F" w:rsidP="00D30265">
            <w:pPr>
              <w:spacing w:after="0" w:line="240" w:lineRule="auto"/>
              <w:jc w:val="right"/>
              <w:rPr>
                <w:rFonts w:eastAsia="Times New Roman"/>
                <w:color w:val="000000"/>
                <w:sz w:val="16"/>
                <w:szCs w:val="16"/>
              </w:rPr>
            </w:pPr>
            <w:r w:rsidRPr="00A6353C">
              <w:rPr>
                <w:rFonts w:eastAsia="Times New Roman"/>
                <w:color w:val="000000" w:themeColor="text1"/>
                <w:sz w:val="16"/>
                <w:szCs w:val="16"/>
              </w:rPr>
              <w:t>$4,</w:t>
            </w:r>
            <w:r w:rsidR="00A42C20">
              <w:rPr>
                <w:rFonts w:eastAsia="Times New Roman"/>
                <w:color w:val="000000" w:themeColor="text1"/>
                <w:sz w:val="16"/>
                <w:szCs w:val="16"/>
              </w:rPr>
              <w:t>524</w:t>
            </w:r>
            <w:r w:rsidRPr="00A6353C">
              <w:rPr>
                <w:rFonts w:eastAsia="Times New Roman"/>
                <w:color w:val="000000" w:themeColor="text1"/>
                <w:sz w:val="16"/>
                <w:szCs w:val="16"/>
              </w:rPr>
              <w:t>,000</w:t>
            </w:r>
          </w:p>
        </w:tc>
        <w:tc>
          <w:tcPr>
            <w:tcW w:w="1620" w:type="dxa"/>
            <w:shd w:val="clear" w:color="auto" w:fill="auto"/>
            <w:vAlign w:val="bottom"/>
            <w:hideMark/>
          </w:tcPr>
          <w:p w14:paraId="1AE907FC"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Central</w:t>
            </w:r>
          </w:p>
        </w:tc>
        <w:tc>
          <w:tcPr>
            <w:tcW w:w="577" w:type="dxa"/>
            <w:tcBorders>
              <w:right w:val="nil"/>
            </w:tcBorders>
            <w:vAlign w:val="bottom"/>
          </w:tcPr>
          <w:p w14:paraId="1AE907FD" w14:textId="77777777" w:rsidR="00E13A1F" w:rsidRPr="00A6353C" w:rsidRDefault="00E13A1F" w:rsidP="00E13A1F">
            <w:pPr>
              <w:spacing w:after="0" w:line="240" w:lineRule="auto"/>
              <w:jc w:val="center"/>
              <w:rPr>
                <w:rFonts w:eastAsia="Times New Roman" w:cstheme="minorHAnsi"/>
                <w:color w:val="000000"/>
                <w:sz w:val="16"/>
                <w:szCs w:val="16"/>
              </w:rPr>
            </w:pPr>
            <w:r w:rsidRPr="00A6353C">
              <w:rPr>
                <w:rFonts w:cstheme="minorHAnsi"/>
                <w:color w:val="000000"/>
                <w:sz w:val="16"/>
                <w:szCs w:val="16"/>
              </w:rPr>
              <w:t>40%</w:t>
            </w:r>
          </w:p>
        </w:tc>
        <w:tc>
          <w:tcPr>
            <w:tcW w:w="956" w:type="dxa"/>
            <w:tcBorders>
              <w:left w:val="nil"/>
            </w:tcBorders>
            <w:vAlign w:val="bottom"/>
          </w:tcPr>
          <w:p w14:paraId="1AE907FE" w14:textId="2978D2AD"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45%</w:t>
            </w:r>
          </w:p>
        </w:tc>
        <w:tc>
          <w:tcPr>
            <w:tcW w:w="1596" w:type="dxa"/>
            <w:shd w:val="clear" w:color="auto" w:fill="auto"/>
            <w:noWrap/>
            <w:vAlign w:val="bottom"/>
            <w:hideMark/>
          </w:tcPr>
          <w:p w14:paraId="1AE907FF" w14:textId="6A83557F" w:rsidR="00E13A1F" w:rsidRPr="00A6353C" w:rsidRDefault="00E13A1F" w:rsidP="00D30265">
            <w:pPr>
              <w:spacing w:after="0" w:line="240" w:lineRule="auto"/>
              <w:jc w:val="right"/>
              <w:rPr>
                <w:rFonts w:eastAsia="Times New Roman" w:cstheme="minorHAnsi"/>
                <w:color w:val="000000"/>
                <w:sz w:val="16"/>
                <w:szCs w:val="16"/>
              </w:rPr>
            </w:pPr>
            <w:r w:rsidRPr="00A6353C">
              <w:rPr>
                <w:rFonts w:cstheme="minorHAnsi"/>
                <w:color w:val="000000"/>
                <w:sz w:val="16"/>
                <w:szCs w:val="16"/>
              </w:rPr>
              <w:t>$</w:t>
            </w:r>
            <w:r w:rsidR="007E5558">
              <w:rPr>
                <w:rFonts w:cstheme="minorHAnsi"/>
                <w:color w:val="000000"/>
                <w:sz w:val="16"/>
                <w:szCs w:val="16"/>
              </w:rPr>
              <w:t>3,204</w:t>
            </w:r>
            <w:r w:rsidRPr="00A6353C">
              <w:rPr>
                <w:rFonts w:cstheme="minorHAnsi"/>
                <w:color w:val="000000"/>
                <w:sz w:val="16"/>
                <w:szCs w:val="16"/>
              </w:rPr>
              <w:t>,000</w:t>
            </w:r>
          </w:p>
        </w:tc>
        <w:tc>
          <w:tcPr>
            <w:tcW w:w="1641" w:type="dxa"/>
            <w:shd w:val="clear" w:color="auto" w:fill="auto"/>
            <w:noWrap/>
            <w:vAlign w:val="bottom"/>
            <w:hideMark/>
          </w:tcPr>
          <w:p w14:paraId="1AE90800" w14:textId="169D9F6F" w:rsidR="00E13A1F" w:rsidRPr="00A6353C" w:rsidRDefault="00E13A1F" w:rsidP="00D30265">
            <w:pPr>
              <w:spacing w:after="0" w:line="240" w:lineRule="auto"/>
              <w:jc w:val="right"/>
              <w:rPr>
                <w:rFonts w:eastAsia="Times New Roman" w:cstheme="minorHAnsi"/>
                <w:color w:val="000000"/>
                <w:sz w:val="16"/>
                <w:szCs w:val="16"/>
              </w:rPr>
            </w:pPr>
            <w:r w:rsidRPr="00C77D34">
              <w:rPr>
                <w:rFonts w:eastAsia="Times New Roman" w:cstheme="minorHAnsi"/>
                <w:color w:val="000000"/>
                <w:sz w:val="16"/>
                <w:szCs w:val="16"/>
              </w:rPr>
              <w:t>$18,000</w:t>
            </w:r>
          </w:p>
        </w:tc>
      </w:tr>
      <w:tr w:rsidR="00E13A1F" w:rsidRPr="00A6353C" w14:paraId="1AE9080D" w14:textId="77777777" w:rsidTr="00E13A1F">
        <w:trPr>
          <w:trHeight w:val="288"/>
          <w:jc w:val="center"/>
        </w:trPr>
        <w:tc>
          <w:tcPr>
            <w:tcW w:w="1642" w:type="dxa"/>
            <w:vMerge/>
            <w:vAlign w:val="center"/>
            <w:hideMark/>
          </w:tcPr>
          <w:p w14:paraId="1AE90804" w14:textId="77777777" w:rsidR="00E13A1F" w:rsidRPr="00A6353C" w:rsidRDefault="00E13A1F" w:rsidP="00E13A1F">
            <w:pPr>
              <w:spacing w:after="0" w:line="240" w:lineRule="auto"/>
              <w:rPr>
                <w:rFonts w:eastAsia="Times New Roman" w:cstheme="minorHAnsi"/>
                <w:color w:val="000000"/>
                <w:sz w:val="16"/>
                <w:szCs w:val="16"/>
              </w:rPr>
            </w:pPr>
          </w:p>
        </w:tc>
        <w:tc>
          <w:tcPr>
            <w:tcW w:w="1551" w:type="dxa"/>
            <w:vMerge/>
            <w:vAlign w:val="center"/>
            <w:hideMark/>
          </w:tcPr>
          <w:p w14:paraId="1AE90805" w14:textId="77777777" w:rsidR="00E13A1F" w:rsidRPr="00A6353C" w:rsidRDefault="00E13A1F" w:rsidP="00D30265">
            <w:pPr>
              <w:spacing w:after="0" w:line="240" w:lineRule="auto"/>
              <w:jc w:val="right"/>
              <w:rPr>
                <w:rFonts w:eastAsia="Times New Roman" w:cstheme="minorHAnsi"/>
                <w:color w:val="000000"/>
                <w:sz w:val="16"/>
                <w:szCs w:val="16"/>
              </w:rPr>
            </w:pPr>
          </w:p>
        </w:tc>
        <w:tc>
          <w:tcPr>
            <w:tcW w:w="1620" w:type="dxa"/>
            <w:shd w:val="clear" w:color="auto" w:fill="auto"/>
            <w:vAlign w:val="bottom"/>
            <w:hideMark/>
          </w:tcPr>
          <w:p w14:paraId="1AE90806"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North Central</w:t>
            </w:r>
          </w:p>
        </w:tc>
        <w:tc>
          <w:tcPr>
            <w:tcW w:w="577" w:type="dxa"/>
            <w:tcBorders>
              <w:right w:val="nil"/>
            </w:tcBorders>
            <w:vAlign w:val="bottom"/>
          </w:tcPr>
          <w:p w14:paraId="1AE90807" w14:textId="77777777" w:rsidR="00E13A1F" w:rsidRPr="00A6353C" w:rsidRDefault="00E13A1F" w:rsidP="00E13A1F">
            <w:pPr>
              <w:spacing w:after="0" w:line="240" w:lineRule="auto"/>
              <w:jc w:val="center"/>
              <w:rPr>
                <w:rFonts w:eastAsia="Times New Roman" w:cstheme="minorHAnsi"/>
                <w:color w:val="000000"/>
                <w:sz w:val="16"/>
                <w:szCs w:val="16"/>
              </w:rPr>
            </w:pPr>
            <w:r w:rsidRPr="00A6353C">
              <w:rPr>
                <w:rFonts w:cstheme="minorHAnsi"/>
                <w:color w:val="000000"/>
                <w:sz w:val="16"/>
                <w:szCs w:val="16"/>
              </w:rPr>
              <w:t>50%</w:t>
            </w:r>
          </w:p>
        </w:tc>
        <w:tc>
          <w:tcPr>
            <w:tcW w:w="956" w:type="dxa"/>
            <w:tcBorders>
              <w:left w:val="nil"/>
            </w:tcBorders>
            <w:vAlign w:val="bottom"/>
          </w:tcPr>
          <w:p w14:paraId="1AE90808" w14:textId="1B36FB8F"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35%</w:t>
            </w:r>
          </w:p>
        </w:tc>
        <w:tc>
          <w:tcPr>
            <w:tcW w:w="1596" w:type="dxa"/>
            <w:shd w:val="clear" w:color="auto" w:fill="auto"/>
            <w:noWrap/>
            <w:vAlign w:val="bottom"/>
            <w:hideMark/>
          </w:tcPr>
          <w:p w14:paraId="1AE90809" w14:textId="54C93159" w:rsidR="00E13A1F" w:rsidRPr="00A6353C" w:rsidRDefault="00E13A1F" w:rsidP="00D30265">
            <w:pPr>
              <w:spacing w:after="0" w:line="240" w:lineRule="auto"/>
              <w:jc w:val="right"/>
              <w:rPr>
                <w:rFonts w:eastAsia="Times New Roman" w:cstheme="minorHAnsi"/>
                <w:color w:val="000000"/>
                <w:sz w:val="16"/>
                <w:szCs w:val="16"/>
              </w:rPr>
            </w:pPr>
            <w:r w:rsidRPr="00A6353C">
              <w:rPr>
                <w:rFonts w:cstheme="minorHAnsi"/>
                <w:color w:val="000000"/>
                <w:sz w:val="16"/>
                <w:szCs w:val="16"/>
              </w:rPr>
              <w:t>$</w:t>
            </w:r>
            <w:r w:rsidR="001C4B4C">
              <w:rPr>
                <w:rFonts w:cstheme="minorHAnsi"/>
                <w:color w:val="000000"/>
                <w:sz w:val="16"/>
                <w:szCs w:val="16"/>
              </w:rPr>
              <w:t>1,320</w:t>
            </w:r>
            <w:r w:rsidRPr="00A6353C">
              <w:rPr>
                <w:rFonts w:cstheme="minorHAnsi"/>
                <w:color w:val="000000"/>
                <w:sz w:val="16"/>
                <w:szCs w:val="16"/>
              </w:rPr>
              <w:t>,000</w:t>
            </w:r>
          </w:p>
        </w:tc>
        <w:tc>
          <w:tcPr>
            <w:tcW w:w="1641" w:type="dxa"/>
            <w:shd w:val="clear" w:color="auto" w:fill="auto"/>
            <w:noWrap/>
            <w:vAlign w:val="bottom"/>
            <w:hideMark/>
          </w:tcPr>
          <w:p w14:paraId="1AE9080A" w14:textId="11E3B325" w:rsidR="00E13A1F" w:rsidRPr="00A6353C" w:rsidRDefault="00E13A1F" w:rsidP="00D30265">
            <w:pPr>
              <w:spacing w:after="0" w:line="240" w:lineRule="auto"/>
              <w:jc w:val="right"/>
              <w:rPr>
                <w:rFonts w:eastAsia="Times New Roman" w:cstheme="minorHAnsi"/>
                <w:color w:val="000000"/>
                <w:sz w:val="16"/>
                <w:szCs w:val="16"/>
              </w:rPr>
            </w:pPr>
            <w:r w:rsidRPr="00C77D34">
              <w:rPr>
                <w:rFonts w:eastAsia="Times New Roman" w:cstheme="minorHAnsi"/>
                <w:color w:val="000000"/>
                <w:sz w:val="16"/>
                <w:szCs w:val="16"/>
              </w:rPr>
              <w:t>$18,000</w:t>
            </w:r>
          </w:p>
        </w:tc>
      </w:tr>
      <w:tr w:rsidR="00A37B79" w:rsidRPr="00A6353C" w14:paraId="1AE90817" w14:textId="77777777" w:rsidTr="00E13A1F">
        <w:trPr>
          <w:trHeight w:val="288"/>
          <w:jc w:val="center"/>
        </w:trPr>
        <w:tc>
          <w:tcPr>
            <w:tcW w:w="1642" w:type="dxa"/>
            <w:vMerge w:val="restart"/>
            <w:shd w:val="clear" w:color="auto" w:fill="auto"/>
            <w:vAlign w:val="center"/>
            <w:hideMark/>
          </w:tcPr>
          <w:p w14:paraId="1AE9080E" w14:textId="77777777" w:rsidR="00E86C47" w:rsidRPr="00A6353C" w:rsidRDefault="00E86C47" w:rsidP="00DF08E5">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Greater Boston Metropolitan</w:t>
            </w:r>
          </w:p>
        </w:tc>
        <w:tc>
          <w:tcPr>
            <w:tcW w:w="1551" w:type="dxa"/>
            <w:vMerge w:val="restart"/>
            <w:shd w:val="clear" w:color="auto" w:fill="auto"/>
            <w:vAlign w:val="center"/>
            <w:hideMark/>
          </w:tcPr>
          <w:p w14:paraId="1AE9080F" w14:textId="748500E5" w:rsidR="00E86C47" w:rsidRPr="00A6353C" w:rsidRDefault="00E86C47" w:rsidP="00D30265">
            <w:pPr>
              <w:spacing w:after="0" w:line="240" w:lineRule="auto"/>
              <w:jc w:val="right"/>
              <w:rPr>
                <w:rFonts w:eastAsia="Times New Roman"/>
                <w:color w:val="000000"/>
                <w:sz w:val="16"/>
                <w:szCs w:val="16"/>
              </w:rPr>
            </w:pPr>
            <w:r w:rsidRPr="00A6353C">
              <w:rPr>
                <w:rFonts w:eastAsia="Times New Roman"/>
                <w:color w:val="000000" w:themeColor="text1"/>
                <w:sz w:val="16"/>
                <w:szCs w:val="16"/>
              </w:rPr>
              <w:t>$</w:t>
            </w:r>
            <w:r w:rsidR="00A42C20">
              <w:rPr>
                <w:rFonts w:eastAsia="Times New Roman"/>
                <w:color w:val="000000" w:themeColor="text1"/>
                <w:sz w:val="16"/>
                <w:szCs w:val="16"/>
              </w:rPr>
              <w:t>18,799</w:t>
            </w:r>
            <w:r w:rsidR="00EC2B48">
              <w:rPr>
                <w:rFonts w:eastAsia="Times New Roman"/>
                <w:color w:val="000000" w:themeColor="text1"/>
                <w:sz w:val="16"/>
                <w:szCs w:val="16"/>
              </w:rPr>
              <w:t>,000</w:t>
            </w:r>
          </w:p>
        </w:tc>
        <w:tc>
          <w:tcPr>
            <w:tcW w:w="1620" w:type="dxa"/>
            <w:shd w:val="clear" w:color="auto" w:fill="auto"/>
            <w:vAlign w:val="bottom"/>
            <w:hideMark/>
          </w:tcPr>
          <w:p w14:paraId="1AE90810" w14:textId="77777777" w:rsidR="00E86C47" w:rsidRPr="00A6353C" w:rsidRDefault="00E86C47" w:rsidP="00DF08E5">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Boston</w:t>
            </w:r>
          </w:p>
        </w:tc>
        <w:tc>
          <w:tcPr>
            <w:tcW w:w="577" w:type="dxa"/>
            <w:tcBorders>
              <w:right w:val="nil"/>
            </w:tcBorders>
            <w:vAlign w:val="bottom"/>
          </w:tcPr>
          <w:p w14:paraId="1AE90811" w14:textId="77777777" w:rsidR="00E86C47" w:rsidRPr="00A6353C" w:rsidRDefault="00E86C47" w:rsidP="00DF08E5">
            <w:pPr>
              <w:spacing w:after="0" w:line="240" w:lineRule="auto"/>
              <w:jc w:val="center"/>
              <w:rPr>
                <w:rFonts w:eastAsia="Times New Roman" w:cstheme="minorHAnsi"/>
                <w:color w:val="000000"/>
                <w:sz w:val="16"/>
                <w:szCs w:val="16"/>
              </w:rPr>
            </w:pPr>
            <w:r w:rsidRPr="00A6353C">
              <w:rPr>
                <w:rFonts w:cstheme="minorHAnsi"/>
                <w:color w:val="000000"/>
                <w:sz w:val="16"/>
                <w:szCs w:val="16"/>
              </w:rPr>
              <w:t>30%</w:t>
            </w:r>
          </w:p>
        </w:tc>
        <w:tc>
          <w:tcPr>
            <w:tcW w:w="956" w:type="dxa"/>
            <w:tcBorders>
              <w:left w:val="nil"/>
            </w:tcBorders>
            <w:vAlign w:val="bottom"/>
          </w:tcPr>
          <w:p w14:paraId="1AE90812" w14:textId="4521F1E5" w:rsidR="00E86C47" w:rsidRPr="00A6353C" w:rsidRDefault="00E86C47" w:rsidP="00DF08E5">
            <w:pPr>
              <w:spacing w:after="0" w:line="240" w:lineRule="auto"/>
              <w:jc w:val="center"/>
              <w:rPr>
                <w:rFonts w:eastAsia="Times New Roman" w:cstheme="minorHAnsi"/>
                <w:color w:val="000000"/>
                <w:sz w:val="16"/>
                <w:szCs w:val="16"/>
              </w:rPr>
            </w:pPr>
            <w:r w:rsidRPr="00A6353C">
              <w:rPr>
                <w:color w:val="000000" w:themeColor="text1"/>
                <w:sz w:val="16"/>
                <w:szCs w:val="16"/>
              </w:rPr>
              <w:t>55%</w:t>
            </w:r>
          </w:p>
        </w:tc>
        <w:tc>
          <w:tcPr>
            <w:tcW w:w="1596" w:type="dxa"/>
            <w:shd w:val="clear" w:color="auto" w:fill="auto"/>
            <w:noWrap/>
            <w:vAlign w:val="bottom"/>
            <w:hideMark/>
          </w:tcPr>
          <w:p w14:paraId="1AE90813" w14:textId="2CB80EF3" w:rsidR="00E86C47" w:rsidRPr="00A6353C" w:rsidRDefault="00E86C47" w:rsidP="00D30265">
            <w:pPr>
              <w:spacing w:after="0" w:line="240" w:lineRule="auto"/>
              <w:jc w:val="right"/>
              <w:rPr>
                <w:rFonts w:eastAsia="Times New Roman" w:cstheme="minorHAnsi"/>
                <w:color w:val="000000"/>
                <w:sz w:val="16"/>
                <w:szCs w:val="16"/>
              </w:rPr>
            </w:pPr>
            <w:r w:rsidRPr="00A6353C">
              <w:rPr>
                <w:rFonts w:cstheme="minorHAnsi"/>
                <w:color w:val="000000"/>
                <w:sz w:val="16"/>
                <w:szCs w:val="16"/>
              </w:rPr>
              <w:t>$</w:t>
            </w:r>
            <w:r w:rsidR="00C46B1A">
              <w:rPr>
                <w:rFonts w:cstheme="minorHAnsi"/>
                <w:color w:val="000000"/>
                <w:sz w:val="16"/>
                <w:szCs w:val="16"/>
              </w:rPr>
              <w:t>9</w:t>
            </w:r>
            <w:r w:rsidRPr="00A6353C">
              <w:rPr>
                <w:rFonts w:cstheme="minorHAnsi"/>
                <w:color w:val="000000"/>
                <w:sz w:val="16"/>
                <w:szCs w:val="16"/>
              </w:rPr>
              <w:t>,</w:t>
            </w:r>
            <w:r w:rsidR="00083E59">
              <w:rPr>
                <w:rFonts w:cstheme="minorHAnsi"/>
                <w:color w:val="000000"/>
                <w:sz w:val="16"/>
                <w:szCs w:val="16"/>
              </w:rPr>
              <w:t>597</w:t>
            </w:r>
            <w:r w:rsidRPr="00A6353C">
              <w:rPr>
                <w:rFonts w:cstheme="minorHAnsi"/>
                <w:color w:val="000000"/>
                <w:sz w:val="16"/>
                <w:szCs w:val="16"/>
              </w:rPr>
              <w:t>,000</w:t>
            </w:r>
          </w:p>
        </w:tc>
        <w:tc>
          <w:tcPr>
            <w:tcW w:w="1641" w:type="dxa"/>
            <w:shd w:val="clear" w:color="auto" w:fill="auto"/>
            <w:noWrap/>
            <w:vAlign w:val="bottom"/>
            <w:hideMark/>
          </w:tcPr>
          <w:p w14:paraId="1AE90814" w14:textId="1CDF34DE" w:rsidR="00E86C47" w:rsidRPr="00A6353C" w:rsidRDefault="00E86C47" w:rsidP="00D30265">
            <w:pPr>
              <w:spacing w:after="0" w:line="240" w:lineRule="auto"/>
              <w:jc w:val="right"/>
              <w:rPr>
                <w:rFonts w:eastAsia="Times New Roman" w:cstheme="minorHAnsi"/>
                <w:color w:val="000000"/>
                <w:sz w:val="16"/>
                <w:szCs w:val="16"/>
              </w:rPr>
            </w:pPr>
            <w:r w:rsidRPr="00A6353C">
              <w:rPr>
                <w:rFonts w:eastAsia="Times New Roman" w:cstheme="minorHAnsi"/>
                <w:color w:val="000000"/>
                <w:sz w:val="16"/>
                <w:szCs w:val="16"/>
              </w:rPr>
              <w:t>$6</w:t>
            </w:r>
            <w:r w:rsidR="00E13A1F">
              <w:rPr>
                <w:rFonts w:eastAsia="Times New Roman" w:cstheme="minorHAnsi"/>
                <w:color w:val="000000"/>
                <w:sz w:val="16"/>
                <w:szCs w:val="16"/>
              </w:rPr>
              <w:t>2</w:t>
            </w:r>
            <w:r w:rsidRPr="00A6353C">
              <w:rPr>
                <w:rFonts w:eastAsia="Times New Roman" w:cstheme="minorHAnsi"/>
                <w:color w:val="000000"/>
                <w:sz w:val="16"/>
                <w:szCs w:val="16"/>
              </w:rPr>
              <w:t>,300</w:t>
            </w:r>
          </w:p>
        </w:tc>
      </w:tr>
      <w:tr w:rsidR="00E13A1F" w:rsidRPr="00A6353C" w14:paraId="1AE90821" w14:textId="77777777" w:rsidTr="00E13A1F">
        <w:trPr>
          <w:trHeight w:val="288"/>
          <w:jc w:val="center"/>
        </w:trPr>
        <w:tc>
          <w:tcPr>
            <w:tcW w:w="1642" w:type="dxa"/>
            <w:vMerge/>
            <w:vAlign w:val="center"/>
            <w:hideMark/>
          </w:tcPr>
          <w:p w14:paraId="1AE90818" w14:textId="77777777" w:rsidR="00E13A1F" w:rsidRPr="00A6353C" w:rsidRDefault="00E13A1F" w:rsidP="00E13A1F">
            <w:pPr>
              <w:spacing w:after="0" w:line="240" w:lineRule="auto"/>
              <w:rPr>
                <w:rFonts w:eastAsia="Times New Roman" w:cstheme="minorHAnsi"/>
                <w:color w:val="000000"/>
                <w:sz w:val="16"/>
                <w:szCs w:val="16"/>
              </w:rPr>
            </w:pPr>
          </w:p>
        </w:tc>
        <w:tc>
          <w:tcPr>
            <w:tcW w:w="1551" w:type="dxa"/>
            <w:vMerge/>
            <w:vAlign w:val="center"/>
            <w:hideMark/>
          </w:tcPr>
          <w:p w14:paraId="1AE90819" w14:textId="77777777" w:rsidR="00E13A1F" w:rsidRPr="00A6353C" w:rsidRDefault="00E13A1F" w:rsidP="00D30265">
            <w:pPr>
              <w:spacing w:after="0" w:line="240" w:lineRule="auto"/>
              <w:jc w:val="right"/>
              <w:rPr>
                <w:rFonts w:eastAsia="Times New Roman" w:cstheme="minorHAnsi"/>
                <w:color w:val="000000"/>
                <w:sz w:val="16"/>
                <w:szCs w:val="16"/>
              </w:rPr>
            </w:pPr>
          </w:p>
        </w:tc>
        <w:tc>
          <w:tcPr>
            <w:tcW w:w="1620" w:type="dxa"/>
            <w:shd w:val="clear" w:color="auto" w:fill="auto"/>
            <w:vAlign w:val="bottom"/>
            <w:hideMark/>
          </w:tcPr>
          <w:p w14:paraId="1AE9081A"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Metro North</w:t>
            </w:r>
          </w:p>
        </w:tc>
        <w:tc>
          <w:tcPr>
            <w:tcW w:w="577" w:type="dxa"/>
            <w:tcBorders>
              <w:right w:val="nil"/>
            </w:tcBorders>
            <w:vAlign w:val="bottom"/>
          </w:tcPr>
          <w:p w14:paraId="1AE9081B" w14:textId="77777777" w:rsidR="00E13A1F" w:rsidRPr="00A6353C" w:rsidRDefault="00E13A1F" w:rsidP="00E13A1F">
            <w:pPr>
              <w:spacing w:after="0" w:line="240" w:lineRule="auto"/>
              <w:jc w:val="center"/>
              <w:rPr>
                <w:rFonts w:eastAsia="Times New Roman" w:cstheme="minorHAnsi"/>
                <w:color w:val="000000"/>
                <w:sz w:val="16"/>
                <w:szCs w:val="16"/>
              </w:rPr>
            </w:pPr>
            <w:r w:rsidRPr="00A6353C">
              <w:rPr>
                <w:rFonts w:cstheme="minorHAnsi"/>
                <w:color w:val="000000"/>
                <w:sz w:val="16"/>
                <w:szCs w:val="16"/>
              </w:rPr>
              <w:t>30%</w:t>
            </w:r>
          </w:p>
        </w:tc>
        <w:tc>
          <w:tcPr>
            <w:tcW w:w="956" w:type="dxa"/>
            <w:tcBorders>
              <w:left w:val="nil"/>
            </w:tcBorders>
            <w:vAlign w:val="bottom"/>
          </w:tcPr>
          <w:p w14:paraId="1AE9081C" w14:textId="4249B5DC"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55%</w:t>
            </w:r>
          </w:p>
        </w:tc>
        <w:tc>
          <w:tcPr>
            <w:tcW w:w="1596" w:type="dxa"/>
            <w:shd w:val="clear" w:color="auto" w:fill="auto"/>
            <w:noWrap/>
            <w:vAlign w:val="bottom"/>
            <w:hideMark/>
          </w:tcPr>
          <w:p w14:paraId="1AE9081D" w14:textId="1CAAB0CA" w:rsidR="00E13A1F" w:rsidRPr="00A6353C" w:rsidRDefault="00E13A1F" w:rsidP="00D30265">
            <w:pPr>
              <w:spacing w:after="0" w:line="240" w:lineRule="auto"/>
              <w:jc w:val="right"/>
              <w:rPr>
                <w:rFonts w:eastAsia="Times New Roman" w:cstheme="minorHAnsi"/>
                <w:color w:val="000000"/>
                <w:sz w:val="16"/>
                <w:szCs w:val="16"/>
              </w:rPr>
            </w:pPr>
            <w:r w:rsidRPr="00A6353C">
              <w:rPr>
                <w:rFonts w:cstheme="minorHAnsi"/>
                <w:color w:val="000000"/>
                <w:sz w:val="16"/>
                <w:szCs w:val="16"/>
              </w:rPr>
              <w:t>$</w:t>
            </w:r>
            <w:r w:rsidR="00083E59">
              <w:rPr>
                <w:rFonts w:cstheme="minorHAnsi"/>
                <w:color w:val="000000"/>
                <w:sz w:val="16"/>
                <w:szCs w:val="16"/>
              </w:rPr>
              <w:t>5,301</w:t>
            </w:r>
            <w:r w:rsidRPr="00A6353C">
              <w:rPr>
                <w:rFonts w:cstheme="minorHAnsi"/>
                <w:color w:val="000000"/>
                <w:sz w:val="16"/>
                <w:szCs w:val="16"/>
              </w:rPr>
              <w:t>,000</w:t>
            </w:r>
          </w:p>
        </w:tc>
        <w:tc>
          <w:tcPr>
            <w:tcW w:w="1641" w:type="dxa"/>
            <w:shd w:val="clear" w:color="auto" w:fill="auto"/>
            <w:noWrap/>
            <w:vAlign w:val="bottom"/>
            <w:hideMark/>
          </w:tcPr>
          <w:p w14:paraId="1AE9081E" w14:textId="0C9C938D" w:rsidR="00E13A1F" w:rsidRPr="00A6353C" w:rsidRDefault="00E13A1F" w:rsidP="00D30265">
            <w:pPr>
              <w:spacing w:after="0" w:line="240" w:lineRule="auto"/>
              <w:jc w:val="right"/>
              <w:rPr>
                <w:rFonts w:eastAsia="Times New Roman" w:cstheme="minorHAnsi"/>
                <w:color w:val="000000"/>
                <w:sz w:val="16"/>
                <w:szCs w:val="16"/>
              </w:rPr>
            </w:pPr>
            <w:r w:rsidRPr="00A6353C">
              <w:rPr>
                <w:rFonts w:eastAsia="Times New Roman" w:cstheme="minorHAnsi"/>
                <w:color w:val="000000"/>
                <w:sz w:val="16"/>
                <w:szCs w:val="16"/>
              </w:rPr>
              <w:t>$1</w:t>
            </w:r>
            <w:r>
              <w:rPr>
                <w:rFonts w:eastAsia="Times New Roman" w:cstheme="minorHAnsi"/>
                <w:color w:val="000000"/>
                <w:sz w:val="16"/>
                <w:szCs w:val="16"/>
              </w:rPr>
              <w:t>8</w:t>
            </w:r>
            <w:r w:rsidRPr="00A6353C">
              <w:rPr>
                <w:rFonts w:eastAsia="Times New Roman" w:cstheme="minorHAnsi"/>
                <w:color w:val="000000"/>
                <w:sz w:val="16"/>
                <w:szCs w:val="16"/>
              </w:rPr>
              <w:t>,000</w:t>
            </w:r>
          </w:p>
        </w:tc>
      </w:tr>
      <w:tr w:rsidR="00E13A1F" w:rsidRPr="00A6353C" w14:paraId="1AE9082B" w14:textId="77777777" w:rsidTr="00E13A1F">
        <w:trPr>
          <w:trHeight w:val="288"/>
          <w:jc w:val="center"/>
        </w:trPr>
        <w:tc>
          <w:tcPr>
            <w:tcW w:w="1642" w:type="dxa"/>
            <w:vMerge/>
            <w:vAlign w:val="center"/>
            <w:hideMark/>
          </w:tcPr>
          <w:p w14:paraId="1AE90822" w14:textId="77777777" w:rsidR="00E13A1F" w:rsidRPr="00A6353C" w:rsidRDefault="00E13A1F" w:rsidP="00E13A1F">
            <w:pPr>
              <w:spacing w:after="0" w:line="240" w:lineRule="auto"/>
              <w:rPr>
                <w:rFonts w:eastAsia="Times New Roman" w:cstheme="minorHAnsi"/>
                <w:color w:val="000000"/>
                <w:sz w:val="16"/>
                <w:szCs w:val="16"/>
              </w:rPr>
            </w:pPr>
          </w:p>
        </w:tc>
        <w:tc>
          <w:tcPr>
            <w:tcW w:w="1551" w:type="dxa"/>
            <w:vMerge/>
            <w:vAlign w:val="center"/>
            <w:hideMark/>
          </w:tcPr>
          <w:p w14:paraId="1AE90823" w14:textId="77777777" w:rsidR="00E13A1F" w:rsidRPr="00A6353C" w:rsidRDefault="00E13A1F" w:rsidP="00D30265">
            <w:pPr>
              <w:spacing w:after="0" w:line="240" w:lineRule="auto"/>
              <w:jc w:val="right"/>
              <w:rPr>
                <w:rFonts w:eastAsia="Times New Roman" w:cstheme="minorHAnsi"/>
                <w:color w:val="000000"/>
                <w:sz w:val="16"/>
                <w:szCs w:val="16"/>
              </w:rPr>
            </w:pPr>
          </w:p>
        </w:tc>
        <w:tc>
          <w:tcPr>
            <w:tcW w:w="1620" w:type="dxa"/>
            <w:shd w:val="clear" w:color="auto" w:fill="auto"/>
            <w:vAlign w:val="bottom"/>
            <w:hideMark/>
          </w:tcPr>
          <w:p w14:paraId="1AE90824"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Metro South/West</w:t>
            </w:r>
          </w:p>
        </w:tc>
        <w:tc>
          <w:tcPr>
            <w:tcW w:w="577" w:type="dxa"/>
            <w:tcBorders>
              <w:right w:val="nil"/>
            </w:tcBorders>
            <w:vAlign w:val="bottom"/>
          </w:tcPr>
          <w:p w14:paraId="1AE90825" w14:textId="20D28055"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35%</w:t>
            </w:r>
          </w:p>
        </w:tc>
        <w:tc>
          <w:tcPr>
            <w:tcW w:w="956" w:type="dxa"/>
            <w:tcBorders>
              <w:left w:val="nil"/>
            </w:tcBorders>
            <w:vAlign w:val="bottom"/>
          </w:tcPr>
          <w:p w14:paraId="1AE90826" w14:textId="77777777" w:rsidR="00E13A1F" w:rsidRPr="00A6353C" w:rsidRDefault="00E13A1F" w:rsidP="00E13A1F">
            <w:pPr>
              <w:spacing w:after="0" w:line="240" w:lineRule="auto"/>
              <w:jc w:val="center"/>
              <w:rPr>
                <w:rFonts w:eastAsia="Times New Roman" w:cstheme="minorHAnsi"/>
                <w:color w:val="000000"/>
                <w:sz w:val="16"/>
                <w:szCs w:val="16"/>
              </w:rPr>
            </w:pPr>
            <w:r w:rsidRPr="00A6353C">
              <w:rPr>
                <w:rFonts w:cstheme="minorHAnsi"/>
                <w:color w:val="000000"/>
                <w:sz w:val="16"/>
                <w:szCs w:val="16"/>
              </w:rPr>
              <w:t>50%</w:t>
            </w:r>
          </w:p>
        </w:tc>
        <w:tc>
          <w:tcPr>
            <w:tcW w:w="1596" w:type="dxa"/>
            <w:shd w:val="clear" w:color="auto" w:fill="auto"/>
            <w:noWrap/>
            <w:vAlign w:val="bottom"/>
            <w:hideMark/>
          </w:tcPr>
          <w:p w14:paraId="1AE90827" w14:textId="73C50B7D" w:rsidR="00E13A1F" w:rsidRPr="00A6353C" w:rsidRDefault="00E13A1F" w:rsidP="00D30265">
            <w:pPr>
              <w:spacing w:after="0" w:line="240" w:lineRule="auto"/>
              <w:jc w:val="right"/>
              <w:rPr>
                <w:rFonts w:eastAsia="Times New Roman" w:cstheme="minorHAnsi"/>
                <w:color w:val="000000"/>
                <w:sz w:val="16"/>
                <w:szCs w:val="16"/>
              </w:rPr>
            </w:pPr>
            <w:r w:rsidRPr="00A6353C">
              <w:rPr>
                <w:rFonts w:cstheme="minorHAnsi"/>
                <w:color w:val="000000"/>
                <w:sz w:val="16"/>
                <w:szCs w:val="16"/>
              </w:rPr>
              <w:t>$</w:t>
            </w:r>
            <w:r w:rsidR="00083E59">
              <w:rPr>
                <w:rFonts w:cstheme="minorHAnsi"/>
                <w:color w:val="000000"/>
                <w:sz w:val="16"/>
                <w:szCs w:val="16"/>
              </w:rPr>
              <w:t>3,901,000</w:t>
            </w:r>
          </w:p>
        </w:tc>
        <w:tc>
          <w:tcPr>
            <w:tcW w:w="1641" w:type="dxa"/>
            <w:shd w:val="clear" w:color="auto" w:fill="auto"/>
            <w:noWrap/>
            <w:vAlign w:val="bottom"/>
            <w:hideMark/>
          </w:tcPr>
          <w:p w14:paraId="1AE90828" w14:textId="27B95B34" w:rsidR="00E13A1F" w:rsidRPr="00A6353C" w:rsidRDefault="00E13A1F" w:rsidP="00D30265">
            <w:pPr>
              <w:spacing w:after="0" w:line="240" w:lineRule="auto"/>
              <w:jc w:val="right"/>
              <w:rPr>
                <w:rFonts w:eastAsia="Times New Roman" w:cstheme="minorHAnsi"/>
                <w:color w:val="000000"/>
                <w:sz w:val="16"/>
                <w:szCs w:val="16"/>
              </w:rPr>
            </w:pPr>
            <w:r w:rsidRPr="00A6353C">
              <w:rPr>
                <w:rFonts w:eastAsia="Times New Roman" w:cstheme="minorHAnsi"/>
                <w:color w:val="000000"/>
                <w:sz w:val="16"/>
                <w:szCs w:val="16"/>
              </w:rPr>
              <w:t>$1</w:t>
            </w:r>
            <w:r>
              <w:rPr>
                <w:rFonts w:eastAsia="Times New Roman" w:cstheme="minorHAnsi"/>
                <w:color w:val="000000"/>
                <w:sz w:val="16"/>
                <w:szCs w:val="16"/>
              </w:rPr>
              <w:t>8</w:t>
            </w:r>
            <w:r w:rsidRPr="00A6353C">
              <w:rPr>
                <w:rFonts w:eastAsia="Times New Roman" w:cstheme="minorHAnsi"/>
                <w:color w:val="000000"/>
                <w:sz w:val="16"/>
                <w:szCs w:val="16"/>
              </w:rPr>
              <w:t>,000</w:t>
            </w:r>
          </w:p>
        </w:tc>
      </w:tr>
      <w:tr w:rsidR="00E13A1F" w:rsidRPr="00A6353C" w14:paraId="1AE90835" w14:textId="77777777" w:rsidTr="00E13A1F">
        <w:trPr>
          <w:trHeight w:val="288"/>
          <w:jc w:val="center"/>
        </w:trPr>
        <w:tc>
          <w:tcPr>
            <w:tcW w:w="1642" w:type="dxa"/>
            <w:vMerge w:val="restart"/>
            <w:shd w:val="clear" w:color="auto" w:fill="auto"/>
            <w:vAlign w:val="center"/>
            <w:hideMark/>
          </w:tcPr>
          <w:p w14:paraId="1AE9082C"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Northeast</w:t>
            </w:r>
          </w:p>
        </w:tc>
        <w:tc>
          <w:tcPr>
            <w:tcW w:w="1551" w:type="dxa"/>
            <w:vMerge w:val="restart"/>
            <w:shd w:val="clear" w:color="auto" w:fill="auto"/>
            <w:vAlign w:val="center"/>
            <w:hideMark/>
          </w:tcPr>
          <w:p w14:paraId="1AE9082D" w14:textId="38F5F99F" w:rsidR="00E13A1F" w:rsidRPr="00A6353C" w:rsidRDefault="00E13A1F" w:rsidP="00D30265">
            <w:pPr>
              <w:spacing w:after="0" w:line="240" w:lineRule="auto"/>
              <w:jc w:val="right"/>
              <w:rPr>
                <w:rFonts w:eastAsia="Times New Roman"/>
                <w:color w:val="000000"/>
                <w:sz w:val="16"/>
                <w:szCs w:val="16"/>
              </w:rPr>
            </w:pPr>
            <w:r w:rsidRPr="00A6353C">
              <w:rPr>
                <w:rFonts w:eastAsia="Times New Roman"/>
                <w:color w:val="000000" w:themeColor="text1"/>
                <w:sz w:val="16"/>
                <w:szCs w:val="16"/>
              </w:rPr>
              <w:t>$</w:t>
            </w:r>
            <w:r w:rsidR="00EC2B48">
              <w:rPr>
                <w:rFonts w:eastAsia="Times New Roman"/>
                <w:color w:val="000000" w:themeColor="text1"/>
                <w:sz w:val="16"/>
                <w:szCs w:val="16"/>
              </w:rPr>
              <w:t>7,516,000</w:t>
            </w:r>
          </w:p>
        </w:tc>
        <w:tc>
          <w:tcPr>
            <w:tcW w:w="1620" w:type="dxa"/>
            <w:shd w:val="clear" w:color="auto" w:fill="auto"/>
            <w:vAlign w:val="bottom"/>
            <w:hideMark/>
          </w:tcPr>
          <w:p w14:paraId="1AE9082E"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Greater Lowell</w:t>
            </w:r>
          </w:p>
        </w:tc>
        <w:tc>
          <w:tcPr>
            <w:tcW w:w="577" w:type="dxa"/>
            <w:tcBorders>
              <w:right w:val="nil"/>
            </w:tcBorders>
            <w:vAlign w:val="bottom"/>
          </w:tcPr>
          <w:p w14:paraId="1AE9082F" w14:textId="77777777" w:rsidR="00E13A1F" w:rsidRPr="00A6353C" w:rsidRDefault="00E13A1F" w:rsidP="00E13A1F">
            <w:pPr>
              <w:spacing w:after="0" w:line="240" w:lineRule="auto"/>
              <w:jc w:val="center"/>
              <w:rPr>
                <w:rFonts w:eastAsia="Times New Roman" w:cstheme="minorHAnsi"/>
                <w:color w:val="000000"/>
                <w:sz w:val="16"/>
                <w:szCs w:val="16"/>
              </w:rPr>
            </w:pPr>
            <w:r w:rsidRPr="00A6353C">
              <w:rPr>
                <w:rFonts w:cstheme="minorHAnsi"/>
                <w:color w:val="000000"/>
                <w:sz w:val="16"/>
                <w:szCs w:val="16"/>
              </w:rPr>
              <w:t>40%</w:t>
            </w:r>
          </w:p>
        </w:tc>
        <w:tc>
          <w:tcPr>
            <w:tcW w:w="956" w:type="dxa"/>
            <w:tcBorders>
              <w:left w:val="nil"/>
            </w:tcBorders>
            <w:vAlign w:val="bottom"/>
          </w:tcPr>
          <w:p w14:paraId="1AE90830" w14:textId="6856FDE0"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45%</w:t>
            </w:r>
          </w:p>
        </w:tc>
        <w:tc>
          <w:tcPr>
            <w:tcW w:w="1596" w:type="dxa"/>
            <w:shd w:val="clear" w:color="auto" w:fill="auto"/>
            <w:noWrap/>
            <w:vAlign w:val="bottom"/>
            <w:hideMark/>
          </w:tcPr>
          <w:p w14:paraId="1AE90831" w14:textId="0DCFDB53" w:rsidR="00E13A1F" w:rsidRPr="00A6353C" w:rsidRDefault="00E13A1F" w:rsidP="00D30265">
            <w:pPr>
              <w:spacing w:after="0" w:line="240" w:lineRule="auto"/>
              <w:jc w:val="right"/>
              <w:rPr>
                <w:rFonts w:eastAsia="Times New Roman" w:cstheme="minorHAnsi"/>
                <w:color w:val="000000"/>
                <w:sz w:val="16"/>
                <w:szCs w:val="16"/>
              </w:rPr>
            </w:pPr>
            <w:r w:rsidRPr="00A6353C">
              <w:rPr>
                <w:rFonts w:cstheme="minorHAnsi"/>
                <w:color w:val="000000"/>
                <w:sz w:val="16"/>
                <w:szCs w:val="16"/>
              </w:rPr>
              <w:t>$1,782,000</w:t>
            </w:r>
          </w:p>
        </w:tc>
        <w:tc>
          <w:tcPr>
            <w:tcW w:w="1641" w:type="dxa"/>
            <w:shd w:val="clear" w:color="auto" w:fill="auto"/>
            <w:noWrap/>
            <w:vAlign w:val="bottom"/>
            <w:hideMark/>
          </w:tcPr>
          <w:p w14:paraId="1AE90832" w14:textId="6B3A1255" w:rsidR="00E13A1F" w:rsidRPr="00A6353C" w:rsidRDefault="00E13A1F" w:rsidP="00D30265">
            <w:pPr>
              <w:spacing w:after="0" w:line="240" w:lineRule="auto"/>
              <w:jc w:val="right"/>
              <w:rPr>
                <w:rFonts w:eastAsia="Times New Roman" w:cstheme="minorHAnsi"/>
                <w:color w:val="000000"/>
                <w:sz w:val="16"/>
                <w:szCs w:val="16"/>
              </w:rPr>
            </w:pPr>
            <w:r w:rsidRPr="00A6353C">
              <w:rPr>
                <w:rFonts w:eastAsia="Times New Roman" w:cstheme="minorHAnsi"/>
                <w:color w:val="000000"/>
                <w:sz w:val="16"/>
                <w:szCs w:val="16"/>
              </w:rPr>
              <w:t>$1</w:t>
            </w:r>
            <w:r>
              <w:rPr>
                <w:rFonts w:eastAsia="Times New Roman" w:cstheme="minorHAnsi"/>
                <w:color w:val="000000"/>
                <w:sz w:val="16"/>
                <w:szCs w:val="16"/>
              </w:rPr>
              <w:t>8</w:t>
            </w:r>
            <w:r w:rsidRPr="00A6353C">
              <w:rPr>
                <w:rFonts w:eastAsia="Times New Roman" w:cstheme="minorHAnsi"/>
                <w:color w:val="000000"/>
                <w:sz w:val="16"/>
                <w:szCs w:val="16"/>
              </w:rPr>
              <w:t>,000</w:t>
            </w:r>
          </w:p>
        </w:tc>
      </w:tr>
      <w:tr w:rsidR="00E13A1F" w:rsidRPr="00A6353C" w14:paraId="1AE90840" w14:textId="77777777" w:rsidTr="00E13A1F">
        <w:trPr>
          <w:trHeight w:val="288"/>
          <w:jc w:val="center"/>
        </w:trPr>
        <w:tc>
          <w:tcPr>
            <w:tcW w:w="1642" w:type="dxa"/>
            <w:vMerge/>
            <w:vAlign w:val="center"/>
            <w:hideMark/>
          </w:tcPr>
          <w:p w14:paraId="1AE90836" w14:textId="77777777" w:rsidR="00E13A1F" w:rsidRPr="00A6353C" w:rsidRDefault="00E13A1F" w:rsidP="00E13A1F">
            <w:pPr>
              <w:spacing w:after="0" w:line="240" w:lineRule="auto"/>
              <w:rPr>
                <w:rFonts w:eastAsia="Times New Roman" w:cstheme="minorHAnsi"/>
                <w:color w:val="000000"/>
                <w:sz w:val="16"/>
                <w:szCs w:val="16"/>
              </w:rPr>
            </w:pPr>
          </w:p>
        </w:tc>
        <w:tc>
          <w:tcPr>
            <w:tcW w:w="1551" w:type="dxa"/>
            <w:vMerge/>
            <w:vAlign w:val="center"/>
            <w:hideMark/>
          </w:tcPr>
          <w:p w14:paraId="1AE90837" w14:textId="77777777" w:rsidR="00E13A1F" w:rsidRPr="00A6353C" w:rsidRDefault="00E13A1F" w:rsidP="00D30265">
            <w:pPr>
              <w:spacing w:after="0" w:line="240" w:lineRule="auto"/>
              <w:jc w:val="right"/>
              <w:rPr>
                <w:rFonts w:eastAsia="Times New Roman" w:cstheme="minorHAnsi"/>
                <w:color w:val="000000"/>
                <w:sz w:val="16"/>
                <w:szCs w:val="16"/>
              </w:rPr>
            </w:pPr>
          </w:p>
        </w:tc>
        <w:tc>
          <w:tcPr>
            <w:tcW w:w="1620" w:type="dxa"/>
            <w:shd w:val="clear" w:color="auto" w:fill="auto"/>
            <w:vAlign w:val="bottom"/>
            <w:hideMark/>
          </w:tcPr>
          <w:p w14:paraId="1AE90838"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Merrimack Valley</w:t>
            </w:r>
          </w:p>
        </w:tc>
        <w:tc>
          <w:tcPr>
            <w:tcW w:w="577" w:type="dxa"/>
            <w:tcBorders>
              <w:right w:val="nil"/>
            </w:tcBorders>
            <w:vAlign w:val="bottom"/>
          </w:tcPr>
          <w:p w14:paraId="1AE90839" w14:textId="6C565F87"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35%</w:t>
            </w:r>
          </w:p>
        </w:tc>
        <w:tc>
          <w:tcPr>
            <w:tcW w:w="956" w:type="dxa"/>
            <w:tcBorders>
              <w:left w:val="nil"/>
            </w:tcBorders>
            <w:vAlign w:val="bottom"/>
          </w:tcPr>
          <w:p w14:paraId="1AE9083A" w14:textId="77777777" w:rsidR="00E13A1F" w:rsidRPr="00A6353C" w:rsidRDefault="00E13A1F" w:rsidP="00E13A1F">
            <w:pPr>
              <w:spacing w:after="0" w:line="240" w:lineRule="auto"/>
              <w:jc w:val="center"/>
              <w:rPr>
                <w:rFonts w:eastAsia="Times New Roman" w:cstheme="minorHAnsi"/>
                <w:color w:val="000000"/>
                <w:sz w:val="16"/>
                <w:szCs w:val="16"/>
              </w:rPr>
            </w:pPr>
            <w:r w:rsidRPr="00A6353C">
              <w:rPr>
                <w:rFonts w:cstheme="minorHAnsi"/>
                <w:color w:val="000000"/>
                <w:sz w:val="16"/>
                <w:szCs w:val="16"/>
              </w:rPr>
              <w:t>50%</w:t>
            </w:r>
          </w:p>
        </w:tc>
        <w:tc>
          <w:tcPr>
            <w:tcW w:w="1596" w:type="dxa"/>
            <w:shd w:val="clear" w:color="auto" w:fill="auto"/>
            <w:noWrap/>
            <w:vAlign w:val="bottom"/>
            <w:hideMark/>
          </w:tcPr>
          <w:p w14:paraId="1AE9083C" w14:textId="36439A0A" w:rsidR="00E13A1F" w:rsidRPr="00A6353C" w:rsidRDefault="00E13A1F" w:rsidP="00D30265">
            <w:pPr>
              <w:spacing w:after="0" w:line="240" w:lineRule="auto"/>
              <w:jc w:val="right"/>
              <w:rPr>
                <w:rFonts w:eastAsia="Times New Roman" w:cstheme="minorHAnsi"/>
                <w:color w:val="000000"/>
                <w:sz w:val="16"/>
                <w:szCs w:val="16"/>
              </w:rPr>
            </w:pPr>
            <w:r w:rsidRPr="00A6353C">
              <w:rPr>
                <w:rFonts w:cstheme="minorHAnsi"/>
                <w:color w:val="000000"/>
                <w:sz w:val="16"/>
                <w:szCs w:val="16"/>
              </w:rPr>
              <w:t>$</w:t>
            </w:r>
            <w:r w:rsidR="003E134C">
              <w:rPr>
                <w:rFonts w:cstheme="minorHAnsi"/>
                <w:color w:val="000000"/>
                <w:sz w:val="16"/>
                <w:szCs w:val="16"/>
              </w:rPr>
              <w:t>3,605,000</w:t>
            </w:r>
          </w:p>
        </w:tc>
        <w:tc>
          <w:tcPr>
            <w:tcW w:w="1641" w:type="dxa"/>
            <w:shd w:val="clear" w:color="auto" w:fill="auto"/>
            <w:noWrap/>
            <w:vAlign w:val="bottom"/>
            <w:hideMark/>
          </w:tcPr>
          <w:p w14:paraId="1AE9083D" w14:textId="431A8539" w:rsidR="00E13A1F" w:rsidRPr="00A6353C" w:rsidRDefault="00E13A1F" w:rsidP="00D30265">
            <w:pPr>
              <w:spacing w:after="0" w:line="240" w:lineRule="auto"/>
              <w:jc w:val="right"/>
              <w:rPr>
                <w:rFonts w:eastAsia="Times New Roman" w:cstheme="minorHAnsi"/>
                <w:color w:val="000000"/>
                <w:sz w:val="16"/>
                <w:szCs w:val="16"/>
              </w:rPr>
            </w:pPr>
            <w:r w:rsidRPr="00A6353C">
              <w:rPr>
                <w:rFonts w:eastAsia="Times New Roman" w:cstheme="minorHAnsi"/>
                <w:color w:val="000000"/>
                <w:sz w:val="16"/>
                <w:szCs w:val="16"/>
              </w:rPr>
              <w:t>$1</w:t>
            </w:r>
            <w:r>
              <w:rPr>
                <w:rFonts w:eastAsia="Times New Roman" w:cstheme="minorHAnsi"/>
                <w:color w:val="000000"/>
                <w:sz w:val="16"/>
                <w:szCs w:val="16"/>
              </w:rPr>
              <w:t>8</w:t>
            </w:r>
            <w:r w:rsidRPr="00A6353C">
              <w:rPr>
                <w:rFonts w:eastAsia="Times New Roman" w:cstheme="minorHAnsi"/>
                <w:color w:val="000000"/>
                <w:sz w:val="16"/>
                <w:szCs w:val="16"/>
              </w:rPr>
              <w:t>,000</w:t>
            </w:r>
          </w:p>
        </w:tc>
      </w:tr>
      <w:tr w:rsidR="00E13A1F" w:rsidRPr="00A6353C" w14:paraId="1AE9084B" w14:textId="77777777" w:rsidTr="00E13A1F">
        <w:trPr>
          <w:trHeight w:val="288"/>
          <w:jc w:val="center"/>
        </w:trPr>
        <w:tc>
          <w:tcPr>
            <w:tcW w:w="1642" w:type="dxa"/>
            <w:vMerge/>
            <w:vAlign w:val="center"/>
            <w:hideMark/>
          </w:tcPr>
          <w:p w14:paraId="1AE90841" w14:textId="77777777" w:rsidR="00E13A1F" w:rsidRPr="00A6353C" w:rsidRDefault="00E13A1F" w:rsidP="00E13A1F">
            <w:pPr>
              <w:spacing w:after="0" w:line="240" w:lineRule="auto"/>
              <w:rPr>
                <w:rFonts w:eastAsia="Times New Roman" w:cstheme="minorHAnsi"/>
                <w:color w:val="000000"/>
                <w:sz w:val="16"/>
                <w:szCs w:val="16"/>
              </w:rPr>
            </w:pPr>
          </w:p>
        </w:tc>
        <w:tc>
          <w:tcPr>
            <w:tcW w:w="1551" w:type="dxa"/>
            <w:vMerge/>
            <w:vAlign w:val="center"/>
            <w:hideMark/>
          </w:tcPr>
          <w:p w14:paraId="1AE90842" w14:textId="77777777" w:rsidR="00E13A1F" w:rsidRPr="00A6353C" w:rsidRDefault="00E13A1F" w:rsidP="00D30265">
            <w:pPr>
              <w:spacing w:after="0" w:line="240" w:lineRule="auto"/>
              <w:jc w:val="right"/>
              <w:rPr>
                <w:rFonts w:eastAsia="Times New Roman" w:cstheme="minorHAnsi"/>
                <w:color w:val="000000"/>
                <w:sz w:val="16"/>
                <w:szCs w:val="16"/>
              </w:rPr>
            </w:pPr>
          </w:p>
        </w:tc>
        <w:tc>
          <w:tcPr>
            <w:tcW w:w="1620" w:type="dxa"/>
            <w:shd w:val="clear" w:color="auto" w:fill="auto"/>
            <w:vAlign w:val="bottom"/>
            <w:hideMark/>
          </w:tcPr>
          <w:p w14:paraId="1AE90843"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North Shore</w:t>
            </w:r>
          </w:p>
        </w:tc>
        <w:tc>
          <w:tcPr>
            <w:tcW w:w="577" w:type="dxa"/>
            <w:tcBorders>
              <w:right w:val="nil"/>
            </w:tcBorders>
            <w:vAlign w:val="bottom"/>
          </w:tcPr>
          <w:p w14:paraId="1AE90844" w14:textId="489BA020"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40%</w:t>
            </w:r>
          </w:p>
        </w:tc>
        <w:tc>
          <w:tcPr>
            <w:tcW w:w="956" w:type="dxa"/>
            <w:tcBorders>
              <w:left w:val="nil"/>
            </w:tcBorders>
            <w:vAlign w:val="bottom"/>
          </w:tcPr>
          <w:p w14:paraId="1AE90845" w14:textId="155ABCA0"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45%</w:t>
            </w:r>
          </w:p>
        </w:tc>
        <w:tc>
          <w:tcPr>
            <w:tcW w:w="1596" w:type="dxa"/>
            <w:shd w:val="clear" w:color="auto" w:fill="auto"/>
            <w:noWrap/>
            <w:vAlign w:val="bottom"/>
            <w:hideMark/>
          </w:tcPr>
          <w:p w14:paraId="1AE90847" w14:textId="007193AD" w:rsidR="00E13A1F" w:rsidRPr="00A6353C" w:rsidRDefault="00E13A1F" w:rsidP="00D30265">
            <w:pPr>
              <w:spacing w:after="0" w:line="240" w:lineRule="auto"/>
              <w:jc w:val="right"/>
              <w:rPr>
                <w:rFonts w:eastAsia="Times New Roman" w:cstheme="minorHAnsi"/>
                <w:sz w:val="16"/>
                <w:szCs w:val="16"/>
              </w:rPr>
            </w:pPr>
            <w:r w:rsidRPr="00A6353C">
              <w:rPr>
                <w:rFonts w:cstheme="minorHAnsi"/>
                <w:color w:val="000000"/>
                <w:sz w:val="16"/>
                <w:szCs w:val="16"/>
              </w:rPr>
              <w:t>$</w:t>
            </w:r>
            <w:r w:rsidR="003E134C">
              <w:rPr>
                <w:rFonts w:cstheme="minorHAnsi"/>
                <w:color w:val="000000"/>
                <w:sz w:val="16"/>
                <w:szCs w:val="16"/>
              </w:rPr>
              <w:t>2,129,000</w:t>
            </w:r>
          </w:p>
        </w:tc>
        <w:tc>
          <w:tcPr>
            <w:tcW w:w="1641" w:type="dxa"/>
            <w:shd w:val="clear" w:color="auto" w:fill="auto"/>
            <w:noWrap/>
            <w:vAlign w:val="bottom"/>
            <w:hideMark/>
          </w:tcPr>
          <w:p w14:paraId="1AE90848" w14:textId="1B138C71" w:rsidR="00E13A1F" w:rsidRPr="00A6353C" w:rsidRDefault="00E13A1F" w:rsidP="00D30265">
            <w:pPr>
              <w:spacing w:after="0" w:line="240" w:lineRule="auto"/>
              <w:jc w:val="right"/>
              <w:rPr>
                <w:rFonts w:eastAsia="Times New Roman" w:cstheme="minorHAnsi"/>
                <w:color w:val="000000"/>
                <w:sz w:val="16"/>
                <w:szCs w:val="16"/>
              </w:rPr>
            </w:pPr>
            <w:r w:rsidRPr="00A6353C">
              <w:rPr>
                <w:rFonts w:eastAsia="Times New Roman" w:cstheme="minorHAnsi"/>
                <w:color w:val="000000"/>
                <w:sz w:val="16"/>
                <w:szCs w:val="16"/>
              </w:rPr>
              <w:t>$1</w:t>
            </w:r>
            <w:r>
              <w:rPr>
                <w:rFonts w:eastAsia="Times New Roman" w:cstheme="minorHAnsi"/>
                <w:color w:val="000000"/>
                <w:sz w:val="16"/>
                <w:szCs w:val="16"/>
              </w:rPr>
              <w:t>8</w:t>
            </w:r>
            <w:r w:rsidRPr="00A6353C">
              <w:rPr>
                <w:rFonts w:eastAsia="Times New Roman" w:cstheme="minorHAnsi"/>
                <w:color w:val="000000"/>
                <w:sz w:val="16"/>
                <w:szCs w:val="16"/>
              </w:rPr>
              <w:t>,000</w:t>
            </w:r>
          </w:p>
        </w:tc>
      </w:tr>
      <w:tr w:rsidR="00E13A1F" w:rsidRPr="00A6353C" w14:paraId="1AE90856" w14:textId="77777777" w:rsidTr="00E13A1F">
        <w:trPr>
          <w:trHeight w:val="288"/>
          <w:jc w:val="center"/>
        </w:trPr>
        <w:tc>
          <w:tcPr>
            <w:tcW w:w="1642" w:type="dxa"/>
            <w:vMerge w:val="restart"/>
            <w:shd w:val="clear" w:color="auto" w:fill="auto"/>
            <w:vAlign w:val="center"/>
            <w:hideMark/>
          </w:tcPr>
          <w:p w14:paraId="1AE9084C"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Pioneer Valley</w:t>
            </w:r>
          </w:p>
        </w:tc>
        <w:tc>
          <w:tcPr>
            <w:tcW w:w="1551" w:type="dxa"/>
            <w:vMerge w:val="restart"/>
            <w:shd w:val="clear" w:color="auto" w:fill="auto"/>
            <w:vAlign w:val="center"/>
            <w:hideMark/>
          </w:tcPr>
          <w:p w14:paraId="1AE9084D" w14:textId="77777777" w:rsidR="00E13A1F" w:rsidRPr="00A6353C" w:rsidRDefault="00E13A1F" w:rsidP="00D30265">
            <w:pPr>
              <w:spacing w:after="0" w:line="240" w:lineRule="auto"/>
              <w:jc w:val="right"/>
              <w:rPr>
                <w:rFonts w:eastAsia="Times New Roman" w:cstheme="minorHAnsi"/>
                <w:strike/>
                <w:color w:val="000000"/>
                <w:sz w:val="16"/>
                <w:szCs w:val="16"/>
              </w:rPr>
            </w:pPr>
          </w:p>
          <w:p w14:paraId="1AE9084E" w14:textId="4FB2F8DE" w:rsidR="00E13A1F" w:rsidRPr="00A6353C" w:rsidRDefault="00E13A1F" w:rsidP="00D30265">
            <w:pPr>
              <w:spacing w:after="0" w:line="240" w:lineRule="auto"/>
              <w:jc w:val="right"/>
              <w:rPr>
                <w:rFonts w:eastAsia="Times New Roman"/>
                <w:color w:val="000000"/>
                <w:sz w:val="16"/>
                <w:szCs w:val="16"/>
              </w:rPr>
            </w:pPr>
            <w:r w:rsidRPr="00A6353C">
              <w:rPr>
                <w:rFonts w:eastAsia="Times New Roman"/>
                <w:color w:val="000000" w:themeColor="text1"/>
                <w:sz w:val="16"/>
                <w:szCs w:val="16"/>
              </w:rPr>
              <w:t>$</w:t>
            </w:r>
            <w:r w:rsidR="00EC2B48">
              <w:rPr>
                <w:rFonts w:eastAsia="Times New Roman"/>
                <w:color w:val="000000" w:themeColor="text1"/>
                <w:sz w:val="16"/>
                <w:szCs w:val="16"/>
              </w:rPr>
              <w:t>4</w:t>
            </w:r>
            <w:r w:rsidR="007E5558">
              <w:rPr>
                <w:rFonts w:eastAsia="Times New Roman"/>
                <w:color w:val="000000" w:themeColor="text1"/>
                <w:sz w:val="16"/>
                <w:szCs w:val="16"/>
              </w:rPr>
              <w:t>,345,000</w:t>
            </w:r>
          </w:p>
        </w:tc>
        <w:tc>
          <w:tcPr>
            <w:tcW w:w="1620" w:type="dxa"/>
            <w:shd w:val="clear" w:color="auto" w:fill="auto"/>
            <w:vAlign w:val="bottom"/>
            <w:hideMark/>
          </w:tcPr>
          <w:p w14:paraId="1AE9084F"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Franklin and Hampshire</w:t>
            </w:r>
          </w:p>
        </w:tc>
        <w:tc>
          <w:tcPr>
            <w:tcW w:w="577" w:type="dxa"/>
            <w:tcBorders>
              <w:right w:val="nil"/>
            </w:tcBorders>
            <w:vAlign w:val="bottom"/>
          </w:tcPr>
          <w:p w14:paraId="1AE90850" w14:textId="77777777" w:rsidR="00E13A1F" w:rsidRPr="00A6353C" w:rsidRDefault="00E13A1F" w:rsidP="00E13A1F">
            <w:pPr>
              <w:spacing w:after="0" w:line="240" w:lineRule="auto"/>
              <w:jc w:val="center"/>
              <w:rPr>
                <w:rFonts w:eastAsia="Times New Roman" w:cstheme="minorHAnsi"/>
                <w:color w:val="000000"/>
                <w:sz w:val="16"/>
                <w:szCs w:val="16"/>
              </w:rPr>
            </w:pPr>
            <w:r w:rsidRPr="00A6353C">
              <w:rPr>
                <w:rFonts w:cstheme="minorHAnsi"/>
                <w:color w:val="000000"/>
                <w:sz w:val="16"/>
                <w:szCs w:val="16"/>
              </w:rPr>
              <w:t>50%</w:t>
            </w:r>
          </w:p>
        </w:tc>
        <w:tc>
          <w:tcPr>
            <w:tcW w:w="956" w:type="dxa"/>
            <w:tcBorders>
              <w:left w:val="nil"/>
            </w:tcBorders>
            <w:vAlign w:val="bottom"/>
          </w:tcPr>
          <w:p w14:paraId="1AE90851" w14:textId="7036A335"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35%</w:t>
            </w:r>
          </w:p>
        </w:tc>
        <w:tc>
          <w:tcPr>
            <w:tcW w:w="1596" w:type="dxa"/>
            <w:shd w:val="clear" w:color="auto" w:fill="auto"/>
            <w:noWrap/>
            <w:vAlign w:val="bottom"/>
            <w:hideMark/>
          </w:tcPr>
          <w:p w14:paraId="1AE90852" w14:textId="1AA0E4F5" w:rsidR="00E13A1F" w:rsidRPr="00A6353C" w:rsidRDefault="00E13A1F" w:rsidP="00D30265">
            <w:pPr>
              <w:spacing w:after="0" w:line="240" w:lineRule="auto"/>
              <w:jc w:val="right"/>
              <w:rPr>
                <w:rFonts w:eastAsia="Times New Roman" w:cstheme="minorHAnsi"/>
                <w:color w:val="000000"/>
                <w:sz w:val="16"/>
                <w:szCs w:val="16"/>
              </w:rPr>
            </w:pPr>
            <w:r w:rsidRPr="00A6353C">
              <w:rPr>
                <w:rFonts w:cstheme="minorHAnsi"/>
                <w:color w:val="000000"/>
                <w:sz w:val="16"/>
                <w:szCs w:val="16"/>
              </w:rPr>
              <w:t>$</w:t>
            </w:r>
            <w:r w:rsidR="003E134C">
              <w:rPr>
                <w:rFonts w:cstheme="minorHAnsi"/>
                <w:color w:val="000000"/>
                <w:sz w:val="16"/>
                <w:szCs w:val="16"/>
              </w:rPr>
              <w:t>1,146</w:t>
            </w:r>
            <w:r w:rsidRPr="00A6353C">
              <w:rPr>
                <w:rFonts w:cstheme="minorHAnsi"/>
                <w:color w:val="000000"/>
                <w:sz w:val="16"/>
                <w:szCs w:val="16"/>
              </w:rPr>
              <w:t>,000</w:t>
            </w:r>
          </w:p>
        </w:tc>
        <w:tc>
          <w:tcPr>
            <w:tcW w:w="1641" w:type="dxa"/>
            <w:shd w:val="clear" w:color="auto" w:fill="auto"/>
            <w:noWrap/>
            <w:vAlign w:val="bottom"/>
            <w:hideMark/>
          </w:tcPr>
          <w:p w14:paraId="1AE90853" w14:textId="037726BF" w:rsidR="00E13A1F" w:rsidRPr="00A6353C" w:rsidRDefault="00E13A1F" w:rsidP="00D30265">
            <w:pPr>
              <w:spacing w:after="0" w:line="240" w:lineRule="auto"/>
              <w:jc w:val="right"/>
              <w:rPr>
                <w:rFonts w:eastAsia="Times New Roman" w:cstheme="minorHAnsi"/>
                <w:color w:val="000000"/>
                <w:sz w:val="16"/>
                <w:szCs w:val="16"/>
              </w:rPr>
            </w:pPr>
            <w:r w:rsidRPr="00A6353C">
              <w:rPr>
                <w:rFonts w:eastAsia="Times New Roman" w:cstheme="minorHAnsi"/>
                <w:color w:val="000000"/>
                <w:sz w:val="16"/>
                <w:szCs w:val="16"/>
              </w:rPr>
              <w:t>$1</w:t>
            </w:r>
            <w:r>
              <w:rPr>
                <w:rFonts w:eastAsia="Times New Roman" w:cstheme="minorHAnsi"/>
                <w:color w:val="000000"/>
                <w:sz w:val="16"/>
                <w:szCs w:val="16"/>
              </w:rPr>
              <w:t>8</w:t>
            </w:r>
            <w:r w:rsidRPr="00A6353C">
              <w:rPr>
                <w:rFonts w:eastAsia="Times New Roman" w:cstheme="minorHAnsi"/>
                <w:color w:val="000000"/>
                <w:sz w:val="16"/>
                <w:szCs w:val="16"/>
              </w:rPr>
              <w:t>,000</w:t>
            </w:r>
          </w:p>
        </w:tc>
      </w:tr>
      <w:tr w:rsidR="00E13A1F" w:rsidRPr="00A6353C" w14:paraId="1AE90860" w14:textId="77777777" w:rsidTr="00E13A1F">
        <w:trPr>
          <w:trHeight w:val="288"/>
          <w:jc w:val="center"/>
        </w:trPr>
        <w:tc>
          <w:tcPr>
            <w:tcW w:w="1642" w:type="dxa"/>
            <w:vMerge/>
            <w:vAlign w:val="center"/>
            <w:hideMark/>
          </w:tcPr>
          <w:p w14:paraId="1AE90857" w14:textId="77777777" w:rsidR="00E13A1F" w:rsidRPr="00A6353C" w:rsidRDefault="00E13A1F" w:rsidP="00E13A1F">
            <w:pPr>
              <w:spacing w:after="0" w:line="240" w:lineRule="auto"/>
              <w:rPr>
                <w:rFonts w:eastAsia="Times New Roman" w:cstheme="minorHAnsi"/>
                <w:color w:val="000000"/>
                <w:sz w:val="16"/>
                <w:szCs w:val="16"/>
              </w:rPr>
            </w:pPr>
          </w:p>
        </w:tc>
        <w:tc>
          <w:tcPr>
            <w:tcW w:w="1551" w:type="dxa"/>
            <w:vMerge/>
            <w:vAlign w:val="center"/>
            <w:hideMark/>
          </w:tcPr>
          <w:p w14:paraId="1AE90858" w14:textId="77777777" w:rsidR="00E13A1F" w:rsidRPr="00A6353C" w:rsidRDefault="00E13A1F" w:rsidP="00D30265">
            <w:pPr>
              <w:spacing w:after="0" w:line="240" w:lineRule="auto"/>
              <w:jc w:val="right"/>
              <w:rPr>
                <w:rFonts w:eastAsia="Times New Roman" w:cstheme="minorHAnsi"/>
                <w:color w:val="000000"/>
                <w:sz w:val="16"/>
                <w:szCs w:val="16"/>
              </w:rPr>
            </w:pPr>
          </w:p>
        </w:tc>
        <w:tc>
          <w:tcPr>
            <w:tcW w:w="1620" w:type="dxa"/>
            <w:shd w:val="clear" w:color="auto" w:fill="auto"/>
            <w:vAlign w:val="bottom"/>
            <w:hideMark/>
          </w:tcPr>
          <w:p w14:paraId="1AE90859"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Hampden</w:t>
            </w:r>
          </w:p>
        </w:tc>
        <w:tc>
          <w:tcPr>
            <w:tcW w:w="577" w:type="dxa"/>
            <w:tcBorders>
              <w:right w:val="nil"/>
            </w:tcBorders>
            <w:vAlign w:val="bottom"/>
          </w:tcPr>
          <w:p w14:paraId="1AE9085A" w14:textId="7B2016FF"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45%</w:t>
            </w:r>
          </w:p>
        </w:tc>
        <w:tc>
          <w:tcPr>
            <w:tcW w:w="956" w:type="dxa"/>
            <w:tcBorders>
              <w:left w:val="nil"/>
            </w:tcBorders>
            <w:vAlign w:val="bottom"/>
          </w:tcPr>
          <w:p w14:paraId="1AE9085B" w14:textId="77777777" w:rsidR="00E13A1F" w:rsidRPr="00A6353C" w:rsidRDefault="00E13A1F" w:rsidP="00E13A1F">
            <w:pPr>
              <w:spacing w:after="0" w:line="240" w:lineRule="auto"/>
              <w:jc w:val="center"/>
              <w:rPr>
                <w:rFonts w:eastAsia="Times New Roman" w:cstheme="minorHAnsi"/>
                <w:color w:val="000000"/>
                <w:sz w:val="16"/>
                <w:szCs w:val="16"/>
              </w:rPr>
            </w:pPr>
            <w:r w:rsidRPr="00A6353C">
              <w:rPr>
                <w:rFonts w:cstheme="minorHAnsi"/>
                <w:color w:val="000000"/>
                <w:sz w:val="16"/>
                <w:szCs w:val="16"/>
              </w:rPr>
              <w:t>40%</w:t>
            </w:r>
          </w:p>
        </w:tc>
        <w:tc>
          <w:tcPr>
            <w:tcW w:w="1596" w:type="dxa"/>
            <w:shd w:val="clear" w:color="auto" w:fill="auto"/>
            <w:noWrap/>
            <w:vAlign w:val="bottom"/>
            <w:hideMark/>
          </w:tcPr>
          <w:p w14:paraId="1AE9085C" w14:textId="3F0299C6" w:rsidR="00E13A1F" w:rsidRPr="00A6353C" w:rsidRDefault="00E13A1F" w:rsidP="00D30265">
            <w:pPr>
              <w:spacing w:after="0" w:line="240" w:lineRule="auto"/>
              <w:jc w:val="right"/>
              <w:rPr>
                <w:rFonts w:eastAsia="Times New Roman" w:cstheme="minorHAnsi"/>
                <w:color w:val="000000"/>
                <w:sz w:val="16"/>
                <w:szCs w:val="16"/>
              </w:rPr>
            </w:pPr>
            <w:r w:rsidRPr="00A6353C">
              <w:rPr>
                <w:rFonts w:cstheme="minorHAnsi"/>
                <w:color w:val="000000"/>
                <w:sz w:val="16"/>
                <w:szCs w:val="16"/>
              </w:rPr>
              <w:t>$</w:t>
            </w:r>
            <w:r w:rsidR="00C33303">
              <w:rPr>
                <w:rFonts w:cstheme="minorHAnsi"/>
                <w:color w:val="000000"/>
                <w:sz w:val="16"/>
                <w:szCs w:val="16"/>
              </w:rPr>
              <w:t>3,199,000</w:t>
            </w:r>
          </w:p>
        </w:tc>
        <w:tc>
          <w:tcPr>
            <w:tcW w:w="1641" w:type="dxa"/>
            <w:shd w:val="clear" w:color="auto" w:fill="auto"/>
            <w:noWrap/>
            <w:vAlign w:val="bottom"/>
            <w:hideMark/>
          </w:tcPr>
          <w:p w14:paraId="1AE9085D" w14:textId="27A3B12E" w:rsidR="00E13A1F" w:rsidRPr="00A6353C" w:rsidRDefault="00E13A1F" w:rsidP="00D30265">
            <w:pPr>
              <w:spacing w:after="0" w:line="240" w:lineRule="auto"/>
              <w:jc w:val="right"/>
              <w:rPr>
                <w:rFonts w:eastAsia="Times New Roman" w:cstheme="minorHAnsi"/>
                <w:color w:val="000000"/>
                <w:sz w:val="16"/>
                <w:szCs w:val="16"/>
              </w:rPr>
            </w:pPr>
            <w:r w:rsidRPr="00A6353C">
              <w:rPr>
                <w:rFonts w:eastAsia="Times New Roman" w:cstheme="minorHAnsi"/>
                <w:color w:val="000000"/>
                <w:sz w:val="16"/>
                <w:szCs w:val="16"/>
              </w:rPr>
              <w:t>$1</w:t>
            </w:r>
            <w:r>
              <w:rPr>
                <w:rFonts w:eastAsia="Times New Roman" w:cstheme="minorHAnsi"/>
                <w:color w:val="000000"/>
                <w:sz w:val="16"/>
                <w:szCs w:val="16"/>
              </w:rPr>
              <w:t>8</w:t>
            </w:r>
            <w:r w:rsidRPr="00A6353C">
              <w:rPr>
                <w:rFonts w:eastAsia="Times New Roman" w:cstheme="minorHAnsi"/>
                <w:color w:val="000000"/>
                <w:sz w:val="16"/>
                <w:szCs w:val="16"/>
              </w:rPr>
              <w:t>,000</w:t>
            </w:r>
          </w:p>
        </w:tc>
      </w:tr>
      <w:tr w:rsidR="00E13A1F" w:rsidRPr="00A6353C" w14:paraId="1AE9086A" w14:textId="77777777" w:rsidTr="00E13A1F">
        <w:trPr>
          <w:trHeight w:val="288"/>
          <w:jc w:val="center"/>
        </w:trPr>
        <w:tc>
          <w:tcPr>
            <w:tcW w:w="1642" w:type="dxa"/>
            <w:vMerge w:val="restart"/>
            <w:shd w:val="clear" w:color="auto" w:fill="auto"/>
            <w:vAlign w:val="center"/>
            <w:hideMark/>
          </w:tcPr>
          <w:p w14:paraId="1AE90861"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Southeast</w:t>
            </w:r>
          </w:p>
        </w:tc>
        <w:tc>
          <w:tcPr>
            <w:tcW w:w="1551" w:type="dxa"/>
            <w:vMerge w:val="restart"/>
            <w:shd w:val="clear" w:color="auto" w:fill="auto"/>
            <w:vAlign w:val="center"/>
            <w:hideMark/>
          </w:tcPr>
          <w:p w14:paraId="1AE90862" w14:textId="2ACA9E5F" w:rsidR="00E13A1F" w:rsidRPr="00A6353C" w:rsidRDefault="00E13A1F" w:rsidP="00D30265">
            <w:pPr>
              <w:spacing w:after="0" w:line="240" w:lineRule="auto"/>
              <w:jc w:val="right"/>
              <w:rPr>
                <w:rFonts w:eastAsia="Times New Roman"/>
                <w:color w:val="000000"/>
                <w:sz w:val="16"/>
                <w:szCs w:val="16"/>
              </w:rPr>
            </w:pPr>
            <w:r w:rsidRPr="00A6353C">
              <w:rPr>
                <w:rFonts w:eastAsia="Times New Roman"/>
                <w:color w:val="000000" w:themeColor="text1"/>
                <w:sz w:val="16"/>
                <w:szCs w:val="16"/>
              </w:rPr>
              <w:t>$</w:t>
            </w:r>
            <w:r w:rsidR="007E5558">
              <w:rPr>
                <w:rFonts w:eastAsia="Times New Roman"/>
                <w:color w:val="000000" w:themeColor="text1"/>
                <w:sz w:val="16"/>
                <w:szCs w:val="16"/>
              </w:rPr>
              <w:t>8,770,000</w:t>
            </w:r>
          </w:p>
        </w:tc>
        <w:tc>
          <w:tcPr>
            <w:tcW w:w="1620" w:type="dxa"/>
            <w:shd w:val="clear" w:color="auto" w:fill="auto"/>
            <w:vAlign w:val="bottom"/>
            <w:hideMark/>
          </w:tcPr>
          <w:p w14:paraId="1AE90863"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Bristol</w:t>
            </w:r>
          </w:p>
        </w:tc>
        <w:tc>
          <w:tcPr>
            <w:tcW w:w="577" w:type="dxa"/>
            <w:tcBorders>
              <w:right w:val="nil"/>
            </w:tcBorders>
            <w:vAlign w:val="bottom"/>
          </w:tcPr>
          <w:p w14:paraId="1AE90864" w14:textId="77777777" w:rsidR="00E13A1F" w:rsidRPr="00A6353C" w:rsidRDefault="00E13A1F" w:rsidP="00E13A1F">
            <w:pPr>
              <w:spacing w:after="0" w:line="240" w:lineRule="auto"/>
              <w:jc w:val="center"/>
              <w:rPr>
                <w:rFonts w:eastAsia="Times New Roman" w:cstheme="minorHAnsi"/>
                <w:color w:val="000000"/>
                <w:sz w:val="16"/>
                <w:szCs w:val="16"/>
              </w:rPr>
            </w:pPr>
            <w:r w:rsidRPr="00A6353C">
              <w:rPr>
                <w:rFonts w:cstheme="minorHAnsi"/>
                <w:color w:val="000000"/>
                <w:sz w:val="16"/>
                <w:szCs w:val="16"/>
              </w:rPr>
              <w:t>50%</w:t>
            </w:r>
          </w:p>
        </w:tc>
        <w:tc>
          <w:tcPr>
            <w:tcW w:w="956" w:type="dxa"/>
            <w:tcBorders>
              <w:left w:val="nil"/>
            </w:tcBorders>
            <w:vAlign w:val="bottom"/>
          </w:tcPr>
          <w:p w14:paraId="1AE90865" w14:textId="5A2D1107"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35%</w:t>
            </w:r>
          </w:p>
        </w:tc>
        <w:tc>
          <w:tcPr>
            <w:tcW w:w="1596" w:type="dxa"/>
            <w:shd w:val="clear" w:color="auto" w:fill="auto"/>
            <w:noWrap/>
            <w:vAlign w:val="bottom"/>
            <w:hideMark/>
          </w:tcPr>
          <w:p w14:paraId="1AE90866" w14:textId="24D65454" w:rsidR="00E13A1F" w:rsidRPr="00A6353C" w:rsidRDefault="00E13A1F" w:rsidP="00D30265">
            <w:pPr>
              <w:spacing w:after="0" w:line="240" w:lineRule="auto"/>
              <w:jc w:val="right"/>
              <w:rPr>
                <w:rFonts w:eastAsia="Times New Roman" w:cstheme="minorHAnsi"/>
                <w:color w:val="000000"/>
                <w:sz w:val="16"/>
                <w:szCs w:val="16"/>
              </w:rPr>
            </w:pPr>
            <w:r w:rsidRPr="00A6353C">
              <w:rPr>
                <w:rFonts w:cstheme="minorHAnsi"/>
                <w:color w:val="000000"/>
                <w:sz w:val="16"/>
                <w:szCs w:val="16"/>
              </w:rPr>
              <w:t>$</w:t>
            </w:r>
            <w:r w:rsidR="00C33303">
              <w:rPr>
                <w:rFonts w:cstheme="minorHAnsi"/>
                <w:color w:val="000000"/>
                <w:sz w:val="16"/>
                <w:szCs w:val="16"/>
              </w:rPr>
              <w:t>2,269,000</w:t>
            </w:r>
          </w:p>
        </w:tc>
        <w:tc>
          <w:tcPr>
            <w:tcW w:w="1641" w:type="dxa"/>
            <w:shd w:val="clear" w:color="auto" w:fill="auto"/>
            <w:noWrap/>
            <w:vAlign w:val="bottom"/>
            <w:hideMark/>
          </w:tcPr>
          <w:p w14:paraId="1AE90867" w14:textId="6462182C" w:rsidR="00E13A1F" w:rsidRPr="00A6353C" w:rsidRDefault="00E13A1F" w:rsidP="00D30265">
            <w:pPr>
              <w:spacing w:after="0" w:line="240" w:lineRule="auto"/>
              <w:jc w:val="right"/>
              <w:rPr>
                <w:rFonts w:eastAsia="Times New Roman" w:cstheme="minorHAnsi"/>
                <w:color w:val="000000"/>
                <w:sz w:val="16"/>
                <w:szCs w:val="16"/>
              </w:rPr>
            </w:pPr>
            <w:r w:rsidRPr="00A6353C">
              <w:rPr>
                <w:rFonts w:eastAsia="Times New Roman" w:cstheme="minorHAnsi"/>
                <w:color w:val="000000"/>
                <w:sz w:val="16"/>
                <w:szCs w:val="16"/>
              </w:rPr>
              <w:t>$1</w:t>
            </w:r>
            <w:r>
              <w:rPr>
                <w:rFonts w:eastAsia="Times New Roman" w:cstheme="minorHAnsi"/>
                <w:color w:val="000000"/>
                <w:sz w:val="16"/>
                <w:szCs w:val="16"/>
              </w:rPr>
              <w:t>8</w:t>
            </w:r>
            <w:r w:rsidRPr="00A6353C">
              <w:rPr>
                <w:rFonts w:eastAsia="Times New Roman" w:cstheme="minorHAnsi"/>
                <w:color w:val="000000"/>
                <w:sz w:val="16"/>
                <w:szCs w:val="16"/>
              </w:rPr>
              <w:t>,000</w:t>
            </w:r>
          </w:p>
        </w:tc>
      </w:tr>
      <w:tr w:rsidR="00E13A1F" w:rsidRPr="00A6353C" w14:paraId="1AE90874" w14:textId="77777777" w:rsidTr="00E13A1F">
        <w:trPr>
          <w:trHeight w:val="288"/>
          <w:jc w:val="center"/>
        </w:trPr>
        <w:tc>
          <w:tcPr>
            <w:tcW w:w="1642" w:type="dxa"/>
            <w:vMerge/>
            <w:vAlign w:val="center"/>
            <w:hideMark/>
          </w:tcPr>
          <w:p w14:paraId="1AE9086B" w14:textId="77777777" w:rsidR="00E13A1F" w:rsidRPr="00A6353C" w:rsidRDefault="00E13A1F" w:rsidP="00E13A1F">
            <w:pPr>
              <w:spacing w:after="0" w:line="240" w:lineRule="auto"/>
              <w:rPr>
                <w:rFonts w:eastAsia="Times New Roman" w:cstheme="minorHAnsi"/>
                <w:color w:val="000000"/>
                <w:sz w:val="16"/>
                <w:szCs w:val="16"/>
              </w:rPr>
            </w:pPr>
          </w:p>
        </w:tc>
        <w:tc>
          <w:tcPr>
            <w:tcW w:w="1551" w:type="dxa"/>
            <w:vMerge/>
            <w:vAlign w:val="center"/>
            <w:hideMark/>
          </w:tcPr>
          <w:p w14:paraId="1AE9086C" w14:textId="77777777" w:rsidR="00E13A1F" w:rsidRPr="00A6353C" w:rsidRDefault="00E13A1F" w:rsidP="00D30265">
            <w:pPr>
              <w:spacing w:after="0" w:line="240" w:lineRule="auto"/>
              <w:jc w:val="right"/>
              <w:rPr>
                <w:rFonts w:eastAsia="Times New Roman" w:cstheme="minorHAnsi"/>
                <w:color w:val="000000"/>
                <w:sz w:val="16"/>
                <w:szCs w:val="16"/>
              </w:rPr>
            </w:pPr>
          </w:p>
        </w:tc>
        <w:tc>
          <w:tcPr>
            <w:tcW w:w="1620" w:type="dxa"/>
            <w:shd w:val="clear" w:color="auto" w:fill="auto"/>
            <w:vAlign w:val="bottom"/>
            <w:hideMark/>
          </w:tcPr>
          <w:p w14:paraId="1AE9086D"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Brockton</w:t>
            </w:r>
          </w:p>
        </w:tc>
        <w:tc>
          <w:tcPr>
            <w:tcW w:w="577" w:type="dxa"/>
            <w:tcBorders>
              <w:right w:val="nil"/>
            </w:tcBorders>
            <w:vAlign w:val="bottom"/>
          </w:tcPr>
          <w:p w14:paraId="1AE9086E" w14:textId="77777777" w:rsidR="00E13A1F" w:rsidRPr="00A6353C" w:rsidRDefault="00E13A1F" w:rsidP="00E13A1F">
            <w:pPr>
              <w:spacing w:after="0" w:line="240" w:lineRule="auto"/>
              <w:jc w:val="center"/>
              <w:rPr>
                <w:rFonts w:eastAsia="Times New Roman" w:cstheme="minorHAnsi"/>
                <w:color w:val="000000"/>
                <w:sz w:val="16"/>
                <w:szCs w:val="16"/>
              </w:rPr>
            </w:pPr>
            <w:r w:rsidRPr="00A6353C">
              <w:rPr>
                <w:rFonts w:cstheme="minorHAnsi"/>
                <w:color w:val="000000"/>
                <w:sz w:val="16"/>
                <w:szCs w:val="16"/>
              </w:rPr>
              <w:t>40%</w:t>
            </w:r>
          </w:p>
        </w:tc>
        <w:tc>
          <w:tcPr>
            <w:tcW w:w="956" w:type="dxa"/>
            <w:tcBorders>
              <w:left w:val="nil"/>
            </w:tcBorders>
            <w:vAlign w:val="bottom"/>
          </w:tcPr>
          <w:p w14:paraId="1AE9086F" w14:textId="0DF3224C"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45%</w:t>
            </w:r>
          </w:p>
        </w:tc>
        <w:tc>
          <w:tcPr>
            <w:tcW w:w="1596" w:type="dxa"/>
            <w:shd w:val="clear" w:color="auto" w:fill="auto"/>
            <w:noWrap/>
            <w:vAlign w:val="bottom"/>
            <w:hideMark/>
          </w:tcPr>
          <w:p w14:paraId="1AE90870" w14:textId="3D5AC68F" w:rsidR="00E13A1F" w:rsidRPr="00A6353C" w:rsidRDefault="00E13A1F" w:rsidP="00D30265">
            <w:pPr>
              <w:spacing w:after="0" w:line="240" w:lineRule="auto"/>
              <w:jc w:val="right"/>
              <w:rPr>
                <w:rFonts w:eastAsia="Times New Roman" w:cstheme="minorHAnsi"/>
                <w:color w:val="000000"/>
                <w:sz w:val="16"/>
                <w:szCs w:val="16"/>
              </w:rPr>
            </w:pPr>
            <w:r w:rsidRPr="00A6353C">
              <w:rPr>
                <w:rFonts w:cstheme="minorHAnsi"/>
                <w:color w:val="000000"/>
                <w:sz w:val="16"/>
                <w:szCs w:val="16"/>
              </w:rPr>
              <w:t>$</w:t>
            </w:r>
            <w:r w:rsidR="00E14B0E">
              <w:rPr>
                <w:rFonts w:cstheme="minorHAnsi"/>
                <w:color w:val="000000"/>
                <w:sz w:val="16"/>
                <w:szCs w:val="16"/>
              </w:rPr>
              <w:t>2,466</w:t>
            </w:r>
            <w:r w:rsidRPr="00A6353C">
              <w:rPr>
                <w:rFonts w:cstheme="minorHAnsi"/>
                <w:color w:val="000000"/>
                <w:sz w:val="16"/>
                <w:szCs w:val="16"/>
              </w:rPr>
              <w:t>,000</w:t>
            </w:r>
          </w:p>
        </w:tc>
        <w:tc>
          <w:tcPr>
            <w:tcW w:w="1641" w:type="dxa"/>
            <w:shd w:val="clear" w:color="auto" w:fill="auto"/>
            <w:noWrap/>
            <w:vAlign w:val="bottom"/>
            <w:hideMark/>
          </w:tcPr>
          <w:p w14:paraId="1AE90871" w14:textId="7D42E155" w:rsidR="00E13A1F" w:rsidRPr="00A6353C" w:rsidRDefault="00E13A1F" w:rsidP="00D30265">
            <w:pPr>
              <w:spacing w:after="0" w:line="240" w:lineRule="auto"/>
              <w:jc w:val="right"/>
              <w:rPr>
                <w:rFonts w:eastAsia="Times New Roman" w:cstheme="minorHAnsi"/>
                <w:color w:val="000000"/>
                <w:sz w:val="16"/>
                <w:szCs w:val="16"/>
              </w:rPr>
            </w:pPr>
            <w:r w:rsidRPr="00A6353C">
              <w:rPr>
                <w:rFonts w:eastAsia="Times New Roman" w:cstheme="minorHAnsi"/>
                <w:color w:val="000000"/>
                <w:sz w:val="16"/>
                <w:szCs w:val="16"/>
              </w:rPr>
              <w:t>$1</w:t>
            </w:r>
            <w:r>
              <w:rPr>
                <w:rFonts w:eastAsia="Times New Roman" w:cstheme="minorHAnsi"/>
                <w:color w:val="000000"/>
                <w:sz w:val="16"/>
                <w:szCs w:val="16"/>
              </w:rPr>
              <w:t>8</w:t>
            </w:r>
            <w:r w:rsidRPr="00A6353C">
              <w:rPr>
                <w:rFonts w:eastAsia="Times New Roman" w:cstheme="minorHAnsi"/>
                <w:color w:val="000000"/>
                <w:sz w:val="16"/>
                <w:szCs w:val="16"/>
              </w:rPr>
              <w:t>,000</w:t>
            </w:r>
          </w:p>
        </w:tc>
      </w:tr>
      <w:tr w:rsidR="00E13A1F" w:rsidRPr="00A6353C" w14:paraId="1AE9087E" w14:textId="77777777" w:rsidTr="00E13A1F">
        <w:trPr>
          <w:trHeight w:val="288"/>
          <w:jc w:val="center"/>
        </w:trPr>
        <w:tc>
          <w:tcPr>
            <w:tcW w:w="1642" w:type="dxa"/>
            <w:vMerge/>
            <w:vAlign w:val="center"/>
            <w:hideMark/>
          </w:tcPr>
          <w:p w14:paraId="1AE90875" w14:textId="77777777" w:rsidR="00E13A1F" w:rsidRPr="00A6353C" w:rsidRDefault="00E13A1F" w:rsidP="00E13A1F">
            <w:pPr>
              <w:spacing w:after="0" w:line="240" w:lineRule="auto"/>
              <w:rPr>
                <w:rFonts w:eastAsia="Times New Roman" w:cstheme="minorHAnsi"/>
                <w:color w:val="000000"/>
                <w:sz w:val="16"/>
                <w:szCs w:val="16"/>
              </w:rPr>
            </w:pPr>
          </w:p>
        </w:tc>
        <w:tc>
          <w:tcPr>
            <w:tcW w:w="1551" w:type="dxa"/>
            <w:vMerge/>
            <w:vAlign w:val="center"/>
            <w:hideMark/>
          </w:tcPr>
          <w:p w14:paraId="1AE90876" w14:textId="77777777" w:rsidR="00E13A1F" w:rsidRPr="00A6353C" w:rsidRDefault="00E13A1F" w:rsidP="00D30265">
            <w:pPr>
              <w:spacing w:after="0" w:line="240" w:lineRule="auto"/>
              <w:jc w:val="right"/>
              <w:rPr>
                <w:rFonts w:eastAsia="Times New Roman" w:cstheme="minorHAnsi"/>
                <w:color w:val="000000"/>
                <w:sz w:val="16"/>
                <w:szCs w:val="16"/>
              </w:rPr>
            </w:pPr>
          </w:p>
        </w:tc>
        <w:tc>
          <w:tcPr>
            <w:tcW w:w="1620" w:type="dxa"/>
            <w:shd w:val="clear" w:color="auto" w:fill="auto"/>
            <w:vAlign w:val="bottom"/>
            <w:hideMark/>
          </w:tcPr>
          <w:p w14:paraId="1AE90877"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Greater New Bedford</w:t>
            </w:r>
          </w:p>
        </w:tc>
        <w:tc>
          <w:tcPr>
            <w:tcW w:w="577" w:type="dxa"/>
            <w:tcBorders>
              <w:right w:val="nil"/>
            </w:tcBorders>
            <w:vAlign w:val="bottom"/>
          </w:tcPr>
          <w:p w14:paraId="1AE90878" w14:textId="77777777" w:rsidR="00E13A1F" w:rsidRPr="00A6353C" w:rsidRDefault="00E13A1F" w:rsidP="00E13A1F">
            <w:pPr>
              <w:spacing w:after="0" w:line="240" w:lineRule="auto"/>
              <w:jc w:val="center"/>
              <w:rPr>
                <w:rFonts w:eastAsia="Times New Roman" w:cstheme="minorHAnsi"/>
                <w:color w:val="000000"/>
                <w:sz w:val="16"/>
                <w:szCs w:val="16"/>
              </w:rPr>
            </w:pPr>
            <w:r w:rsidRPr="00A6353C">
              <w:rPr>
                <w:rFonts w:cstheme="minorHAnsi"/>
                <w:color w:val="000000"/>
                <w:sz w:val="16"/>
                <w:szCs w:val="16"/>
              </w:rPr>
              <w:t>50%</w:t>
            </w:r>
          </w:p>
        </w:tc>
        <w:tc>
          <w:tcPr>
            <w:tcW w:w="956" w:type="dxa"/>
            <w:tcBorders>
              <w:left w:val="nil"/>
            </w:tcBorders>
            <w:vAlign w:val="bottom"/>
          </w:tcPr>
          <w:p w14:paraId="1AE90879" w14:textId="43776E8A"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35%</w:t>
            </w:r>
          </w:p>
        </w:tc>
        <w:tc>
          <w:tcPr>
            <w:tcW w:w="1596" w:type="dxa"/>
            <w:shd w:val="clear" w:color="auto" w:fill="auto"/>
            <w:noWrap/>
            <w:vAlign w:val="bottom"/>
            <w:hideMark/>
          </w:tcPr>
          <w:p w14:paraId="1AE9087A" w14:textId="10D950D5" w:rsidR="00E13A1F" w:rsidRPr="00A6353C" w:rsidRDefault="00E13A1F" w:rsidP="00D30265">
            <w:pPr>
              <w:spacing w:after="0" w:line="240" w:lineRule="auto"/>
              <w:jc w:val="right"/>
              <w:rPr>
                <w:rFonts w:eastAsia="Times New Roman" w:cstheme="minorHAnsi"/>
                <w:color w:val="000000"/>
                <w:sz w:val="16"/>
                <w:szCs w:val="16"/>
              </w:rPr>
            </w:pPr>
            <w:r w:rsidRPr="00A6353C">
              <w:rPr>
                <w:rFonts w:cstheme="minorHAnsi"/>
                <w:color w:val="000000"/>
                <w:sz w:val="16"/>
                <w:szCs w:val="16"/>
              </w:rPr>
              <w:t>$</w:t>
            </w:r>
            <w:r w:rsidR="00E14B0E">
              <w:rPr>
                <w:rFonts w:cstheme="minorHAnsi"/>
                <w:color w:val="000000"/>
                <w:sz w:val="16"/>
                <w:szCs w:val="16"/>
              </w:rPr>
              <w:t>1,719</w:t>
            </w:r>
            <w:r w:rsidRPr="00A6353C">
              <w:rPr>
                <w:rFonts w:cstheme="minorHAnsi"/>
                <w:color w:val="000000"/>
                <w:sz w:val="16"/>
                <w:szCs w:val="16"/>
              </w:rPr>
              <w:t>,000</w:t>
            </w:r>
          </w:p>
        </w:tc>
        <w:tc>
          <w:tcPr>
            <w:tcW w:w="1641" w:type="dxa"/>
            <w:shd w:val="clear" w:color="auto" w:fill="auto"/>
            <w:noWrap/>
            <w:vAlign w:val="bottom"/>
            <w:hideMark/>
          </w:tcPr>
          <w:p w14:paraId="1AE9087B" w14:textId="5CF7D64F" w:rsidR="00E13A1F" w:rsidRPr="00A6353C" w:rsidRDefault="00E13A1F" w:rsidP="00D30265">
            <w:pPr>
              <w:spacing w:after="0" w:line="240" w:lineRule="auto"/>
              <w:jc w:val="right"/>
              <w:rPr>
                <w:rFonts w:eastAsia="Times New Roman" w:cstheme="minorHAnsi"/>
                <w:color w:val="000000"/>
                <w:sz w:val="16"/>
                <w:szCs w:val="16"/>
              </w:rPr>
            </w:pPr>
            <w:r w:rsidRPr="00A6353C">
              <w:rPr>
                <w:rFonts w:eastAsia="Times New Roman" w:cstheme="minorHAnsi"/>
                <w:color w:val="000000"/>
                <w:sz w:val="16"/>
                <w:szCs w:val="16"/>
              </w:rPr>
              <w:t>$1</w:t>
            </w:r>
            <w:r>
              <w:rPr>
                <w:rFonts w:eastAsia="Times New Roman" w:cstheme="minorHAnsi"/>
                <w:color w:val="000000"/>
                <w:sz w:val="16"/>
                <w:szCs w:val="16"/>
              </w:rPr>
              <w:t>8</w:t>
            </w:r>
            <w:r w:rsidRPr="00A6353C">
              <w:rPr>
                <w:rFonts w:eastAsia="Times New Roman" w:cstheme="minorHAnsi"/>
                <w:color w:val="000000"/>
                <w:sz w:val="16"/>
                <w:szCs w:val="16"/>
              </w:rPr>
              <w:t>,000</w:t>
            </w:r>
          </w:p>
        </w:tc>
      </w:tr>
      <w:tr w:rsidR="00E13A1F" w:rsidRPr="00A6353C" w14:paraId="1AE90888" w14:textId="77777777" w:rsidTr="00E13A1F">
        <w:trPr>
          <w:trHeight w:val="317"/>
          <w:jc w:val="center"/>
        </w:trPr>
        <w:tc>
          <w:tcPr>
            <w:tcW w:w="1642" w:type="dxa"/>
            <w:vMerge/>
            <w:vAlign w:val="center"/>
            <w:hideMark/>
          </w:tcPr>
          <w:p w14:paraId="1AE9087F" w14:textId="77777777" w:rsidR="00E13A1F" w:rsidRPr="00A6353C" w:rsidRDefault="00E13A1F" w:rsidP="00E13A1F">
            <w:pPr>
              <w:spacing w:after="0" w:line="240" w:lineRule="auto"/>
              <w:rPr>
                <w:rFonts w:eastAsia="Times New Roman" w:cstheme="minorHAnsi"/>
                <w:color w:val="000000"/>
                <w:sz w:val="16"/>
                <w:szCs w:val="16"/>
              </w:rPr>
            </w:pPr>
          </w:p>
        </w:tc>
        <w:tc>
          <w:tcPr>
            <w:tcW w:w="1551" w:type="dxa"/>
            <w:vMerge/>
            <w:vAlign w:val="center"/>
            <w:hideMark/>
          </w:tcPr>
          <w:p w14:paraId="1AE90880" w14:textId="77777777" w:rsidR="00E13A1F" w:rsidRPr="00A6353C" w:rsidRDefault="00E13A1F" w:rsidP="00D30265">
            <w:pPr>
              <w:spacing w:after="0" w:line="240" w:lineRule="auto"/>
              <w:jc w:val="right"/>
              <w:rPr>
                <w:rFonts w:eastAsia="Times New Roman" w:cstheme="minorHAnsi"/>
                <w:color w:val="000000"/>
                <w:sz w:val="16"/>
                <w:szCs w:val="16"/>
              </w:rPr>
            </w:pPr>
          </w:p>
        </w:tc>
        <w:tc>
          <w:tcPr>
            <w:tcW w:w="1620" w:type="dxa"/>
            <w:shd w:val="clear" w:color="auto" w:fill="auto"/>
            <w:vAlign w:val="bottom"/>
            <w:hideMark/>
          </w:tcPr>
          <w:p w14:paraId="1AE90881" w14:textId="77777777" w:rsidR="00E13A1F" w:rsidRPr="00A6353C" w:rsidRDefault="00E13A1F" w:rsidP="00E13A1F">
            <w:pPr>
              <w:spacing w:after="0" w:line="240" w:lineRule="auto"/>
              <w:rPr>
                <w:rFonts w:eastAsia="Times New Roman" w:cstheme="minorHAnsi"/>
                <w:color w:val="000000"/>
                <w:sz w:val="16"/>
                <w:szCs w:val="16"/>
              </w:rPr>
            </w:pPr>
            <w:r w:rsidRPr="00A6353C">
              <w:rPr>
                <w:rFonts w:eastAsia="Times New Roman" w:cstheme="minorHAnsi"/>
                <w:color w:val="000000"/>
                <w:sz w:val="16"/>
                <w:szCs w:val="16"/>
              </w:rPr>
              <w:t>South Shore</w:t>
            </w:r>
          </w:p>
        </w:tc>
        <w:tc>
          <w:tcPr>
            <w:tcW w:w="577" w:type="dxa"/>
            <w:tcBorders>
              <w:right w:val="nil"/>
            </w:tcBorders>
            <w:vAlign w:val="bottom"/>
          </w:tcPr>
          <w:p w14:paraId="1AE90882" w14:textId="57D86F0F"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35%</w:t>
            </w:r>
          </w:p>
        </w:tc>
        <w:tc>
          <w:tcPr>
            <w:tcW w:w="956" w:type="dxa"/>
            <w:tcBorders>
              <w:left w:val="nil"/>
            </w:tcBorders>
            <w:vAlign w:val="bottom"/>
          </w:tcPr>
          <w:p w14:paraId="1AE90883" w14:textId="252984DE" w:rsidR="00E13A1F" w:rsidRPr="00A6353C" w:rsidRDefault="00E13A1F" w:rsidP="00E13A1F">
            <w:pPr>
              <w:spacing w:after="0" w:line="240" w:lineRule="auto"/>
              <w:jc w:val="center"/>
              <w:rPr>
                <w:rFonts w:eastAsia="Times New Roman"/>
                <w:color w:val="000000"/>
                <w:sz w:val="16"/>
                <w:szCs w:val="16"/>
              </w:rPr>
            </w:pPr>
            <w:r w:rsidRPr="00A6353C">
              <w:rPr>
                <w:color w:val="000000" w:themeColor="text1"/>
                <w:sz w:val="16"/>
                <w:szCs w:val="16"/>
              </w:rPr>
              <w:t>50%</w:t>
            </w:r>
          </w:p>
        </w:tc>
        <w:tc>
          <w:tcPr>
            <w:tcW w:w="1596" w:type="dxa"/>
            <w:shd w:val="clear" w:color="auto" w:fill="auto"/>
            <w:noWrap/>
            <w:vAlign w:val="bottom"/>
            <w:hideMark/>
          </w:tcPr>
          <w:p w14:paraId="1AE90884" w14:textId="176E78E4" w:rsidR="00E13A1F" w:rsidRPr="00A6353C" w:rsidRDefault="00E13A1F" w:rsidP="00D30265">
            <w:pPr>
              <w:spacing w:after="0" w:line="240" w:lineRule="auto"/>
              <w:jc w:val="right"/>
              <w:rPr>
                <w:rFonts w:eastAsia="Times New Roman" w:cstheme="minorHAnsi"/>
                <w:color w:val="000000"/>
                <w:sz w:val="16"/>
                <w:szCs w:val="16"/>
              </w:rPr>
            </w:pPr>
            <w:r w:rsidRPr="00A6353C">
              <w:rPr>
                <w:rFonts w:cstheme="minorHAnsi"/>
                <w:color w:val="000000"/>
                <w:sz w:val="16"/>
                <w:szCs w:val="16"/>
              </w:rPr>
              <w:t>$2,316,000</w:t>
            </w:r>
          </w:p>
        </w:tc>
        <w:tc>
          <w:tcPr>
            <w:tcW w:w="1641" w:type="dxa"/>
            <w:shd w:val="clear" w:color="auto" w:fill="auto"/>
            <w:noWrap/>
            <w:vAlign w:val="bottom"/>
            <w:hideMark/>
          </w:tcPr>
          <w:p w14:paraId="1AE90885" w14:textId="3E4D1BA0" w:rsidR="00E13A1F" w:rsidRPr="00A6353C" w:rsidRDefault="00E13A1F" w:rsidP="00D30265">
            <w:pPr>
              <w:spacing w:after="0" w:line="240" w:lineRule="auto"/>
              <w:jc w:val="right"/>
              <w:rPr>
                <w:rFonts w:eastAsia="Times New Roman" w:cstheme="minorHAnsi"/>
                <w:color w:val="000000"/>
                <w:sz w:val="16"/>
                <w:szCs w:val="16"/>
              </w:rPr>
            </w:pPr>
            <w:r w:rsidRPr="00A6353C">
              <w:rPr>
                <w:rFonts w:eastAsia="Times New Roman" w:cstheme="minorHAnsi"/>
                <w:color w:val="000000"/>
                <w:sz w:val="16"/>
                <w:szCs w:val="16"/>
              </w:rPr>
              <w:t>$1</w:t>
            </w:r>
            <w:r>
              <w:rPr>
                <w:rFonts w:eastAsia="Times New Roman" w:cstheme="minorHAnsi"/>
                <w:color w:val="000000"/>
                <w:sz w:val="16"/>
                <w:szCs w:val="16"/>
              </w:rPr>
              <w:t>8</w:t>
            </w:r>
            <w:r w:rsidRPr="00A6353C">
              <w:rPr>
                <w:rFonts w:eastAsia="Times New Roman" w:cstheme="minorHAnsi"/>
                <w:color w:val="000000"/>
                <w:sz w:val="16"/>
                <w:szCs w:val="16"/>
              </w:rPr>
              <w:t>,000</w:t>
            </w:r>
          </w:p>
        </w:tc>
      </w:tr>
      <w:tr w:rsidR="00A64B43" w:rsidRPr="00A64B43" w14:paraId="1AE90892" w14:textId="77777777" w:rsidTr="001243C8">
        <w:trPr>
          <w:trHeight w:val="317"/>
          <w:jc w:val="center"/>
        </w:trPr>
        <w:tc>
          <w:tcPr>
            <w:tcW w:w="1642" w:type="dxa"/>
            <w:shd w:val="clear" w:color="auto" w:fill="D9D9D9" w:themeFill="background1" w:themeFillShade="D9"/>
            <w:vAlign w:val="bottom"/>
            <w:hideMark/>
          </w:tcPr>
          <w:p w14:paraId="1AE90889" w14:textId="033DAAD1" w:rsidR="00E86C47" w:rsidRPr="00A64B43" w:rsidRDefault="2318AD20" w:rsidP="00DF08E5">
            <w:pPr>
              <w:spacing w:after="0" w:line="240" w:lineRule="auto"/>
              <w:rPr>
                <w:rFonts w:eastAsia="Times New Roman"/>
                <w:b/>
                <w:bCs/>
                <w:sz w:val="16"/>
                <w:szCs w:val="16"/>
              </w:rPr>
            </w:pPr>
            <w:r w:rsidRPr="00A64B43">
              <w:rPr>
                <w:rFonts w:eastAsia="Times New Roman"/>
                <w:b/>
                <w:bCs/>
                <w:sz w:val="16"/>
                <w:szCs w:val="16"/>
              </w:rPr>
              <w:t>State Total</w:t>
            </w:r>
          </w:p>
        </w:tc>
        <w:tc>
          <w:tcPr>
            <w:tcW w:w="1551" w:type="dxa"/>
            <w:shd w:val="clear" w:color="auto" w:fill="D9D9D9" w:themeFill="background1" w:themeFillShade="D9"/>
            <w:vAlign w:val="bottom"/>
            <w:hideMark/>
          </w:tcPr>
          <w:p w14:paraId="1AE9088A" w14:textId="44DAFA23" w:rsidR="00E86C47" w:rsidRPr="00A64B43" w:rsidRDefault="00E86C47" w:rsidP="00D30265">
            <w:pPr>
              <w:spacing w:after="0" w:line="240" w:lineRule="auto"/>
              <w:jc w:val="right"/>
              <w:rPr>
                <w:rFonts w:eastAsia="Times New Roman"/>
                <w:b/>
                <w:bCs/>
                <w:sz w:val="16"/>
                <w:szCs w:val="16"/>
              </w:rPr>
            </w:pPr>
            <w:r w:rsidRPr="00A64B43">
              <w:rPr>
                <w:rFonts w:eastAsia="Times New Roman"/>
                <w:b/>
                <w:bCs/>
                <w:sz w:val="16"/>
                <w:szCs w:val="16"/>
              </w:rPr>
              <w:t>$45,891,000</w:t>
            </w:r>
          </w:p>
        </w:tc>
        <w:tc>
          <w:tcPr>
            <w:tcW w:w="1620" w:type="dxa"/>
            <w:shd w:val="clear" w:color="auto" w:fill="D9D9D9" w:themeFill="background1" w:themeFillShade="D9"/>
            <w:vAlign w:val="bottom"/>
            <w:hideMark/>
          </w:tcPr>
          <w:p w14:paraId="1AE9088B" w14:textId="77777777" w:rsidR="00E86C47" w:rsidRPr="00A64B43" w:rsidRDefault="00E86C47" w:rsidP="00DF08E5">
            <w:pPr>
              <w:spacing w:after="0" w:line="240" w:lineRule="auto"/>
              <w:jc w:val="center"/>
              <w:rPr>
                <w:rFonts w:eastAsia="Times New Roman" w:cstheme="minorHAnsi"/>
                <w:b/>
                <w:bCs/>
                <w:sz w:val="16"/>
                <w:szCs w:val="16"/>
              </w:rPr>
            </w:pPr>
          </w:p>
        </w:tc>
        <w:tc>
          <w:tcPr>
            <w:tcW w:w="577" w:type="dxa"/>
            <w:tcBorders>
              <w:right w:val="nil"/>
            </w:tcBorders>
            <w:shd w:val="clear" w:color="auto" w:fill="D9D9D9" w:themeFill="background1" w:themeFillShade="D9"/>
            <w:vAlign w:val="bottom"/>
          </w:tcPr>
          <w:p w14:paraId="1AE9088C" w14:textId="77777777" w:rsidR="00E86C47" w:rsidRPr="00A64B43" w:rsidRDefault="00E86C47" w:rsidP="00DF08E5">
            <w:pPr>
              <w:spacing w:after="0" w:line="240" w:lineRule="auto"/>
              <w:jc w:val="center"/>
              <w:rPr>
                <w:rFonts w:eastAsia="Times New Roman" w:cstheme="minorHAnsi"/>
                <w:b/>
                <w:bCs/>
                <w:sz w:val="16"/>
                <w:szCs w:val="16"/>
              </w:rPr>
            </w:pPr>
          </w:p>
        </w:tc>
        <w:tc>
          <w:tcPr>
            <w:tcW w:w="956" w:type="dxa"/>
            <w:tcBorders>
              <w:left w:val="nil"/>
            </w:tcBorders>
            <w:shd w:val="clear" w:color="auto" w:fill="D9D9D9" w:themeFill="background1" w:themeFillShade="D9"/>
            <w:vAlign w:val="bottom"/>
          </w:tcPr>
          <w:p w14:paraId="1AE9088D" w14:textId="77777777" w:rsidR="00E86C47" w:rsidRPr="00A64B43" w:rsidRDefault="00E86C47" w:rsidP="00DF08E5">
            <w:pPr>
              <w:spacing w:after="0" w:line="240" w:lineRule="auto"/>
              <w:jc w:val="center"/>
              <w:rPr>
                <w:rFonts w:eastAsia="Times New Roman" w:cstheme="minorHAnsi"/>
                <w:b/>
                <w:bCs/>
                <w:sz w:val="16"/>
                <w:szCs w:val="16"/>
              </w:rPr>
            </w:pPr>
          </w:p>
        </w:tc>
        <w:tc>
          <w:tcPr>
            <w:tcW w:w="1596" w:type="dxa"/>
            <w:shd w:val="clear" w:color="auto" w:fill="D9D9D9" w:themeFill="background1" w:themeFillShade="D9"/>
            <w:noWrap/>
            <w:vAlign w:val="bottom"/>
            <w:hideMark/>
          </w:tcPr>
          <w:p w14:paraId="1AE9088E" w14:textId="6C072085" w:rsidR="00E86C47" w:rsidRPr="00A64B43" w:rsidRDefault="00E86C47" w:rsidP="00D30265">
            <w:pPr>
              <w:spacing w:after="0" w:line="240" w:lineRule="auto"/>
              <w:jc w:val="right"/>
              <w:rPr>
                <w:rFonts w:eastAsia="Times New Roman" w:cstheme="minorHAnsi"/>
                <w:b/>
                <w:bCs/>
                <w:sz w:val="16"/>
                <w:szCs w:val="16"/>
              </w:rPr>
            </w:pPr>
            <w:r w:rsidRPr="00A64B43">
              <w:rPr>
                <w:rFonts w:cstheme="minorHAnsi"/>
                <w:b/>
                <w:bCs/>
                <w:sz w:val="16"/>
                <w:szCs w:val="16"/>
              </w:rPr>
              <w:t>$45,891,000</w:t>
            </w:r>
          </w:p>
        </w:tc>
        <w:tc>
          <w:tcPr>
            <w:tcW w:w="1641" w:type="dxa"/>
            <w:shd w:val="clear" w:color="auto" w:fill="D9D9D9" w:themeFill="background1" w:themeFillShade="D9"/>
            <w:noWrap/>
            <w:vAlign w:val="bottom"/>
            <w:hideMark/>
          </w:tcPr>
          <w:p w14:paraId="1AE9088F" w14:textId="4DAD326E" w:rsidR="00E86C47" w:rsidRPr="00A64B43" w:rsidRDefault="00E86C47" w:rsidP="00D30265">
            <w:pPr>
              <w:spacing w:after="0" w:line="240" w:lineRule="auto"/>
              <w:jc w:val="right"/>
              <w:rPr>
                <w:rFonts w:eastAsia="Times New Roman" w:cstheme="minorHAnsi"/>
                <w:b/>
                <w:bCs/>
                <w:sz w:val="16"/>
                <w:szCs w:val="16"/>
              </w:rPr>
            </w:pPr>
            <w:r w:rsidRPr="00A64B43">
              <w:rPr>
                <w:rFonts w:eastAsia="Times New Roman" w:cstheme="minorHAnsi"/>
                <w:b/>
                <w:bCs/>
                <w:sz w:val="16"/>
                <w:szCs w:val="16"/>
              </w:rPr>
              <w:t>$</w:t>
            </w:r>
            <w:r w:rsidR="00582535">
              <w:rPr>
                <w:rFonts w:eastAsia="Times New Roman" w:cstheme="minorHAnsi"/>
                <w:b/>
                <w:bCs/>
                <w:sz w:val="16"/>
                <w:szCs w:val="16"/>
              </w:rPr>
              <w:t>332</w:t>
            </w:r>
            <w:r w:rsidRPr="00A64B43">
              <w:rPr>
                <w:rFonts w:eastAsia="Times New Roman" w:cstheme="minorHAnsi"/>
                <w:b/>
                <w:bCs/>
                <w:sz w:val="16"/>
                <w:szCs w:val="16"/>
              </w:rPr>
              <w:t>,300</w:t>
            </w:r>
          </w:p>
        </w:tc>
      </w:tr>
    </w:tbl>
    <w:p w14:paraId="1AE90893" w14:textId="77777777" w:rsidR="00277BA2" w:rsidRDefault="00277BA2" w:rsidP="00824FF6">
      <w:pPr>
        <w:spacing w:after="0"/>
        <w:rPr>
          <w:rFonts w:ascii="Times New Roman" w:hAnsi="Times New Roman" w:cs="Times New Roman"/>
          <w:sz w:val="20"/>
          <w:szCs w:val="20"/>
        </w:rPr>
      </w:pPr>
    </w:p>
    <w:sectPr w:rsidR="00277BA2" w:rsidSect="00286245">
      <w:pgSz w:w="12240" w:h="15840"/>
      <w:pgMar w:top="1440"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90281" w14:textId="77777777" w:rsidR="00885E6B" w:rsidRDefault="00885E6B" w:rsidP="00E67ABB">
      <w:pPr>
        <w:spacing w:after="0" w:line="240" w:lineRule="auto"/>
      </w:pPr>
      <w:r>
        <w:separator/>
      </w:r>
    </w:p>
  </w:endnote>
  <w:endnote w:type="continuationSeparator" w:id="0">
    <w:p w14:paraId="08FE98A5" w14:textId="77777777" w:rsidR="00885E6B" w:rsidRDefault="00885E6B" w:rsidP="00E67ABB">
      <w:pPr>
        <w:spacing w:after="0" w:line="240" w:lineRule="auto"/>
      </w:pPr>
      <w:r>
        <w:continuationSeparator/>
      </w:r>
    </w:p>
  </w:endnote>
  <w:endnote w:type="continuationNotice" w:id="1">
    <w:p w14:paraId="72BEDA06" w14:textId="77777777" w:rsidR="00885E6B" w:rsidRDefault="00885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arajita">
    <w:altName w:val="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1889C" w14:textId="77777777" w:rsidR="00885E6B" w:rsidRDefault="00885E6B" w:rsidP="00E67ABB">
      <w:pPr>
        <w:spacing w:after="0" w:line="240" w:lineRule="auto"/>
      </w:pPr>
      <w:r>
        <w:separator/>
      </w:r>
    </w:p>
  </w:footnote>
  <w:footnote w:type="continuationSeparator" w:id="0">
    <w:p w14:paraId="029F2A2A" w14:textId="77777777" w:rsidR="00885E6B" w:rsidRDefault="00885E6B" w:rsidP="00E67ABB">
      <w:pPr>
        <w:spacing w:after="0" w:line="240" w:lineRule="auto"/>
      </w:pPr>
      <w:r>
        <w:continuationSeparator/>
      </w:r>
    </w:p>
  </w:footnote>
  <w:footnote w:type="continuationNotice" w:id="1">
    <w:p w14:paraId="29756135" w14:textId="77777777" w:rsidR="00885E6B" w:rsidRDefault="00885E6B">
      <w:pPr>
        <w:spacing w:after="0" w:line="240" w:lineRule="auto"/>
      </w:pPr>
    </w:p>
  </w:footnote>
  <w:footnote w:id="2">
    <w:p w14:paraId="1AE908B0" w14:textId="77777777" w:rsidR="00E86C47" w:rsidRPr="00E67ABB" w:rsidRDefault="00E86C47">
      <w:pPr>
        <w:pStyle w:val="FootnoteText"/>
        <w:rPr>
          <w:sz w:val="16"/>
          <w:szCs w:val="16"/>
        </w:rPr>
      </w:pPr>
      <w:r w:rsidRPr="00E67ABB">
        <w:rPr>
          <w:rStyle w:val="FootnoteReference"/>
          <w:sz w:val="16"/>
          <w:szCs w:val="16"/>
        </w:rPr>
        <w:footnoteRef/>
      </w:r>
      <w:r w:rsidRPr="00E67ABB">
        <w:rPr>
          <w:sz w:val="16"/>
          <w:szCs w:val="16"/>
        </w:rPr>
        <w:t xml:space="preserve"> Ratios are the minimum percent of ABE and ESOL seats in each region</w:t>
      </w:r>
      <w:r>
        <w:rPr>
          <w:sz w:val="16"/>
          <w:szCs w:val="16"/>
        </w:rPr>
        <w:t xml:space="preserve"> based on approximately 80% of ACS need.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6B81"/>
    <w:multiLevelType w:val="hybridMultilevel"/>
    <w:tmpl w:val="8E168F62"/>
    <w:lvl w:ilvl="0" w:tplc="2E3071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33616"/>
    <w:multiLevelType w:val="hybridMultilevel"/>
    <w:tmpl w:val="6EF2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729D3"/>
    <w:multiLevelType w:val="hybridMultilevel"/>
    <w:tmpl w:val="57CC8010"/>
    <w:lvl w:ilvl="0" w:tplc="D708F6A2">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BD"/>
    <w:rsid w:val="000038EF"/>
    <w:rsid w:val="0000398A"/>
    <w:rsid w:val="00004246"/>
    <w:rsid w:val="00017677"/>
    <w:rsid w:val="00044006"/>
    <w:rsid w:val="00050AA2"/>
    <w:rsid w:val="00051772"/>
    <w:rsid w:val="000547EE"/>
    <w:rsid w:val="00055235"/>
    <w:rsid w:val="00056DB9"/>
    <w:rsid w:val="00070596"/>
    <w:rsid w:val="00081924"/>
    <w:rsid w:val="000832E4"/>
    <w:rsid w:val="00083E59"/>
    <w:rsid w:val="0008405B"/>
    <w:rsid w:val="0008560F"/>
    <w:rsid w:val="00085A9C"/>
    <w:rsid w:val="000862FF"/>
    <w:rsid w:val="00093B82"/>
    <w:rsid w:val="000951CE"/>
    <w:rsid w:val="00097524"/>
    <w:rsid w:val="000B6997"/>
    <w:rsid w:val="000D0D3B"/>
    <w:rsid w:val="000D3448"/>
    <w:rsid w:val="000D4018"/>
    <w:rsid w:val="000D7D12"/>
    <w:rsid w:val="000E251E"/>
    <w:rsid w:val="000E7170"/>
    <w:rsid w:val="000E7199"/>
    <w:rsid w:val="00104983"/>
    <w:rsid w:val="00105409"/>
    <w:rsid w:val="00116420"/>
    <w:rsid w:val="001165A5"/>
    <w:rsid w:val="001243C8"/>
    <w:rsid w:val="00124AF1"/>
    <w:rsid w:val="00125DF1"/>
    <w:rsid w:val="0013320D"/>
    <w:rsid w:val="00137C4F"/>
    <w:rsid w:val="0014750B"/>
    <w:rsid w:val="00180219"/>
    <w:rsid w:val="001804C7"/>
    <w:rsid w:val="00187A48"/>
    <w:rsid w:val="00194FA0"/>
    <w:rsid w:val="00196594"/>
    <w:rsid w:val="001A10FA"/>
    <w:rsid w:val="001A6766"/>
    <w:rsid w:val="001B06E3"/>
    <w:rsid w:val="001C13DE"/>
    <w:rsid w:val="001C47E0"/>
    <w:rsid w:val="001C4838"/>
    <w:rsid w:val="001C4B4C"/>
    <w:rsid w:val="001D1A32"/>
    <w:rsid w:val="00205D8B"/>
    <w:rsid w:val="00205FD6"/>
    <w:rsid w:val="00211C7B"/>
    <w:rsid w:val="00217F31"/>
    <w:rsid w:val="0022001A"/>
    <w:rsid w:val="00230EBB"/>
    <w:rsid w:val="00233756"/>
    <w:rsid w:val="002422A0"/>
    <w:rsid w:val="002463AC"/>
    <w:rsid w:val="00255EE6"/>
    <w:rsid w:val="00263CEA"/>
    <w:rsid w:val="00264F32"/>
    <w:rsid w:val="00277BA2"/>
    <w:rsid w:val="002812D2"/>
    <w:rsid w:val="00282C44"/>
    <w:rsid w:val="00286245"/>
    <w:rsid w:val="002910C6"/>
    <w:rsid w:val="002A0DFA"/>
    <w:rsid w:val="002A41CA"/>
    <w:rsid w:val="002A44F1"/>
    <w:rsid w:val="002A4E77"/>
    <w:rsid w:val="002B3A1F"/>
    <w:rsid w:val="002C0099"/>
    <w:rsid w:val="002C7CF0"/>
    <w:rsid w:val="002E34AC"/>
    <w:rsid w:val="00301677"/>
    <w:rsid w:val="0030F2CE"/>
    <w:rsid w:val="00315EAB"/>
    <w:rsid w:val="00326ED4"/>
    <w:rsid w:val="00330E46"/>
    <w:rsid w:val="00333070"/>
    <w:rsid w:val="00333421"/>
    <w:rsid w:val="003338A4"/>
    <w:rsid w:val="00336BE8"/>
    <w:rsid w:val="00346323"/>
    <w:rsid w:val="00346885"/>
    <w:rsid w:val="0036078E"/>
    <w:rsid w:val="00364D66"/>
    <w:rsid w:val="00372765"/>
    <w:rsid w:val="00387A35"/>
    <w:rsid w:val="0039123C"/>
    <w:rsid w:val="003A5A55"/>
    <w:rsid w:val="003B6F19"/>
    <w:rsid w:val="003E01C9"/>
    <w:rsid w:val="003E134C"/>
    <w:rsid w:val="003E325E"/>
    <w:rsid w:val="003E344C"/>
    <w:rsid w:val="003E752F"/>
    <w:rsid w:val="003F030F"/>
    <w:rsid w:val="003F581A"/>
    <w:rsid w:val="004018F0"/>
    <w:rsid w:val="00404413"/>
    <w:rsid w:val="004053B0"/>
    <w:rsid w:val="00407564"/>
    <w:rsid w:val="004264B3"/>
    <w:rsid w:val="004274CF"/>
    <w:rsid w:val="00427733"/>
    <w:rsid w:val="0043061B"/>
    <w:rsid w:val="004315BE"/>
    <w:rsid w:val="004317CD"/>
    <w:rsid w:val="004422E2"/>
    <w:rsid w:val="0044392F"/>
    <w:rsid w:val="00447450"/>
    <w:rsid w:val="0046314B"/>
    <w:rsid w:val="00467288"/>
    <w:rsid w:val="0046771C"/>
    <w:rsid w:val="00473878"/>
    <w:rsid w:val="00475903"/>
    <w:rsid w:val="00491C50"/>
    <w:rsid w:val="004A0DF3"/>
    <w:rsid w:val="004A22C6"/>
    <w:rsid w:val="004A2345"/>
    <w:rsid w:val="004A4BF0"/>
    <w:rsid w:val="004A4C73"/>
    <w:rsid w:val="004B0B74"/>
    <w:rsid w:val="004B3B36"/>
    <w:rsid w:val="004B3FB7"/>
    <w:rsid w:val="004B6ACF"/>
    <w:rsid w:val="004C0355"/>
    <w:rsid w:val="004C70D7"/>
    <w:rsid w:val="004D0ABD"/>
    <w:rsid w:val="004D7836"/>
    <w:rsid w:val="004E1672"/>
    <w:rsid w:val="004E7C8F"/>
    <w:rsid w:val="004F227B"/>
    <w:rsid w:val="004F7394"/>
    <w:rsid w:val="00506DA5"/>
    <w:rsid w:val="00507E3D"/>
    <w:rsid w:val="005120B3"/>
    <w:rsid w:val="00522268"/>
    <w:rsid w:val="005314A1"/>
    <w:rsid w:val="005329AA"/>
    <w:rsid w:val="00532F35"/>
    <w:rsid w:val="00535C96"/>
    <w:rsid w:val="005544F8"/>
    <w:rsid w:val="00554561"/>
    <w:rsid w:val="00556AC5"/>
    <w:rsid w:val="00577869"/>
    <w:rsid w:val="00582535"/>
    <w:rsid w:val="005851CB"/>
    <w:rsid w:val="005851E6"/>
    <w:rsid w:val="00591B19"/>
    <w:rsid w:val="00594853"/>
    <w:rsid w:val="005957A1"/>
    <w:rsid w:val="00597DDD"/>
    <w:rsid w:val="005A31C7"/>
    <w:rsid w:val="005B0D9D"/>
    <w:rsid w:val="005B42AF"/>
    <w:rsid w:val="005B6931"/>
    <w:rsid w:val="005B6CBE"/>
    <w:rsid w:val="005B707B"/>
    <w:rsid w:val="005C2436"/>
    <w:rsid w:val="005C5179"/>
    <w:rsid w:val="005D73C1"/>
    <w:rsid w:val="005E0514"/>
    <w:rsid w:val="005E2B04"/>
    <w:rsid w:val="005E4310"/>
    <w:rsid w:val="005E5337"/>
    <w:rsid w:val="005E5FAB"/>
    <w:rsid w:val="005E7DB2"/>
    <w:rsid w:val="005F4182"/>
    <w:rsid w:val="00603D96"/>
    <w:rsid w:val="006144DD"/>
    <w:rsid w:val="00620042"/>
    <w:rsid w:val="00624CC7"/>
    <w:rsid w:val="00626D67"/>
    <w:rsid w:val="006270A1"/>
    <w:rsid w:val="00631470"/>
    <w:rsid w:val="006357B9"/>
    <w:rsid w:val="006368A4"/>
    <w:rsid w:val="00642FF5"/>
    <w:rsid w:val="00647C90"/>
    <w:rsid w:val="0066502C"/>
    <w:rsid w:val="00666F40"/>
    <w:rsid w:val="006674A3"/>
    <w:rsid w:val="006713BA"/>
    <w:rsid w:val="006730A4"/>
    <w:rsid w:val="00675162"/>
    <w:rsid w:val="0068455A"/>
    <w:rsid w:val="00685920"/>
    <w:rsid w:val="00686A3D"/>
    <w:rsid w:val="0069472A"/>
    <w:rsid w:val="0069625A"/>
    <w:rsid w:val="006A0A0D"/>
    <w:rsid w:val="006A3338"/>
    <w:rsid w:val="006A5359"/>
    <w:rsid w:val="006B74C7"/>
    <w:rsid w:val="006D543C"/>
    <w:rsid w:val="006D5CFD"/>
    <w:rsid w:val="006E082D"/>
    <w:rsid w:val="006E5AA5"/>
    <w:rsid w:val="006F0703"/>
    <w:rsid w:val="006F17CA"/>
    <w:rsid w:val="006F390B"/>
    <w:rsid w:val="006F46B8"/>
    <w:rsid w:val="00703DAD"/>
    <w:rsid w:val="00705ED0"/>
    <w:rsid w:val="0071291F"/>
    <w:rsid w:val="00717F97"/>
    <w:rsid w:val="0073118E"/>
    <w:rsid w:val="0073395A"/>
    <w:rsid w:val="007359A0"/>
    <w:rsid w:val="00736C3B"/>
    <w:rsid w:val="00743242"/>
    <w:rsid w:val="00744013"/>
    <w:rsid w:val="00745E94"/>
    <w:rsid w:val="0075029D"/>
    <w:rsid w:val="00750A6D"/>
    <w:rsid w:val="0075465D"/>
    <w:rsid w:val="00756631"/>
    <w:rsid w:val="00770A38"/>
    <w:rsid w:val="00773D6E"/>
    <w:rsid w:val="00775D56"/>
    <w:rsid w:val="00781C04"/>
    <w:rsid w:val="00786E48"/>
    <w:rsid w:val="00787720"/>
    <w:rsid w:val="00790E22"/>
    <w:rsid w:val="007910A1"/>
    <w:rsid w:val="0079562F"/>
    <w:rsid w:val="007A36E6"/>
    <w:rsid w:val="007B1486"/>
    <w:rsid w:val="007D2B49"/>
    <w:rsid w:val="007D4649"/>
    <w:rsid w:val="007E5558"/>
    <w:rsid w:val="007F0A69"/>
    <w:rsid w:val="007F1372"/>
    <w:rsid w:val="0080016F"/>
    <w:rsid w:val="00803E2D"/>
    <w:rsid w:val="00807DEB"/>
    <w:rsid w:val="00824FF6"/>
    <w:rsid w:val="00825551"/>
    <w:rsid w:val="00832313"/>
    <w:rsid w:val="00832C5D"/>
    <w:rsid w:val="00832F7B"/>
    <w:rsid w:val="0084645E"/>
    <w:rsid w:val="00846E61"/>
    <w:rsid w:val="0086780D"/>
    <w:rsid w:val="008700AF"/>
    <w:rsid w:val="00885E6B"/>
    <w:rsid w:val="00886E5E"/>
    <w:rsid w:val="00887220"/>
    <w:rsid w:val="00887EDC"/>
    <w:rsid w:val="0089105F"/>
    <w:rsid w:val="00895B17"/>
    <w:rsid w:val="008A1EDD"/>
    <w:rsid w:val="008A5550"/>
    <w:rsid w:val="008B5FF8"/>
    <w:rsid w:val="008C30E3"/>
    <w:rsid w:val="008C3A19"/>
    <w:rsid w:val="008D1007"/>
    <w:rsid w:val="008D28A4"/>
    <w:rsid w:val="008E6840"/>
    <w:rsid w:val="008F6F4A"/>
    <w:rsid w:val="0091240A"/>
    <w:rsid w:val="0092040F"/>
    <w:rsid w:val="00920E8A"/>
    <w:rsid w:val="00921E57"/>
    <w:rsid w:val="0092280E"/>
    <w:rsid w:val="00922F24"/>
    <w:rsid w:val="0092476A"/>
    <w:rsid w:val="00930B0A"/>
    <w:rsid w:val="009359E0"/>
    <w:rsid w:val="00935EE5"/>
    <w:rsid w:val="00944B2D"/>
    <w:rsid w:val="0095127C"/>
    <w:rsid w:val="00961824"/>
    <w:rsid w:val="0096632A"/>
    <w:rsid w:val="009702CA"/>
    <w:rsid w:val="009721C2"/>
    <w:rsid w:val="00991331"/>
    <w:rsid w:val="00997D94"/>
    <w:rsid w:val="009A0B2D"/>
    <w:rsid w:val="009A141C"/>
    <w:rsid w:val="009B2621"/>
    <w:rsid w:val="009C0D34"/>
    <w:rsid w:val="009C31A1"/>
    <w:rsid w:val="009D1160"/>
    <w:rsid w:val="009E03FC"/>
    <w:rsid w:val="009E1A5D"/>
    <w:rsid w:val="009E4537"/>
    <w:rsid w:val="009E6F3C"/>
    <w:rsid w:val="00A04896"/>
    <w:rsid w:val="00A0540D"/>
    <w:rsid w:val="00A10148"/>
    <w:rsid w:val="00A103A6"/>
    <w:rsid w:val="00A2755D"/>
    <w:rsid w:val="00A27876"/>
    <w:rsid w:val="00A3064D"/>
    <w:rsid w:val="00A31358"/>
    <w:rsid w:val="00A37B79"/>
    <w:rsid w:val="00A42C20"/>
    <w:rsid w:val="00A529BD"/>
    <w:rsid w:val="00A54310"/>
    <w:rsid w:val="00A5606E"/>
    <w:rsid w:val="00A6353C"/>
    <w:rsid w:val="00A64B43"/>
    <w:rsid w:val="00A67C85"/>
    <w:rsid w:val="00A81653"/>
    <w:rsid w:val="00A84BA9"/>
    <w:rsid w:val="00AA3A07"/>
    <w:rsid w:val="00AB083A"/>
    <w:rsid w:val="00AB1269"/>
    <w:rsid w:val="00AC2587"/>
    <w:rsid w:val="00AC35DF"/>
    <w:rsid w:val="00AC55DD"/>
    <w:rsid w:val="00AD2E03"/>
    <w:rsid w:val="00AE03EC"/>
    <w:rsid w:val="00AE741D"/>
    <w:rsid w:val="00AF40D1"/>
    <w:rsid w:val="00AF46CC"/>
    <w:rsid w:val="00AF4711"/>
    <w:rsid w:val="00AF4CE1"/>
    <w:rsid w:val="00B103C4"/>
    <w:rsid w:val="00B10B98"/>
    <w:rsid w:val="00B11F9E"/>
    <w:rsid w:val="00B14908"/>
    <w:rsid w:val="00B155CC"/>
    <w:rsid w:val="00B2330D"/>
    <w:rsid w:val="00B24A39"/>
    <w:rsid w:val="00B328C4"/>
    <w:rsid w:val="00B45309"/>
    <w:rsid w:val="00B5172B"/>
    <w:rsid w:val="00B54843"/>
    <w:rsid w:val="00B568DD"/>
    <w:rsid w:val="00B57B81"/>
    <w:rsid w:val="00B63271"/>
    <w:rsid w:val="00B644CA"/>
    <w:rsid w:val="00B65358"/>
    <w:rsid w:val="00B66426"/>
    <w:rsid w:val="00B775D9"/>
    <w:rsid w:val="00B80348"/>
    <w:rsid w:val="00B920E5"/>
    <w:rsid w:val="00BA4EB0"/>
    <w:rsid w:val="00BB145A"/>
    <w:rsid w:val="00BB397F"/>
    <w:rsid w:val="00BB5C27"/>
    <w:rsid w:val="00BC472A"/>
    <w:rsid w:val="00BC58D0"/>
    <w:rsid w:val="00BC7DFD"/>
    <w:rsid w:val="00BD117D"/>
    <w:rsid w:val="00BD7D1B"/>
    <w:rsid w:val="00BE0FCD"/>
    <w:rsid w:val="00BE3A1C"/>
    <w:rsid w:val="00BE6542"/>
    <w:rsid w:val="00BE67A4"/>
    <w:rsid w:val="00BF3F1D"/>
    <w:rsid w:val="00C00719"/>
    <w:rsid w:val="00C04C39"/>
    <w:rsid w:val="00C05892"/>
    <w:rsid w:val="00C072C1"/>
    <w:rsid w:val="00C14E80"/>
    <w:rsid w:val="00C16809"/>
    <w:rsid w:val="00C230B1"/>
    <w:rsid w:val="00C33303"/>
    <w:rsid w:val="00C33A03"/>
    <w:rsid w:val="00C36A05"/>
    <w:rsid w:val="00C4334A"/>
    <w:rsid w:val="00C43FD6"/>
    <w:rsid w:val="00C46B1A"/>
    <w:rsid w:val="00C51A32"/>
    <w:rsid w:val="00C53C6F"/>
    <w:rsid w:val="00C66C0A"/>
    <w:rsid w:val="00C775A7"/>
    <w:rsid w:val="00C82F1B"/>
    <w:rsid w:val="00C86091"/>
    <w:rsid w:val="00C87A0C"/>
    <w:rsid w:val="00C902BB"/>
    <w:rsid w:val="00C9372E"/>
    <w:rsid w:val="00C972D4"/>
    <w:rsid w:val="00CA057D"/>
    <w:rsid w:val="00CA7B8C"/>
    <w:rsid w:val="00CB1309"/>
    <w:rsid w:val="00CC2899"/>
    <w:rsid w:val="00CC2AE6"/>
    <w:rsid w:val="00CF2D4F"/>
    <w:rsid w:val="00CF702D"/>
    <w:rsid w:val="00D01FBB"/>
    <w:rsid w:val="00D05AD1"/>
    <w:rsid w:val="00D12AF3"/>
    <w:rsid w:val="00D21776"/>
    <w:rsid w:val="00D22E08"/>
    <w:rsid w:val="00D23671"/>
    <w:rsid w:val="00D30265"/>
    <w:rsid w:val="00D31F26"/>
    <w:rsid w:val="00D346E4"/>
    <w:rsid w:val="00D3649D"/>
    <w:rsid w:val="00D43498"/>
    <w:rsid w:val="00D465AB"/>
    <w:rsid w:val="00D504B5"/>
    <w:rsid w:val="00D56D21"/>
    <w:rsid w:val="00D60C4B"/>
    <w:rsid w:val="00D61CF2"/>
    <w:rsid w:val="00D61FD2"/>
    <w:rsid w:val="00D65739"/>
    <w:rsid w:val="00D65800"/>
    <w:rsid w:val="00D80C9E"/>
    <w:rsid w:val="00D95B59"/>
    <w:rsid w:val="00D9641B"/>
    <w:rsid w:val="00DA09C0"/>
    <w:rsid w:val="00DA1A58"/>
    <w:rsid w:val="00DA3844"/>
    <w:rsid w:val="00DB02D6"/>
    <w:rsid w:val="00DB1C4C"/>
    <w:rsid w:val="00DC483A"/>
    <w:rsid w:val="00DD0C61"/>
    <w:rsid w:val="00DD4A54"/>
    <w:rsid w:val="00DD7246"/>
    <w:rsid w:val="00DE0BF4"/>
    <w:rsid w:val="00DE3E6B"/>
    <w:rsid w:val="00DE4744"/>
    <w:rsid w:val="00DF08E5"/>
    <w:rsid w:val="00DF0BD0"/>
    <w:rsid w:val="00DF3C06"/>
    <w:rsid w:val="00DF41FD"/>
    <w:rsid w:val="00E03E40"/>
    <w:rsid w:val="00E0446F"/>
    <w:rsid w:val="00E0631D"/>
    <w:rsid w:val="00E07A4C"/>
    <w:rsid w:val="00E13A1F"/>
    <w:rsid w:val="00E13F9B"/>
    <w:rsid w:val="00E14B0E"/>
    <w:rsid w:val="00E17187"/>
    <w:rsid w:val="00E174A9"/>
    <w:rsid w:val="00E24E97"/>
    <w:rsid w:val="00E270C8"/>
    <w:rsid w:val="00E5570B"/>
    <w:rsid w:val="00E633BF"/>
    <w:rsid w:val="00E67ABB"/>
    <w:rsid w:val="00E71D84"/>
    <w:rsid w:val="00E7231F"/>
    <w:rsid w:val="00E7340C"/>
    <w:rsid w:val="00E80457"/>
    <w:rsid w:val="00E823DF"/>
    <w:rsid w:val="00E86517"/>
    <w:rsid w:val="00E86C47"/>
    <w:rsid w:val="00E90980"/>
    <w:rsid w:val="00E91256"/>
    <w:rsid w:val="00E95D7D"/>
    <w:rsid w:val="00EA2552"/>
    <w:rsid w:val="00EB6A54"/>
    <w:rsid w:val="00EC1643"/>
    <w:rsid w:val="00EC2B48"/>
    <w:rsid w:val="00EC3371"/>
    <w:rsid w:val="00EC7BAD"/>
    <w:rsid w:val="00ED2801"/>
    <w:rsid w:val="00ED7DE6"/>
    <w:rsid w:val="00EE1064"/>
    <w:rsid w:val="00EE17BB"/>
    <w:rsid w:val="00EE305D"/>
    <w:rsid w:val="00F02DBB"/>
    <w:rsid w:val="00F07398"/>
    <w:rsid w:val="00F11E87"/>
    <w:rsid w:val="00F1211D"/>
    <w:rsid w:val="00F15826"/>
    <w:rsid w:val="00F32233"/>
    <w:rsid w:val="00F45946"/>
    <w:rsid w:val="00F46801"/>
    <w:rsid w:val="00F47A3D"/>
    <w:rsid w:val="00F511FE"/>
    <w:rsid w:val="00F53650"/>
    <w:rsid w:val="00F5474C"/>
    <w:rsid w:val="00F62C80"/>
    <w:rsid w:val="00F65329"/>
    <w:rsid w:val="00F6647B"/>
    <w:rsid w:val="00F74764"/>
    <w:rsid w:val="00F766F9"/>
    <w:rsid w:val="00F7856E"/>
    <w:rsid w:val="00F82B2A"/>
    <w:rsid w:val="00F85020"/>
    <w:rsid w:val="00F93632"/>
    <w:rsid w:val="00F94409"/>
    <w:rsid w:val="00FA5A00"/>
    <w:rsid w:val="00FA7DA1"/>
    <w:rsid w:val="00FB4410"/>
    <w:rsid w:val="00FC02B6"/>
    <w:rsid w:val="00FC1AE6"/>
    <w:rsid w:val="00FC6A05"/>
    <w:rsid w:val="00FD0739"/>
    <w:rsid w:val="00FD2C9B"/>
    <w:rsid w:val="00FD5603"/>
    <w:rsid w:val="00FE2A5A"/>
    <w:rsid w:val="00FE3178"/>
    <w:rsid w:val="00FF1804"/>
    <w:rsid w:val="00FF7462"/>
    <w:rsid w:val="01CCF505"/>
    <w:rsid w:val="0231A016"/>
    <w:rsid w:val="02382BDB"/>
    <w:rsid w:val="0246715A"/>
    <w:rsid w:val="035FA9EB"/>
    <w:rsid w:val="03C5511B"/>
    <w:rsid w:val="0653E755"/>
    <w:rsid w:val="065EA009"/>
    <w:rsid w:val="087DD379"/>
    <w:rsid w:val="0B32112C"/>
    <w:rsid w:val="0F1FA6B4"/>
    <w:rsid w:val="0F769D3E"/>
    <w:rsid w:val="109233AA"/>
    <w:rsid w:val="124C566C"/>
    <w:rsid w:val="15A99F9D"/>
    <w:rsid w:val="15CCB665"/>
    <w:rsid w:val="16C8FE51"/>
    <w:rsid w:val="183B5E00"/>
    <w:rsid w:val="19469D32"/>
    <w:rsid w:val="1A2A0628"/>
    <w:rsid w:val="1A6E1DBE"/>
    <w:rsid w:val="1B80164C"/>
    <w:rsid w:val="1CF5D997"/>
    <w:rsid w:val="1E2D31B8"/>
    <w:rsid w:val="1E3D0398"/>
    <w:rsid w:val="1FFFE55F"/>
    <w:rsid w:val="20CC9E22"/>
    <w:rsid w:val="21D6941A"/>
    <w:rsid w:val="222186D7"/>
    <w:rsid w:val="2318AD20"/>
    <w:rsid w:val="2817A92C"/>
    <w:rsid w:val="28DD3FAD"/>
    <w:rsid w:val="2902DD84"/>
    <w:rsid w:val="2AF4EA43"/>
    <w:rsid w:val="2B566D2B"/>
    <w:rsid w:val="3064570B"/>
    <w:rsid w:val="30706B57"/>
    <w:rsid w:val="30768FF2"/>
    <w:rsid w:val="31C97CA9"/>
    <w:rsid w:val="33E449B1"/>
    <w:rsid w:val="349302B1"/>
    <w:rsid w:val="37E083DF"/>
    <w:rsid w:val="38EFA9D5"/>
    <w:rsid w:val="39B39D23"/>
    <w:rsid w:val="39EE1907"/>
    <w:rsid w:val="39FF1FD7"/>
    <w:rsid w:val="3ACF00C3"/>
    <w:rsid w:val="3BC7B50D"/>
    <w:rsid w:val="3BFDBA80"/>
    <w:rsid w:val="3CB35E80"/>
    <w:rsid w:val="3DC79EE3"/>
    <w:rsid w:val="3F97C1D9"/>
    <w:rsid w:val="423697C6"/>
    <w:rsid w:val="4248056E"/>
    <w:rsid w:val="434B6FA1"/>
    <w:rsid w:val="4711C39E"/>
    <w:rsid w:val="475F7161"/>
    <w:rsid w:val="48152DD1"/>
    <w:rsid w:val="49A8148D"/>
    <w:rsid w:val="4B54EDEF"/>
    <w:rsid w:val="4E47004A"/>
    <w:rsid w:val="4E6EC0FB"/>
    <w:rsid w:val="4EBDAF80"/>
    <w:rsid w:val="51462387"/>
    <w:rsid w:val="51B9B237"/>
    <w:rsid w:val="5385DA19"/>
    <w:rsid w:val="545293D7"/>
    <w:rsid w:val="56667ECC"/>
    <w:rsid w:val="57365FB8"/>
    <w:rsid w:val="5910369C"/>
    <w:rsid w:val="59F50572"/>
    <w:rsid w:val="5A362115"/>
    <w:rsid w:val="5D692F4B"/>
    <w:rsid w:val="5E6558E8"/>
    <w:rsid w:val="600E9C86"/>
    <w:rsid w:val="600FBEF2"/>
    <w:rsid w:val="6038FB7F"/>
    <w:rsid w:val="60CE3236"/>
    <w:rsid w:val="6165CF16"/>
    <w:rsid w:val="636D853A"/>
    <w:rsid w:val="648A6D84"/>
    <w:rsid w:val="659A1B75"/>
    <w:rsid w:val="65B470D1"/>
    <w:rsid w:val="65DF1264"/>
    <w:rsid w:val="66240953"/>
    <w:rsid w:val="67B6AD61"/>
    <w:rsid w:val="69E23DF4"/>
    <w:rsid w:val="6BA7746F"/>
    <w:rsid w:val="6D81AF04"/>
    <w:rsid w:val="6E168A53"/>
    <w:rsid w:val="6F29EEFF"/>
    <w:rsid w:val="6F5EEB75"/>
    <w:rsid w:val="6F73BCB9"/>
    <w:rsid w:val="748B28AC"/>
    <w:rsid w:val="77DB5A53"/>
    <w:rsid w:val="77E1E618"/>
    <w:rsid w:val="79B894D3"/>
    <w:rsid w:val="7A15852F"/>
    <w:rsid w:val="7BA3D95F"/>
    <w:rsid w:val="7CC2A09B"/>
    <w:rsid w:val="7DBCBB8C"/>
    <w:rsid w:val="7E64FBCB"/>
    <w:rsid w:val="7E847E12"/>
    <w:rsid w:val="7F03BD64"/>
    <w:rsid w:val="7FEBF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07D4"/>
  <w15:docId w15:val="{0CD88289-685B-44A4-AB84-C87E57ED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9BD"/>
    <w:rPr>
      <w:rFonts w:ascii="Tahoma" w:hAnsi="Tahoma" w:cs="Tahoma"/>
      <w:sz w:val="16"/>
      <w:szCs w:val="16"/>
    </w:rPr>
  </w:style>
  <w:style w:type="paragraph" w:styleId="ListParagraph">
    <w:name w:val="List Paragraph"/>
    <w:basedOn w:val="Normal"/>
    <w:link w:val="ListParagraphChar"/>
    <w:uiPriority w:val="34"/>
    <w:qFormat/>
    <w:rsid w:val="0069625A"/>
    <w:pPr>
      <w:numPr>
        <w:numId w:val="1"/>
      </w:numPr>
      <w:spacing w:after="0" w:line="240" w:lineRule="auto"/>
    </w:pPr>
    <w:rPr>
      <w:rFonts w:ascii="Georgia" w:eastAsia="Times New Roman" w:hAnsi="Georgia" w:cs="Times New Roman"/>
      <w:sz w:val="20"/>
      <w:szCs w:val="20"/>
    </w:rPr>
  </w:style>
  <w:style w:type="character" w:customStyle="1" w:styleId="ListParagraphChar">
    <w:name w:val="List Paragraph Char"/>
    <w:link w:val="ListParagraph"/>
    <w:uiPriority w:val="34"/>
    <w:locked/>
    <w:rsid w:val="0069625A"/>
    <w:rPr>
      <w:rFonts w:ascii="Georgia" w:eastAsia="Times New Roman" w:hAnsi="Georgia" w:cs="Times New Roman"/>
      <w:sz w:val="20"/>
      <w:szCs w:val="20"/>
    </w:rPr>
  </w:style>
  <w:style w:type="paragraph" w:styleId="CommentText">
    <w:name w:val="annotation text"/>
    <w:basedOn w:val="Normal"/>
    <w:link w:val="CommentTextChar"/>
    <w:uiPriority w:val="99"/>
    <w:unhideWhenUsed/>
    <w:rsid w:val="0069625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9625A"/>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E67A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ABB"/>
    <w:rPr>
      <w:sz w:val="20"/>
      <w:szCs w:val="20"/>
    </w:rPr>
  </w:style>
  <w:style w:type="character" w:styleId="FootnoteReference">
    <w:name w:val="footnote reference"/>
    <w:basedOn w:val="DefaultParagraphFont"/>
    <w:uiPriority w:val="99"/>
    <w:semiHidden/>
    <w:unhideWhenUsed/>
    <w:rsid w:val="00E67ABB"/>
    <w:rPr>
      <w:vertAlign w:val="superscript"/>
    </w:rPr>
  </w:style>
  <w:style w:type="paragraph" w:styleId="Revision">
    <w:name w:val="Revision"/>
    <w:hidden/>
    <w:uiPriority w:val="99"/>
    <w:semiHidden/>
    <w:rsid w:val="007B1486"/>
    <w:pPr>
      <w:spacing w:after="0" w:line="240" w:lineRule="auto"/>
    </w:pPr>
  </w:style>
  <w:style w:type="character" w:styleId="Hyperlink">
    <w:name w:val="Hyperlink"/>
    <w:basedOn w:val="DefaultParagraphFont"/>
    <w:uiPriority w:val="99"/>
    <w:unhideWhenUsed/>
    <w:rsid w:val="0096632A"/>
    <w:rPr>
      <w:color w:val="0000FF" w:themeColor="hyperlink"/>
      <w:u w:val="single"/>
    </w:rPr>
  </w:style>
  <w:style w:type="character" w:styleId="UnresolvedMention">
    <w:name w:val="Unresolved Mention"/>
    <w:basedOn w:val="DefaultParagraphFont"/>
    <w:uiPriority w:val="99"/>
    <w:unhideWhenUsed/>
    <w:rsid w:val="0096632A"/>
    <w:rPr>
      <w:color w:val="605E5C"/>
      <w:shd w:val="clear" w:color="auto" w:fill="E1DFDD"/>
    </w:rPr>
  </w:style>
  <w:style w:type="table" w:styleId="TableGrid">
    <w:name w:val="Table Grid"/>
    <w:basedOn w:val="TableNormal"/>
    <w:uiPriority w:val="59"/>
    <w:unhideWhenUsed/>
    <w:rsid w:val="00AD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1672"/>
    <w:rPr>
      <w:sz w:val="16"/>
      <w:szCs w:val="16"/>
    </w:rPr>
  </w:style>
  <w:style w:type="paragraph" w:styleId="CommentSubject">
    <w:name w:val="annotation subject"/>
    <w:basedOn w:val="CommentText"/>
    <w:next w:val="CommentText"/>
    <w:link w:val="CommentSubjectChar"/>
    <w:uiPriority w:val="99"/>
    <w:semiHidden/>
    <w:unhideWhenUsed/>
    <w:rsid w:val="004E167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E1672"/>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4E1672"/>
    <w:rPr>
      <w:color w:val="2B579A"/>
      <w:shd w:val="clear" w:color="auto" w:fill="E1DFDD"/>
    </w:rPr>
  </w:style>
  <w:style w:type="paragraph" w:styleId="Header">
    <w:name w:val="header"/>
    <w:basedOn w:val="Normal"/>
    <w:link w:val="HeaderChar"/>
    <w:uiPriority w:val="99"/>
    <w:semiHidden/>
    <w:unhideWhenUsed/>
    <w:rsid w:val="00703D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3DAD"/>
  </w:style>
  <w:style w:type="paragraph" w:styleId="Footer">
    <w:name w:val="footer"/>
    <w:basedOn w:val="Normal"/>
    <w:link w:val="FooterChar"/>
    <w:uiPriority w:val="99"/>
    <w:semiHidden/>
    <w:unhideWhenUsed/>
    <w:rsid w:val="00703D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083984">
      <w:bodyDiv w:val="1"/>
      <w:marLeft w:val="0"/>
      <w:marRight w:val="0"/>
      <w:marTop w:val="0"/>
      <w:marBottom w:val="0"/>
      <w:divBdr>
        <w:top w:val="none" w:sz="0" w:space="0" w:color="auto"/>
        <w:left w:val="none" w:sz="0" w:space="0" w:color="auto"/>
        <w:bottom w:val="none" w:sz="0" w:space="0" w:color="auto"/>
        <w:right w:val="none" w:sz="0" w:space="0" w:color="auto"/>
      </w:divBdr>
    </w:div>
    <w:div w:id="1089040160">
      <w:bodyDiv w:val="1"/>
      <w:marLeft w:val="0"/>
      <w:marRight w:val="0"/>
      <w:marTop w:val="0"/>
      <w:marBottom w:val="0"/>
      <w:divBdr>
        <w:top w:val="none" w:sz="0" w:space="0" w:color="auto"/>
        <w:left w:val="none" w:sz="0" w:space="0" w:color="auto"/>
        <w:bottom w:val="none" w:sz="0" w:space="0" w:color="auto"/>
        <w:right w:val="none" w:sz="0" w:space="0" w:color="auto"/>
      </w:divBdr>
    </w:div>
    <w:div w:id="1103068712">
      <w:bodyDiv w:val="1"/>
      <w:marLeft w:val="0"/>
      <w:marRight w:val="0"/>
      <w:marTop w:val="0"/>
      <w:marBottom w:val="0"/>
      <w:divBdr>
        <w:top w:val="none" w:sz="0" w:space="0" w:color="auto"/>
        <w:left w:val="none" w:sz="0" w:space="0" w:color="auto"/>
        <w:bottom w:val="none" w:sz="0" w:space="0" w:color="auto"/>
        <w:right w:val="none" w:sz="0" w:space="0" w:color="auto"/>
      </w:divBdr>
    </w:div>
    <w:div w:id="1752458962">
      <w:bodyDiv w:val="1"/>
      <w:marLeft w:val="0"/>
      <w:marRight w:val="0"/>
      <w:marTop w:val="0"/>
      <w:marBottom w:val="0"/>
      <w:divBdr>
        <w:top w:val="none" w:sz="0" w:space="0" w:color="auto"/>
        <w:left w:val="none" w:sz="0" w:space="0" w:color="auto"/>
        <w:bottom w:val="none" w:sz="0" w:space="0" w:color="auto"/>
        <w:right w:val="none" w:sz="0" w:space="0" w:color="auto"/>
      </w:divBdr>
    </w:div>
    <w:div w:id="20316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vi.cdc.gov/Documents/FactSheet/SVIFactShee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C4B8C1FD5C9134CB26E0C2FBC6A097A" ma:contentTypeVersion="4" ma:contentTypeDescription="Create a new document." ma:contentTypeScope="" ma:versionID="bd1941aae2a10b0706785e1b9853203b">
  <xsd:schema xmlns:xsd="http://www.w3.org/2001/XMLSchema" xmlns:xs="http://www.w3.org/2001/XMLSchema" xmlns:p="http://schemas.microsoft.com/office/2006/metadata/properties" xmlns:ns2="21f63a5e-6b78-480d-a378-4132d50da5af" xmlns:ns3="88d98d3a-7bfc-4e1a-a060-27e5f8042f12" targetNamespace="http://schemas.microsoft.com/office/2006/metadata/properties" ma:root="true" ma:fieldsID="905f1f0b260ee39c708d9b49b90254b8" ns2:_="" ns3:_="">
    <xsd:import namespace="21f63a5e-6b78-480d-a378-4132d50da5af"/>
    <xsd:import namespace="88d98d3a-7bfc-4e1a-a060-27e5f8042f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63a5e-6b78-480d-a378-4132d50da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98d3a-7bfc-4e1a-a060-27e5f8042f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8d98d3a-7bfc-4e1a-a060-27e5f8042f12">
      <UserInfo>
        <DisplayName>LePage, Robert (EOE)</DisplayName>
        <AccountId>34</AccountId>
        <AccountType/>
      </UserInfo>
      <UserInfo>
        <DisplayName>Chuang, Cliff (DESE)</DisplayName>
        <AccountId>29</AccountId>
        <AccountType/>
      </UserInfo>
      <UserInfo>
        <DisplayName>Stevens-Carter, Wyvonne (DESE)</DisplayName>
        <AccountId>19</AccountId>
        <AccountType/>
      </UserInfo>
      <UserInfo>
        <DisplayName>Conway, Jolanta (DESE)</DisplayName>
        <AccountId>23</AccountId>
        <AccountType/>
      </UserInfo>
    </SharedWithUsers>
  </documentManagement>
</p:properties>
</file>

<file path=customXml/itemProps1.xml><?xml version="1.0" encoding="utf-8"?>
<ds:datastoreItem xmlns:ds="http://schemas.openxmlformats.org/officeDocument/2006/customXml" ds:itemID="{4C35B84B-85E7-4EB9-9231-E3A8E418EA8A}">
  <ds:schemaRefs>
    <ds:schemaRef ds:uri="http://schemas.openxmlformats.org/officeDocument/2006/bibliography"/>
  </ds:schemaRefs>
</ds:datastoreItem>
</file>

<file path=customXml/itemProps2.xml><?xml version="1.0" encoding="utf-8"?>
<ds:datastoreItem xmlns:ds="http://schemas.openxmlformats.org/officeDocument/2006/customXml" ds:itemID="{6C4F5B7B-AAA2-43F9-ABF0-D802B95E9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63a5e-6b78-480d-a378-4132d50da5af"/>
    <ds:schemaRef ds:uri="88d98d3a-7bfc-4e1a-a060-27e5f8042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50305-C3AD-4E45-A7E6-6DD5DF8A3705}">
  <ds:schemaRefs>
    <ds:schemaRef ds:uri="http://schemas.microsoft.com/sharepoint/v3/contenttype/forms"/>
  </ds:schemaRefs>
</ds:datastoreItem>
</file>

<file path=customXml/itemProps4.xml><?xml version="1.0" encoding="utf-8"?>
<ds:datastoreItem xmlns:ds="http://schemas.openxmlformats.org/officeDocument/2006/customXml" ds:itemID="{FF4F322A-784B-431F-8240-64544BF22842}">
  <ds:schemaRefs>
    <ds:schemaRef ds:uri="http://schemas.microsoft.com/office/2006/metadata/properties"/>
    <ds:schemaRef ds:uri="http://schemas.microsoft.com/office/infopath/2007/PartnerControls"/>
    <ds:schemaRef ds:uri="88d98d3a-7bfc-4e1a-a060-27e5f8042f12"/>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FY24 CALC Adult Education and Family Literacy Services FUNDING Table 1</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340 345 359 Adult Education and Family Literacy Services Table 1</dc:title>
  <dc:subject/>
  <dc:creator>DESE</dc:creator>
  <cp:keywords/>
  <cp:lastModifiedBy>Zou, Dong (EOE)</cp:lastModifiedBy>
  <cp:revision>18</cp:revision>
  <cp:lastPrinted>2017-07-14T15:50:00Z</cp:lastPrinted>
  <dcterms:created xsi:type="dcterms:W3CDTF">2022-07-19T17:22:00Z</dcterms:created>
  <dcterms:modified xsi:type="dcterms:W3CDTF">2022-07-21T16:20:00Z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2022</vt:lpwstr>
  </property>
</Properties>
</file>