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D6593" w14:textId="367DB22F" w:rsidR="00E34005" w:rsidRPr="00D06F92" w:rsidRDefault="004B4B08" w:rsidP="63B04D0E">
      <w:pPr>
        <w:rPr>
          <w:rFonts w:asciiTheme="minorHAnsi" w:hAnsiTheme="minorHAnsi" w:cstheme="minorBidi"/>
          <w:sz w:val="22"/>
          <w:szCs w:val="22"/>
        </w:rPr>
      </w:pPr>
      <w:r>
        <w:rPr>
          <w:rFonts w:asciiTheme="minorHAnsi" w:hAnsiTheme="minorHAnsi" w:cstheme="minorBidi"/>
          <w:b/>
          <w:bCs/>
          <w:sz w:val="22"/>
          <w:szCs w:val="22"/>
        </w:rPr>
        <w:t xml:space="preserve">Part IV, </w:t>
      </w:r>
      <w:r w:rsidR="00344059" w:rsidRPr="63B04D0E">
        <w:rPr>
          <w:rFonts w:asciiTheme="minorHAnsi" w:hAnsiTheme="minorHAnsi" w:cstheme="minorBidi"/>
          <w:b/>
          <w:bCs/>
          <w:sz w:val="22"/>
          <w:szCs w:val="22"/>
        </w:rPr>
        <w:t>Demonstrated Effectiveness</w:t>
      </w:r>
      <w:r w:rsidR="00E3146A" w:rsidRPr="63B04D0E">
        <w:rPr>
          <w:rFonts w:asciiTheme="minorHAnsi" w:hAnsiTheme="minorHAnsi" w:cstheme="minorBidi"/>
          <w:b/>
          <w:bCs/>
          <w:sz w:val="22"/>
          <w:szCs w:val="22"/>
        </w:rPr>
        <w:t xml:space="preserve"> Overview</w:t>
      </w:r>
    </w:p>
    <w:p w14:paraId="60AE7B50" w14:textId="77777777" w:rsidR="00E34005" w:rsidRDefault="00E34005" w:rsidP="00D36420">
      <w:pPr>
        <w:rPr>
          <w:rFonts w:asciiTheme="minorHAnsi" w:hAnsiTheme="minorHAnsi" w:cstheme="minorHAnsi"/>
          <w:bCs/>
          <w:sz w:val="22"/>
          <w:szCs w:val="22"/>
        </w:rPr>
      </w:pPr>
    </w:p>
    <w:p w14:paraId="239AA829" w14:textId="42E82BE7" w:rsidR="00A6045D" w:rsidRDefault="009A0E44" w:rsidP="00A6045D">
      <w:pPr>
        <w:rPr>
          <w:rFonts w:asciiTheme="minorHAnsi" w:hAnsiTheme="minorHAnsi" w:cstheme="minorHAnsi"/>
          <w:bCs/>
          <w:sz w:val="22"/>
          <w:szCs w:val="22"/>
        </w:rPr>
      </w:pPr>
      <w:r>
        <w:rPr>
          <w:rFonts w:asciiTheme="minorHAnsi" w:hAnsiTheme="minorHAnsi" w:cstheme="minorHAnsi"/>
          <w:bCs/>
          <w:sz w:val="22"/>
          <w:szCs w:val="22"/>
        </w:rPr>
        <w:t xml:space="preserve">The </w:t>
      </w:r>
      <w:r w:rsidR="007D599D" w:rsidRPr="007D599D">
        <w:rPr>
          <w:rFonts w:asciiTheme="minorHAnsi" w:hAnsiTheme="minorHAnsi" w:cstheme="minorHAnsi"/>
          <w:bCs/>
          <w:sz w:val="22"/>
          <w:szCs w:val="22"/>
        </w:rPr>
        <w:t xml:space="preserve">Electronic Code of Federal Regulations (e-CFR), </w:t>
      </w:r>
      <w:hyperlink r:id="rId8" w:history="1">
        <w:r w:rsidR="007D599D" w:rsidRPr="007D599D">
          <w:rPr>
            <w:rStyle w:val="Hyperlink"/>
            <w:rFonts w:asciiTheme="minorHAnsi" w:hAnsiTheme="minorHAnsi" w:cstheme="minorHAnsi"/>
            <w:bCs/>
            <w:sz w:val="22"/>
            <w:szCs w:val="22"/>
          </w:rPr>
          <w:t>Title 34, Subtitle B, Chapter IV, Part 463</w:t>
        </w:r>
      </w:hyperlink>
      <w:r w:rsidR="007D599D" w:rsidRPr="007D599D">
        <w:rPr>
          <w:rFonts w:asciiTheme="minorHAnsi" w:hAnsiTheme="minorHAnsi" w:cstheme="minorHAnsi"/>
          <w:bCs/>
          <w:sz w:val="22"/>
          <w:szCs w:val="22"/>
        </w:rPr>
        <w:t xml:space="preserve">, </w:t>
      </w:r>
      <w:hyperlink r:id="rId9" w:history="1">
        <w:r w:rsidR="007D599D" w:rsidRPr="007D599D">
          <w:rPr>
            <w:rStyle w:val="Hyperlink"/>
            <w:rFonts w:asciiTheme="minorHAnsi" w:hAnsiTheme="minorHAnsi" w:cstheme="minorHAnsi"/>
            <w:bCs/>
            <w:sz w:val="22"/>
            <w:szCs w:val="22"/>
          </w:rPr>
          <w:t>Subpart C</w:t>
        </w:r>
      </w:hyperlink>
      <w:r w:rsidR="007D599D" w:rsidRPr="007D599D">
        <w:rPr>
          <w:rFonts w:asciiTheme="minorHAnsi" w:hAnsiTheme="minorHAnsi" w:cstheme="minorHAnsi"/>
          <w:bCs/>
          <w:sz w:val="22"/>
          <w:szCs w:val="22"/>
        </w:rPr>
        <w:t xml:space="preserve"> outlines the process for states to award adult education grants.</w:t>
      </w:r>
      <w:r w:rsidR="00E91EA8">
        <w:rPr>
          <w:rFonts w:asciiTheme="minorHAnsi" w:hAnsiTheme="minorHAnsi" w:cstheme="minorHAnsi"/>
          <w:bCs/>
          <w:sz w:val="22"/>
          <w:szCs w:val="22"/>
        </w:rPr>
        <w:t xml:space="preserve"> </w:t>
      </w:r>
    </w:p>
    <w:p w14:paraId="22F49303" w14:textId="77777777" w:rsidR="000A19FA" w:rsidRPr="00243828" w:rsidRDefault="000A19FA" w:rsidP="00243828">
      <w:pPr>
        <w:rPr>
          <w:rFonts w:asciiTheme="minorHAnsi" w:hAnsiTheme="minorHAnsi" w:cstheme="minorHAnsi"/>
          <w:bCs/>
          <w:sz w:val="22"/>
          <w:szCs w:val="22"/>
        </w:rPr>
      </w:pPr>
    </w:p>
    <w:p w14:paraId="7D8B177E" w14:textId="1141F106" w:rsidR="00BD66C4" w:rsidRDefault="00243828" w:rsidP="00215BCC">
      <w:pPr>
        <w:tabs>
          <w:tab w:val="num" w:pos="720"/>
          <w:tab w:val="num" w:pos="1440"/>
        </w:tabs>
        <w:rPr>
          <w:rFonts w:asciiTheme="minorHAnsi" w:hAnsiTheme="minorHAnsi" w:cstheme="minorHAnsi"/>
          <w:bCs/>
          <w:sz w:val="22"/>
          <w:szCs w:val="22"/>
        </w:rPr>
      </w:pPr>
      <w:r w:rsidRPr="00243828">
        <w:rPr>
          <w:rFonts w:asciiTheme="minorHAnsi" w:hAnsiTheme="minorHAnsi" w:cstheme="minorHAnsi"/>
          <w:bCs/>
          <w:sz w:val="22"/>
          <w:szCs w:val="22"/>
        </w:rPr>
        <w:t>Demonstrated Effectiveness</w:t>
      </w:r>
      <w:r w:rsidR="00FC1A17">
        <w:rPr>
          <w:rFonts w:asciiTheme="minorHAnsi" w:hAnsiTheme="minorHAnsi" w:cstheme="minorHAnsi"/>
          <w:bCs/>
          <w:sz w:val="22"/>
          <w:szCs w:val="22"/>
        </w:rPr>
        <w:t xml:space="preserve"> (</w:t>
      </w:r>
      <w:hyperlink r:id="rId10" w:history="1">
        <w:r w:rsidR="007D599D" w:rsidRPr="007D599D">
          <w:rPr>
            <w:rStyle w:val="Hyperlink"/>
            <w:rFonts w:asciiTheme="minorHAnsi" w:hAnsiTheme="minorHAnsi" w:cstheme="minorHAnsi"/>
            <w:bCs/>
            <w:sz w:val="22"/>
            <w:szCs w:val="22"/>
          </w:rPr>
          <w:t>§463.24</w:t>
        </w:r>
      </w:hyperlink>
      <w:r w:rsidR="00FC1A17">
        <w:rPr>
          <w:rFonts w:asciiTheme="minorHAnsi" w:hAnsiTheme="minorHAnsi" w:cstheme="minorHAnsi"/>
          <w:bCs/>
          <w:sz w:val="22"/>
          <w:szCs w:val="22"/>
        </w:rPr>
        <w:t>)</w:t>
      </w:r>
      <w:r w:rsidR="00CE0FFF">
        <w:rPr>
          <w:rFonts w:asciiTheme="minorHAnsi" w:hAnsiTheme="minorHAnsi" w:cstheme="minorHAnsi"/>
          <w:bCs/>
          <w:sz w:val="22"/>
          <w:szCs w:val="22"/>
        </w:rPr>
        <w:t xml:space="preserve"> </w:t>
      </w:r>
      <w:r w:rsidRPr="00243828">
        <w:rPr>
          <w:rFonts w:asciiTheme="minorHAnsi" w:hAnsiTheme="minorHAnsi" w:cstheme="minorHAnsi"/>
          <w:bCs/>
          <w:sz w:val="22"/>
          <w:szCs w:val="22"/>
        </w:rPr>
        <w:t xml:space="preserve">is a federally mandated requirement for </w:t>
      </w:r>
      <w:r w:rsidR="00D93F97">
        <w:rPr>
          <w:rFonts w:asciiTheme="minorHAnsi" w:hAnsiTheme="minorHAnsi" w:cstheme="minorHAnsi"/>
          <w:bCs/>
          <w:sz w:val="22"/>
          <w:szCs w:val="22"/>
        </w:rPr>
        <w:t>eligible agencies seeking</w:t>
      </w:r>
      <w:r w:rsidR="00EE77CC">
        <w:rPr>
          <w:rFonts w:asciiTheme="minorHAnsi" w:hAnsiTheme="minorHAnsi" w:cstheme="minorHAnsi"/>
          <w:bCs/>
          <w:sz w:val="22"/>
          <w:szCs w:val="22"/>
        </w:rPr>
        <w:t xml:space="preserve"> an</w:t>
      </w:r>
      <w:r w:rsidR="00D93F97">
        <w:rPr>
          <w:rFonts w:asciiTheme="minorHAnsi" w:hAnsiTheme="minorHAnsi" w:cstheme="minorHAnsi"/>
          <w:bCs/>
          <w:sz w:val="22"/>
          <w:szCs w:val="22"/>
        </w:rPr>
        <w:t xml:space="preserve"> </w:t>
      </w:r>
      <w:r w:rsidR="00D93F97" w:rsidRPr="005E789B">
        <w:rPr>
          <w:rFonts w:asciiTheme="minorHAnsi" w:hAnsiTheme="minorHAnsi" w:cstheme="minorHAnsi"/>
          <w:bCs/>
          <w:sz w:val="22"/>
          <w:szCs w:val="22"/>
        </w:rPr>
        <w:t>Adult Education and Family Literacy Act (AEFLA)</w:t>
      </w:r>
      <w:r w:rsidR="00EE77CC">
        <w:rPr>
          <w:rFonts w:asciiTheme="minorHAnsi" w:hAnsiTheme="minorHAnsi" w:cstheme="minorHAnsi"/>
          <w:bCs/>
          <w:sz w:val="22"/>
          <w:szCs w:val="22"/>
        </w:rPr>
        <w:t xml:space="preserve"> grant</w:t>
      </w:r>
      <w:r w:rsidR="000A19FA">
        <w:rPr>
          <w:rFonts w:asciiTheme="minorHAnsi" w:hAnsiTheme="minorHAnsi" w:cstheme="minorHAnsi"/>
          <w:bCs/>
          <w:sz w:val="22"/>
          <w:szCs w:val="22"/>
        </w:rPr>
        <w:t xml:space="preserve">. </w:t>
      </w:r>
      <w:r w:rsidR="00EE77CC" w:rsidRPr="005E789B">
        <w:rPr>
          <w:rFonts w:asciiTheme="minorHAnsi" w:hAnsiTheme="minorHAnsi" w:cstheme="minorHAnsi"/>
          <w:bCs/>
          <w:sz w:val="22"/>
          <w:szCs w:val="22"/>
        </w:rPr>
        <w:t xml:space="preserve">AEFLA is </w:t>
      </w:r>
      <w:r w:rsidR="00EE77CC">
        <w:rPr>
          <w:rFonts w:asciiTheme="minorHAnsi" w:hAnsiTheme="minorHAnsi" w:cstheme="minorHAnsi"/>
          <w:bCs/>
          <w:sz w:val="22"/>
          <w:szCs w:val="22"/>
        </w:rPr>
        <w:t>T</w:t>
      </w:r>
      <w:r w:rsidR="00EE77CC" w:rsidRPr="005E789B">
        <w:rPr>
          <w:rFonts w:asciiTheme="minorHAnsi" w:hAnsiTheme="minorHAnsi" w:cstheme="minorHAnsi"/>
          <w:bCs/>
          <w:sz w:val="22"/>
          <w:szCs w:val="22"/>
        </w:rPr>
        <w:t>itle II of the Workforce Innovation and Opportunity Act (WIOA</w:t>
      </w:r>
      <w:r w:rsidR="00E81F70" w:rsidRPr="005E789B">
        <w:rPr>
          <w:rFonts w:asciiTheme="minorHAnsi" w:hAnsiTheme="minorHAnsi" w:cstheme="minorHAnsi"/>
          <w:bCs/>
          <w:sz w:val="22"/>
          <w:szCs w:val="22"/>
        </w:rPr>
        <w:t>).</w:t>
      </w:r>
      <w:r w:rsidR="00E81F70">
        <w:rPr>
          <w:rFonts w:asciiTheme="minorHAnsi" w:hAnsiTheme="minorHAnsi" w:cstheme="minorHAnsi"/>
          <w:bCs/>
          <w:sz w:val="22"/>
          <w:szCs w:val="22"/>
        </w:rPr>
        <w:t xml:space="preserve"> It</w:t>
      </w:r>
      <w:r w:rsidR="000A19FA">
        <w:rPr>
          <w:rFonts w:asciiTheme="minorHAnsi" w:hAnsiTheme="minorHAnsi" w:cstheme="minorHAnsi"/>
          <w:bCs/>
          <w:sz w:val="22"/>
          <w:szCs w:val="22"/>
        </w:rPr>
        <w:t xml:space="preserve"> </w:t>
      </w:r>
      <w:r w:rsidRPr="00243828">
        <w:rPr>
          <w:rFonts w:asciiTheme="minorHAnsi" w:hAnsiTheme="minorHAnsi" w:cstheme="minorHAnsi"/>
          <w:bCs/>
          <w:sz w:val="22"/>
          <w:szCs w:val="22"/>
        </w:rPr>
        <w:t xml:space="preserve">is a screening process to determine whether an application will be reviewed, scored, and considered for funding. </w:t>
      </w:r>
      <w:r w:rsidR="00BD66C4">
        <w:rPr>
          <w:rFonts w:asciiTheme="minorHAnsi" w:hAnsiTheme="minorHAnsi" w:cstheme="minorHAnsi"/>
          <w:bCs/>
          <w:sz w:val="22"/>
          <w:szCs w:val="22"/>
        </w:rPr>
        <w:t>Because adult education is a required component of MassSTEP, the Massachusetts Department of Elementary and Secondary Education (DESE)</w:t>
      </w:r>
      <w:r w:rsidR="000C361A">
        <w:rPr>
          <w:rFonts w:asciiTheme="minorHAnsi" w:hAnsiTheme="minorHAnsi" w:cstheme="minorHAnsi"/>
          <w:bCs/>
          <w:sz w:val="22"/>
          <w:szCs w:val="22"/>
        </w:rPr>
        <w:t xml:space="preserve"> </w:t>
      </w:r>
      <w:r w:rsidR="00260E40">
        <w:rPr>
          <w:rFonts w:asciiTheme="minorHAnsi" w:hAnsiTheme="minorHAnsi" w:cstheme="minorHAnsi"/>
          <w:bCs/>
          <w:sz w:val="22"/>
          <w:szCs w:val="22"/>
        </w:rPr>
        <w:t>must determine the eligibility of the</w:t>
      </w:r>
      <w:r w:rsidR="00C55B15">
        <w:rPr>
          <w:rFonts w:asciiTheme="minorHAnsi" w:hAnsiTheme="minorHAnsi" w:cstheme="minorHAnsi"/>
          <w:bCs/>
          <w:sz w:val="22"/>
          <w:szCs w:val="22"/>
        </w:rPr>
        <w:t xml:space="preserve"> proposed</w:t>
      </w:r>
      <w:r w:rsidR="00260E40">
        <w:rPr>
          <w:rFonts w:asciiTheme="minorHAnsi" w:hAnsiTheme="minorHAnsi" w:cstheme="minorHAnsi"/>
          <w:bCs/>
          <w:sz w:val="22"/>
          <w:szCs w:val="22"/>
        </w:rPr>
        <w:t xml:space="preserve"> MassSTEP </w:t>
      </w:r>
      <w:r w:rsidR="00C55B15">
        <w:rPr>
          <w:rFonts w:asciiTheme="minorHAnsi" w:hAnsiTheme="minorHAnsi" w:cstheme="minorHAnsi"/>
          <w:bCs/>
          <w:sz w:val="22"/>
          <w:szCs w:val="22"/>
        </w:rPr>
        <w:t>adult education provider.</w:t>
      </w:r>
      <w:r w:rsidR="00C70727">
        <w:rPr>
          <w:rFonts w:asciiTheme="minorHAnsi" w:hAnsiTheme="minorHAnsi" w:cstheme="minorHAnsi"/>
          <w:bCs/>
          <w:sz w:val="22"/>
          <w:szCs w:val="22"/>
        </w:rPr>
        <w:t xml:space="preserve"> </w:t>
      </w:r>
    </w:p>
    <w:p w14:paraId="1D4BA9E9" w14:textId="77777777" w:rsidR="00BD66C4" w:rsidRDefault="00BD66C4" w:rsidP="00215BCC">
      <w:pPr>
        <w:tabs>
          <w:tab w:val="num" w:pos="720"/>
          <w:tab w:val="num" w:pos="1440"/>
        </w:tabs>
        <w:rPr>
          <w:rFonts w:asciiTheme="minorHAnsi" w:hAnsiTheme="minorHAnsi" w:cstheme="minorHAnsi"/>
          <w:bCs/>
          <w:sz w:val="22"/>
          <w:szCs w:val="22"/>
        </w:rPr>
      </w:pPr>
    </w:p>
    <w:p w14:paraId="1BB8A8C4" w14:textId="3750E284" w:rsidR="00215BCC" w:rsidRDefault="00B47C4A" w:rsidP="00215BCC">
      <w:pPr>
        <w:tabs>
          <w:tab w:val="num" w:pos="720"/>
          <w:tab w:val="num" w:pos="1440"/>
        </w:tabs>
        <w:rPr>
          <w:rFonts w:asciiTheme="minorHAnsi" w:hAnsiTheme="minorHAnsi" w:cstheme="minorHAnsi"/>
          <w:bCs/>
          <w:sz w:val="22"/>
          <w:szCs w:val="22"/>
        </w:rPr>
      </w:pPr>
      <w:r>
        <w:rPr>
          <w:rFonts w:asciiTheme="minorHAnsi" w:hAnsiTheme="minorHAnsi" w:cstheme="minorHAnsi"/>
          <w:bCs/>
          <w:sz w:val="22"/>
          <w:szCs w:val="22"/>
        </w:rPr>
        <w:t>To</w:t>
      </w:r>
      <w:r w:rsidR="00E301E2">
        <w:rPr>
          <w:rFonts w:asciiTheme="minorHAnsi" w:hAnsiTheme="minorHAnsi" w:cstheme="minorHAnsi"/>
          <w:bCs/>
          <w:sz w:val="22"/>
          <w:szCs w:val="22"/>
        </w:rPr>
        <w:t xml:space="preserve"> be eligible to apply</w:t>
      </w:r>
      <w:r w:rsidR="00627285">
        <w:rPr>
          <w:rFonts w:asciiTheme="minorHAnsi" w:hAnsiTheme="minorHAnsi" w:cstheme="minorHAnsi"/>
          <w:bCs/>
          <w:sz w:val="22"/>
          <w:szCs w:val="22"/>
        </w:rPr>
        <w:t xml:space="preserve"> for a MassSTEP </w:t>
      </w:r>
      <w:r w:rsidR="00542E4F">
        <w:rPr>
          <w:rFonts w:asciiTheme="minorHAnsi" w:hAnsiTheme="minorHAnsi" w:cstheme="minorHAnsi"/>
          <w:bCs/>
          <w:sz w:val="22"/>
          <w:szCs w:val="22"/>
        </w:rPr>
        <w:t>i</w:t>
      </w:r>
      <w:r w:rsidR="00627285">
        <w:rPr>
          <w:rFonts w:asciiTheme="minorHAnsi" w:hAnsiTheme="minorHAnsi" w:cstheme="minorHAnsi"/>
          <w:bCs/>
          <w:sz w:val="22"/>
          <w:szCs w:val="22"/>
        </w:rPr>
        <w:t xml:space="preserve">mplementation </w:t>
      </w:r>
      <w:r w:rsidR="006E7723">
        <w:rPr>
          <w:rFonts w:asciiTheme="minorHAnsi" w:hAnsiTheme="minorHAnsi" w:cstheme="minorHAnsi"/>
          <w:bCs/>
          <w:sz w:val="22"/>
          <w:szCs w:val="22"/>
        </w:rPr>
        <w:t>grant</w:t>
      </w:r>
      <w:r w:rsidR="00E301E2">
        <w:rPr>
          <w:rFonts w:asciiTheme="minorHAnsi" w:hAnsiTheme="minorHAnsi" w:cstheme="minorHAnsi"/>
          <w:bCs/>
          <w:sz w:val="22"/>
          <w:szCs w:val="22"/>
        </w:rPr>
        <w:t>, the applicant mu</w:t>
      </w:r>
      <w:r w:rsidR="00745395">
        <w:rPr>
          <w:rFonts w:asciiTheme="minorHAnsi" w:hAnsiTheme="minorHAnsi" w:cstheme="minorHAnsi"/>
          <w:bCs/>
          <w:sz w:val="22"/>
          <w:szCs w:val="22"/>
        </w:rPr>
        <w:t>st complete and submit the Demonstrated Effectiveness sheet</w:t>
      </w:r>
      <w:r w:rsidR="000E6A7C">
        <w:rPr>
          <w:rFonts w:asciiTheme="minorHAnsi" w:hAnsiTheme="minorHAnsi" w:cstheme="minorHAnsi"/>
          <w:bCs/>
          <w:sz w:val="22"/>
          <w:szCs w:val="22"/>
        </w:rPr>
        <w:t xml:space="preserve"> and provide evidence of </w:t>
      </w:r>
      <w:r w:rsidR="00241993">
        <w:rPr>
          <w:rFonts w:asciiTheme="minorHAnsi" w:hAnsiTheme="minorHAnsi" w:cstheme="minorHAnsi"/>
          <w:bCs/>
          <w:sz w:val="22"/>
          <w:szCs w:val="22"/>
        </w:rPr>
        <w:t xml:space="preserve">at least one year where the adult education provider student outcomes are </w:t>
      </w:r>
      <w:r w:rsidR="006F01A8">
        <w:rPr>
          <w:rFonts w:asciiTheme="minorHAnsi" w:hAnsiTheme="minorHAnsi" w:cstheme="minorHAnsi"/>
          <w:bCs/>
          <w:sz w:val="22"/>
          <w:szCs w:val="22"/>
        </w:rPr>
        <w:t xml:space="preserve">at least 10% of the state target. Federal regulations require that applicants complete the </w:t>
      </w:r>
      <w:r w:rsidR="00A435AA">
        <w:rPr>
          <w:rFonts w:asciiTheme="minorHAnsi" w:hAnsiTheme="minorHAnsi" w:cstheme="minorHAnsi"/>
          <w:bCs/>
          <w:sz w:val="22"/>
          <w:szCs w:val="22"/>
        </w:rPr>
        <w:t>Post-Exit Follow-up Outcomes Achievement section</w:t>
      </w:r>
      <w:r w:rsidR="003314A9">
        <w:rPr>
          <w:rFonts w:asciiTheme="minorHAnsi" w:hAnsiTheme="minorHAnsi" w:cstheme="minorHAnsi"/>
          <w:bCs/>
          <w:sz w:val="22"/>
          <w:szCs w:val="22"/>
        </w:rPr>
        <w:t>, however, DESE will not consider that section when determining eligibility.</w:t>
      </w:r>
      <w:r w:rsidR="00D311DC">
        <w:rPr>
          <w:rFonts w:asciiTheme="minorHAnsi" w:hAnsiTheme="minorHAnsi" w:cstheme="minorHAnsi"/>
          <w:bCs/>
          <w:sz w:val="22"/>
          <w:szCs w:val="22"/>
        </w:rPr>
        <w:t xml:space="preserve"> </w:t>
      </w:r>
      <w:r w:rsidR="00243828" w:rsidRPr="00243828">
        <w:rPr>
          <w:rFonts w:asciiTheme="minorHAnsi" w:hAnsiTheme="minorHAnsi" w:cstheme="minorHAnsi"/>
          <w:bCs/>
          <w:sz w:val="22"/>
          <w:szCs w:val="22"/>
        </w:rPr>
        <w:t>Applications submitted without a completed Demonstrated Effectiveness worksheet will not be evaluated.</w:t>
      </w:r>
      <w:r w:rsidR="00215BCC">
        <w:rPr>
          <w:rFonts w:asciiTheme="minorHAnsi" w:hAnsiTheme="minorHAnsi" w:cstheme="minorHAnsi"/>
          <w:bCs/>
          <w:sz w:val="22"/>
          <w:szCs w:val="22"/>
        </w:rPr>
        <w:t xml:space="preserve"> D</w:t>
      </w:r>
      <w:r w:rsidR="00243828" w:rsidRPr="00243828">
        <w:rPr>
          <w:rFonts w:asciiTheme="minorHAnsi" w:hAnsiTheme="minorHAnsi" w:cstheme="minorHAnsi"/>
          <w:bCs/>
          <w:sz w:val="22"/>
          <w:szCs w:val="22"/>
        </w:rPr>
        <w:t>emonstrated Effectiveness is not score</w:t>
      </w:r>
      <w:r w:rsidR="00F42068">
        <w:rPr>
          <w:rFonts w:asciiTheme="minorHAnsi" w:hAnsiTheme="minorHAnsi" w:cstheme="minorHAnsi"/>
          <w:bCs/>
          <w:sz w:val="22"/>
          <w:szCs w:val="22"/>
        </w:rPr>
        <w:t>d</w:t>
      </w:r>
      <w:r w:rsidR="007121C1">
        <w:rPr>
          <w:rFonts w:asciiTheme="minorHAnsi" w:hAnsiTheme="minorHAnsi" w:cstheme="minorHAnsi"/>
          <w:bCs/>
          <w:sz w:val="22"/>
          <w:szCs w:val="22"/>
        </w:rPr>
        <w:t>.</w:t>
      </w:r>
      <w:r w:rsidR="000D64E3">
        <w:rPr>
          <w:rFonts w:asciiTheme="minorHAnsi" w:hAnsiTheme="minorHAnsi" w:cstheme="minorHAnsi"/>
          <w:bCs/>
          <w:sz w:val="22"/>
          <w:szCs w:val="22"/>
        </w:rPr>
        <w:t xml:space="preserve"> Demonstrated Effectiveness is not required for </w:t>
      </w:r>
      <w:r w:rsidR="004B1FDB">
        <w:rPr>
          <w:rFonts w:asciiTheme="minorHAnsi" w:hAnsiTheme="minorHAnsi" w:cstheme="minorHAnsi"/>
          <w:bCs/>
          <w:sz w:val="22"/>
          <w:szCs w:val="22"/>
        </w:rPr>
        <w:t>a planning grant application.</w:t>
      </w:r>
    </w:p>
    <w:p w14:paraId="162F3668" w14:textId="77777777" w:rsidR="00215BCC" w:rsidRDefault="00215BCC" w:rsidP="00215BCC">
      <w:pPr>
        <w:tabs>
          <w:tab w:val="num" w:pos="720"/>
          <w:tab w:val="num" w:pos="1440"/>
        </w:tabs>
        <w:rPr>
          <w:rFonts w:asciiTheme="minorHAnsi" w:hAnsiTheme="minorHAnsi" w:cstheme="minorHAnsi"/>
          <w:bCs/>
          <w:sz w:val="22"/>
          <w:szCs w:val="22"/>
        </w:rPr>
      </w:pPr>
    </w:p>
    <w:p w14:paraId="7BA69C05" w14:textId="11CE5C84" w:rsidR="00E54EA0" w:rsidRPr="00BD4155" w:rsidRDefault="00E54EA0" w:rsidP="00E54EA0">
      <w:pPr>
        <w:rPr>
          <w:rFonts w:cstheme="minorHAnsi"/>
          <w:bCs/>
        </w:rPr>
      </w:pPr>
      <w:r w:rsidRPr="00621BAC">
        <w:rPr>
          <w:rFonts w:asciiTheme="minorHAnsi" w:hAnsiTheme="minorHAnsi" w:cstheme="minorHAnsi"/>
          <w:bCs/>
          <w:sz w:val="22"/>
          <w:szCs w:val="22"/>
        </w:rPr>
        <w:t xml:space="preserve">Eligible agencies can only apply to propose adult education services if the demonstrated effectiveness performance data in that service area (e.g., an applicant with demonstrated effectiveness in only ABE cannot propose </w:t>
      </w:r>
      <w:r w:rsidR="004D0DC8">
        <w:rPr>
          <w:rFonts w:asciiTheme="minorHAnsi" w:hAnsiTheme="minorHAnsi" w:cstheme="minorHAnsi"/>
          <w:bCs/>
          <w:sz w:val="22"/>
          <w:szCs w:val="22"/>
        </w:rPr>
        <w:t xml:space="preserve">a MassSTEP </w:t>
      </w:r>
      <w:r w:rsidRPr="00621BAC">
        <w:rPr>
          <w:rFonts w:asciiTheme="minorHAnsi" w:hAnsiTheme="minorHAnsi" w:cstheme="minorHAnsi"/>
          <w:bCs/>
          <w:sz w:val="22"/>
          <w:szCs w:val="22"/>
        </w:rPr>
        <w:t xml:space="preserve">ESOL </w:t>
      </w:r>
      <w:r w:rsidR="004D0DC8">
        <w:rPr>
          <w:rFonts w:asciiTheme="minorHAnsi" w:hAnsiTheme="minorHAnsi" w:cstheme="minorHAnsi"/>
          <w:bCs/>
          <w:sz w:val="22"/>
          <w:szCs w:val="22"/>
        </w:rPr>
        <w:t>program</w:t>
      </w:r>
      <w:r w:rsidRPr="00621BAC">
        <w:rPr>
          <w:rFonts w:asciiTheme="minorHAnsi" w:hAnsiTheme="minorHAnsi" w:cstheme="minorHAnsi"/>
          <w:bCs/>
          <w:sz w:val="22"/>
          <w:szCs w:val="22"/>
        </w:rPr>
        <w:t>).</w:t>
      </w:r>
    </w:p>
    <w:p w14:paraId="41BC5F48" w14:textId="77777777" w:rsidR="00313B01" w:rsidRDefault="00313B01" w:rsidP="00313B01">
      <w:pPr>
        <w:rPr>
          <w:rFonts w:asciiTheme="minorHAnsi" w:hAnsiTheme="minorHAnsi" w:cstheme="minorHAnsi"/>
          <w:bCs/>
          <w:sz w:val="22"/>
          <w:szCs w:val="22"/>
        </w:rPr>
      </w:pPr>
    </w:p>
    <w:p w14:paraId="26C4C206" w14:textId="722E6326" w:rsidR="001B6FED" w:rsidRDefault="00051570" w:rsidP="001B6FED">
      <w:pPr>
        <w:pStyle w:val="NoSpacing"/>
        <w:rPr>
          <w:rFonts w:asciiTheme="minorHAnsi" w:hAnsiTheme="minorHAnsi" w:cstheme="minorHAnsi"/>
          <w:bCs/>
          <w:sz w:val="22"/>
          <w:szCs w:val="22"/>
        </w:rPr>
      </w:pPr>
      <w:r w:rsidRPr="001B6FED">
        <w:rPr>
          <w:rFonts w:asciiTheme="minorHAnsi" w:hAnsiTheme="minorHAnsi" w:cstheme="minorHAnsi"/>
          <w:bCs/>
          <w:sz w:val="22"/>
          <w:szCs w:val="22"/>
        </w:rPr>
        <w:t>Eligible agencies that</w:t>
      </w:r>
      <w:r w:rsidR="00391473" w:rsidRPr="001B6FED">
        <w:rPr>
          <w:rFonts w:asciiTheme="minorHAnsi" w:hAnsiTheme="minorHAnsi" w:cstheme="minorHAnsi"/>
          <w:bCs/>
          <w:sz w:val="22"/>
          <w:szCs w:val="22"/>
        </w:rPr>
        <w:t xml:space="preserve"> </w:t>
      </w:r>
      <w:r w:rsidR="00C76974" w:rsidRPr="001B6FED">
        <w:rPr>
          <w:rFonts w:asciiTheme="minorHAnsi" w:hAnsiTheme="minorHAnsi" w:cstheme="minorHAnsi"/>
          <w:bCs/>
          <w:sz w:val="22"/>
          <w:szCs w:val="22"/>
        </w:rPr>
        <w:t xml:space="preserve">responded to the </w:t>
      </w:r>
      <w:r w:rsidR="001B6FED">
        <w:rPr>
          <w:rFonts w:asciiTheme="minorHAnsi" w:hAnsiTheme="minorHAnsi" w:cstheme="minorHAnsi"/>
          <w:bCs/>
          <w:sz w:val="22"/>
          <w:szCs w:val="22"/>
        </w:rPr>
        <w:t xml:space="preserve">recent </w:t>
      </w:r>
      <w:r w:rsidR="001B6FED" w:rsidRPr="00821245">
        <w:rPr>
          <w:rFonts w:asciiTheme="minorHAnsi" w:hAnsiTheme="minorHAnsi" w:cstheme="minorHAnsi"/>
          <w:bCs/>
          <w:i/>
          <w:iCs/>
          <w:sz w:val="22"/>
          <w:szCs w:val="22"/>
        </w:rPr>
        <w:t>FY2024–FY2028 Adult Education and Family Literacy Services</w:t>
      </w:r>
      <w:r w:rsidR="001B6FED">
        <w:rPr>
          <w:rFonts w:asciiTheme="minorHAnsi" w:hAnsiTheme="minorHAnsi" w:cstheme="minorHAnsi"/>
          <w:bCs/>
          <w:sz w:val="22"/>
          <w:szCs w:val="22"/>
        </w:rPr>
        <w:t xml:space="preserve"> </w:t>
      </w:r>
      <w:r w:rsidR="00821245">
        <w:rPr>
          <w:rFonts w:asciiTheme="minorHAnsi" w:hAnsiTheme="minorHAnsi" w:cstheme="minorHAnsi"/>
          <w:bCs/>
          <w:sz w:val="22"/>
          <w:szCs w:val="22"/>
        </w:rPr>
        <w:t xml:space="preserve">RFP </w:t>
      </w:r>
      <w:r w:rsidR="001B6FED">
        <w:rPr>
          <w:rFonts w:asciiTheme="minorHAnsi" w:hAnsiTheme="minorHAnsi" w:cstheme="minorHAnsi"/>
          <w:bCs/>
          <w:sz w:val="22"/>
          <w:szCs w:val="22"/>
        </w:rPr>
        <w:t xml:space="preserve">should submit the same </w:t>
      </w:r>
      <w:r w:rsidR="00821245">
        <w:rPr>
          <w:rFonts w:asciiTheme="minorHAnsi" w:hAnsiTheme="minorHAnsi" w:cstheme="minorHAnsi"/>
          <w:bCs/>
          <w:sz w:val="22"/>
          <w:szCs w:val="22"/>
        </w:rPr>
        <w:t xml:space="preserve">Adult Education Data </w:t>
      </w:r>
      <w:r w:rsidR="001B6FED">
        <w:rPr>
          <w:rFonts w:asciiTheme="minorHAnsi" w:hAnsiTheme="minorHAnsi" w:cstheme="minorHAnsi"/>
          <w:bCs/>
          <w:sz w:val="22"/>
          <w:szCs w:val="22"/>
        </w:rPr>
        <w:t>workbook</w:t>
      </w:r>
      <w:r w:rsidR="00474B8A">
        <w:rPr>
          <w:rFonts w:asciiTheme="minorHAnsi" w:hAnsiTheme="minorHAnsi" w:cstheme="minorHAnsi"/>
          <w:bCs/>
          <w:sz w:val="22"/>
          <w:szCs w:val="22"/>
        </w:rPr>
        <w:t xml:space="preserve"> to demonstrate effectiveness for eligibility to a</w:t>
      </w:r>
      <w:r w:rsidR="002A37A8">
        <w:rPr>
          <w:rFonts w:asciiTheme="minorHAnsi" w:hAnsiTheme="minorHAnsi" w:cstheme="minorHAnsi"/>
          <w:bCs/>
          <w:sz w:val="22"/>
          <w:szCs w:val="22"/>
        </w:rPr>
        <w:t>pply</w:t>
      </w:r>
      <w:r w:rsidR="00821245">
        <w:rPr>
          <w:rFonts w:asciiTheme="minorHAnsi" w:hAnsiTheme="minorHAnsi" w:cstheme="minorHAnsi"/>
          <w:bCs/>
          <w:sz w:val="22"/>
          <w:szCs w:val="22"/>
        </w:rPr>
        <w:t>. DESE will only consider the Demonstrated Effectiveness sheet</w:t>
      </w:r>
      <w:r w:rsidR="007D1FA0">
        <w:rPr>
          <w:rFonts w:asciiTheme="minorHAnsi" w:hAnsiTheme="minorHAnsi" w:cstheme="minorHAnsi"/>
          <w:bCs/>
          <w:sz w:val="22"/>
          <w:szCs w:val="22"/>
        </w:rPr>
        <w:t xml:space="preserve">. </w:t>
      </w:r>
    </w:p>
    <w:p w14:paraId="7545D768" w14:textId="77777777" w:rsidR="007D2B28" w:rsidRPr="001B6FED" w:rsidRDefault="007D2B28" w:rsidP="001B6FED">
      <w:pPr>
        <w:pStyle w:val="NoSpacing"/>
        <w:rPr>
          <w:rFonts w:asciiTheme="minorHAnsi" w:hAnsiTheme="minorHAnsi" w:cstheme="minorHAnsi"/>
          <w:bCs/>
          <w:sz w:val="22"/>
          <w:szCs w:val="22"/>
        </w:rPr>
      </w:pPr>
    </w:p>
    <w:p w14:paraId="3B3E0AE9" w14:textId="0BC34BB2" w:rsidR="00E54EA0" w:rsidRPr="00621BAC" w:rsidRDefault="00E54EA0" w:rsidP="007D2B28">
      <w:pPr>
        <w:pStyle w:val="Header"/>
        <w:rPr>
          <w:rFonts w:asciiTheme="minorHAnsi" w:hAnsiTheme="minorHAnsi" w:cstheme="minorHAnsi"/>
          <w:bCs/>
          <w:sz w:val="22"/>
          <w:szCs w:val="22"/>
        </w:rPr>
      </w:pPr>
      <w:r w:rsidRPr="00621BAC">
        <w:rPr>
          <w:rFonts w:asciiTheme="minorHAnsi" w:hAnsiTheme="minorHAnsi" w:cstheme="minorHAnsi"/>
          <w:bCs/>
          <w:sz w:val="22"/>
          <w:szCs w:val="22"/>
        </w:rPr>
        <w:t xml:space="preserve">Applicants that do not have current DESE adult education grants will enter that data in </w:t>
      </w:r>
      <w:r w:rsidR="00B90694" w:rsidRPr="00C53534">
        <w:rPr>
          <w:rFonts w:asciiTheme="minorHAnsi" w:hAnsiTheme="minorHAnsi" w:cstheme="minorHAnsi"/>
          <w:bCs/>
          <w:sz w:val="22"/>
          <w:szCs w:val="22"/>
        </w:rPr>
        <w:t>Part IV, Demonstrated Effectiveness</w:t>
      </w:r>
      <w:r w:rsidR="00203BD0">
        <w:rPr>
          <w:rFonts w:asciiTheme="minorHAnsi" w:hAnsiTheme="minorHAnsi" w:cstheme="minorHAnsi"/>
          <w:bCs/>
          <w:sz w:val="22"/>
          <w:szCs w:val="22"/>
        </w:rPr>
        <w:t xml:space="preserve"> (new applicants)</w:t>
      </w:r>
      <w:r w:rsidRPr="00621BAC">
        <w:rPr>
          <w:rFonts w:asciiTheme="minorHAnsi" w:hAnsiTheme="minorHAnsi" w:cstheme="minorHAnsi"/>
          <w:bCs/>
          <w:sz w:val="22"/>
          <w:szCs w:val="22"/>
        </w:rPr>
        <w:t>.</w:t>
      </w:r>
    </w:p>
    <w:p w14:paraId="56354D62" w14:textId="77777777" w:rsidR="00E54EA0" w:rsidRDefault="00E54EA0" w:rsidP="00E54EA0">
      <w:pPr>
        <w:rPr>
          <w:rFonts w:asciiTheme="minorHAnsi" w:hAnsiTheme="minorHAnsi" w:cstheme="minorHAnsi"/>
          <w:bCs/>
          <w:sz w:val="22"/>
          <w:szCs w:val="22"/>
        </w:rPr>
      </w:pPr>
    </w:p>
    <w:p w14:paraId="34A02819" w14:textId="5350B426" w:rsidR="00243828" w:rsidRDefault="00E54EA0" w:rsidP="63B04D0E">
      <w:pPr>
        <w:tabs>
          <w:tab w:val="num" w:pos="720"/>
          <w:tab w:val="num" w:pos="1440"/>
        </w:tabs>
        <w:rPr>
          <w:rFonts w:asciiTheme="minorHAnsi" w:hAnsiTheme="minorHAnsi" w:cstheme="minorBidi"/>
          <w:sz w:val="22"/>
          <w:szCs w:val="22"/>
        </w:rPr>
      </w:pPr>
      <w:r w:rsidRPr="63B04D0E">
        <w:rPr>
          <w:rFonts w:asciiTheme="minorHAnsi" w:hAnsiTheme="minorHAnsi" w:cstheme="minorBidi"/>
          <w:sz w:val="22"/>
          <w:szCs w:val="22"/>
        </w:rPr>
        <w:t xml:space="preserve">Applicants that do not currently receive DESE adult education funding should review the </w:t>
      </w:r>
      <w:hyperlink r:id="rId11">
        <w:r w:rsidRPr="63B04D0E">
          <w:rPr>
            <w:rStyle w:val="Hyperlink"/>
            <w:rFonts w:asciiTheme="minorHAnsi" w:hAnsiTheme="minorHAnsi" w:cstheme="minorBidi"/>
            <w:sz w:val="22"/>
            <w:szCs w:val="22"/>
          </w:rPr>
          <w:t>new applicant tutorial</w:t>
        </w:r>
      </w:hyperlink>
      <w:r w:rsidRPr="63B04D0E">
        <w:rPr>
          <w:rFonts w:asciiTheme="minorHAnsi" w:hAnsiTheme="minorHAnsi" w:cstheme="minorBidi"/>
          <w:sz w:val="22"/>
          <w:szCs w:val="22"/>
        </w:rPr>
        <w:t xml:space="preserve"> for guidance in providing performance data to demonstrate their past effectiveness in service basic skills-deficient eligible individuals.</w:t>
      </w:r>
      <w:r w:rsidR="00F70E1D" w:rsidRPr="63B04D0E">
        <w:rPr>
          <w:rFonts w:asciiTheme="minorHAnsi" w:hAnsiTheme="minorHAnsi" w:cstheme="minorBidi"/>
          <w:sz w:val="22"/>
          <w:szCs w:val="22"/>
        </w:rPr>
        <w:t xml:space="preserve"> </w:t>
      </w:r>
      <w:r w:rsidRPr="63B04D0E">
        <w:rPr>
          <w:rFonts w:asciiTheme="minorHAnsi" w:hAnsiTheme="minorHAnsi" w:cstheme="minorBidi"/>
          <w:sz w:val="22"/>
          <w:szCs w:val="22"/>
        </w:rPr>
        <w:t>Applicants must provide sufficient citations and descriptions in the Part I</w:t>
      </w:r>
      <w:r w:rsidR="00601F8C">
        <w:rPr>
          <w:rFonts w:asciiTheme="minorHAnsi" w:hAnsiTheme="minorHAnsi" w:cstheme="minorBidi"/>
          <w:sz w:val="22"/>
          <w:szCs w:val="22"/>
        </w:rPr>
        <w:t>V</w:t>
      </w:r>
      <w:r w:rsidRPr="63B04D0E">
        <w:rPr>
          <w:rFonts w:asciiTheme="minorHAnsi" w:hAnsiTheme="minorHAnsi" w:cstheme="minorBidi"/>
          <w:sz w:val="22"/>
          <w:szCs w:val="22"/>
        </w:rPr>
        <w:t xml:space="preserve"> workbook so DESE reviewers can determine the suitability of the submitted data. For example, an applicant may submit enrollment and completion rates in the target service. Another may submit pre- and post-assessment data for students.</w:t>
      </w:r>
    </w:p>
    <w:p w14:paraId="7F2F0951" w14:textId="77777777" w:rsidR="00243828" w:rsidRDefault="00243828" w:rsidP="00215BCC">
      <w:pPr>
        <w:tabs>
          <w:tab w:val="num" w:pos="720"/>
          <w:tab w:val="num" w:pos="1440"/>
        </w:tabs>
        <w:rPr>
          <w:rFonts w:asciiTheme="minorHAnsi" w:hAnsiTheme="minorHAnsi" w:cstheme="minorHAnsi"/>
          <w:bCs/>
          <w:sz w:val="22"/>
          <w:szCs w:val="22"/>
        </w:rPr>
      </w:pPr>
    </w:p>
    <w:sectPr w:rsidR="00243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67A89"/>
    <w:multiLevelType w:val="hybridMultilevel"/>
    <w:tmpl w:val="4DB6B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A12E4E"/>
    <w:multiLevelType w:val="hybridMultilevel"/>
    <w:tmpl w:val="41282096"/>
    <w:lvl w:ilvl="0" w:tplc="6E727D8E">
      <w:start w:val="1"/>
      <w:numFmt w:val="bullet"/>
      <w:lvlText w:val="•"/>
      <w:lvlJc w:val="left"/>
      <w:pPr>
        <w:tabs>
          <w:tab w:val="num" w:pos="720"/>
        </w:tabs>
        <w:ind w:left="720" w:hanging="360"/>
      </w:pPr>
      <w:rPr>
        <w:rFonts w:ascii="Arial" w:hAnsi="Arial" w:hint="default"/>
      </w:rPr>
    </w:lvl>
    <w:lvl w:ilvl="1" w:tplc="156AF608">
      <w:numFmt w:val="bullet"/>
      <w:lvlText w:val="•"/>
      <w:lvlJc w:val="left"/>
      <w:pPr>
        <w:tabs>
          <w:tab w:val="num" w:pos="1440"/>
        </w:tabs>
        <w:ind w:left="1440" w:hanging="360"/>
      </w:pPr>
      <w:rPr>
        <w:rFonts w:ascii="Arial" w:hAnsi="Arial" w:hint="default"/>
      </w:rPr>
    </w:lvl>
    <w:lvl w:ilvl="2" w:tplc="231C67A0" w:tentative="1">
      <w:start w:val="1"/>
      <w:numFmt w:val="bullet"/>
      <w:lvlText w:val="•"/>
      <w:lvlJc w:val="left"/>
      <w:pPr>
        <w:tabs>
          <w:tab w:val="num" w:pos="2160"/>
        </w:tabs>
        <w:ind w:left="2160" w:hanging="360"/>
      </w:pPr>
      <w:rPr>
        <w:rFonts w:ascii="Arial" w:hAnsi="Arial" w:hint="default"/>
      </w:rPr>
    </w:lvl>
    <w:lvl w:ilvl="3" w:tplc="EFB8FD54" w:tentative="1">
      <w:start w:val="1"/>
      <w:numFmt w:val="bullet"/>
      <w:lvlText w:val="•"/>
      <w:lvlJc w:val="left"/>
      <w:pPr>
        <w:tabs>
          <w:tab w:val="num" w:pos="2880"/>
        </w:tabs>
        <w:ind w:left="2880" w:hanging="360"/>
      </w:pPr>
      <w:rPr>
        <w:rFonts w:ascii="Arial" w:hAnsi="Arial" w:hint="default"/>
      </w:rPr>
    </w:lvl>
    <w:lvl w:ilvl="4" w:tplc="219EFF56" w:tentative="1">
      <w:start w:val="1"/>
      <w:numFmt w:val="bullet"/>
      <w:lvlText w:val="•"/>
      <w:lvlJc w:val="left"/>
      <w:pPr>
        <w:tabs>
          <w:tab w:val="num" w:pos="3600"/>
        </w:tabs>
        <w:ind w:left="3600" w:hanging="360"/>
      </w:pPr>
      <w:rPr>
        <w:rFonts w:ascii="Arial" w:hAnsi="Arial" w:hint="default"/>
      </w:rPr>
    </w:lvl>
    <w:lvl w:ilvl="5" w:tplc="09D8E276" w:tentative="1">
      <w:start w:val="1"/>
      <w:numFmt w:val="bullet"/>
      <w:lvlText w:val="•"/>
      <w:lvlJc w:val="left"/>
      <w:pPr>
        <w:tabs>
          <w:tab w:val="num" w:pos="4320"/>
        </w:tabs>
        <w:ind w:left="4320" w:hanging="360"/>
      </w:pPr>
      <w:rPr>
        <w:rFonts w:ascii="Arial" w:hAnsi="Arial" w:hint="default"/>
      </w:rPr>
    </w:lvl>
    <w:lvl w:ilvl="6" w:tplc="451C944C" w:tentative="1">
      <w:start w:val="1"/>
      <w:numFmt w:val="bullet"/>
      <w:lvlText w:val="•"/>
      <w:lvlJc w:val="left"/>
      <w:pPr>
        <w:tabs>
          <w:tab w:val="num" w:pos="5040"/>
        </w:tabs>
        <w:ind w:left="5040" w:hanging="360"/>
      </w:pPr>
      <w:rPr>
        <w:rFonts w:ascii="Arial" w:hAnsi="Arial" w:hint="default"/>
      </w:rPr>
    </w:lvl>
    <w:lvl w:ilvl="7" w:tplc="B582DF42" w:tentative="1">
      <w:start w:val="1"/>
      <w:numFmt w:val="bullet"/>
      <w:lvlText w:val="•"/>
      <w:lvlJc w:val="left"/>
      <w:pPr>
        <w:tabs>
          <w:tab w:val="num" w:pos="5760"/>
        </w:tabs>
        <w:ind w:left="5760" w:hanging="360"/>
      </w:pPr>
      <w:rPr>
        <w:rFonts w:ascii="Arial" w:hAnsi="Arial" w:hint="default"/>
      </w:rPr>
    </w:lvl>
    <w:lvl w:ilvl="8" w:tplc="6DC814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AE948C9"/>
    <w:multiLevelType w:val="hybridMultilevel"/>
    <w:tmpl w:val="F486762A"/>
    <w:lvl w:ilvl="0" w:tplc="840E744A">
      <w:start w:val="1"/>
      <w:numFmt w:val="bullet"/>
      <w:lvlText w:val="•"/>
      <w:lvlJc w:val="left"/>
      <w:pPr>
        <w:tabs>
          <w:tab w:val="num" w:pos="720"/>
        </w:tabs>
        <w:ind w:left="720" w:hanging="360"/>
      </w:pPr>
      <w:rPr>
        <w:rFonts w:ascii="Arial" w:hAnsi="Arial" w:hint="default"/>
      </w:rPr>
    </w:lvl>
    <w:lvl w:ilvl="1" w:tplc="BE542856">
      <w:numFmt w:val="bullet"/>
      <w:lvlText w:val="o"/>
      <w:lvlJc w:val="left"/>
      <w:pPr>
        <w:tabs>
          <w:tab w:val="num" w:pos="1440"/>
        </w:tabs>
        <w:ind w:left="1440" w:hanging="360"/>
      </w:pPr>
      <w:rPr>
        <w:rFonts w:ascii="Courier New" w:hAnsi="Courier New" w:hint="default"/>
      </w:rPr>
    </w:lvl>
    <w:lvl w:ilvl="2" w:tplc="CDE8B5B8" w:tentative="1">
      <w:start w:val="1"/>
      <w:numFmt w:val="bullet"/>
      <w:lvlText w:val="•"/>
      <w:lvlJc w:val="left"/>
      <w:pPr>
        <w:tabs>
          <w:tab w:val="num" w:pos="2160"/>
        </w:tabs>
        <w:ind w:left="2160" w:hanging="360"/>
      </w:pPr>
      <w:rPr>
        <w:rFonts w:ascii="Arial" w:hAnsi="Arial" w:hint="default"/>
      </w:rPr>
    </w:lvl>
    <w:lvl w:ilvl="3" w:tplc="D9FACF7E" w:tentative="1">
      <w:start w:val="1"/>
      <w:numFmt w:val="bullet"/>
      <w:lvlText w:val="•"/>
      <w:lvlJc w:val="left"/>
      <w:pPr>
        <w:tabs>
          <w:tab w:val="num" w:pos="2880"/>
        </w:tabs>
        <w:ind w:left="2880" w:hanging="360"/>
      </w:pPr>
      <w:rPr>
        <w:rFonts w:ascii="Arial" w:hAnsi="Arial" w:hint="default"/>
      </w:rPr>
    </w:lvl>
    <w:lvl w:ilvl="4" w:tplc="BF9E8FB2" w:tentative="1">
      <w:start w:val="1"/>
      <w:numFmt w:val="bullet"/>
      <w:lvlText w:val="•"/>
      <w:lvlJc w:val="left"/>
      <w:pPr>
        <w:tabs>
          <w:tab w:val="num" w:pos="3600"/>
        </w:tabs>
        <w:ind w:left="3600" w:hanging="360"/>
      </w:pPr>
      <w:rPr>
        <w:rFonts w:ascii="Arial" w:hAnsi="Arial" w:hint="default"/>
      </w:rPr>
    </w:lvl>
    <w:lvl w:ilvl="5" w:tplc="1C3690F6" w:tentative="1">
      <w:start w:val="1"/>
      <w:numFmt w:val="bullet"/>
      <w:lvlText w:val="•"/>
      <w:lvlJc w:val="left"/>
      <w:pPr>
        <w:tabs>
          <w:tab w:val="num" w:pos="4320"/>
        </w:tabs>
        <w:ind w:left="4320" w:hanging="360"/>
      </w:pPr>
      <w:rPr>
        <w:rFonts w:ascii="Arial" w:hAnsi="Arial" w:hint="default"/>
      </w:rPr>
    </w:lvl>
    <w:lvl w:ilvl="6" w:tplc="B344AF86" w:tentative="1">
      <w:start w:val="1"/>
      <w:numFmt w:val="bullet"/>
      <w:lvlText w:val="•"/>
      <w:lvlJc w:val="left"/>
      <w:pPr>
        <w:tabs>
          <w:tab w:val="num" w:pos="5040"/>
        </w:tabs>
        <w:ind w:left="5040" w:hanging="360"/>
      </w:pPr>
      <w:rPr>
        <w:rFonts w:ascii="Arial" w:hAnsi="Arial" w:hint="default"/>
      </w:rPr>
    </w:lvl>
    <w:lvl w:ilvl="7" w:tplc="1C8EE374" w:tentative="1">
      <w:start w:val="1"/>
      <w:numFmt w:val="bullet"/>
      <w:lvlText w:val="•"/>
      <w:lvlJc w:val="left"/>
      <w:pPr>
        <w:tabs>
          <w:tab w:val="num" w:pos="5760"/>
        </w:tabs>
        <w:ind w:left="5760" w:hanging="360"/>
      </w:pPr>
      <w:rPr>
        <w:rFonts w:ascii="Arial" w:hAnsi="Arial" w:hint="default"/>
      </w:rPr>
    </w:lvl>
    <w:lvl w:ilvl="8" w:tplc="90F6B4D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20"/>
    <w:rsid w:val="00016F47"/>
    <w:rsid w:val="00051570"/>
    <w:rsid w:val="000A19FA"/>
    <w:rsid w:val="000C361A"/>
    <w:rsid w:val="000D64E3"/>
    <w:rsid w:val="000E6A7C"/>
    <w:rsid w:val="00106F36"/>
    <w:rsid w:val="00141181"/>
    <w:rsid w:val="00141EC6"/>
    <w:rsid w:val="00144241"/>
    <w:rsid w:val="00157D18"/>
    <w:rsid w:val="00170B91"/>
    <w:rsid w:val="001A4004"/>
    <w:rsid w:val="001B3868"/>
    <w:rsid w:val="001B3BC1"/>
    <w:rsid w:val="001B6DE0"/>
    <w:rsid w:val="001B6FED"/>
    <w:rsid w:val="00203BD0"/>
    <w:rsid w:val="00215BCC"/>
    <w:rsid w:val="00241993"/>
    <w:rsid w:val="00243828"/>
    <w:rsid w:val="0025627F"/>
    <w:rsid w:val="00260E40"/>
    <w:rsid w:val="00291631"/>
    <w:rsid w:val="0029430C"/>
    <w:rsid w:val="002A3449"/>
    <w:rsid w:val="002A37A8"/>
    <w:rsid w:val="002A661B"/>
    <w:rsid w:val="002D0ED3"/>
    <w:rsid w:val="00313B01"/>
    <w:rsid w:val="003314A9"/>
    <w:rsid w:val="003406FC"/>
    <w:rsid w:val="00343023"/>
    <w:rsid w:val="00344059"/>
    <w:rsid w:val="003663E9"/>
    <w:rsid w:val="00391473"/>
    <w:rsid w:val="003A1C4C"/>
    <w:rsid w:val="003B7F48"/>
    <w:rsid w:val="003D14B5"/>
    <w:rsid w:val="00474B8A"/>
    <w:rsid w:val="00490DEB"/>
    <w:rsid w:val="004A6A77"/>
    <w:rsid w:val="004B1FDB"/>
    <w:rsid w:val="004B4B08"/>
    <w:rsid w:val="004C1353"/>
    <w:rsid w:val="004D0DC8"/>
    <w:rsid w:val="004E2857"/>
    <w:rsid w:val="004F782A"/>
    <w:rsid w:val="00505089"/>
    <w:rsid w:val="00534C62"/>
    <w:rsid w:val="00542E4F"/>
    <w:rsid w:val="005579AD"/>
    <w:rsid w:val="00601F8C"/>
    <w:rsid w:val="00615393"/>
    <w:rsid w:val="00627285"/>
    <w:rsid w:val="00666D19"/>
    <w:rsid w:val="006A428E"/>
    <w:rsid w:val="006E7723"/>
    <w:rsid w:val="006F01A8"/>
    <w:rsid w:val="006F454C"/>
    <w:rsid w:val="00711736"/>
    <w:rsid w:val="007121C1"/>
    <w:rsid w:val="00716CC4"/>
    <w:rsid w:val="00745395"/>
    <w:rsid w:val="007942CD"/>
    <w:rsid w:val="007A1E07"/>
    <w:rsid w:val="007B7B88"/>
    <w:rsid w:val="007D02E4"/>
    <w:rsid w:val="007D1FA0"/>
    <w:rsid w:val="007D2B28"/>
    <w:rsid w:val="007D599D"/>
    <w:rsid w:val="00821245"/>
    <w:rsid w:val="00832654"/>
    <w:rsid w:val="0083540D"/>
    <w:rsid w:val="00841E4E"/>
    <w:rsid w:val="008A0770"/>
    <w:rsid w:val="008C03DF"/>
    <w:rsid w:val="00920112"/>
    <w:rsid w:val="00921B23"/>
    <w:rsid w:val="00931B19"/>
    <w:rsid w:val="00962C06"/>
    <w:rsid w:val="009A0E44"/>
    <w:rsid w:val="009B24D5"/>
    <w:rsid w:val="009D2A2C"/>
    <w:rsid w:val="00A205B1"/>
    <w:rsid w:val="00A435AA"/>
    <w:rsid w:val="00A6045D"/>
    <w:rsid w:val="00A83AE3"/>
    <w:rsid w:val="00AB50C4"/>
    <w:rsid w:val="00AD73A7"/>
    <w:rsid w:val="00B058F6"/>
    <w:rsid w:val="00B44897"/>
    <w:rsid w:val="00B47C4A"/>
    <w:rsid w:val="00B47D60"/>
    <w:rsid w:val="00B87B06"/>
    <w:rsid w:val="00B90694"/>
    <w:rsid w:val="00B939B4"/>
    <w:rsid w:val="00BA63FE"/>
    <w:rsid w:val="00BD66C4"/>
    <w:rsid w:val="00BE7D0A"/>
    <w:rsid w:val="00BF574D"/>
    <w:rsid w:val="00BF6061"/>
    <w:rsid w:val="00BF6C23"/>
    <w:rsid w:val="00C06A5F"/>
    <w:rsid w:val="00C116F8"/>
    <w:rsid w:val="00C53534"/>
    <w:rsid w:val="00C55B15"/>
    <w:rsid w:val="00C70727"/>
    <w:rsid w:val="00C76974"/>
    <w:rsid w:val="00C83DDE"/>
    <w:rsid w:val="00CE0FFF"/>
    <w:rsid w:val="00D06F92"/>
    <w:rsid w:val="00D152FD"/>
    <w:rsid w:val="00D24CCF"/>
    <w:rsid w:val="00D311DC"/>
    <w:rsid w:val="00D34363"/>
    <w:rsid w:val="00D36420"/>
    <w:rsid w:val="00D43B70"/>
    <w:rsid w:val="00D45C85"/>
    <w:rsid w:val="00D53417"/>
    <w:rsid w:val="00D54769"/>
    <w:rsid w:val="00D93F97"/>
    <w:rsid w:val="00DB7CFD"/>
    <w:rsid w:val="00DE047A"/>
    <w:rsid w:val="00E05E1F"/>
    <w:rsid w:val="00E301E2"/>
    <w:rsid w:val="00E3146A"/>
    <w:rsid w:val="00E34005"/>
    <w:rsid w:val="00E54EA0"/>
    <w:rsid w:val="00E81F70"/>
    <w:rsid w:val="00E91EA8"/>
    <w:rsid w:val="00E96019"/>
    <w:rsid w:val="00EC6763"/>
    <w:rsid w:val="00EE77CC"/>
    <w:rsid w:val="00F034E7"/>
    <w:rsid w:val="00F0754D"/>
    <w:rsid w:val="00F1733D"/>
    <w:rsid w:val="00F42068"/>
    <w:rsid w:val="00F70E1D"/>
    <w:rsid w:val="00FC1A17"/>
    <w:rsid w:val="00FE0E5A"/>
    <w:rsid w:val="00FE1AE8"/>
    <w:rsid w:val="00FE499E"/>
    <w:rsid w:val="07026316"/>
    <w:rsid w:val="097CE698"/>
    <w:rsid w:val="24CA1C9A"/>
    <w:rsid w:val="336654F7"/>
    <w:rsid w:val="357E1BB8"/>
    <w:rsid w:val="63B04D0E"/>
    <w:rsid w:val="687C364D"/>
    <w:rsid w:val="6CCD5889"/>
    <w:rsid w:val="713D9C1A"/>
    <w:rsid w:val="7492C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56AF"/>
  <w15:chartTrackingRefBased/>
  <w15:docId w15:val="{95599066-4FE5-46E0-AA99-D89BD23B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42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B6FE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36420"/>
    <w:rPr>
      <w:color w:val="0000FF"/>
      <w:u w:val="single"/>
    </w:rPr>
  </w:style>
  <w:style w:type="paragraph" w:styleId="Header">
    <w:name w:val="header"/>
    <w:basedOn w:val="Normal"/>
    <w:link w:val="HeaderChar"/>
    <w:uiPriority w:val="99"/>
    <w:rsid w:val="00D36420"/>
    <w:pPr>
      <w:tabs>
        <w:tab w:val="center" w:pos="4680"/>
        <w:tab w:val="right" w:pos="9360"/>
      </w:tabs>
    </w:pPr>
  </w:style>
  <w:style w:type="character" w:customStyle="1" w:styleId="HeaderChar">
    <w:name w:val="Header Char"/>
    <w:basedOn w:val="DefaultParagraphFont"/>
    <w:link w:val="Header"/>
    <w:uiPriority w:val="99"/>
    <w:rsid w:val="00D36420"/>
    <w:rPr>
      <w:rFonts w:ascii="Times New Roman" w:eastAsia="Times New Roman" w:hAnsi="Times New Roman" w:cs="Times New Roman"/>
      <w:sz w:val="24"/>
      <w:szCs w:val="24"/>
    </w:rPr>
  </w:style>
  <w:style w:type="character" w:styleId="CommentReference">
    <w:name w:val="annotation reference"/>
    <w:rsid w:val="00D36420"/>
    <w:rPr>
      <w:sz w:val="16"/>
      <w:szCs w:val="16"/>
    </w:rPr>
  </w:style>
  <w:style w:type="paragraph" w:styleId="CommentText">
    <w:name w:val="annotation text"/>
    <w:basedOn w:val="Normal"/>
    <w:link w:val="CommentTextChar"/>
    <w:rsid w:val="00D36420"/>
    <w:rPr>
      <w:sz w:val="20"/>
      <w:szCs w:val="20"/>
    </w:rPr>
  </w:style>
  <w:style w:type="character" w:customStyle="1" w:styleId="CommentTextChar">
    <w:name w:val="Comment Text Char"/>
    <w:basedOn w:val="DefaultParagraphFont"/>
    <w:link w:val="CommentText"/>
    <w:rsid w:val="00D36420"/>
    <w:rPr>
      <w:rFonts w:ascii="Times New Roman" w:eastAsia="Times New Roman" w:hAnsi="Times New Roman" w:cs="Times New Roman"/>
      <w:sz w:val="20"/>
      <w:szCs w:val="20"/>
    </w:rPr>
  </w:style>
  <w:style w:type="character" w:styleId="Mention">
    <w:name w:val="Mention"/>
    <w:basedOn w:val="DefaultParagraphFont"/>
    <w:uiPriority w:val="99"/>
    <w:unhideWhenUsed/>
    <w:rsid w:val="00D36420"/>
    <w:rPr>
      <w:color w:val="2B579A"/>
      <w:shd w:val="clear" w:color="auto" w:fill="E6E6E6"/>
    </w:rPr>
  </w:style>
  <w:style w:type="character" w:styleId="UnresolvedMention">
    <w:name w:val="Unresolved Mention"/>
    <w:basedOn w:val="DefaultParagraphFont"/>
    <w:uiPriority w:val="99"/>
    <w:unhideWhenUsed/>
    <w:rsid w:val="007D599D"/>
    <w:rPr>
      <w:color w:val="605E5C"/>
      <w:shd w:val="clear" w:color="auto" w:fill="E1DFDD"/>
    </w:rPr>
  </w:style>
  <w:style w:type="paragraph" w:styleId="NormalWeb">
    <w:name w:val="Normal (Web)"/>
    <w:basedOn w:val="Normal"/>
    <w:uiPriority w:val="99"/>
    <w:semiHidden/>
    <w:unhideWhenUsed/>
    <w:rsid w:val="00243828"/>
  </w:style>
  <w:style w:type="paragraph" w:styleId="CommentSubject">
    <w:name w:val="annotation subject"/>
    <w:basedOn w:val="CommentText"/>
    <w:next w:val="CommentText"/>
    <w:link w:val="CommentSubjectChar"/>
    <w:uiPriority w:val="99"/>
    <w:semiHidden/>
    <w:unhideWhenUsed/>
    <w:rsid w:val="00B058F6"/>
    <w:rPr>
      <w:b/>
      <w:bCs/>
    </w:rPr>
  </w:style>
  <w:style w:type="character" w:customStyle="1" w:styleId="CommentSubjectChar">
    <w:name w:val="Comment Subject Char"/>
    <w:basedOn w:val="CommentTextChar"/>
    <w:link w:val="CommentSubject"/>
    <w:uiPriority w:val="99"/>
    <w:semiHidden/>
    <w:rsid w:val="00B058F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116F8"/>
    <w:rPr>
      <w:color w:val="954F72" w:themeColor="followedHyperlink"/>
      <w:u w:val="single"/>
    </w:rPr>
  </w:style>
  <w:style w:type="character" w:customStyle="1" w:styleId="Heading1Char">
    <w:name w:val="Heading 1 Char"/>
    <w:basedOn w:val="DefaultParagraphFont"/>
    <w:link w:val="Heading1"/>
    <w:uiPriority w:val="9"/>
    <w:rsid w:val="001B6FED"/>
    <w:rPr>
      <w:rFonts w:ascii="Times New Roman" w:eastAsia="Times New Roman" w:hAnsi="Times New Roman" w:cs="Times New Roman"/>
      <w:b/>
      <w:bCs/>
      <w:kern w:val="36"/>
      <w:sz w:val="48"/>
      <w:szCs w:val="48"/>
    </w:rPr>
  </w:style>
  <w:style w:type="paragraph" w:styleId="NoSpacing">
    <w:name w:val="No Spacing"/>
    <w:uiPriority w:val="1"/>
    <w:qFormat/>
    <w:rsid w:val="001B6F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456013">
      <w:bodyDiv w:val="1"/>
      <w:marLeft w:val="0"/>
      <w:marRight w:val="0"/>
      <w:marTop w:val="0"/>
      <w:marBottom w:val="0"/>
      <w:divBdr>
        <w:top w:val="none" w:sz="0" w:space="0" w:color="auto"/>
        <w:left w:val="none" w:sz="0" w:space="0" w:color="auto"/>
        <w:bottom w:val="none" w:sz="0" w:space="0" w:color="auto"/>
        <w:right w:val="none" w:sz="0" w:space="0" w:color="auto"/>
      </w:divBdr>
    </w:div>
    <w:div w:id="1401712919">
      <w:bodyDiv w:val="1"/>
      <w:marLeft w:val="0"/>
      <w:marRight w:val="0"/>
      <w:marTop w:val="0"/>
      <w:marBottom w:val="0"/>
      <w:divBdr>
        <w:top w:val="none" w:sz="0" w:space="0" w:color="auto"/>
        <w:left w:val="none" w:sz="0" w:space="0" w:color="auto"/>
        <w:bottom w:val="none" w:sz="0" w:space="0" w:color="auto"/>
        <w:right w:val="none" w:sz="0" w:space="0" w:color="auto"/>
      </w:divBdr>
      <w:divsChild>
        <w:div w:id="485629572">
          <w:marLeft w:val="461"/>
          <w:marRight w:val="0"/>
          <w:marTop w:val="0"/>
          <w:marBottom w:val="163"/>
          <w:divBdr>
            <w:top w:val="none" w:sz="0" w:space="0" w:color="auto"/>
            <w:left w:val="none" w:sz="0" w:space="0" w:color="auto"/>
            <w:bottom w:val="none" w:sz="0" w:space="0" w:color="auto"/>
            <w:right w:val="none" w:sz="0" w:space="0" w:color="auto"/>
          </w:divBdr>
        </w:div>
        <w:div w:id="672491979">
          <w:marLeft w:val="1195"/>
          <w:marRight w:val="0"/>
          <w:marTop w:val="0"/>
          <w:marBottom w:val="163"/>
          <w:divBdr>
            <w:top w:val="none" w:sz="0" w:space="0" w:color="auto"/>
            <w:left w:val="none" w:sz="0" w:space="0" w:color="auto"/>
            <w:bottom w:val="none" w:sz="0" w:space="0" w:color="auto"/>
            <w:right w:val="none" w:sz="0" w:space="0" w:color="auto"/>
          </w:divBdr>
        </w:div>
        <w:div w:id="1614901323">
          <w:marLeft w:val="1195"/>
          <w:marRight w:val="0"/>
          <w:marTop w:val="0"/>
          <w:marBottom w:val="163"/>
          <w:divBdr>
            <w:top w:val="none" w:sz="0" w:space="0" w:color="auto"/>
            <w:left w:val="none" w:sz="0" w:space="0" w:color="auto"/>
            <w:bottom w:val="none" w:sz="0" w:space="0" w:color="auto"/>
            <w:right w:val="none" w:sz="0" w:space="0" w:color="auto"/>
          </w:divBdr>
        </w:div>
        <w:div w:id="1817331252">
          <w:marLeft w:val="461"/>
          <w:marRight w:val="0"/>
          <w:marTop w:val="0"/>
          <w:marBottom w:val="163"/>
          <w:divBdr>
            <w:top w:val="none" w:sz="0" w:space="0" w:color="auto"/>
            <w:left w:val="none" w:sz="0" w:space="0" w:color="auto"/>
            <w:bottom w:val="none" w:sz="0" w:space="0" w:color="auto"/>
            <w:right w:val="none" w:sz="0" w:space="0" w:color="auto"/>
          </w:divBdr>
        </w:div>
        <w:div w:id="2069760360">
          <w:marLeft w:val="1195"/>
          <w:marRight w:val="0"/>
          <w:marTop w:val="0"/>
          <w:marBottom w:val="163"/>
          <w:divBdr>
            <w:top w:val="none" w:sz="0" w:space="0" w:color="auto"/>
            <w:left w:val="none" w:sz="0" w:space="0" w:color="auto"/>
            <w:bottom w:val="none" w:sz="0" w:space="0" w:color="auto"/>
            <w:right w:val="none" w:sz="0" w:space="0" w:color="auto"/>
          </w:divBdr>
        </w:div>
      </w:divsChild>
    </w:div>
    <w:div w:id="1615669431">
      <w:bodyDiv w:val="1"/>
      <w:marLeft w:val="0"/>
      <w:marRight w:val="0"/>
      <w:marTop w:val="0"/>
      <w:marBottom w:val="0"/>
      <w:divBdr>
        <w:top w:val="none" w:sz="0" w:space="0" w:color="auto"/>
        <w:left w:val="none" w:sz="0" w:space="0" w:color="auto"/>
        <w:bottom w:val="none" w:sz="0" w:space="0" w:color="auto"/>
        <w:right w:val="none" w:sz="0" w:space="0" w:color="auto"/>
      </w:divBdr>
      <w:divsChild>
        <w:div w:id="231738672">
          <w:marLeft w:val="360"/>
          <w:marRight w:val="0"/>
          <w:marTop w:val="200"/>
          <w:marBottom w:val="0"/>
          <w:divBdr>
            <w:top w:val="none" w:sz="0" w:space="0" w:color="auto"/>
            <w:left w:val="none" w:sz="0" w:space="0" w:color="auto"/>
            <w:bottom w:val="none" w:sz="0" w:space="0" w:color="auto"/>
            <w:right w:val="none" w:sz="0" w:space="0" w:color="auto"/>
          </w:divBdr>
        </w:div>
        <w:div w:id="236549776">
          <w:marLeft w:val="1166"/>
          <w:marRight w:val="0"/>
          <w:marTop w:val="100"/>
          <w:marBottom w:val="0"/>
          <w:divBdr>
            <w:top w:val="none" w:sz="0" w:space="0" w:color="auto"/>
            <w:left w:val="none" w:sz="0" w:space="0" w:color="auto"/>
            <w:bottom w:val="none" w:sz="0" w:space="0" w:color="auto"/>
            <w:right w:val="none" w:sz="0" w:space="0" w:color="auto"/>
          </w:divBdr>
        </w:div>
        <w:div w:id="237908862">
          <w:marLeft w:val="1166"/>
          <w:marRight w:val="0"/>
          <w:marTop w:val="100"/>
          <w:marBottom w:val="0"/>
          <w:divBdr>
            <w:top w:val="none" w:sz="0" w:space="0" w:color="auto"/>
            <w:left w:val="none" w:sz="0" w:space="0" w:color="auto"/>
            <w:bottom w:val="none" w:sz="0" w:space="0" w:color="auto"/>
            <w:right w:val="none" w:sz="0" w:space="0" w:color="auto"/>
          </w:divBdr>
        </w:div>
        <w:div w:id="258955393">
          <w:marLeft w:val="1166"/>
          <w:marRight w:val="0"/>
          <w:marTop w:val="100"/>
          <w:marBottom w:val="0"/>
          <w:divBdr>
            <w:top w:val="none" w:sz="0" w:space="0" w:color="auto"/>
            <w:left w:val="none" w:sz="0" w:space="0" w:color="auto"/>
            <w:bottom w:val="none" w:sz="0" w:space="0" w:color="auto"/>
            <w:right w:val="none" w:sz="0" w:space="0" w:color="auto"/>
          </w:divBdr>
        </w:div>
        <w:div w:id="938754670">
          <w:marLeft w:val="1166"/>
          <w:marRight w:val="0"/>
          <w:marTop w:val="100"/>
          <w:marBottom w:val="0"/>
          <w:divBdr>
            <w:top w:val="none" w:sz="0" w:space="0" w:color="auto"/>
            <w:left w:val="none" w:sz="0" w:space="0" w:color="auto"/>
            <w:bottom w:val="none" w:sz="0" w:space="0" w:color="auto"/>
            <w:right w:val="none" w:sz="0" w:space="0" w:color="auto"/>
          </w:divBdr>
        </w:div>
        <w:div w:id="1445491832">
          <w:marLeft w:val="1166"/>
          <w:marRight w:val="0"/>
          <w:marTop w:val="100"/>
          <w:marBottom w:val="0"/>
          <w:divBdr>
            <w:top w:val="none" w:sz="0" w:space="0" w:color="auto"/>
            <w:left w:val="none" w:sz="0" w:space="0" w:color="auto"/>
            <w:bottom w:val="none" w:sz="0" w:space="0" w:color="auto"/>
            <w:right w:val="none" w:sz="0" w:space="0" w:color="auto"/>
          </w:divBdr>
        </w:div>
        <w:div w:id="17185806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bee1106de992709cf4423b6a5c4a8735&amp;mc=true&amp;node=pt34.3.463&amp;rgn=div5"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jk1jng-fCo" TargetMode="External"/><Relationship Id="rId5" Type="http://schemas.openxmlformats.org/officeDocument/2006/relationships/styles" Target="styles.xml"/><Relationship Id="rId10" Type="http://schemas.openxmlformats.org/officeDocument/2006/relationships/hyperlink" Target="https://www.ecfr.gov/cgi-bin/text-idx?SID=bee1106de992709cf4423b6a5c4a8735&amp;mc=true&amp;node=pt34.3.463&amp;rgn=div5" TargetMode="External"/><Relationship Id="rId4" Type="http://schemas.openxmlformats.org/officeDocument/2006/relationships/numbering" Target="numbering.xml"/><Relationship Id="rId9" Type="http://schemas.openxmlformats.org/officeDocument/2006/relationships/hyperlink" Target="https://www.ecfr.gov/cgi-bin/text-idx?SID=bee1106de992709cf4423b6a5c4a8735&amp;mc=true&amp;node=pt34.3.463&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Fenton, Russell (DESE)</DisplayName>
        <AccountId>19</AccountId>
        <AccountType/>
      </UserInfo>
      <UserInfo>
        <DisplayName>Narvaez, Marie M (DESE)</DisplayName>
        <AccountId>29</AccountId>
        <AccountType/>
      </UserInfo>
      <UserInfo>
        <DisplayName>SharingLinks.f1a22828-9ef0-4c33-9333-b46af0ac68b8.Flexible.3a6db39c-664e-486d-a6ba-7b3ff2aa8821</DisplayName>
        <AccountId>23</AccountId>
        <AccountType/>
      </UserInfo>
      <UserInfo>
        <DisplayName>Conway, Jolanta (DESE)</DisplayName>
        <AccountId>31</AccountId>
        <AccountType/>
      </UserInfo>
    </SharedWithUsers>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610F1-3AD7-4040-A9F6-8E18843258B5}">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5FE3902E-9026-43C1-B4FB-BB5DF413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3A28D-B5E7-40EA-950C-D957F27D8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FY2024 FC 671/661/359 MassSTEP</vt:lpstr>
    </vt:vector>
  </TitlesOfParts>
  <Company/>
  <LinksUpToDate>false</LinksUpToDate>
  <CharactersWithSpaces>3112</CharactersWithSpaces>
  <SharedDoc>false</SharedDoc>
  <HLinks>
    <vt:vector size="24" baseType="variant">
      <vt:variant>
        <vt:i4>196623</vt:i4>
      </vt:variant>
      <vt:variant>
        <vt:i4>9</vt:i4>
      </vt:variant>
      <vt:variant>
        <vt:i4>0</vt:i4>
      </vt:variant>
      <vt:variant>
        <vt:i4>5</vt:i4>
      </vt:variant>
      <vt:variant>
        <vt:lpwstr>https://youtu.be/-jk1jng-fCo</vt:lpwstr>
      </vt:variant>
      <vt:variant>
        <vt:lpwstr/>
      </vt:variant>
      <vt:variant>
        <vt:i4>3604529</vt:i4>
      </vt:variant>
      <vt:variant>
        <vt:i4>6</vt:i4>
      </vt:variant>
      <vt:variant>
        <vt:i4>0</vt:i4>
      </vt:variant>
      <vt:variant>
        <vt:i4>5</vt:i4>
      </vt:variant>
      <vt:variant>
        <vt:lpwstr>https://www.ecfr.gov/cgi-bin/text-idx?SID=bee1106de992709cf4423b6a5c4a8735&amp;mc=true&amp;node=pt34.3.463&amp;rgn=div5</vt:lpwstr>
      </vt:variant>
      <vt:variant>
        <vt:lpwstr/>
      </vt:variant>
      <vt:variant>
        <vt:i4>3604529</vt:i4>
      </vt:variant>
      <vt:variant>
        <vt:i4>3</vt:i4>
      </vt:variant>
      <vt:variant>
        <vt:i4>0</vt:i4>
      </vt:variant>
      <vt:variant>
        <vt:i4>5</vt:i4>
      </vt:variant>
      <vt:variant>
        <vt:lpwstr>https://www.ecfr.gov/cgi-bin/text-idx?SID=bee1106de992709cf4423b6a5c4a8735&amp;mc=true&amp;node=pt34.3.463&amp;rgn=div5</vt:lpwstr>
      </vt:variant>
      <vt:variant>
        <vt:lpwstr/>
      </vt:variant>
      <vt:variant>
        <vt:i4>3604529</vt:i4>
      </vt:variant>
      <vt:variant>
        <vt:i4>0</vt:i4>
      </vt:variant>
      <vt:variant>
        <vt:i4>0</vt:i4>
      </vt:variant>
      <vt:variant>
        <vt:i4>5</vt:i4>
      </vt:variant>
      <vt:variant>
        <vt:lpwstr>https://www.ecfr.gov/cgi-bin/text-idx?SID=bee1106de992709cf4423b6a5c4a8735&amp;mc=true&amp;node=pt34.3.463&amp;rgn=div5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671/661/359 MassSTEP Implementation Part IV</dc:title>
  <dc:subject/>
  <dc:creator>DESE</dc:creator>
  <cp:keywords/>
  <dc:description/>
  <cp:lastModifiedBy>Zou, Dong (EOE)</cp:lastModifiedBy>
  <cp:revision>80</cp:revision>
  <dcterms:created xsi:type="dcterms:W3CDTF">2022-12-08T18:46:00Z</dcterms:created>
  <dcterms:modified xsi:type="dcterms:W3CDTF">2023-01-11T16:31:00Z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2023 12:00AM</vt:lpwstr>
  </property>
</Properties>
</file>