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C285" w14:textId="717D941A" w:rsidR="0056305A" w:rsidRDefault="0056305A" w:rsidP="00A36A19">
      <w:pPr>
        <w:pStyle w:val="Heading3"/>
        <w:rPr>
          <w:rFonts w:eastAsia="Batang"/>
        </w:rPr>
      </w:pPr>
      <w:bookmarkStart w:id="0" w:name="OLE_LINK2"/>
    </w:p>
    <w:p w14:paraId="0A4428C2" w14:textId="77777777" w:rsidR="007C4EC0" w:rsidRDefault="007C4EC0" w:rsidP="0047675C">
      <w:pPr>
        <w:spacing w:before="60" w:after="60"/>
        <w:rPr>
          <w:rFonts w:ascii="Arial Narrow" w:eastAsia="Batang" w:hAnsi="Arial Narrow" w:cs="Arial"/>
          <w:bCs/>
          <w:color w:val="0000CC"/>
          <w:sz w:val="72"/>
          <w:szCs w:val="72"/>
        </w:rPr>
      </w:pPr>
    </w:p>
    <w:p w14:paraId="73DC560B" w14:textId="2946D6CE" w:rsidR="0053200A" w:rsidRPr="0079354F" w:rsidRDefault="4D375870" w:rsidP="22CF907E">
      <w:pPr>
        <w:spacing w:before="60" w:after="60"/>
        <w:jc w:val="center"/>
        <w:rPr>
          <w:rFonts w:ascii="Arial Narrow" w:eastAsia="Batang" w:hAnsi="Arial Narrow" w:cs="Arial"/>
          <w:color w:val="0000CC"/>
          <w:sz w:val="72"/>
          <w:szCs w:val="72"/>
        </w:rPr>
      </w:pPr>
      <w:r w:rsidRPr="0ADF2C45">
        <w:rPr>
          <w:rFonts w:ascii="Arial Narrow" w:eastAsia="Batang" w:hAnsi="Arial Narrow" w:cs="Arial"/>
          <w:color w:val="0000CC"/>
          <w:sz w:val="72"/>
          <w:szCs w:val="72"/>
        </w:rPr>
        <w:t>FY24</w:t>
      </w:r>
      <w:r w:rsidR="1D736BA7" w:rsidRPr="0ADF2C45">
        <w:rPr>
          <w:rFonts w:ascii="Arial Narrow" w:eastAsia="Batang" w:hAnsi="Arial Narrow" w:cs="Arial"/>
          <w:color w:val="0000CC"/>
          <w:sz w:val="72"/>
          <w:szCs w:val="72"/>
        </w:rPr>
        <w:t>-FY28</w:t>
      </w:r>
      <w:r w:rsidR="4580CCC5" w:rsidRPr="0ADF2C45">
        <w:rPr>
          <w:rFonts w:ascii="Arial Narrow" w:eastAsia="Batang" w:hAnsi="Arial Narrow" w:cs="Arial"/>
          <w:color w:val="0000CC"/>
          <w:sz w:val="72"/>
          <w:szCs w:val="72"/>
        </w:rPr>
        <w:t xml:space="preserve"> </w:t>
      </w:r>
      <w:r w:rsidR="59F36E4A" w:rsidRPr="0ADF2C45">
        <w:rPr>
          <w:rFonts w:ascii="Arial Narrow" w:eastAsia="Batang" w:hAnsi="Arial Narrow" w:cs="Arial"/>
          <w:color w:val="0000CC"/>
          <w:sz w:val="72"/>
          <w:szCs w:val="72"/>
        </w:rPr>
        <w:t>Massachusetts</w:t>
      </w:r>
    </w:p>
    <w:p w14:paraId="66DDCD58" w14:textId="140FBF59" w:rsidR="0053200A" w:rsidRPr="0079354F" w:rsidRDefault="0053200A" w:rsidP="005F7D97">
      <w:pPr>
        <w:spacing w:before="60" w:after="60"/>
        <w:jc w:val="center"/>
        <w:rPr>
          <w:rFonts w:ascii="Arial Narrow" w:eastAsia="Batang" w:hAnsi="Arial Narrow" w:cs="Arial"/>
          <w:bCs/>
          <w:color w:val="0000CC"/>
          <w:sz w:val="72"/>
          <w:szCs w:val="72"/>
        </w:rPr>
      </w:pPr>
      <w:r w:rsidRPr="0079354F">
        <w:rPr>
          <w:rFonts w:ascii="Arial Narrow" w:eastAsia="Batang" w:hAnsi="Arial Narrow" w:cs="Arial"/>
          <w:bCs/>
          <w:color w:val="0000CC"/>
          <w:sz w:val="72"/>
          <w:szCs w:val="72"/>
        </w:rPr>
        <w:t xml:space="preserve">Policies </w:t>
      </w:r>
      <w:r w:rsidR="002B2E1E" w:rsidRPr="0079354F">
        <w:rPr>
          <w:rFonts w:ascii="Arial Narrow" w:eastAsia="Batang" w:hAnsi="Arial Narrow" w:cs="Arial"/>
          <w:bCs/>
          <w:color w:val="0000CC"/>
          <w:sz w:val="72"/>
          <w:szCs w:val="72"/>
        </w:rPr>
        <w:t>f</w:t>
      </w:r>
      <w:r w:rsidR="009B582C" w:rsidRPr="0079354F">
        <w:rPr>
          <w:rFonts w:ascii="Arial Narrow" w:eastAsia="Batang" w:hAnsi="Arial Narrow" w:cs="Arial"/>
          <w:bCs/>
          <w:color w:val="0000CC"/>
          <w:sz w:val="72"/>
          <w:szCs w:val="72"/>
        </w:rPr>
        <w:t>or Effective</w:t>
      </w:r>
    </w:p>
    <w:p w14:paraId="661B91CB" w14:textId="77777777" w:rsidR="00403043" w:rsidRPr="0079354F" w:rsidRDefault="0053200A" w:rsidP="005F7D97">
      <w:pPr>
        <w:spacing w:before="60" w:after="60"/>
        <w:jc w:val="center"/>
        <w:rPr>
          <w:rFonts w:ascii="Arial Narrow" w:eastAsia="Batang" w:hAnsi="Arial Narrow" w:cs="Arial"/>
          <w:bCs/>
          <w:color w:val="0000CC"/>
          <w:sz w:val="80"/>
          <w:szCs w:val="80"/>
        </w:rPr>
      </w:pPr>
      <w:r w:rsidRPr="0079354F">
        <w:rPr>
          <w:rFonts w:ascii="Arial Narrow" w:eastAsia="Batang" w:hAnsi="Arial Narrow" w:cs="Arial"/>
          <w:bCs/>
          <w:color w:val="0000CC"/>
          <w:sz w:val="72"/>
          <w:szCs w:val="72"/>
        </w:rPr>
        <w:t xml:space="preserve">Adult </w:t>
      </w:r>
      <w:r w:rsidR="009B582C" w:rsidRPr="0079354F">
        <w:rPr>
          <w:rFonts w:ascii="Arial Narrow" w:eastAsia="Batang" w:hAnsi="Arial Narrow" w:cs="Arial"/>
          <w:bCs/>
          <w:color w:val="0000CC"/>
          <w:sz w:val="72"/>
          <w:szCs w:val="72"/>
        </w:rPr>
        <w:t>Education</w:t>
      </w:r>
    </w:p>
    <w:p w14:paraId="4AB4F701" w14:textId="77777777" w:rsidR="0053200A" w:rsidRPr="00187183" w:rsidRDefault="00BD4638"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in</w:t>
      </w:r>
    </w:p>
    <w:p w14:paraId="1B74CE89"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Community Adult Learning Centers</w:t>
      </w:r>
      <w:r w:rsidR="00545A32" w:rsidRPr="00187183">
        <w:rPr>
          <w:rFonts w:ascii="Arial Narrow" w:eastAsia="Batang" w:hAnsi="Arial Narrow" w:cs="Arial"/>
          <w:bCs/>
          <w:color w:val="B85808"/>
          <w:sz w:val="40"/>
          <w:szCs w:val="40"/>
        </w:rPr>
        <w:t xml:space="preserve"> (CALCs)</w:t>
      </w:r>
    </w:p>
    <w:p w14:paraId="6B242A32" w14:textId="77777777" w:rsidR="00403043"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a</w:t>
      </w:r>
      <w:r w:rsidR="00403043" w:rsidRPr="00187183">
        <w:rPr>
          <w:rFonts w:ascii="Arial Narrow" w:eastAsia="Batang" w:hAnsi="Arial Narrow" w:cs="Arial"/>
          <w:bCs/>
          <w:color w:val="B85808"/>
          <w:sz w:val="40"/>
          <w:szCs w:val="40"/>
        </w:rPr>
        <w:t>nd</w:t>
      </w:r>
    </w:p>
    <w:p w14:paraId="6573A47E"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Correctional Institutions</w:t>
      </w:r>
      <w:r w:rsidR="00545A32" w:rsidRPr="00187183">
        <w:rPr>
          <w:rFonts w:ascii="Arial Narrow" w:eastAsia="Batang" w:hAnsi="Arial Narrow" w:cs="Arial"/>
          <w:bCs/>
          <w:color w:val="B85808"/>
          <w:sz w:val="40"/>
          <w:szCs w:val="40"/>
        </w:rPr>
        <w:t xml:space="preserve"> (AECIs)</w:t>
      </w:r>
    </w:p>
    <w:p w14:paraId="207A5802" w14:textId="77777777" w:rsidR="00403043" w:rsidRPr="0079354F" w:rsidRDefault="00403043" w:rsidP="0047675C"/>
    <w:p w14:paraId="108EFD3A" w14:textId="77777777" w:rsidR="0053200A" w:rsidRPr="0079354F" w:rsidRDefault="0053200A" w:rsidP="0047675C"/>
    <w:p w14:paraId="58954BE5" w14:textId="77777777" w:rsidR="00BD4638" w:rsidRPr="0079354F" w:rsidRDefault="00BD4638" w:rsidP="0047675C"/>
    <w:p w14:paraId="728D8860" w14:textId="77777777" w:rsidR="00BD4638" w:rsidRPr="0079354F" w:rsidRDefault="00BD4638" w:rsidP="0047675C"/>
    <w:p w14:paraId="3AB5B234" w14:textId="77777777" w:rsidR="00BD4638" w:rsidRPr="0079354F" w:rsidRDefault="00BD4638" w:rsidP="0047675C"/>
    <w:p w14:paraId="67823AF2" w14:textId="77777777" w:rsidR="001A7BD5" w:rsidRPr="0079354F" w:rsidRDefault="001A7BD5" w:rsidP="0047675C"/>
    <w:p w14:paraId="0A1C4FC0" w14:textId="77777777" w:rsidR="001A7BD5" w:rsidRPr="0079354F" w:rsidRDefault="001A7BD5" w:rsidP="0047675C"/>
    <w:p w14:paraId="7B2C398F" w14:textId="77777777" w:rsidR="001A7BD5" w:rsidRPr="0079354F" w:rsidRDefault="001A7BD5" w:rsidP="0047675C"/>
    <w:p w14:paraId="6AA927B8" w14:textId="77777777" w:rsidR="001A7BD5" w:rsidRPr="0079354F" w:rsidRDefault="001A7BD5" w:rsidP="0047675C"/>
    <w:p w14:paraId="7665B8F3" w14:textId="77777777" w:rsidR="001A7BD5" w:rsidRPr="0079354F" w:rsidRDefault="001A7BD5" w:rsidP="0047675C"/>
    <w:p w14:paraId="37752CD4" w14:textId="77777777" w:rsidR="001A7BD5" w:rsidRPr="0079354F" w:rsidRDefault="001A7BD5" w:rsidP="0047675C"/>
    <w:p w14:paraId="25457FE2" w14:textId="77777777" w:rsidR="00F56409" w:rsidRPr="0079354F" w:rsidRDefault="37E106EE" w:rsidP="005F7D97">
      <w:pPr>
        <w:jc w:val="center"/>
      </w:pPr>
      <w:r w:rsidRPr="0079354F">
        <w:rPr>
          <w:noProof/>
        </w:rPr>
        <w:drawing>
          <wp:inline distT="0" distB="0" distL="0" distR="0" wp14:anchorId="5FC8A3F4" wp14:editId="5DA40998">
            <wp:extent cx="2219325" cy="1079314"/>
            <wp:effectExtent l="0" t="0" r="9525" b="0"/>
            <wp:docPr id="7"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1079314"/>
                    </a:xfrm>
                    <a:prstGeom prst="rect">
                      <a:avLst/>
                    </a:prstGeom>
                  </pic:spPr>
                </pic:pic>
              </a:graphicData>
            </a:graphic>
          </wp:inline>
        </w:drawing>
      </w:r>
    </w:p>
    <w:p w14:paraId="7647C3C9" w14:textId="77777777" w:rsidR="00403043" w:rsidRPr="0079354F" w:rsidRDefault="002B3F54" w:rsidP="005F7D97">
      <w:pPr>
        <w:spacing w:before="240"/>
        <w:jc w:val="center"/>
        <w:rPr>
          <w:rStyle w:val="Hyperlink"/>
          <w:rFonts w:ascii="Arial Narrow" w:eastAsia="FangSong" w:hAnsi="Arial Narrow" w:cs="Arial"/>
          <w:bCs/>
          <w:sz w:val="32"/>
          <w:szCs w:val="32"/>
        </w:rPr>
      </w:pPr>
      <w:r w:rsidRPr="0079354F">
        <w:rPr>
          <w:rFonts w:ascii="Arial Narrow" w:eastAsia="FangSong" w:hAnsi="Arial Narrow" w:cs="Arial"/>
          <w:bCs/>
          <w:color w:val="0000CC"/>
          <w:sz w:val="32"/>
          <w:szCs w:val="32"/>
          <w:shd w:val="clear" w:color="auto" w:fill="E6E6E6"/>
        </w:rPr>
        <w:fldChar w:fldCharType="begin"/>
      </w:r>
      <w:r w:rsidRPr="0079354F">
        <w:rPr>
          <w:rFonts w:ascii="Arial Narrow" w:eastAsia="FangSong" w:hAnsi="Arial Narrow" w:cs="Arial"/>
          <w:bCs/>
          <w:color w:val="0000CC"/>
          <w:sz w:val="32"/>
          <w:szCs w:val="32"/>
        </w:rPr>
        <w:instrText xml:space="preserve"> HYPERLINK "http://www.doe.mass.edu/acls" </w:instrText>
      </w:r>
      <w:r w:rsidRPr="0079354F">
        <w:rPr>
          <w:rFonts w:ascii="Arial Narrow" w:eastAsia="FangSong" w:hAnsi="Arial Narrow" w:cs="Arial"/>
          <w:bCs/>
          <w:color w:val="0000CC"/>
          <w:sz w:val="32"/>
          <w:szCs w:val="32"/>
          <w:shd w:val="clear" w:color="auto" w:fill="E6E6E6"/>
        </w:rPr>
        <w:fldChar w:fldCharType="separate"/>
      </w:r>
      <w:r w:rsidR="00403043" w:rsidRPr="0079354F">
        <w:rPr>
          <w:rStyle w:val="Hyperlink"/>
          <w:rFonts w:ascii="Arial Narrow" w:eastAsia="FangSong" w:hAnsi="Arial Narrow" w:cs="Arial"/>
          <w:bCs/>
          <w:sz w:val="32"/>
          <w:szCs w:val="32"/>
        </w:rPr>
        <w:t>Adult and Community Learning Services</w:t>
      </w:r>
      <w:r w:rsidR="005476C2" w:rsidRPr="0079354F">
        <w:rPr>
          <w:rStyle w:val="Hyperlink"/>
          <w:rFonts w:ascii="Arial Narrow" w:eastAsia="FangSong" w:hAnsi="Arial Narrow" w:cs="Arial"/>
          <w:bCs/>
          <w:sz w:val="32"/>
          <w:szCs w:val="32"/>
        </w:rPr>
        <w:t xml:space="preserve"> (ACLS)</w:t>
      </w:r>
    </w:p>
    <w:p w14:paraId="3A2EE92F" w14:textId="77777777" w:rsidR="00403043" w:rsidRPr="0079354F" w:rsidRDefault="002B3F54" w:rsidP="005F7D97">
      <w:pPr>
        <w:jc w:val="center"/>
        <w:rPr>
          <w:rFonts w:ascii="Arial Narrow" w:eastAsia="Batang" w:hAnsi="Arial Narrow" w:cs="Arial"/>
          <w:bCs/>
          <w:color w:val="0000CC"/>
          <w:sz w:val="28"/>
          <w:szCs w:val="28"/>
        </w:rPr>
      </w:pPr>
      <w:r w:rsidRPr="0079354F">
        <w:rPr>
          <w:rFonts w:ascii="Arial Narrow" w:eastAsia="FangSong" w:hAnsi="Arial Narrow" w:cs="Arial"/>
          <w:bCs/>
          <w:color w:val="0000CC"/>
          <w:sz w:val="32"/>
          <w:szCs w:val="32"/>
          <w:shd w:val="clear" w:color="auto" w:fill="E6E6E6"/>
        </w:rPr>
        <w:fldChar w:fldCharType="end"/>
      </w:r>
      <w:r w:rsidR="00403043" w:rsidRPr="0079354F">
        <w:rPr>
          <w:rFonts w:ascii="Arial Narrow" w:eastAsia="Batang" w:hAnsi="Arial Narrow" w:cs="Arial"/>
          <w:bCs/>
          <w:color w:val="0000CC"/>
          <w:sz w:val="28"/>
          <w:szCs w:val="28"/>
        </w:rPr>
        <w:t>75 Pleasant Street</w:t>
      </w:r>
    </w:p>
    <w:p w14:paraId="34B490F5" w14:textId="77777777" w:rsidR="00403043" w:rsidRPr="0079354F" w:rsidRDefault="00403043" w:rsidP="005F7D97">
      <w:pPr>
        <w:jc w:val="center"/>
        <w:rPr>
          <w:rFonts w:ascii="Arial Narrow" w:eastAsia="Batang" w:hAnsi="Arial Narrow" w:cs="Arial"/>
          <w:bCs/>
          <w:color w:val="0000CC"/>
          <w:sz w:val="28"/>
          <w:szCs w:val="28"/>
        </w:rPr>
      </w:pPr>
      <w:r w:rsidRPr="0079354F">
        <w:rPr>
          <w:rFonts w:ascii="Arial Narrow" w:eastAsia="Batang" w:hAnsi="Arial Narrow" w:cs="Arial"/>
          <w:bCs/>
          <w:color w:val="0000CC"/>
          <w:sz w:val="28"/>
          <w:szCs w:val="28"/>
        </w:rPr>
        <w:t>Malden, MA 02148-4906</w:t>
      </w:r>
    </w:p>
    <w:p w14:paraId="0E29DB87" w14:textId="77777777" w:rsidR="00403043" w:rsidRPr="0079354F" w:rsidRDefault="00403043" w:rsidP="005F7D97">
      <w:pPr>
        <w:jc w:val="center"/>
        <w:rPr>
          <w:rFonts w:ascii="Arial Narrow" w:eastAsia="Batang" w:hAnsi="Arial Narrow"/>
          <w:lang w:val="de-DE"/>
        </w:rPr>
      </w:pPr>
    </w:p>
    <w:p w14:paraId="76D77952" w14:textId="77777777" w:rsidR="00863856" w:rsidRPr="0079354F" w:rsidRDefault="00863856" w:rsidP="005F7D97">
      <w:pPr>
        <w:jc w:val="center"/>
        <w:rPr>
          <w:rFonts w:ascii="Arial Narrow" w:eastAsia="Batang" w:hAnsi="Arial Narrow" w:cs="Arial"/>
          <w:bCs/>
          <w:color w:val="0000CC"/>
          <w:sz w:val="28"/>
          <w:szCs w:val="28"/>
        </w:rPr>
      </w:pPr>
    </w:p>
    <w:p w14:paraId="4356303B" w14:textId="77777777" w:rsidR="00863856" w:rsidRPr="0079354F" w:rsidRDefault="00863856" w:rsidP="005F7D97">
      <w:pPr>
        <w:jc w:val="center"/>
        <w:rPr>
          <w:rFonts w:ascii="Arial Narrow" w:eastAsia="Batang" w:hAnsi="Arial Narrow" w:cs="Arial"/>
          <w:bCs/>
          <w:color w:val="0000CC"/>
          <w:sz w:val="28"/>
          <w:szCs w:val="28"/>
        </w:rPr>
      </w:pPr>
    </w:p>
    <w:p w14:paraId="25A027CA" w14:textId="089CF55B" w:rsidR="7C0D5DF1" w:rsidRDefault="7C0D5DF1" w:rsidP="7C0D5DF1">
      <w:pPr>
        <w:spacing w:line="259" w:lineRule="auto"/>
        <w:jc w:val="center"/>
        <w:rPr>
          <w:rFonts w:ascii="Arial Narrow" w:eastAsia="Batang" w:hAnsi="Arial Narrow" w:cs="Arial"/>
          <w:color w:val="0000CC"/>
          <w:sz w:val="32"/>
          <w:szCs w:val="32"/>
        </w:rPr>
      </w:pPr>
      <w:r w:rsidRPr="7C0D5DF1">
        <w:rPr>
          <w:rFonts w:ascii="Arial Narrow" w:eastAsia="Batang" w:hAnsi="Arial Narrow" w:cs="Arial"/>
          <w:color w:val="0000CC"/>
          <w:sz w:val="32"/>
          <w:szCs w:val="32"/>
        </w:rPr>
        <w:t>Posted July 2022</w:t>
      </w:r>
    </w:p>
    <w:p w14:paraId="7A65CB95" w14:textId="77777777" w:rsidR="00E6141E" w:rsidRPr="0079354F" w:rsidRDefault="00E6141E" w:rsidP="0047675C">
      <w:pPr>
        <w:rPr>
          <w:rFonts w:ascii="Arial Narrow" w:eastAsia="Batang" w:hAnsi="Arial Narrow" w:cs="Arial"/>
          <w:bCs/>
          <w:color w:val="0000CC"/>
          <w:sz w:val="28"/>
          <w:szCs w:val="28"/>
        </w:rPr>
      </w:pPr>
    </w:p>
    <w:p w14:paraId="2E400266" w14:textId="77777777" w:rsidR="008A4E8F" w:rsidRPr="0079354F" w:rsidRDefault="008A4E8F" w:rsidP="0047675C">
      <w:pPr>
        <w:rPr>
          <w:rFonts w:ascii="Arial Narrow" w:eastAsia="Batang" w:hAnsi="Arial Narrow" w:cs="Arial"/>
          <w:bCs/>
          <w:color w:val="0000CC"/>
          <w:sz w:val="28"/>
          <w:szCs w:val="28"/>
        </w:rPr>
      </w:pPr>
    </w:p>
    <w:p w14:paraId="68A8D2DA" w14:textId="77777777" w:rsidR="008A4E8F" w:rsidRPr="0079354F" w:rsidRDefault="008A4E8F" w:rsidP="0047675C">
      <w:pPr>
        <w:rPr>
          <w:rFonts w:ascii="Arial Narrow" w:eastAsia="Batang" w:hAnsi="Arial Narrow" w:cs="Arial"/>
          <w:bCs/>
          <w:color w:val="0000CC"/>
          <w:sz w:val="28"/>
          <w:szCs w:val="28"/>
        </w:rPr>
      </w:pPr>
    </w:p>
    <w:p w14:paraId="2FADE032" w14:textId="77777777" w:rsidR="008A4E8F" w:rsidRPr="0079354F" w:rsidRDefault="008A4E8F" w:rsidP="0047675C">
      <w:pPr>
        <w:rPr>
          <w:rFonts w:ascii="Arial Narrow" w:eastAsia="Batang" w:hAnsi="Arial Narrow" w:cs="Arial"/>
          <w:bCs/>
          <w:color w:val="0000CC"/>
          <w:sz w:val="28"/>
          <w:szCs w:val="28"/>
        </w:rPr>
      </w:pPr>
    </w:p>
    <w:p w14:paraId="3C7EA054" w14:textId="77777777" w:rsidR="008A4E8F" w:rsidRPr="0079354F" w:rsidRDefault="008A4E8F" w:rsidP="0047675C">
      <w:pPr>
        <w:rPr>
          <w:rFonts w:ascii="Arial Narrow" w:eastAsia="Batang" w:hAnsi="Arial Narrow" w:cs="Arial"/>
          <w:bCs/>
          <w:color w:val="0000CC"/>
          <w:sz w:val="28"/>
          <w:szCs w:val="28"/>
        </w:rPr>
      </w:pPr>
    </w:p>
    <w:p w14:paraId="60D978E7" w14:textId="77777777" w:rsidR="008A4E8F" w:rsidRPr="0079354F" w:rsidRDefault="008A4E8F" w:rsidP="0047675C">
      <w:pPr>
        <w:rPr>
          <w:rFonts w:ascii="Arial Narrow" w:eastAsia="Batang" w:hAnsi="Arial Narrow" w:cs="Arial"/>
          <w:bCs/>
          <w:color w:val="0000CC"/>
          <w:sz w:val="28"/>
          <w:szCs w:val="28"/>
        </w:rPr>
      </w:pPr>
    </w:p>
    <w:p w14:paraId="12000D36" w14:textId="77777777" w:rsidR="008A4E8F" w:rsidRPr="0079354F" w:rsidRDefault="008A4E8F" w:rsidP="0047675C">
      <w:pPr>
        <w:rPr>
          <w:rFonts w:ascii="Arial Narrow" w:eastAsia="Batang" w:hAnsi="Arial Narrow" w:cs="Arial"/>
          <w:bCs/>
          <w:color w:val="0000CC"/>
          <w:sz w:val="28"/>
          <w:szCs w:val="28"/>
        </w:rPr>
      </w:pPr>
    </w:p>
    <w:p w14:paraId="27079B8C" w14:textId="77777777" w:rsidR="008A4E8F" w:rsidRPr="0079354F" w:rsidRDefault="008A4E8F" w:rsidP="0047675C">
      <w:pPr>
        <w:rPr>
          <w:rFonts w:ascii="Arial Narrow" w:eastAsia="Batang" w:hAnsi="Arial Narrow" w:cs="Arial"/>
          <w:bCs/>
          <w:color w:val="0000CC"/>
          <w:sz w:val="28"/>
          <w:szCs w:val="28"/>
        </w:rPr>
      </w:pPr>
    </w:p>
    <w:p w14:paraId="69E715E9" w14:textId="77777777" w:rsidR="008A4E8F" w:rsidRPr="0079354F" w:rsidRDefault="008A4E8F" w:rsidP="0047675C">
      <w:pPr>
        <w:rPr>
          <w:rFonts w:ascii="Arial Narrow" w:eastAsia="Batang" w:hAnsi="Arial Narrow" w:cs="Arial"/>
          <w:bCs/>
          <w:color w:val="0000CC"/>
          <w:sz w:val="28"/>
          <w:szCs w:val="28"/>
        </w:rPr>
      </w:pPr>
    </w:p>
    <w:p w14:paraId="6140737E" w14:textId="77777777" w:rsidR="008A4E8F" w:rsidRPr="0079354F" w:rsidRDefault="008A4E8F" w:rsidP="0047675C">
      <w:pPr>
        <w:rPr>
          <w:rFonts w:ascii="Arial Narrow" w:eastAsia="Batang" w:hAnsi="Arial Narrow" w:cs="Arial"/>
          <w:bCs/>
          <w:color w:val="0000CC"/>
          <w:sz w:val="28"/>
          <w:szCs w:val="28"/>
        </w:rPr>
      </w:pPr>
    </w:p>
    <w:p w14:paraId="009B9F8A" w14:textId="77777777" w:rsidR="008A4E8F" w:rsidRPr="0079354F" w:rsidRDefault="008A4E8F" w:rsidP="0047675C">
      <w:pPr>
        <w:rPr>
          <w:rFonts w:ascii="Arial Narrow" w:eastAsia="Batang" w:hAnsi="Arial Narrow" w:cs="Arial"/>
          <w:bCs/>
          <w:color w:val="0000CC"/>
          <w:sz w:val="28"/>
          <w:szCs w:val="28"/>
        </w:rPr>
      </w:pPr>
    </w:p>
    <w:p w14:paraId="6D4420C9" w14:textId="77777777" w:rsidR="008A4E8F" w:rsidRPr="0079354F" w:rsidRDefault="008A4E8F" w:rsidP="0047675C">
      <w:pPr>
        <w:rPr>
          <w:rFonts w:ascii="Arial Narrow" w:eastAsia="Batang" w:hAnsi="Arial Narrow" w:cs="Arial"/>
          <w:bCs/>
          <w:color w:val="0000CC"/>
          <w:sz w:val="28"/>
          <w:szCs w:val="28"/>
        </w:rPr>
      </w:pPr>
    </w:p>
    <w:p w14:paraId="69AAACF0" w14:textId="77777777" w:rsidR="008A4E8F" w:rsidRPr="0079354F" w:rsidRDefault="008A4E8F" w:rsidP="0047675C">
      <w:pPr>
        <w:rPr>
          <w:rFonts w:ascii="Arial Narrow" w:eastAsia="Batang" w:hAnsi="Arial Narrow" w:cs="Arial"/>
          <w:bCs/>
          <w:color w:val="0000CC"/>
          <w:sz w:val="28"/>
          <w:szCs w:val="28"/>
        </w:rPr>
      </w:pPr>
    </w:p>
    <w:p w14:paraId="53B96A8C" w14:textId="77777777" w:rsidR="008A4E8F" w:rsidRPr="0079354F" w:rsidRDefault="008A4E8F" w:rsidP="0047675C">
      <w:pPr>
        <w:rPr>
          <w:rFonts w:ascii="Arial Narrow" w:eastAsia="Batang" w:hAnsi="Arial Narrow" w:cs="Arial"/>
          <w:bCs/>
          <w:color w:val="0000CC"/>
          <w:sz w:val="28"/>
          <w:szCs w:val="28"/>
        </w:rPr>
      </w:pPr>
    </w:p>
    <w:p w14:paraId="0B396444" w14:textId="77777777" w:rsidR="008A4E8F" w:rsidRPr="0079354F" w:rsidRDefault="008A4E8F" w:rsidP="0047675C">
      <w:pPr>
        <w:rPr>
          <w:rFonts w:ascii="Arial Narrow" w:eastAsia="Batang" w:hAnsi="Arial Narrow" w:cs="Arial"/>
          <w:bCs/>
          <w:color w:val="0000CC"/>
          <w:sz w:val="28"/>
          <w:szCs w:val="28"/>
        </w:rPr>
      </w:pPr>
    </w:p>
    <w:p w14:paraId="33C82B4B" w14:textId="77777777" w:rsidR="008A4E8F" w:rsidRPr="0079354F" w:rsidRDefault="008A4E8F" w:rsidP="0047675C">
      <w:pPr>
        <w:rPr>
          <w:rFonts w:ascii="Arial Narrow" w:eastAsia="Batang" w:hAnsi="Arial Narrow" w:cs="Arial"/>
          <w:bCs/>
          <w:color w:val="0000CC"/>
          <w:sz w:val="28"/>
          <w:szCs w:val="28"/>
        </w:rPr>
      </w:pPr>
    </w:p>
    <w:p w14:paraId="2131A4A1" w14:textId="77777777" w:rsidR="008A4E8F" w:rsidRPr="0079354F" w:rsidRDefault="008A4E8F" w:rsidP="0047675C">
      <w:pPr>
        <w:rPr>
          <w:rFonts w:ascii="Arial Narrow" w:eastAsia="Batang" w:hAnsi="Arial Narrow" w:cs="Arial"/>
          <w:bCs/>
          <w:color w:val="0000CC"/>
          <w:sz w:val="28"/>
          <w:szCs w:val="28"/>
        </w:rPr>
      </w:pPr>
    </w:p>
    <w:p w14:paraId="088579CD" w14:textId="77777777" w:rsidR="008A4E8F" w:rsidRPr="0079354F" w:rsidRDefault="008A4E8F" w:rsidP="0047675C">
      <w:pPr>
        <w:rPr>
          <w:rFonts w:ascii="Arial Narrow" w:eastAsia="Batang" w:hAnsi="Arial Narrow" w:cs="Arial"/>
          <w:bCs/>
          <w:color w:val="0000CC"/>
          <w:sz w:val="28"/>
          <w:szCs w:val="28"/>
        </w:rPr>
      </w:pPr>
    </w:p>
    <w:p w14:paraId="039E61A0" w14:textId="77777777" w:rsidR="008A4E8F" w:rsidRPr="0079354F" w:rsidRDefault="008A4E8F" w:rsidP="0047675C">
      <w:pPr>
        <w:rPr>
          <w:rFonts w:ascii="Arial Narrow" w:eastAsia="Batang" w:hAnsi="Arial Narrow" w:cs="Arial"/>
          <w:bCs/>
          <w:color w:val="0000CC"/>
          <w:sz w:val="28"/>
          <w:szCs w:val="28"/>
        </w:rPr>
      </w:pPr>
    </w:p>
    <w:p w14:paraId="6E13FAC8" w14:textId="77777777" w:rsidR="008A4E8F" w:rsidRPr="0079354F" w:rsidRDefault="008A4E8F" w:rsidP="0047675C">
      <w:pPr>
        <w:rPr>
          <w:rFonts w:ascii="Arial Narrow" w:eastAsia="Batang" w:hAnsi="Arial Narrow" w:cs="Arial"/>
          <w:bCs/>
          <w:color w:val="0000CC"/>
          <w:sz w:val="28"/>
          <w:szCs w:val="28"/>
        </w:rPr>
      </w:pPr>
    </w:p>
    <w:p w14:paraId="0F88CBB0" w14:textId="77777777" w:rsidR="008A4E8F" w:rsidRPr="0079354F" w:rsidRDefault="008A4E8F" w:rsidP="0047675C">
      <w:pPr>
        <w:rPr>
          <w:rFonts w:ascii="Arial Narrow" w:eastAsia="Batang" w:hAnsi="Arial Narrow" w:cs="Arial"/>
          <w:bCs/>
          <w:color w:val="0000CC"/>
          <w:sz w:val="28"/>
          <w:szCs w:val="28"/>
        </w:rPr>
      </w:pPr>
    </w:p>
    <w:p w14:paraId="0DFACA53" w14:textId="77777777" w:rsidR="008A4E8F" w:rsidRPr="0079354F" w:rsidRDefault="008A4E8F" w:rsidP="0047675C">
      <w:pPr>
        <w:rPr>
          <w:rFonts w:ascii="Arial Narrow" w:eastAsia="Batang" w:hAnsi="Arial Narrow" w:cs="Arial"/>
          <w:bCs/>
          <w:color w:val="0000CC"/>
          <w:sz w:val="28"/>
          <w:szCs w:val="28"/>
        </w:rPr>
      </w:pPr>
    </w:p>
    <w:p w14:paraId="69308C25" w14:textId="2538E755" w:rsidR="008A4E8F" w:rsidRPr="0079354F" w:rsidRDefault="008A4E8F" w:rsidP="005F7D97">
      <w:pPr>
        <w:jc w:val="center"/>
        <w:rPr>
          <w:rFonts w:eastAsia="Batang"/>
          <w:bCs/>
          <w:sz w:val="28"/>
          <w:szCs w:val="28"/>
        </w:rPr>
      </w:pPr>
      <w:r w:rsidRPr="0079354F">
        <w:rPr>
          <w:rFonts w:eastAsia="Batang"/>
          <w:bCs/>
          <w:sz w:val="28"/>
          <w:szCs w:val="28"/>
        </w:rPr>
        <w:t>This page intentionally left blank</w:t>
      </w:r>
      <w:r w:rsidR="000C12E7" w:rsidRPr="0079354F">
        <w:rPr>
          <w:rFonts w:eastAsia="Batang"/>
          <w:bCs/>
          <w:sz w:val="28"/>
          <w:szCs w:val="28"/>
        </w:rPr>
        <w:t>.</w:t>
      </w:r>
    </w:p>
    <w:p w14:paraId="067D57EA" w14:textId="77777777" w:rsidR="008A4E8F" w:rsidRPr="0079354F" w:rsidRDefault="008A4E8F" w:rsidP="0047675C">
      <w:pPr>
        <w:rPr>
          <w:rFonts w:ascii="Arial Narrow" w:eastAsia="Batang" w:hAnsi="Arial Narrow" w:cs="Arial"/>
          <w:bCs/>
          <w:color w:val="0000CC"/>
          <w:sz w:val="28"/>
          <w:szCs w:val="28"/>
        </w:rPr>
      </w:pPr>
    </w:p>
    <w:p w14:paraId="11A251C6" w14:textId="77777777" w:rsidR="008A4E8F" w:rsidRPr="0079354F" w:rsidRDefault="008A4E8F" w:rsidP="0047675C">
      <w:pPr>
        <w:rPr>
          <w:rFonts w:ascii="Arial Narrow" w:eastAsia="Batang" w:hAnsi="Arial Narrow" w:cs="Arial"/>
          <w:bCs/>
          <w:color w:val="0000CC"/>
          <w:sz w:val="28"/>
          <w:szCs w:val="28"/>
        </w:rPr>
        <w:sectPr w:rsidR="008A4E8F" w:rsidRPr="0079354F" w:rsidSect="004D60D4">
          <w:headerReference w:type="default" r:id="rId12"/>
          <w:footerReference w:type="default" r:id="rId13"/>
          <w:pgSz w:w="12240" w:h="15840" w:code="1"/>
          <w:pgMar w:top="576" w:right="1440" w:bottom="576" w:left="1440" w:header="576" w:footer="576" w:gutter="0"/>
          <w:pgNumType w:start="1"/>
          <w:cols w:space="720"/>
          <w:docGrid w:linePitch="360"/>
        </w:sectPr>
      </w:pPr>
    </w:p>
    <w:bookmarkEnd w:id="0" w:displacedByCustomXml="next"/>
    <w:bookmarkStart w:id="1" w:name="_Toc333754109" w:displacedByCustomXml="next"/>
    <w:bookmarkStart w:id="2" w:name="_Toc309309401" w:displacedByCustomXml="next"/>
    <w:bookmarkStart w:id="3" w:name="_Toc309294870" w:displacedByCustomXml="next"/>
    <w:bookmarkStart w:id="4" w:name="_Toc309294689" w:displacedByCustomXml="next"/>
    <w:bookmarkStart w:id="5" w:name="_Toc309294030" w:displacedByCustomXml="next"/>
    <w:bookmarkStart w:id="6" w:name="_Toc309293495" w:displacedByCustomXml="next"/>
    <w:sdt>
      <w:sdtPr>
        <w:rPr>
          <w:rFonts w:ascii="Times New Roman" w:eastAsia="Batang" w:hAnsi="Times New Roman" w:cs="Times New Roman"/>
          <w:b w:val="0"/>
          <w:bCs w:val="0"/>
          <w:noProof/>
          <w:color w:val="auto"/>
          <w:sz w:val="24"/>
          <w:szCs w:val="24"/>
        </w:rPr>
        <w:id w:val="950675355"/>
        <w:docPartObj>
          <w:docPartGallery w:val="Table of Contents"/>
          <w:docPartUnique/>
        </w:docPartObj>
      </w:sdtPr>
      <w:sdtEndPr/>
      <w:sdtContent>
        <w:bookmarkStart w:id="7" w:name="_Toc407353312" w:displacedByCustomXml="prev"/>
        <w:p w14:paraId="1B27E163" w14:textId="6827FD3A" w:rsidR="008F0A61" w:rsidRPr="0079354F" w:rsidRDefault="009B7C5A" w:rsidP="006A7334">
          <w:pPr>
            <w:pStyle w:val="TOCHeading"/>
            <w:spacing w:before="0"/>
          </w:pPr>
          <w:r>
            <w:t>Table of Contents</w:t>
          </w:r>
        </w:p>
        <w:p w14:paraId="3F454C79" w14:textId="6EFCE2BB" w:rsidR="00C17DD7" w:rsidRDefault="2C87A253">
          <w:pPr>
            <w:pStyle w:val="TOC2"/>
            <w:rPr>
              <w:rFonts w:asciiTheme="minorHAnsi" w:eastAsiaTheme="minorEastAsia" w:hAnsiTheme="minorHAnsi" w:cstheme="minorBidi"/>
              <w:sz w:val="22"/>
              <w:szCs w:val="22"/>
            </w:rPr>
          </w:pPr>
          <w:r>
            <w:fldChar w:fldCharType="begin"/>
          </w:r>
          <w:r w:rsidR="00FC2F5F">
            <w:instrText>TOC \o "1-3" \h \z \u</w:instrText>
          </w:r>
          <w:r>
            <w:fldChar w:fldCharType="separate"/>
          </w:r>
          <w:hyperlink w:anchor="_Toc109195952" w:history="1">
            <w:r w:rsidR="00C17DD7" w:rsidRPr="0036498A">
              <w:rPr>
                <w:rStyle w:val="Hyperlink"/>
                <w:b/>
              </w:rPr>
              <w:t>Introduction and Adult Education Glossary</w:t>
            </w:r>
            <w:r w:rsidR="00C17DD7">
              <w:rPr>
                <w:webHidden/>
              </w:rPr>
              <w:tab/>
            </w:r>
            <w:r w:rsidR="00C17DD7">
              <w:rPr>
                <w:webHidden/>
              </w:rPr>
              <w:fldChar w:fldCharType="begin"/>
            </w:r>
            <w:r w:rsidR="00C17DD7">
              <w:rPr>
                <w:webHidden/>
              </w:rPr>
              <w:instrText xml:space="preserve"> PAGEREF _Toc109195952 \h </w:instrText>
            </w:r>
            <w:r w:rsidR="00C17DD7">
              <w:rPr>
                <w:webHidden/>
              </w:rPr>
            </w:r>
            <w:r w:rsidR="00C17DD7">
              <w:rPr>
                <w:webHidden/>
              </w:rPr>
              <w:fldChar w:fldCharType="separate"/>
            </w:r>
            <w:r w:rsidR="00356390">
              <w:rPr>
                <w:webHidden/>
              </w:rPr>
              <w:t>1</w:t>
            </w:r>
            <w:r w:rsidR="00C17DD7">
              <w:rPr>
                <w:webHidden/>
              </w:rPr>
              <w:fldChar w:fldCharType="end"/>
            </w:r>
          </w:hyperlink>
        </w:p>
        <w:p w14:paraId="609387D6" w14:textId="7E734F2F" w:rsidR="00C17DD7" w:rsidRDefault="00695FC4">
          <w:pPr>
            <w:pStyle w:val="TOC2"/>
            <w:rPr>
              <w:rFonts w:asciiTheme="minorHAnsi" w:eastAsiaTheme="minorEastAsia" w:hAnsiTheme="minorHAnsi" w:cstheme="minorBidi"/>
              <w:sz w:val="22"/>
              <w:szCs w:val="22"/>
            </w:rPr>
          </w:pPr>
          <w:hyperlink w:anchor="_Toc109195953" w:history="1">
            <w:r w:rsidR="00C17DD7" w:rsidRPr="0036498A">
              <w:rPr>
                <w:rStyle w:val="Hyperlink"/>
                <w:b/>
              </w:rPr>
              <w:t>Overview</w:t>
            </w:r>
            <w:r w:rsidR="00C17DD7">
              <w:rPr>
                <w:webHidden/>
              </w:rPr>
              <w:tab/>
            </w:r>
            <w:r w:rsidR="00C17DD7">
              <w:rPr>
                <w:webHidden/>
              </w:rPr>
              <w:fldChar w:fldCharType="begin"/>
            </w:r>
            <w:r w:rsidR="00C17DD7">
              <w:rPr>
                <w:webHidden/>
              </w:rPr>
              <w:instrText xml:space="preserve"> PAGEREF _Toc109195953 \h </w:instrText>
            </w:r>
            <w:r w:rsidR="00C17DD7">
              <w:rPr>
                <w:webHidden/>
              </w:rPr>
            </w:r>
            <w:r w:rsidR="00C17DD7">
              <w:rPr>
                <w:webHidden/>
              </w:rPr>
              <w:fldChar w:fldCharType="separate"/>
            </w:r>
            <w:r w:rsidR="00356390">
              <w:rPr>
                <w:webHidden/>
              </w:rPr>
              <w:t>2</w:t>
            </w:r>
            <w:r w:rsidR="00C17DD7">
              <w:rPr>
                <w:webHidden/>
              </w:rPr>
              <w:fldChar w:fldCharType="end"/>
            </w:r>
          </w:hyperlink>
        </w:p>
        <w:p w14:paraId="16CEFA55" w14:textId="29380F66" w:rsidR="00C17DD7" w:rsidRDefault="00695FC4">
          <w:pPr>
            <w:pStyle w:val="TOC3"/>
            <w:tabs>
              <w:tab w:val="right" w:leader="dot" w:pos="9350"/>
            </w:tabs>
            <w:rPr>
              <w:rFonts w:asciiTheme="minorHAnsi" w:eastAsiaTheme="minorEastAsia" w:hAnsiTheme="minorHAnsi" w:cstheme="minorBidi"/>
              <w:noProof/>
              <w:szCs w:val="22"/>
            </w:rPr>
          </w:pPr>
          <w:hyperlink w:anchor="_Toc109195954" w:history="1">
            <w:r w:rsidR="00C17DD7" w:rsidRPr="0036498A">
              <w:rPr>
                <w:rStyle w:val="Hyperlink"/>
                <w:b/>
                <w:bCs/>
                <w:noProof/>
              </w:rPr>
              <w:t>Department of Elementary and Secondary Education Goal (DESE)</w:t>
            </w:r>
            <w:r w:rsidR="00C17DD7">
              <w:rPr>
                <w:noProof/>
                <w:webHidden/>
              </w:rPr>
              <w:tab/>
            </w:r>
            <w:r w:rsidR="00C17DD7">
              <w:rPr>
                <w:noProof/>
                <w:webHidden/>
              </w:rPr>
              <w:fldChar w:fldCharType="begin"/>
            </w:r>
            <w:r w:rsidR="00C17DD7">
              <w:rPr>
                <w:noProof/>
                <w:webHidden/>
              </w:rPr>
              <w:instrText xml:space="preserve"> PAGEREF _Toc109195954 \h </w:instrText>
            </w:r>
            <w:r w:rsidR="00C17DD7">
              <w:rPr>
                <w:noProof/>
                <w:webHidden/>
              </w:rPr>
            </w:r>
            <w:r w:rsidR="00C17DD7">
              <w:rPr>
                <w:noProof/>
                <w:webHidden/>
              </w:rPr>
              <w:fldChar w:fldCharType="separate"/>
            </w:r>
            <w:r w:rsidR="00356390">
              <w:rPr>
                <w:noProof/>
                <w:webHidden/>
              </w:rPr>
              <w:t>2</w:t>
            </w:r>
            <w:r w:rsidR="00C17DD7">
              <w:rPr>
                <w:noProof/>
                <w:webHidden/>
              </w:rPr>
              <w:fldChar w:fldCharType="end"/>
            </w:r>
          </w:hyperlink>
        </w:p>
        <w:p w14:paraId="1D663D56" w14:textId="113BBE7A" w:rsidR="00C17DD7" w:rsidRDefault="00695FC4">
          <w:pPr>
            <w:pStyle w:val="TOC3"/>
            <w:tabs>
              <w:tab w:val="right" w:leader="dot" w:pos="9350"/>
            </w:tabs>
            <w:rPr>
              <w:rFonts w:asciiTheme="minorHAnsi" w:eastAsiaTheme="minorEastAsia" w:hAnsiTheme="minorHAnsi" w:cstheme="minorBidi"/>
              <w:noProof/>
              <w:szCs w:val="22"/>
            </w:rPr>
          </w:pPr>
          <w:hyperlink w:anchor="_Toc109195955" w:history="1">
            <w:r w:rsidR="00C17DD7" w:rsidRPr="0036498A">
              <w:rPr>
                <w:rStyle w:val="Hyperlink"/>
                <w:b/>
                <w:bCs/>
                <w:noProof/>
              </w:rPr>
              <w:t>Center for Educational Options Mission</w:t>
            </w:r>
            <w:r w:rsidR="00C17DD7">
              <w:rPr>
                <w:noProof/>
                <w:webHidden/>
              </w:rPr>
              <w:tab/>
            </w:r>
            <w:r w:rsidR="00C17DD7">
              <w:rPr>
                <w:noProof/>
                <w:webHidden/>
              </w:rPr>
              <w:fldChar w:fldCharType="begin"/>
            </w:r>
            <w:r w:rsidR="00C17DD7">
              <w:rPr>
                <w:noProof/>
                <w:webHidden/>
              </w:rPr>
              <w:instrText xml:space="preserve"> PAGEREF _Toc109195955 \h </w:instrText>
            </w:r>
            <w:r w:rsidR="00C17DD7">
              <w:rPr>
                <w:noProof/>
                <w:webHidden/>
              </w:rPr>
            </w:r>
            <w:r w:rsidR="00C17DD7">
              <w:rPr>
                <w:noProof/>
                <w:webHidden/>
              </w:rPr>
              <w:fldChar w:fldCharType="separate"/>
            </w:r>
            <w:r w:rsidR="00356390">
              <w:rPr>
                <w:noProof/>
                <w:webHidden/>
              </w:rPr>
              <w:t>2</w:t>
            </w:r>
            <w:r w:rsidR="00C17DD7">
              <w:rPr>
                <w:noProof/>
                <w:webHidden/>
              </w:rPr>
              <w:fldChar w:fldCharType="end"/>
            </w:r>
          </w:hyperlink>
        </w:p>
        <w:p w14:paraId="764BD764" w14:textId="68F0C410" w:rsidR="00C17DD7" w:rsidRDefault="00695FC4">
          <w:pPr>
            <w:pStyle w:val="TOC3"/>
            <w:tabs>
              <w:tab w:val="right" w:leader="dot" w:pos="9350"/>
            </w:tabs>
            <w:rPr>
              <w:rFonts w:asciiTheme="minorHAnsi" w:eastAsiaTheme="minorEastAsia" w:hAnsiTheme="minorHAnsi" w:cstheme="minorBidi"/>
              <w:noProof/>
              <w:szCs w:val="22"/>
            </w:rPr>
          </w:pPr>
          <w:hyperlink w:anchor="_Toc109195956" w:history="1">
            <w:r w:rsidR="00C17DD7" w:rsidRPr="0036498A">
              <w:rPr>
                <w:rStyle w:val="Hyperlink"/>
                <w:b/>
                <w:bCs/>
                <w:noProof/>
              </w:rPr>
              <w:t>Adult and Community Learning Services Mission</w:t>
            </w:r>
            <w:r w:rsidR="00C17DD7">
              <w:rPr>
                <w:noProof/>
                <w:webHidden/>
              </w:rPr>
              <w:tab/>
            </w:r>
            <w:r w:rsidR="00C17DD7">
              <w:rPr>
                <w:noProof/>
                <w:webHidden/>
              </w:rPr>
              <w:fldChar w:fldCharType="begin"/>
            </w:r>
            <w:r w:rsidR="00C17DD7">
              <w:rPr>
                <w:noProof/>
                <w:webHidden/>
              </w:rPr>
              <w:instrText xml:space="preserve"> PAGEREF _Toc109195956 \h </w:instrText>
            </w:r>
            <w:r w:rsidR="00C17DD7">
              <w:rPr>
                <w:noProof/>
                <w:webHidden/>
              </w:rPr>
            </w:r>
            <w:r w:rsidR="00C17DD7">
              <w:rPr>
                <w:noProof/>
                <w:webHidden/>
              </w:rPr>
              <w:fldChar w:fldCharType="separate"/>
            </w:r>
            <w:r w:rsidR="00356390">
              <w:rPr>
                <w:noProof/>
                <w:webHidden/>
              </w:rPr>
              <w:t>2</w:t>
            </w:r>
            <w:r w:rsidR="00C17DD7">
              <w:rPr>
                <w:noProof/>
                <w:webHidden/>
              </w:rPr>
              <w:fldChar w:fldCharType="end"/>
            </w:r>
          </w:hyperlink>
        </w:p>
        <w:p w14:paraId="56931EA6" w14:textId="1B8856F8" w:rsidR="00C17DD7" w:rsidRDefault="00695FC4">
          <w:pPr>
            <w:pStyle w:val="TOC3"/>
            <w:tabs>
              <w:tab w:val="right" w:leader="dot" w:pos="9350"/>
            </w:tabs>
            <w:rPr>
              <w:rFonts w:asciiTheme="minorHAnsi" w:eastAsiaTheme="minorEastAsia" w:hAnsiTheme="minorHAnsi" w:cstheme="minorBidi"/>
              <w:noProof/>
              <w:szCs w:val="22"/>
            </w:rPr>
          </w:pPr>
          <w:hyperlink w:anchor="_Toc109195957" w:history="1">
            <w:r w:rsidR="00C17DD7" w:rsidRPr="0036498A">
              <w:rPr>
                <w:rStyle w:val="Hyperlink"/>
                <w:b/>
                <w:bCs/>
                <w:noProof/>
              </w:rPr>
              <w:t>The Workforce Innovation and Opportunity Act (WIOA)</w:t>
            </w:r>
            <w:r w:rsidR="00C17DD7">
              <w:rPr>
                <w:noProof/>
                <w:webHidden/>
              </w:rPr>
              <w:tab/>
            </w:r>
            <w:r w:rsidR="00C17DD7">
              <w:rPr>
                <w:noProof/>
                <w:webHidden/>
              </w:rPr>
              <w:fldChar w:fldCharType="begin"/>
            </w:r>
            <w:r w:rsidR="00C17DD7">
              <w:rPr>
                <w:noProof/>
                <w:webHidden/>
              </w:rPr>
              <w:instrText xml:space="preserve"> PAGEREF _Toc109195957 \h </w:instrText>
            </w:r>
            <w:r w:rsidR="00C17DD7">
              <w:rPr>
                <w:noProof/>
                <w:webHidden/>
              </w:rPr>
            </w:r>
            <w:r w:rsidR="00C17DD7">
              <w:rPr>
                <w:noProof/>
                <w:webHidden/>
              </w:rPr>
              <w:fldChar w:fldCharType="separate"/>
            </w:r>
            <w:r w:rsidR="00356390">
              <w:rPr>
                <w:noProof/>
                <w:webHidden/>
              </w:rPr>
              <w:t>2</w:t>
            </w:r>
            <w:r w:rsidR="00C17DD7">
              <w:rPr>
                <w:noProof/>
                <w:webHidden/>
              </w:rPr>
              <w:fldChar w:fldCharType="end"/>
            </w:r>
          </w:hyperlink>
        </w:p>
        <w:p w14:paraId="650BA1F1" w14:textId="75C5B32E" w:rsidR="00C17DD7" w:rsidRDefault="00695FC4">
          <w:pPr>
            <w:pStyle w:val="TOC3"/>
            <w:tabs>
              <w:tab w:val="right" w:leader="dot" w:pos="9350"/>
            </w:tabs>
            <w:rPr>
              <w:rFonts w:asciiTheme="minorHAnsi" w:eastAsiaTheme="minorEastAsia" w:hAnsiTheme="minorHAnsi" w:cstheme="minorBidi"/>
              <w:noProof/>
              <w:szCs w:val="22"/>
            </w:rPr>
          </w:pPr>
          <w:hyperlink w:anchor="_Toc109195958" w:history="1">
            <w:r w:rsidR="00C17DD7" w:rsidRPr="0036498A">
              <w:rPr>
                <w:rStyle w:val="Hyperlink"/>
                <w:b/>
                <w:bCs/>
                <w:noProof/>
              </w:rPr>
              <w:t>Innovation and Opportunity</w:t>
            </w:r>
            <w:r w:rsidR="00C17DD7">
              <w:rPr>
                <w:noProof/>
                <w:webHidden/>
              </w:rPr>
              <w:tab/>
            </w:r>
            <w:r w:rsidR="00C17DD7">
              <w:rPr>
                <w:noProof/>
                <w:webHidden/>
              </w:rPr>
              <w:fldChar w:fldCharType="begin"/>
            </w:r>
            <w:r w:rsidR="00C17DD7">
              <w:rPr>
                <w:noProof/>
                <w:webHidden/>
              </w:rPr>
              <w:instrText xml:space="preserve"> PAGEREF _Toc109195958 \h </w:instrText>
            </w:r>
            <w:r w:rsidR="00C17DD7">
              <w:rPr>
                <w:noProof/>
                <w:webHidden/>
              </w:rPr>
            </w:r>
            <w:r w:rsidR="00C17DD7">
              <w:rPr>
                <w:noProof/>
                <w:webHidden/>
              </w:rPr>
              <w:fldChar w:fldCharType="separate"/>
            </w:r>
            <w:r w:rsidR="00356390">
              <w:rPr>
                <w:noProof/>
                <w:webHidden/>
              </w:rPr>
              <w:t>3</w:t>
            </w:r>
            <w:r w:rsidR="00C17DD7">
              <w:rPr>
                <w:noProof/>
                <w:webHidden/>
              </w:rPr>
              <w:fldChar w:fldCharType="end"/>
            </w:r>
          </w:hyperlink>
        </w:p>
        <w:p w14:paraId="0A507A03" w14:textId="6B7015C5" w:rsidR="00C17DD7" w:rsidRDefault="00695FC4">
          <w:pPr>
            <w:pStyle w:val="TOC2"/>
            <w:rPr>
              <w:rFonts w:asciiTheme="minorHAnsi" w:eastAsiaTheme="minorEastAsia" w:hAnsiTheme="minorHAnsi" w:cstheme="minorBidi"/>
              <w:sz w:val="22"/>
              <w:szCs w:val="22"/>
            </w:rPr>
          </w:pPr>
          <w:hyperlink w:anchor="_Toc109195959" w:history="1">
            <w:r w:rsidR="00C17DD7" w:rsidRPr="0036498A">
              <w:rPr>
                <w:rStyle w:val="Hyperlink"/>
                <w:b/>
              </w:rPr>
              <w:t>Chapter 1:  Indicator 1:  Program Design</w:t>
            </w:r>
            <w:r w:rsidR="00C17DD7">
              <w:rPr>
                <w:webHidden/>
              </w:rPr>
              <w:tab/>
            </w:r>
            <w:r w:rsidR="00C17DD7">
              <w:rPr>
                <w:webHidden/>
              </w:rPr>
              <w:fldChar w:fldCharType="begin"/>
            </w:r>
            <w:r w:rsidR="00C17DD7">
              <w:rPr>
                <w:webHidden/>
              </w:rPr>
              <w:instrText xml:space="preserve"> PAGEREF _Toc109195959 \h </w:instrText>
            </w:r>
            <w:r w:rsidR="00C17DD7">
              <w:rPr>
                <w:webHidden/>
              </w:rPr>
            </w:r>
            <w:r w:rsidR="00C17DD7">
              <w:rPr>
                <w:webHidden/>
              </w:rPr>
              <w:fldChar w:fldCharType="separate"/>
            </w:r>
            <w:r w:rsidR="00356390">
              <w:rPr>
                <w:webHidden/>
              </w:rPr>
              <w:t>4</w:t>
            </w:r>
            <w:r w:rsidR="00C17DD7">
              <w:rPr>
                <w:webHidden/>
              </w:rPr>
              <w:fldChar w:fldCharType="end"/>
            </w:r>
          </w:hyperlink>
        </w:p>
        <w:p w14:paraId="4C65884D" w14:textId="4EB226F0" w:rsidR="00C17DD7" w:rsidRDefault="00695FC4">
          <w:pPr>
            <w:pStyle w:val="TOC3"/>
            <w:tabs>
              <w:tab w:val="right" w:leader="dot" w:pos="9350"/>
            </w:tabs>
            <w:rPr>
              <w:rFonts w:asciiTheme="minorHAnsi" w:eastAsiaTheme="minorEastAsia" w:hAnsiTheme="minorHAnsi" w:cstheme="minorBidi"/>
              <w:noProof/>
              <w:szCs w:val="22"/>
            </w:rPr>
          </w:pPr>
          <w:hyperlink w:anchor="_Toc109195960" w:history="1">
            <w:r w:rsidR="00C17DD7" w:rsidRPr="0036498A">
              <w:rPr>
                <w:rStyle w:val="Hyperlink"/>
                <w:b/>
                <w:bCs/>
                <w:noProof/>
              </w:rPr>
              <w:t>Diverse Populations</w:t>
            </w:r>
            <w:r w:rsidR="00C17DD7">
              <w:rPr>
                <w:noProof/>
                <w:webHidden/>
              </w:rPr>
              <w:tab/>
            </w:r>
            <w:r w:rsidR="00C17DD7">
              <w:rPr>
                <w:noProof/>
                <w:webHidden/>
              </w:rPr>
              <w:fldChar w:fldCharType="begin"/>
            </w:r>
            <w:r w:rsidR="00C17DD7">
              <w:rPr>
                <w:noProof/>
                <w:webHidden/>
              </w:rPr>
              <w:instrText xml:space="preserve"> PAGEREF _Toc109195960 \h </w:instrText>
            </w:r>
            <w:r w:rsidR="00C17DD7">
              <w:rPr>
                <w:noProof/>
                <w:webHidden/>
              </w:rPr>
            </w:r>
            <w:r w:rsidR="00C17DD7">
              <w:rPr>
                <w:noProof/>
                <w:webHidden/>
              </w:rPr>
              <w:fldChar w:fldCharType="separate"/>
            </w:r>
            <w:r w:rsidR="00356390">
              <w:rPr>
                <w:noProof/>
                <w:webHidden/>
              </w:rPr>
              <w:t>4</w:t>
            </w:r>
            <w:r w:rsidR="00C17DD7">
              <w:rPr>
                <w:noProof/>
                <w:webHidden/>
              </w:rPr>
              <w:fldChar w:fldCharType="end"/>
            </w:r>
          </w:hyperlink>
        </w:p>
        <w:p w14:paraId="6E2AC930" w14:textId="38141201" w:rsidR="00C17DD7" w:rsidRDefault="00695FC4">
          <w:pPr>
            <w:pStyle w:val="TOC3"/>
            <w:tabs>
              <w:tab w:val="right" w:leader="dot" w:pos="9350"/>
            </w:tabs>
            <w:rPr>
              <w:rFonts w:asciiTheme="minorHAnsi" w:eastAsiaTheme="minorEastAsia" w:hAnsiTheme="minorHAnsi" w:cstheme="minorBidi"/>
              <w:noProof/>
              <w:szCs w:val="22"/>
            </w:rPr>
          </w:pPr>
          <w:hyperlink w:anchor="_Toc109195961" w:history="1">
            <w:r w:rsidR="00C17DD7" w:rsidRPr="0036498A">
              <w:rPr>
                <w:rStyle w:val="Hyperlink"/>
                <w:b/>
                <w:bCs/>
                <w:noProof/>
              </w:rPr>
              <w:t>Program Funding Formula (State requirement)</w:t>
            </w:r>
            <w:r w:rsidR="00C17DD7">
              <w:rPr>
                <w:noProof/>
                <w:webHidden/>
              </w:rPr>
              <w:tab/>
            </w:r>
            <w:r w:rsidR="00C17DD7">
              <w:rPr>
                <w:noProof/>
                <w:webHidden/>
              </w:rPr>
              <w:fldChar w:fldCharType="begin"/>
            </w:r>
            <w:r w:rsidR="00C17DD7">
              <w:rPr>
                <w:noProof/>
                <w:webHidden/>
              </w:rPr>
              <w:instrText xml:space="preserve"> PAGEREF _Toc109195961 \h </w:instrText>
            </w:r>
            <w:r w:rsidR="00C17DD7">
              <w:rPr>
                <w:noProof/>
                <w:webHidden/>
              </w:rPr>
            </w:r>
            <w:r w:rsidR="00C17DD7">
              <w:rPr>
                <w:noProof/>
                <w:webHidden/>
              </w:rPr>
              <w:fldChar w:fldCharType="separate"/>
            </w:r>
            <w:r w:rsidR="00356390">
              <w:rPr>
                <w:noProof/>
                <w:webHidden/>
              </w:rPr>
              <w:t>4</w:t>
            </w:r>
            <w:r w:rsidR="00C17DD7">
              <w:rPr>
                <w:noProof/>
                <w:webHidden/>
              </w:rPr>
              <w:fldChar w:fldCharType="end"/>
            </w:r>
          </w:hyperlink>
        </w:p>
        <w:p w14:paraId="7A7520C2" w14:textId="6C323AD7" w:rsidR="00C17DD7" w:rsidRDefault="00695FC4">
          <w:pPr>
            <w:pStyle w:val="TOC3"/>
            <w:tabs>
              <w:tab w:val="right" w:leader="dot" w:pos="9350"/>
            </w:tabs>
            <w:rPr>
              <w:rFonts w:asciiTheme="minorHAnsi" w:eastAsiaTheme="minorEastAsia" w:hAnsiTheme="minorHAnsi" w:cstheme="minorBidi"/>
              <w:noProof/>
              <w:szCs w:val="22"/>
            </w:rPr>
          </w:pPr>
          <w:hyperlink w:anchor="_Toc109195962" w:history="1">
            <w:r w:rsidR="00C17DD7" w:rsidRPr="0036498A">
              <w:rPr>
                <w:rStyle w:val="Hyperlink"/>
                <w:b/>
                <w:bCs/>
                <w:noProof/>
              </w:rPr>
              <w:t>Enrollment (State requirement)</w:t>
            </w:r>
            <w:r w:rsidR="00C17DD7">
              <w:rPr>
                <w:noProof/>
                <w:webHidden/>
              </w:rPr>
              <w:tab/>
            </w:r>
            <w:r w:rsidR="00C17DD7">
              <w:rPr>
                <w:noProof/>
                <w:webHidden/>
              </w:rPr>
              <w:fldChar w:fldCharType="begin"/>
            </w:r>
            <w:r w:rsidR="00C17DD7">
              <w:rPr>
                <w:noProof/>
                <w:webHidden/>
              </w:rPr>
              <w:instrText xml:space="preserve"> PAGEREF _Toc109195962 \h </w:instrText>
            </w:r>
            <w:r w:rsidR="00C17DD7">
              <w:rPr>
                <w:noProof/>
                <w:webHidden/>
              </w:rPr>
            </w:r>
            <w:r w:rsidR="00C17DD7">
              <w:rPr>
                <w:noProof/>
                <w:webHidden/>
              </w:rPr>
              <w:fldChar w:fldCharType="separate"/>
            </w:r>
            <w:r w:rsidR="00356390">
              <w:rPr>
                <w:noProof/>
                <w:webHidden/>
              </w:rPr>
              <w:t>4</w:t>
            </w:r>
            <w:r w:rsidR="00C17DD7">
              <w:rPr>
                <w:noProof/>
                <w:webHidden/>
              </w:rPr>
              <w:fldChar w:fldCharType="end"/>
            </w:r>
          </w:hyperlink>
        </w:p>
        <w:p w14:paraId="7A76A916" w14:textId="12608DCF" w:rsidR="00C17DD7" w:rsidRDefault="00695FC4">
          <w:pPr>
            <w:pStyle w:val="TOC3"/>
            <w:tabs>
              <w:tab w:val="right" w:leader="dot" w:pos="9350"/>
            </w:tabs>
            <w:rPr>
              <w:rFonts w:asciiTheme="minorHAnsi" w:eastAsiaTheme="minorEastAsia" w:hAnsiTheme="minorHAnsi" w:cstheme="minorBidi"/>
              <w:noProof/>
              <w:szCs w:val="22"/>
            </w:rPr>
          </w:pPr>
          <w:hyperlink w:anchor="_Toc109195963" w:history="1">
            <w:r w:rsidR="00C17DD7" w:rsidRPr="0036498A">
              <w:rPr>
                <w:rStyle w:val="Hyperlink"/>
                <w:b/>
                <w:bCs/>
                <w:noProof/>
              </w:rPr>
              <w:t>Continuum of Instructional Services (State requirement)</w:t>
            </w:r>
            <w:r w:rsidR="00C17DD7">
              <w:rPr>
                <w:noProof/>
                <w:webHidden/>
              </w:rPr>
              <w:tab/>
            </w:r>
            <w:r w:rsidR="00C17DD7">
              <w:rPr>
                <w:noProof/>
                <w:webHidden/>
              </w:rPr>
              <w:fldChar w:fldCharType="begin"/>
            </w:r>
            <w:r w:rsidR="00C17DD7">
              <w:rPr>
                <w:noProof/>
                <w:webHidden/>
              </w:rPr>
              <w:instrText xml:space="preserve"> PAGEREF _Toc109195963 \h </w:instrText>
            </w:r>
            <w:r w:rsidR="00C17DD7">
              <w:rPr>
                <w:noProof/>
                <w:webHidden/>
              </w:rPr>
            </w:r>
            <w:r w:rsidR="00C17DD7">
              <w:rPr>
                <w:noProof/>
                <w:webHidden/>
              </w:rPr>
              <w:fldChar w:fldCharType="separate"/>
            </w:r>
            <w:r w:rsidR="00356390">
              <w:rPr>
                <w:noProof/>
                <w:webHidden/>
              </w:rPr>
              <w:t>5</w:t>
            </w:r>
            <w:r w:rsidR="00C17DD7">
              <w:rPr>
                <w:noProof/>
                <w:webHidden/>
              </w:rPr>
              <w:fldChar w:fldCharType="end"/>
            </w:r>
          </w:hyperlink>
        </w:p>
        <w:p w14:paraId="35419F83" w14:textId="7BD38455" w:rsidR="00C17DD7" w:rsidRDefault="00695FC4">
          <w:pPr>
            <w:pStyle w:val="TOC3"/>
            <w:tabs>
              <w:tab w:val="right" w:leader="dot" w:pos="9350"/>
            </w:tabs>
            <w:rPr>
              <w:rFonts w:asciiTheme="minorHAnsi" w:eastAsiaTheme="minorEastAsia" w:hAnsiTheme="minorHAnsi" w:cstheme="minorBidi"/>
              <w:noProof/>
              <w:szCs w:val="22"/>
            </w:rPr>
          </w:pPr>
          <w:hyperlink w:anchor="_Toc109195964" w:history="1">
            <w:r w:rsidR="00C17DD7" w:rsidRPr="0036498A">
              <w:rPr>
                <w:rStyle w:val="Hyperlink"/>
                <w:b/>
                <w:bCs/>
                <w:noProof/>
              </w:rPr>
              <w:t>Intensity and Duration (State requirement)</w:t>
            </w:r>
            <w:r w:rsidR="00C17DD7">
              <w:rPr>
                <w:noProof/>
                <w:webHidden/>
              </w:rPr>
              <w:tab/>
            </w:r>
            <w:r w:rsidR="00C17DD7">
              <w:rPr>
                <w:noProof/>
                <w:webHidden/>
              </w:rPr>
              <w:fldChar w:fldCharType="begin"/>
            </w:r>
            <w:r w:rsidR="00C17DD7">
              <w:rPr>
                <w:noProof/>
                <w:webHidden/>
              </w:rPr>
              <w:instrText xml:space="preserve"> PAGEREF _Toc109195964 \h </w:instrText>
            </w:r>
            <w:r w:rsidR="00C17DD7">
              <w:rPr>
                <w:noProof/>
                <w:webHidden/>
              </w:rPr>
            </w:r>
            <w:r w:rsidR="00C17DD7">
              <w:rPr>
                <w:noProof/>
                <w:webHidden/>
              </w:rPr>
              <w:fldChar w:fldCharType="separate"/>
            </w:r>
            <w:r w:rsidR="00356390">
              <w:rPr>
                <w:noProof/>
                <w:webHidden/>
              </w:rPr>
              <w:t>5</w:t>
            </w:r>
            <w:r w:rsidR="00C17DD7">
              <w:rPr>
                <w:noProof/>
                <w:webHidden/>
              </w:rPr>
              <w:fldChar w:fldCharType="end"/>
            </w:r>
          </w:hyperlink>
        </w:p>
        <w:p w14:paraId="31913B6F" w14:textId="1524A686" w:rsidR="00C17DD7" w:rsidRDefault="00695FC4">
          <w:pPr>
            <w:pStyle w:val="TOC3"/>
            <w:tabs>
              <w:tab w:val="right" w:leader="dot" w:pos="9350"/>
            </w:tabs>
            <w:rPr>
              <w:rFonts w:asciiTheme="minorHAnsi" w:eastAsiaTheme="minorEastAsia" w:hAnsiTheme="minorHAnsi" w:cstheme="minorBidi"/>
              <w:noProof/>
              <w:szCs w:val="22"/>
            </w:rPr>
          </w:pPr>
          <w:hyperlink w:anchor="_Toc109195965" w:history="1">
            <w:r w:rsidR="00C17DD7" w:rsidRPr="0036498A">
              <w:rPr>
                <w:rStyle w:val="Hyperlink"/>
                <w:b/>
                <w:bCs/>
                <w:noProof/>
              </w:rPr>
              <w:t>No Charges to Students (State requirement)</w:t>
            </w:r>
            <w:r w:rsidR="00C17DD7">
              <w:rPr>
                <w:noProof/>
                <w:webHidden/>
              </w:rPr>
              <w:tab/>
            </w:r>
            <w:r w:rsidR="00C17DD7">
              <w:rPr>
                <w:noProof/>
                <w:webHidden/>
              </w:rPr>
              <w:fldChar w:fldCharType="begin"/>
            </w:r>
            <w:r w:rsidR="00C17DD7">
              <w:rPr>
                <w:noProof/>
                <w:webHidden/>
              </w:rPr>
              <w:instrText xml:space="preserve"> PAGEREF _Toc109195965 \h </w:instrText>
            </w:r>
            <w:r w:rsidR="00C17DD7">
              <w:rPr>
                <w:noProof/>
                <w:webHidden/>
              </w:rPr>
            </w:r>
            <w:r w:rsidR="00C17DD7">
              <w:rPr>
                <w:noProof/>
                <w:webHidden/>
              </w:rPr>
              <w:fldChar w:fldCharType="separate"/>
            </w:r>
            <w:r w:rsidR="00356390">
              <w:rPr>
                <w:noProof/>
                <w:webHidden/>
              </w:rPr>
              <w:t>5</w:t>
            </w:r>
            <w:r w:rsidR="00C17DD7">
              <w:rPr>
                <w:noProof/>
                <w:webHidden/>
              </w:rPr>
              <w:fldChar w:fldCharType="end"/>
            </w:r>
          </w:hyperlink>
        </w:p>
        <w:p w14:paraId="2BA1D8CF" w14:textId="2BA0D877" w:rsidR="00C17DD7" w:rsidRDefault="00695FC4">
          <w:pPr>
            <w:pStyle w:val="TOC3"/>
            <w:tabs>
              <w:tab w:val="right" w:leader="dot" w:pos="9350"/>
            </w:tabs>
            <w:rPr>
              <w:rFonts w:asciiTheme="minorHAnsi" w:eastAsiaTheme="minorEastAsia" w:hAnsiTheme="minorHAnsi" w:cstheme="minorBidi"/>
              <w:noProof/>
              <w:szCs w:val="22"/>
            </w:rPr>
          </w:pPr>
          <w:hyperlink w:anchor="_Toc109195966" w:history="1">
            <w:r w:rsidR="00C17DD7" w:rsidRPr="0036498A">
              <w:rPr>
                <w:rStyle w:val="Hyperlink"/>
                <w:b/>
                <w:bCs/>
                <w:noProof/>
              </w:rPr>
              <w:t>Adult Education and Family Literacy Services</w:t>
            </w:r>
            <w:r w:rsidR="00C17DD7">
              <w:rPr>
                <w:noProof/>
                <w:webHidden/>
              </w:rPr>
              <w:tab/>
            </w:r>
            <w:r w:rsidR="00C17DD7">
              <w:rPr>
                <w:noProof/>
                <w:webHidden/>
              </w:rPr>
              <w:fldChar w:fldCharType="begin"/>
            </w:r>
            <w:r w:rsidR="00C17DD7">
              <w:rPr>
                <w:noProof/>
                <w:webHidden/>
              </w:rPr>
              <w:instrText xml:space="preserve"> PAGEREF _Toc109195966 \h </w:instrText>
            </w:r>
            <w:r w:rsidR="00C17DD7">
              <w:rPr>
                <w:noProof/>
                <w:webHidden/>
              </w:rPr>
            </w:r>
            <w:r w:rsidR="00C17DD7">
              <w:rPr>
                <w:noProof/>
                <w:webHidden/>
              </w:rPr>
              <w:fldChar w:fldCharType="separate"/>
            </w:r>
            <w:r w:rsidR="00356390">
              <w:rPr>
                <w:noProof/>
                <w:webHidden/>
              </w:rPr>
              <w:t>5</w:t>
            </w:r>
            <w:r w:rsidR="00C17DD7">
              <w:rPr>
                <w:noProof/>
                <w:webHidden/>
              </w:rPr>
              <w:fldChar w:fldCharType="end"/>
            </w:r>
          </w:hyperlink>
        </w:p>
        <w:p w14:paraId="7B073B9C" w14:textId="2294E5D0" w:rsidR="00C17DD7" w:rsidRDefault="00695FC4">
          <w:pPr>
            <w:pStyle w:val="TOC3"/>
            <w:tabs>
              <w:tab w:val="right" w:leader="dot" w:pos="9350"/>
            </w:tabs>
            <w:rPr>
              <w:rFonts w:asciiTheme="minorHAnsi" w:eastAsiaTheme="minorEastAsia" w:hAnsiTheme="minorHAnsi" w:cstheme="minorBidi"/>
              <w:noProof/>
              <w:szCs w:val="22"/>
            </w:rPr>
          </w:pPr>
          <w:hyperlink w:anchor="_Toc109195967" w:history="1">
            <w:r w:rsidR="00C17DD7" w:rsidRPr="0036498A">
              <w:rPr>
                <w:rStyle w:val="Hyperlink"/>
                <w:b/>
                <w:bCs/>
                <w:noProof/>
              </w:rPr>
              <w:t>Program Delivery Options</w:t>
            </w:r>
            <w:r w:rsidR="00C17DD7">
              <w:rPr>
                <w:noProof/>
                <w:webHidden/>
              </w:rPr>
              <w:tab/>
            </w:r>
            <w:r w:rsidR="00C17DD7">
              <w:rPr>
                <w:noProof/>
                <w:webHidden/>
              </w:rPr>
              <w:fldChar w:fldCharType="begin"/>
            </w:r>
            <w:r w:rsidR="00C17DD7">
              <w:rPr>
                <w:noProof/>
                <w:webHidden/>
              </w:rPr>
              <w:instrText xml:space="preserve"> PAGEREF _Toc109195967 \h </w:instrText>
            </w:r>
            <w:r w:rsidR="00C17DD7">
              <w:rPr>
                <w:noProof/>
                <w:webHidden/>
              </w:rPr>
            </w:r>
            <w:r w:rsidR="00C17DD7">
              <w:rPr>
                <w:noProof/>
                <w:webHidden/>
              </w:rPr>
              <w:fldChar w:fldCharType="separate"/>
            </w:r>
            <w:r w:rsidR="00356390">
              <w:rPr>
                <w:noProof/>
                <w:webHidden/>
              </w:rPr>
              <w:t>9</w:t>
            </w:r>
            <w:r w:rsidR="00C17DD7">
              <w:rPr>
                <w:noProof/>
                <w:webHidden/>
              </w:rPr>
              <w:fldChar w:fldCharType="end"/>
            </w:r>
          </w:hyperlink>
        </w:p>
        <w:p w14:paraId="5F86DBA3" w14:textId="7D80AABF" w:rsidR="00C17DD7" w:rsidRDefault="00695FC4">
          <w:pPr>
            <w:pStyle w:val="TOC3"/>
            <w:tabs>
              <w:tab w:val="right" w:leader="dot" w:pos="9350"/>
            </w:tabs>
            <w:rPr>
              <w:rFonts w:asciiTheme="minorHAnsi" w:eastAsiaTheme="minorEastAsia" w:hAnsiTheme="minorHAnsi" w:cstheme="minorBidi"/>
              <w:noProof/>
              <w:szCs w:val="22"/>
            </w:rPr>
          </w:pPr>
          <w:hyperlink w:anchor="_Toc109195968" w:history="1">
            <w:r w:rsidR="00C17DD7" w:rsidRPr="0036498A">
              <w:rPr>
                <w:rStyle w:val="Hyperlink"/>
                <w:b/>
                <w:bCs/>
                <w:noProof/>
              </w:rPr>
              <w:t>Volunteer Services</w:t>
            </w:r>
            <w:r w:rsidR="00C17DD7">
              <w:rPr>
                <w:noProof/>
                <w:webHidden/>
              </w:rPr>
              <w:tab/>
            </w:r>
            <w:r w:rsidR="00C17DD7">
              <w:rPr>
                <w:noProof/>
                <w:webHidden/>
              </w:rPr>
              <w:fldChar w:fldCharType="begin"/>
            </w:r>
            <w:r w:rsidR="00C17DD7">
              <w:rPr>
                <w:noProof/>
                <w:webHidden/>
              </w:rPr>
              <w:instrText xml:space="preserve"> PAGEREF _Toc109195968 \h </w:instrText>
            </w:r>
            <w:r w:rsidR="00C17DD7">
              <w:rPr>
                <w:noProof/>
                <w:webHidden/>
              </w:rPr>
            </w:r>
            <w:r w:rsidR="00C17DD7">
              <w:rPr>
                <w:noProof/>
                <w:webHidden/>
              </w:rPr>
              <w:fldChar w:fldCharType="separate"/>
            </w:r>
            <w:r w:rsidR="00356390">
              <w:rPr>
                <w:noProof/>
                <w:webHidden/>
              </w:rPr>
              <w:t>11</w:t>
            </w:r>
            <w:r w:rsidR="00C17DD7">
              <w:rPr>
                <w:noProof/>
                <w:webHidden/>
              </w:rPr>
              <w:fldChar w:fldCharType="end"/>
            </w:r>
          </w:hyperlink>
        </w:p>
        <w:p w14:paraId="53A4E1BE" w14:textId="6805621B" w:rsidR="00C17DD7" w:rsidRDefault="00695FC4">
          <w:pPr>
            <w:pStyle w:val="TOC3"/>
            <w:tabs>
              <w:tab w:val="right" w:leader="dot" w:pos="9350"/>
            </w:tabs>
            <w:rPr>
              <w:rFonts w:asciiTheme="minorHAnsi" w:eastAsiaTheme="minorEastAsia" w:hAnsiTheme="minorHAnsi" w:cstheme="minorBidi"/>
              <w:noProof/>
              <w:szCs w:val="22"/>
            </w:rPr>
          </w:pPr>
          <w:hyperlink w:anchor="_Toc109195969" w:history="1">
            <w:r w:rsidR="00C17DD7" w:rsidRPr="0036498A">
              <w:rPr>
                <w:rStyle w:val="Hyperlink"/>
                <w:b/>
                <w:bCs/>
                <w:noProof/>
              </w:rPr>
              <w:t>Enrollment and Retention (State requirement)</w:t>
            </w:r>
            <w:r w:rsidR="00C17DD7">
              <w:rPr>
                <w:noProof/>
                <w:webHidden/>
              </w:rPr>
              <w:tab/>
            </w:r>
            <w:r w:rsidR="00C17DD7">
              <w:rPr>
                <w:noProof/>
                <w:webHidden/>
              </w:rPr>
              <w:fldChar w:fldCharType="begin"/>
            </w:r>
            <w:r w:rsidR="00C17DD7">
              <w:rPr>
                <w:noProof/>
                <w:webHidden/>
              </w:rPr>
              <w:instrText xml:space="preserve"> PAGEREF _Toc109195969 \h </w:instrText>
            </w:r>
            <w:r w:rsidR="00C17DD7">
              <w:rPr>
                <w:noProof/>
                <w:webHidden/>
              </w:rPr>
            </w:r>
            <w:r w:rsidR="00C17DD7">
              <w:rPr>
                <w:noProof/>
                <w:webHidden/>
              </w:rPr>
              <w:fldChar w:fldCharType="separate"/>
            </w:r>
            <w:r w:rsidR="00356390">
              <w:rPr>
                <w:noProof/>
                <w:webHidden/>
              </w:rPr>
              <w:t>11</w:t>
            </w:r>
            <w:r w:rsidR="00C17DD7">
              <w:rPr>
                <w:noProof/>
                <w:webHidden/>
              </w:rPr>
              <w:fldChar w:fldCharType="end"/>
            </w:r>
          </w:hyperlink>
        </w:p>
        <w:p w14:paraId="77751494" w14:textId="66C88D8E" w:rsidR="00C17DD7" w:rsidRDefault="00695FC4">
          <w:pPr>
            <w:pStyle w:val="TOC2"/>
            <w:rPr>
              <w:rFonts w:asciiTheme="minorHAnsi" w:eastAsiaTheme="minorEastAsia" w:hAnsiTheme="minorHAnsi" w:cstheme="minorBidi"/>
              <w:sz w:val="22"/>
              <w:szCs w:val="22"/>
            </w:rPr>
          </w:pPr>
          <w:hyperlink w:anchor="_Toc109195970" w:history="1">
            <w:r w:rsidR="00C17DD7" w:rsidRPr="0036498A">
              <w:rPr>
                <w:rStyle w:val="Hyperlink"/>
                <w:b/>
              </w:rPr>
              <w:t>Chapter 2:  Indicator 2:  Equitable Access</w:t>
            </w:r>
            <w:r w:rsidR="00C17DD7">
              <w:rPr>
                <w:webHidden/>
              </w:rPr>
              <w:tab/>
            </w:r>
            <w:r w:rsidR="00C17DD7">
              <w:rPr>
                <w:webHidden/>
              </w:rPr>
              <w:fldChar w:fldCharType="begin"/>
            </w:r>
            <w:r w:rsidR="00C17DD7">
              <w:rPr>
                <w:webHidden/>
              </w:rPr>
              <w:instrText xml:space="preserve"> PAGEREF _Toc109195970 \h </w:instrText>
            </w:r>
            <w:r w:rsidR="00C17DD7">
              <w:rPr>
                <w:webHidden/>
              </w:rPr>
            </w:r>
            <w:r w:rsidR="00C17DD7">
              <w:rPr>
                <w:webHidden/>
              </w:rPr>
              <w:fldChar w:fldCharType="separate"/>
            </w:r>
            <w:r w:rsidR="00356390">
              <w:rPr>
                <w:webHidden/>
              </w:rPr>
              <w:t>12</w:t>
            </w:r>
            <w:r w:rsidR="00C17DD7">
              <w:rPr>
                <w:webHidden/>
              </w:rPr>
              <w:fldChar w:fldCharType="end"/>
            </w:r>
          </w:hyperlink>
        </w:p>
        <w:p w14:paraId="61A37ACF" w14:textId="40A91A5E" w:rsidR="00C17DD7" w:rsidRDefault="00695FC4">
          <w:pPr>
            <w:pStyle w:val="TOC3"/>
            <w:tabs>
              <w:tab w:val="right" w:leader="dot" w:pos="9350"/>
            </w:tabs>
            <w:rPr>
              <w:rFonts w:asciiTheme="minorHAnsi" w:eastAsiaTheme="minorEastAsia" w:hAnsiTheme="minorHAnsi" w:cstheme="minorBidi"/>
              <w:noProof/>
              <w:szCs w:val="22"/>
            </w:rPr>
          </w:pPr>
          <w:hyperlink w:anchor="_Toc109195971" w:history="1">
            <w:r w:rsidR="00C17DD7" w:rsidRPr="0036498A">
              <w:rPr>
                <w:rStyle w:val="Hyperlink"/>
                <w:b/>
                <w:bCs/>
                <w:noProof/>
              </w:rPr>
              <w:t>Prioritization (State requirement)</w:t>
            </w:r>
            <w:r w:rsidR="00C17DD7">
              <w:rPr>
                <w:noProof/>
                <w:webHidden/>
              </w:rPr>
              <w:tab/>
            </w:r>
            <w:r w:rsidR="00C17DD7">
              <w:rPr>
                <w:noProof/>
                <w:webHidden/>
              </w:rPr>
              <w:fldChar w:fldCharType="begin"/>
            </w:r>
            <w:r w:rsidR="00C17DD7">
              <w:rPr>
                <w:noProof/>
                <w:webHidden/>
              </w:rPr>
              <w:instrText xml:space="preserve"> PAGEREF _Toc109195971 \h </w:instrText>
            </w:r>
            <w:r w:rsidR="00C17DD7">
              <w:rPr>
                <w:noProof/>
                <w:webHidden/>
              </w:rPr>
            </w:r>
            <w:r w:rsidR="00C17DD7">
              <w:rPr>
                <w:noProof/>
                <w:webHidden/>
              </w:rPr>
              <w:fldChar w:fldCharType="separate"/>
            </w:r>
            <w:r w:rsidR="00356390">
              <w:rPr>
                <w:noProof/>
                <w:webHidden/>
              </w:rPr>
              <w:t>12</w:t>
            </w:r>
            <w:r w:rsidR="00C17DD7">
              <w:rPr>
                <w:noProof/>
                <w:webHidden/>
              </w:rPr>
              <w:fldChar w:fldCharType="end"/>
            </w:r>
          </w:hyperlink>
        </w:p>
        <w:p w14:paraId="57AB3994" w14:textId="242332E5" w:rsidR="00C17DD7" w:rsidRDefault="00695FC4">
          <w:pPr>
            <w:pStyle w:val="TOC3"/>
            <w:tabs>
              <w:tab w:val="right" w:leader="dot" w:pos="9350"/>
            </w:tabs>
            <w:rPr>
              <w:rFonts w:asciiTheme="minorHAnsi" w:eastAsiaTheme="minorEastAsia" w:hAnsiTheme="minorHAnsi" w:cstheme="minorBidi"/>
              <w:noProof/>
              <w:szCs w:val="22"/>
            </w:rPr>
          </w:pPr>
          <w:hyperlink w:anchor="_Toc109195972" w:history="1">
            <w:r w:rsidR="00C17DD7" w:rsidRPr="0036498A">
              <w:rPr>
                <w:rStyle w:val="Hyperlink"/>
                <w:b/>
                <w:bCs/>
                <w:noProof/>
              </w:rPr>
              <w:t>Eligibility (State requirement)</w:t>
            </w:r>
            <w:r w:rsidR="00C17DD7">
              <w:rPr>
                <w:noProof/>
                <w:webHidden/>
              </w:rPr>
              <w:tab/>
            </w:r>
            <w:r w:rsidR="00C17DD7">
              <w:rPr>
                <w:noProof/>
                <w:webHidden/>
              </w:rPr>
              <w:fldChar w:fldCharType="begin"/>
            </w:r>
            <w:r w:rsidR="00C17DD7">
              <w:rPr>
                <w:noProof/>
                <w:webHidden/>
              </w:rPr>
              <w:instrText xml:space="preserve"> PAGEREF _Toc109195972 \h </w:instrText>
            </w:r>
            <w:r w:rsidR="00C17DD7">
              <w:rPr>
                <w:noProof/>
                <w:webHidden/>
              </w:rPr>
            </w:r>
            <w:r w:rsidR="00C17DD7">
              <w:rPr>
                <w:noProof/>
                <w:webHidden/>
              </w:rPr>
              <w:fldChar w:fldCharType="separate"/>
            </w:r>
            <w:r w:rsidR="00356390">
              <w:rPr>
                <w:noProof/>
                <w:webHidden/>
              </w:rPr>
              <w:t>12</w:t>
            </w:r>
            <w:r w:rsidR="00C17DD7">
              <w:rPr>
                <w:noProof/>
                <w:webHidden/>
              </w:rPr>
              <w:fldChar w:fldCharType="end"/>
            </w:r>
          </w:hyperlink>
        </w:p>
        <w:p w14:paraId="5ECCCF8F" w14:textId="080027E0" w:rsidR="00C17DD7" w:rsidRDefault="00695FC4">
          <w:pPr>
            <w:pStyle w:val="TOC3"/>
            <w:tabs>
              <w:tab w:val="right" w:leader="dot" w:pos="9350"/>
            </w:tabs>
            <w:rPr>
              <w:rFonts w:asciiTheme="minorHAnsi" w:eastAsiaTheme="minorEastAsia" w:hAnsiTheme="minorHAnsi" w:cstheme="minorBidi"/>
              <w:noProof/>
              <w:szCs w:val="22"/>
            </w:rPr>
          </w:pPr>
          <w:hyperlink w:anchor="_Toc109195973" w:history="1">
            <w:r w:rsidR="00C17DD7" w:rsidRPr="0036498A">
              <w:rPr>
                <w:rStyle w:val="Hyperlink"/>
                <w:b/>
                <w:bCs/>
                <w:noProof/>
              </w:rPr>
              <w:t>Waitlist (State requirement)</w:t>
            </w:r>
            <w:r w:rsidR="00C17DD7">
              <w:rPr>
                <w:noProof/>
                <w:webHidden/>
              </w:rPr>
              <w:tab/>
            </w:r>
            <w:r w:rsidR="00C17DD7">
              <w:rPr>
                <w:noProof/>
                <w:webHidden/>
              </w:rPr>
              <w:fldChar w:fldCharType="begin"/>
            </w:r>
            <w:r w:rsidR="00C17DD7">
              <w:rPr>
                <w:noProof/>
                <w:webHidden/>
              </w:rPr>
              <w:instrText xml:space="preserve"> PAGEREF _Toc109195973 \h </w:instrText>
            </w:r>
            <w:r w:rsidR="00C17DD7">
              <w:rPr>
                <w:noProof/>
                <w:webHidden/>
              </w:rPr>
            </w:r>
            <w:r w:rsidR="00C17DD7">
              <w:rPr>
                <w:noProof/>
                <w:webHidden/>
              </w:rPr>
              <w:fldChar w:fldCharType="separate"/>
            </w:r>
            <w:r w:rsidR="00356390">
              <w:rPr>
                <w:noProof/>
                <w:webHidden/>
              </w:rPr>
              <w:t>12</w:t>
            </w:r>
            <w:r w:rsidR="00C17DD7">
              <w:rPr>
                <w:noProof/>
                <w:webHidden/>
              </w:rPr>
              <w:fldChar w:fldCharType="end"/>
            </w:r>
          </w:hyperlink>
        </w:p>
        <w:p w14:paraId="72439742" w14:textId="6F8BAA97" w:rsidR="00C17DD7" w:rsidRDefault="00695FC4">
          <w:pPr>
            <w:pStyle w:val="TOC3"/>
            <w:tabs>
              <w:tab w:val="right" w:leader="dot" w:pos="9350"/>
            </w:tabs>
            <w:rPr>
              <w:rFonts w:asciiTheme="minorHAnsi" w:eastAsiaTheme="minorEastAsia" w:hAnsiTheme="minorHAnsi" w:cstheme="minorBidi"/>
              <w:noProof/>
              <w:szCs w:val="22"/>
            </w:rPr>
          </w:pPr>
          <w:hyperlink w:anchor="_Toc109195974" w:history="1">
            <w:r w:rsidR="00C17DD7" w:rsidRPr="0036498A">
              <w:rPr>
                <w:rStyle w:val="Hyperlink"/>
                <w:b/>
                <w:bCs/>
                <w:noProof/>
              </w:rPr>
              <w:t>Intake and Orientation</w:t>
            </w:r>
            <w:r w:rsidR="00C17DD7">
              <w:rPr>
                <w:noProof/>
                <w:webHidden/>
              </w:rPr>
              <w:tab/>
            </w:r>
            <w:r w:rsidR="00C17DD7">
              <w:rPr>
                <w:noProof/>
                <w:webHidden/>
              </w:rPr>
              <w:fldChar w:fldCharType="begin"/>
            </w:r>
            <w:r w:rsidR="00C17DD7">
              <w:rPr>
                <w:noProof/>
                <w:webHidden/>
              </w:rPr>
              <w:instrText xml:space="preserve"> PAGEREF _Toc109195974 \h </w:instrText>
            </w:r>
            <w:r w:rsidR="00C17DD7">
              <w:rPr>
                <w:noProof/>
                <w:webHidden/>
              </w:rPr>
            </w:r>
            <w:r w:rsidR="00C17DD7">
              <w:rPr>
                <w:noProof/>
                <w:webHidden/>
              </w:rPr>
              <w:fldChar w:fldCharType="separate"/>
            </w:r>
            <w:r w:rsidR="00356390">
              <w:rPr>
                <w:noProof/>
                <w:webHidden/>
              </w:rPr>
              <w:t>12</w:t>
            </w:r>
            <w:r w:rsidR="00C17DD7">
              <w:rPr>
                <w:noProof/>
                <w:webHidden/>
              </w:rPr>
              <w:fldChar w:fldCharType="end"/>
            </w:r>
          </w:hyperlink>
        </w:p>
        <w:p w14:paraId="260EB7EA" w14:textId="35575933" w:rsidR="00C17DD7" w:rsidRDefault="00695FC4">
          <w:pPr>
            <w:pStyle w:val="TOC3"/>
            <w:tabs>
              <w:tab w:val="right" w:leader="dot" w:pos="9350"/>
            </w:tabs>
            <w:rPr>
              <w:rFonts w:asciiTheme="minorHAnsi" w:eastAsiaTheme="minorEastAsia" w:hAnsiTheme="minorHAnsi" w:cstheme="minorBidi"/>
              <w:noProof/>
              <w:szCs w:val="22"/>
            </w:rPr>
          </w:pPr>
          <w:hyperlink w:anchor="_Toc109195975" w:history="1">
            <w:r w:rsidR="00C17DD7" w:rsidRPr="0036498A">
              <w:rPr>
                <w:rStyle w:val="Hyperlink"/>
                <w:b/>
                <w:bCs/>
                <w:noProof/>
              </w:rPr>
              <w:t>The Americans with Disabilities Act (ADA)</w:t>
            </w:r>
            <w:r w:rsidR="00C17DD7">
              <w:rPr>
                <w:noProof/>
                <w:webHidden/>
              </w:rPr>
              <w:tab/>
            </w:r>
            <w:r w:rsidR="00C17DD7">
              <w:rPr>
                <w:noProof/>
                <w:webHidden/>
              </w:rPr>
              <w:fldChar w:fldCharType="begin"/>
            </w:r>
            <w:r w:rsidR="00C17DD7">
              <w:rPr>
                <w:noProof/>
                <w:webHidden/>
              </w:rPr>
              <w:instrText xml:space="preserve"> PAGEREF _Toc109195975 \h </w:instrText>
            </w:r>
            <w:r w:rsidR="00C17DD7">
              <w:rPr>
                <w:noProof/>
                <w:webHidden/>
              </w:rPr>
            </w:r>
            <w:r w:rsidR="00C17DD7">
              <w:rPr>
                <w:noProof/>
                <w:webHidden/>
              </w:rPr>
              <w:fldChar w:fldCharType="separate"/>
            </w:r>
            <w:r w:rsidR="00356390">
              <w:rPr>
                <w:noProof/>
                <w:webHidden/>
              </w:rPr>
              <w:t>13</w:t>
            </w:r>
            <w:r w:rsidR="00C17DD7">
              <w:rPr>
                <w:noProof/>
                <w:webHidden/>
              </w:rPr>
              <w:fldChar w:fldCharType="end"/>
            </w:r>
          </w:hyperlink>
        </w:p>
        <w:p w14:paraId="1DB24614" w14:textId="24BDC017" w:rsidR="00C17DD7" w:rsidRDefault="00695FC4">
          <w:pPr>
            <w:pStyle w:val="TOC3"/>
            <w:tabs>
              <w:tab w:val="right" w:leader="dot" w:pos="9350"/>
            </w:tabs>
            <w:rPr>
              <w:rFonts w:asciiTheme="minorHAnsi" w:eastAsiaTheme="minorEastAsia" w:hAnsiTheme="minorHAnsi" w:cstheme="minorBidi"/>
              <w:noProof/>
              <w:szCs w:val="22"/>
            </w:rPr>
          </w:pPr>
          <w:hyperlink w:anchor="_Toc109195976" w:history="1">
            <w:r w:rsidR="00C17DD7" w:rsidRPr="0036498A">
              <w:rPr>
                <w:rStyle w:val="Hyperlink"/>
                <w:b/>
                <w:bCs/>
                <w:noProof/>
              </w:rPr>
              <w:t>Mandated Reporting (State requirement)</w:t>
            </w:r>
            <w:r w:rsidR="00C17DD7">
              <w:rPr>
                <w:noProof/>
                <w:webHidden/>
              </w:rPr>
              <w:tab/>
            </w:r>
            <w:r w:rsidR="00C17DD7">
              <w:rPr>
                <w:noProof/>
                <w:webHidden/>
              </w:rPr>
              <w:fldChar w:fldCharType="begin"/>
            </w:r>
            <w:r w:rsidR="00C17DD7">
              <w:rPr>
                <w:noProof/>
                <w:webHidden/>
              </w:rPr>
              <w:instrText xml:space="preserve"> PAGEREF _Toc109195976 \h </w:instrText>
            </w:r>
            <w:r w:rsidR="00C17DD7">
              <w:rPr>
                <w:noProof/>
                <w:webHidden/>
              </w:rPr>
            </w:r>
            <w:r w:rsidR="00C17DD7">
              <w:rPr>
                <w:noProof/>
                <w:webHidden/>
              </w:rPr>
              <w:fldChar w:fldCharType="separate"/>
            </w:r>
            <w:r w:rsidR="00356390">
              <w:rPr>
                <w:noProof/>
                <w:webHidden/>
              </w:rPr>
              <w:t>14</w:t>
            </w:r>
            <w:r w:rsidR="00C17DD7">
              <w:rPr>
                <w:noProof/>
                <w:webHidden/>
              </w:rPr>
              <w:fldChar w:fldCharType="end"/>
            </w:r>
          </w:hyperlink>
        </w:p>
        <w:p w14:paraId="5B373E56" w14:textId="23355F1D" w:rsidR="00C17DD7" w:rsidRDefault="00695FC4">
          <w:pPr>
            <w:pStyle w:val="TOC2"/>
            <w:rPr>
              <w:rFonts w:asciiTheme="minorHAnsi" w:eastAsiaTheme="minorEastAsia" w:hAnsiTheme="minorHAnsi" w:cstheme="minorBidi"/>
              <w:sz w:val="22"/>
              <w:szCs w:val="22"/>
            </w:rPr>
          </w:pPr>
          <w:hyperlink w:anchor="_Toc109195977" w:history="1">
            <w:r w:rsidR="00C17DD7" w:rsidRPr="0036498A">
              <w:rPr>
                <w:rStyle w:val="Hyperlink"/>
                <w:b/>
              </w:rPr>
              <w:t>Chapter 3:  Indicator 3:  Career Pathways Collaboration</w:t>
            </w:r>
            <w:r w:rsidR="00C17DD7">
              <w:rPr>
                <w:webHidden/>
              </w:rPr>
              <w:tab/>
            </w:r>
            <w:r w:rsidR="00C17DD7">
              <w:rPr>
                <w:webHidden/>
              </w:rPr>
              <w:fldChar w:fldCharType="begin"/>
            </w:r>
            <w:r w:rsidR="00C17DD7">
              <w:rPr>
                <w:webHidden/>
              </w:rPr>
              <w:instrText xml:space="preserve"> PAGEREF _Toc109195977 \h </w:instrText>
            </w:r>
            <w:r w:rsidR="00C17DD7">
              <w:rPr>
                <w:webHidden/>
              </w:rPr>
            </w:r>
            <w:r w:rsidR="00C17DD7">
              <w:rPr>
                <w:webHidden/>
              </w:rPr>
              <w:fldChar w:fldCharType="separate"/>
            </w:r>
            <w:r w:rsidR="00356390">
              <w:rPr>
                <w:webHidden/>
              </w:rPr>
              <w:t>16</w:t>
            </w:r>
            <w:r w:rsidR="00C17DD7">
              <w:rPr>
                <w:webHidden/>
              </w:rPr>
              <w:fldChar w:fldCharType="end"/>
            </w:r>
          </w:hyperlink>
        </w:p>
        <w:p w14:paraId="715F579C" w14:textId="2331291D" w:rsidR="00C17DD7" w:rsidRDefault="00695FC4">
          <w:pPr>
            <w:pStyle w:val="TOC3"/>
            <w:tabs>
              <w:tab w:val="right" w:leader="dot" w:pos="9350"/>
            </w:tabs>
            <w:rPr>
              <w:rFonts w:asciiTheme="minorHAnsi" w:eastAsiaTheme="minorEastAsia" w:hAnsiTheme="minorHAnsi" w:cstheme="minorBidi"/>
              <w:noProof/>
              <w:szCs w:val="22"/>
            </w:rPr>
          </w:pPr>
          <w:hyperlink w:anchor="_Toc109195978" w:history="1">
            <w:r w:rsidR="00C17DD7" w:rsidRPr="0036498A">
              <w:rPr>
                <w:rStyle w:val="Hyperlink"/>
                <w:b/>
                <w:bCs/>
                <w:noProof/>
              </w:rPr>
              <w:t>Local MassHire Workforce Boards (MWBs) and Memoranda of Understanding (MOU)</w:t>
            </w:r>
            <w:r w:rsidR="00C17DD7">
              <w:rPr>
                <w:noProof/>
                <w:webHidden/>
              </w:rPr>
              <w:tab/>
            </w:r>
            <w:r w:rsidR="00C17DD7">
              <w:rPr>
                <w:noProof/>
                <w:webHidden/>
              </w:rPr>
              <w:fldChar w:fldCharType="begin"/>
            </w:r>
            <w:r w:rsidR="00C17DD7">
              <w:rPr>
                <w:noProof/>
                <w:webHidden/>
              </w:rPr>
              <w:instrText xml:space="preserve"> PAGEREF _Toc109195978 \h </w:instrText>
            </w:r>
            <w:r w:rsidR="00C17DD7">
              <w:rPr>
                <w:noProof/>
                <w:webHidden/>
              </w:rPr>
            </w:r>
            <w:r w:rsidR="00C17DD7">
              <w:rPr>
                <w:noProof/>
                <w:webHidden/>
              </w:rPr>
              <w:fldChar w:fldCharType="separate"/>
            </w:r>
            <w:r w:rsidR="00356390">
              <w:rPr>
                <w:noProof/>
                <w:webHidden/>
              </w:rPr>
              <w:t>16</w:t>
            </w:r>
            <w:r w:rsidR="00C17DD7">
              <w:rPr>
                <w:noProof/>
                <w:webHidden/>
              </w:rPr>
              <w:fldChar w:fldCharType="end"/>
            </w:r>
          </w:hyperlink>
        </w:p>
        <w:p w14:paraId="71B0EADD" w14:textId="0FE6A592" w:rsidR="00C17DD7" w:rsidRDefault="00695FC4">
          <w:pPr>
            <w:pStyle w:val="TOC3"/>
            <w:tabs>
              <w:tab w:val="right" w:leader="dot" w:pos="9350"/>
            </w:tabs>
            <w:rPr>
              <w:rFonts w:asciiTheme="minorHAnsi" w:eastAsiaTheme="minorEastAsia" w:hAnsiTheme="minorHAnsi" w:cstheme="minorBidi"/>
              <w:noProof/>
              <w:szCs w:val="22"/>
            </w:rPr>
          </w:pPr>
          <w:hyperlink w:anchor="_Toc109195979" w:history="1">
            <w:r w:rsidR="00C17DD7" w:rsidRPr="0036498A">
              <w:rPr>
                <w:rStyle w:val="Hyperlink"/>
                <w:b/>
                <w:bCs/>
                <w:noProof/>
              </w:rPr>
              <w:t>Local Workforce Development Plan Packages</w:t>
            </w:r>
            <w:r w:rsidR="00C17DD7">
              <w:rPr>
                <w:noProof/>
                <w:webHidden/>
              </w:rPr>
              <w:tab/>
            </w:r>
            <w:r w:rsidR="00C17DD7">
              <w:rPr>
                <w:noProof/>
                <w:webHidden/>
              </w:rPr>
              <w:fldChar w:fldCharType="begin"/>
            </w:r>
            <w:r w:rsidR="00C17DD7">
              <w:rPr>
                <w:noProof/>
                <w:webHidden/>
              </w:rPr>
              <w:instrText xml:space="preserve"> PAGEREF _Toc109195979 \h </w:instrText>
            </w:r>
            <w:r w:rsidR="00C17DD7">
              <w:rPr>
                <w:noProof/>
                <w:webHidden/>
              </w:rPr>
            </w:r>
            <w:r w:rsidR="00C17DD7">
              <w:rPr>
                <w:noProof/>
                <w:webHidden/>
              </w:rPr>
              <w:fldChar w:fldCharType="separate"/>
            </w:r>
            <w:r w:rsidR="00356390">
              <w:rPr>
                <w:noProof/>
                <w:webHidden/>
              </w:rPr>
              <w:t>16</w:t>
            </w:r>
            <w:r w:rsidR="00C17DD7">
              <w:rPr>
                <w:noProof/>
                <w:webHidden/>
              </w:rPr>
              <w:fldChar w:fldCharType="end"/>
            </w:r>
          </w:hyperlink>
        </w:p>
        <w:p w14:paraId="2B2F0F68" w14:textId="75BA3BE4" w:rsidR="00C17DD7" w:rsidRDefault="00695FC4">
          <w:pPr>
            <w:pStyle w:val="TOC3"/>
            <w:tabs>
              <w:tab w:val="right" w:leader="dot" w:pos="9350"/>
            </w:tabs>
            <w:rPr>
              <w:rFonts w:asciiTheme="minorHAnsi" w:eastAsiaTheme="minorEastAsia" w:hAnsiTheme="minorHAnsi" w:cstheme="minorBidi"/>
              <w:noProof/>
              <w:szCs w:val="22"/>
            </w:rPr>
          </w:pPr>
          <w:hyperlink w:anchor="_Toc109195980" w:history="1">
            <w:r w:rsidR="00C17DD7" w:rsidRPr="0036498A">
              <w:rPr>
                <w:rStyle w:val="Hyperlink"/>
                <w:b/>
                <w:bCs/>
                <w:noProof/>
              </w:rPr>
              <w:t>Outstationing</w:t>
            </w:r>
            <w:r w:rsidR="00C17DD7">
              <w:rPr>
                <w:noProof/>
                <w:webHidden/>
              </w:rPr>
              <w:tab/>
            </w:r>
            <w:r w:rsidR="00C17DD7">
              <w:rPr>
                <w:noProof/>
                <w:webHidden/>
              </w:rPr>
              <w:fldChar w:fldCharType="begin"/>
            </w:r>
            <w:r w:rsidR="00C17DD7">
              <w:rPr>
                <w:noProof/>
                <w:webHidden/>
              </w:rPr>
              <w:instrText xml:space="preserve"> PAGEREF _Toc109195980 \h </w:instrText>
            </w:r>
            <w:r w:rsidR="00C17DD7">
              <w:rPr>
                <w:noProof/>
                <w:webHidden/>
              </w:rPr>
            </w:r>
            <w:r w:rsidR="00C17DD7">
              <w:rPr>
                <w:noProof/>
                <w:webHidden/>
              </w:rPr>
              <w:fldChar w:fldCharType="separate"/>
            </w:r>
            <w:r w:rsidR="00356390">
              <w:rPr>
                <w:noProof/>
                <w:webHidden/>
              </w:rPr>
              <w:t>16</w:t>
            </w:r>
            <w:r w:rsidR="00C17DD7">
              <w:rPr>
                <w:noProof/>
                <w:webHidden/>
              </w:rPr>
              <w:fldChar w:fldCharType="end"/>
            </w:r>
          </w:hyperlink>
        </w:p>
        <w:p w14:paraId="476ECAA5" w14:textId="552EC9BC" w:rsidR="00C17DD7" w:rsidRDefault="00695FC4">
          <w:pPr>
            <w:pStyle w:val="TOC3"/>
            <w:tabs>
              <w:tab w:val="right" w:leader="dot" w:pos="9350"/>
            </w:tabs>
            <w:rPr>
              <w:rFonts w:asciiTheme="minorHAnsi" w:eastAsiaTheme="minorEastAsia" w:hAnsiTheme="minorHAnsi" w:cstheme="minorBidi"/>
              <w:noProof/>
              <w:szCs w:val="22"/>
            </w:rPr>
          </w:pPr>
          <w:hyperlink w:anchor="_Toc109195981" w:history="1">
            <w:r w:rsidR="00C17DD7" w:rsidRPr="0036498A">
              <w:rPr>
                <w:rStyle w:val="Hyperlink"/>
                <w:b/>
                <w:bCs/>
                <w:noProof/>
              </w:rPr>
              <w:t>Shared Customers</w:t>
            </w:r>
            <w:r w:rsidR="00C17DD7">
              <w:rPr>
                <w:noProof/>
                <w:webHidden/>
              </w:rPr>
              <w:tab/>
            </w:r>
            <w:r w:rsidR="00C17DD7">
              <w:rPr>
                <w:noProof/>
                <w:webHidden/>
              </w:rPr>
              <w:fldChar w:fldCharType="begin"/>
            </w:r>
            <w:r w:rsidR="00C17DD7">
              <w:rPr>
                <w:noProof/>
                <w:webHidden/>
              </w:rPr>
              <w:instrText xml:space="preserve"> PAGEREF _Toc109195981 \h </w:instrText>
            </w:r>
            <w:r w:rsidR="00C17DD7">
              <w:rPr>
                <w:noProof/>
                <w:webHidden/>
              </w:rPr>
            </w:r>
            <w:r w:rsidR="00C17DD7">
              <w:rPr>
                <w:noProof/>
                <w:webHidden/>
              </w:rPr>
              <w:fldChar w:fldCharType="separate"/>
            </w:r>
            <w:r w:rsidR="00356390">
              <w:rPr>
                <w:noProof/>
                <w:webHidden/>
              </w:rPr>
              <w:t>16</w:t>
            </w:r>
            <w:r w:rsidR="00C17DD7">
              <w:rPr>
                <w:noProof/>
                <w:webHidden/>
              </w:rPr>
              <w:fldChar w:fldCharType="end"/>
            </w:r>
          </w:hyperlink>
        </w:p>
        <w:p w14:paraId="0060E8D2" w14:textId="058A3514" w:rsidR="00C17DD7" w:rsidRDefault="00695FC4">
          <w:pPr>
            <w:pStyle w:val="TOC2"/>
            <w:rPr>
              <w:rFonts w:asciiTheme="minorHAnsi" w:eastAsiaTheme="minorEastAsia" w:hAnsiTheme="minorHAnsi" w:cstheme="minorBidi"/>
              <w:sz w:val="22"/>
              <w:szCs w:val="22"/>
            </w:rPr>
          </w:pPr>
          <w:hyperlink w:anchor="_Toc109195982" w:history="1">
            <w:r w:rsidR="00C17DD7" w:rsidRPr="0036498A">
              <w:rPr>
                <w:rStyle w:val="Hyperlink"/>
                <w:b/>
              </w:rPr>
              <w:t>Chapter 4:  Indicator 4:  Curriculum</w:t>
            </w:r>
            <w:r w:rsidR="00C17DD7">
              <w:rPr>
                <w:webHidden/>
              </w:rPr>
              <w:tab/>
            </w:r>
            <w:r w:rsidR="00C17DD7">
              <w:rPr>
                <w:webHidden/>
              </w:rPr>
              <w:fldChar w:fldCharType="begin"/>
            </w:r>
            <w:r w:rsidR="00C17DD7">
              <w:rPr>
                <w:webHidden/>
              </w:rPr>
              <w:instrText xml:space="preserve"> PAGEREF _Toc109195982 \h </w:instrText>
            </w:r>
            <w:r w:rsidR="00C17DD7">
              <w:rPr>
                <w:webHidden/>
              </w:rPr>
            </w:r>
            <w:r w:rsidR="00C17DD7">
              <w:rPr>
                <w:webHidden/>
              </w:rPr>
              <w:fldChar w:fldCharType="separate"/>
            </w:r>
            <w:r w:rsidR="00356390">
              <w:rPr>
                <w:webHidden/>
              </w:rPr>
              <w:t>18</w:t>
            </w:r>
            <w:r w:rsidR="00C17DD7">
              <w:rPr>
                <w:webHidden/>
              </w:rPr>
              <w:fldChar w:fldCharType="end"/>
            </w:r>
          </w:hyperlink>
        </w:p>
        <w:p w14:paraId="20D081B4" w14:textId="56AE3C5D" w:rsidR="00C17DD7" w:rsidRDefault="00695FC4">
          <w:pPr>
            <w:pStyle w:val="TOC3"/>
            <w:tabs>
              <w:tab w:val="right" w:leader="dot" w:pos="9350"/>
            </w:tabs>
            <w:rPr>
              <w:rFonts w:asciiTheme="minorHAnsi" w:eastAsiaTheme="minorEastAsia" w:hAnsiTheme="minorHAnsi" w:cstheme="minorBidi"/>
              <w:noProof/>
              <w:szCs w:val="22"/>
            </w:rPr>
          </w:pPr>
          <w:hyperlink w:anchor="_Toc109195983" w:history="1">
            <w:r w:rsidR="00C17DD7" w:rsidRPr="0036498A">
              <w:rPr>
                <w:rStyle w:val="Hyperlink"/>
                <w:b/>
                <w:bCs/>
                <w:noProof/>
              </w:rPr>
              <w:t>Standards-aligned Curriculum</w:t>
            </w:r>
            <w:r w:rsidR="00C17DD7">
              <w:rPr>
                <w:noProof/>
                <w:webHidden/>
              </w:rPr>
              <w:tab/>
            </w:r>
            <w:r w:rsidR="00C17DD7">
              <w:rPr>
                <w:noProof/>
                <w:webHidden/>
              </w:rPr>
              <w:fldChar w:fldCharType="begin"/>
            </w:r>
            <w:r w:rsidR="00C17DD7">
              <w:rPr>
                <w:noProof/>
                <w:webHidden/>
              </w:rPr>
              <w:instrText xml:space="preserve"> PAGEREF _Toc109195983 \h </w:instrText>
            </w:r>
            <w:r w:rsidR="00C17DD7">
              <w:rPr>
                <w:noProof/>
                <w:webHidden/>
              </w:rPr>
            </w:r>
            <w:r w:rsidR="00C17DD7">
              <w:rPr>
                <w:noProof/>
                <w:webHidden/>
              </w:rPr>
              <w:fldChar w:fldCharType="separate"/>
            </w:r>
            <w:r w:rsidR="00356390">
              <w:rPr>
                <w:noProof/>
                <w:webHidden/>
              </w:rPr>
              <w:t>18</w:t>
            </w:r>
            <w:r w:rsidR="00C17DD7">
              <w:rPr>
                <w:noProof/>
                <w:webHidden/>
              </w:rPr>
              <w:fldChar w:fldCharType="end"/>
            </w:r>
          </w:hyperlink>
        </w:p>
        <w:p w14:paraId="7A0C9FD2" w14:textId="2710011A" w:rsidR="00C17DD7" w:rsidRDefault="00695FC4">
          <w:pPr>
            <w:pStyle w:val="TOC3"/>
            <w:tabs>
              <w:tab w:val="right" w:leader="dot" w:pos="9350"/>
            </w:tabs>
            <w:rPr>
              <w:rFonts w:asciiTheme="minorHAnsi" w:eastAsiaTheme="minorEastAsia" w:hAnsiTheme="minorHAnsi" w:cstheme="minorBidi"/>
              <w:noProof/>
              <w:szCs w:val="22"/>
            </w:rPr>
          </w:pPr>
          <w:hyperlink w:anchor="_Toc109195984" w:history="1">
            <w:r w:rsidR="00C17DD7" w:rsidRPr="0036498A">
              <w:rPr>
                <w:rStyle w:val="Hyperlink"/>
                <w:b/>
                <w:bCs/>
                <w:noProof/>
              </w:rPr>
              <w:t>College and Career Readiness (State requirement)</w:t>
            </w:r>
            <w:r w:rsidR="00C17DD7">
              <w:rPr>
                <w:noProof/>
                <w:webHidden/>
              </w:rPr>
              <w:tab/>
            </w:r>
            <w:r w:rsidR="00C17DD7">
              <w:rPr>
                <w:noProof/>
                <w:webHidden/>
              </w:rPr>
              <w:fldChar w:fldCharType="begin"/>
            </w:r>
            <w:r w:rsidR="00C17DD7">
              <w:rPr>
                <w:noProof/>
                <w:webHidden/>
              </w:rPr>
              <w:instrText xml:space="preserve"> PAGEREF _Toc109195984 \h </w:instrText>
            </w:r>
            <w:r w:rsidR="00C17DD7">
              <w:rPr>
                <w:noProof/>
                <w:webHidden/>
              </w:rPr>
            </w:r>
            <w:r w:rsidR="00C17DD7">
              <w:rPr>
                <w:noProof/>
                <w:webHidden/>
              </w:rPr>
              <w:fldChar w:fldCharType="separate"/>
            </w:r>
            <w:r w:rsidR="00356390">
              <w:rPr>
                <w:noProof/>
                <w:webHidden/>
              </w:rPr>
              <w:t>18</w:t>
            </w:r>
            <w:r w:rsidR="00C17DD7">
              <w:rPr>
                <w:noProof/>
                <w:webHidden/>
              </w:rPr>
              <w:fldChar w:fldCharType="end"/>
            </w:r>
          </w:hyperlink>
        </w:p>
        <w:p w14:paraId="515C23D0" w14:textId="01ADE98D" w:rsidR="00C17DD7" w:rsidRDefault="00695FC4">
          <w:pPr>
            <w:pStyle w:val="TOC3"/>
            <w:tabs>
              <w:tab w:val="right" w:leader="dot" w:pos="9350"/>
            </w:tabs>
            <w:rPr>
              <w:rFonts w:asciiTheme="minorHAnsi" w:eastAsiaTheme="minorEastAsia" w:hAnsiTheme="minorHAnsi" w:cstheme="minorBidi"/>
              <w:noProof/>
              <w:szCs w:val="22"/>
            </w:rPr>
          </w:pPr>
          <w:hyperlink w:anchor="_Toc109195985" w:history="1">
            <w:r w:rsidR="00C17DD7" w:rsidRPr="0036498A">
              <w:rPr>
                <w:rStyle w:val="Hyperlink"/>
                <w:b/>
                <w:bCs/>
                <w:noProof/>
              </w:rPr>
              <w:t>Curriculum Requirements for ABE (State requirement)</w:t>
            </w:r>
            <w:r w:rsidR="00C17DD7">
              <w:rPr>
                <w:noProof/>
                <w:webHidden/>
              </w:rPr>
              <w:tab/>
            </w:r>
            <w:r w:rsidR="00C17DD7">
              <w:rPr>
                <w:noProof/>
                <w:webHidden/>
              </w:rPr>
              <w:fldChar w:fldCharType="begin"/>
            </w:r>
            <w:r w:rsidR="00C17DD7">
              <w:rPr>
                <w:noProof/>
                <w:webHidden/>
              </w:rPr>
              <w:instrText xml:space="preserve"> PAGEREF _Toc109195985 \h </w:instrText>
            </w:r>
            <w:r w:rsidR="00C17DD7">
              <w:rPr>
                <w:noProof/>
                <w:webHidden/>
              </w:rPr>
            </w:r>
            <w:r w:rsidR="00C17DD7">
              <w:rPr>
                <w:noProof/>
                <w:webHidden/>
              </w:rPr>
              <w:fldChar w:fldCharType="separate"/>
            </w:r>
            <w:r w:rsidR="00356390">
              <w:rPr>
                <w:noProof/>
                <w:webHidden/>
              </w:rPr>
              <w:t>19</w:t>
            </w:r>
            <w:r w:rsidR="00C17DD7">
              <w:rPr>
                <w:noProof/>
                <w:webHidden/>
              </w:rPr>
              <w:fldChar w:fldCharType="end"/>
            </w:r>
          </w:hyperlink>
        </w:p>
        <w:p w14:paraId="56D6CB63" w14:textId="26314F28" w:rsidR="00C17DD7" w:rsidRDefault="00695FC4">
          <w:pPr>
            <w:pStyle w:val="TOC3"/>
            <w:tabs>
              <w:tab w:val="right" w:leader="dot" w:pos="9350"/>
            </w:tabs>
            <w:rPr>
              <w:rFonts w:asciiTheme="minorHAnsi" w:eastAsiaTheme="minorEastAsia" w:hAnsiTheme="minorHAnsi" w:cstheme="minorBidi"/>
              <w:noProof/>
              <w:szCs w:val="22"/>
            </w:rPr>
          </w:pPr>
          <w:hyperlink w:anchor="_Toc109195986" w:history="1">
            <w:r w:rsidR="00C17DD7" w:rsidRPr="0036498A">
              <w:rPr>
                <w:rStyle w:val="Hyperlink"/>
                <w:b/>
                <w:bCs/>
                <w:noProof/>
              </w:rPr>
              <w:t>Essential Components of Reading and Evidence-Based Reading Instruction (EBRI)</w:t>
            </w:r>
            <w:r w:rsidR="00C17DD7">
              <w:rPr>
                <w:noProof/>
                <w:webHidden/>
              </w:rPr>
              <w:tab/>
            </w:r>
            <w:r w:rsidR="00C17DD7">
              <w:rPr>
                <w:noProof/>
                <w:webHidden/>
              </w:rPr>
              <w:fldChar w:fldCharType="begin"/>
            </w:r>
            <w:r w:rsidR="00C17DD7">
              <w:rPr>
                <w:noProof/>
                <w:webHidden/>
              </w:rPr>
              <w:instrText xml:space="preserve"> PAGEREF _Toc109195986 \h </w:instrText>
            </w:r>
            <w:r w:rsidR="00C17DD7">
              <w:rPr>
                <w:noProof/>
                <w:webHidden/>
              </w:rPr>
            </w:r>
            <w:r w:rsidR="00C17DD7">
              <w:rPr>
                <w:noProof/>
                <w:webHidden/>
              </w:rPr>
              <w:fldChar w:fldCharType="separate"/>
            </w:r>
            <w:r w:rsidR="00356390">
              <w:rPr>
                <w:noProof/>
                <w:webHidden/>
              </w:rPr>
              <w:t>19</w:t>
            </w:r>
            <w:r w:rsidR="00C17DD7">
              <w:rPr>
                <w:noProof/>
                <w:webHidden/>
              </w:rPr>
              <w:fldChar w:fldCharType="end"/>
            </w:r>
          </w:hyperlink>
        </w:p>
        <w:p w14:paraId="0945733A" w14:textId="2DDBB764" w:rsidR="00C17DD7" w:rsidRDefault="00695FC4">
          <w:pPr>
            <w:pStyle w:val="TOC3"/>
            <w:tabs>
              <w:tab w:val="right" w:leader="dot" w:pos="9350"/>
            </w:tabs>
            <w:rPr>
              <w:rFonts w:asciiTheme="minorHAnsi" w:eastAsiaTheme="minorEastAsia" w:hAnsiTheme="minorHAnsi" w:cstheme="minorBidi"/>
              <w:noProof/>
              <w:szCs w:val="22"/>
            </w:rPr>
          </w:pPr>
          <w:hyperlink w:anchor="_Toc109195987" w:history="1">
            <w:r w:rsidR="00C17DD7" w:rsidRPr="0036498A">
              <w:rPr>
                <w:rStyle w:val="Hyperlink"/>
                <w:b/>
                <w:bCs/>
                <w:noProof/>
              </w:rPr>
              <w:t>Curriculum Requirements for ESOL (State requirement)</w:t>
            </w:r>
            <w:r w:rsidR="00C17DD7">
              <w:rPr>
                <w:noProof/>
                <w:webHidden/>
              </w:rPr>
              <w:tab/>
            </w:r>
            <w:r w:rsidR="00C17DD7">
              <w:rPr>
                <w:noProof/>
                <w:webHidden/>
              </w:rPr>
              <w:fldChar w:fldCharType="begin"/>
            </w:r>
            <w:r w:rsidR="00C17DD7">
              <w:rPr>
                <w:noProof/>
                <w:webHidden/>
              </w:rPr>
              <w:instrText xml:space="preserve"> PAGEREF _Toc109195987 \h </w:instrText>
            </w:r>
            <w:r w:rsidR="00C17DD7">
              <w:rPr>
                <w:noProof/>
                <w:webHidden/>
              </w:rPr>
            </w:r>
            <w:r w:rsidR="00C17DD7">
              <w:rPr>
                <w:noProof/>
                <w:webHidden/>
              </w:rPr>
              <w:fldChar w:fldCharType="separate"/>
            </w:r>
            <w:r w:rsidR="00356390">
              <w:rPr>
                <w:noProof/>
                <w:webHidden/>
              </w:rPr>
              <w:t>21</w:t>
            </w:r>
            <w:r w:rsidR="00C17DD7">
              <w:rPr>
                <w:noProof/>
                <w:webHidden/>
              </w:rPr>
              <w:fldChar w:fldCharType="end"/>
            </w:r>
          </w:hyperlink>
        </w:p>
        <w:p w14:paraId="48623EE1" w14:textId="601F925E" w:rsidR="00C17DD7" w:rsidRDefault="00695FC4">
          <w:pPr>
            <w:pStyle w:val="TOC3"/>
            <w:tabs>
              <w:tab w:val="right" w:leader="dot" w:pos="9350"/>
            </w:tabs>
            <w:rPr>
              <w:rFonts w:asciiTheme="minorHAnsi" w:eastAsiaTheme="minorEastAsia" w:hAnsiTheme="minorHAnsi" w:cstheme="minorBidi"/>
              <w:noProof/>
              <w:szCs w:val="22"/>
            </w:rPr>
          </w:pPr>
          <w:hyperlink w:anchor="_Toc109195988" w:history="1">
            <w:r w:rsidR="00C17DD7" w:rsidRPr="0036498A">
              <w:rPr>
                <w:rStyle w:val="Hyperlink"/>
                <w:b/>
                <w:bCs/>
                <w:noProof/>
              </w:rPr>
              <w:t>Curriculum Requirements for Distance Education</w:t>
            </w:r>
            <w:r w:rsidR="00C17DD7">
              <w:rPr>
                <w:noProof/>
                <w:webHidden/>
              </w:rPr>
              <w:tab/>
            </w:r>
            <w:r w:rsidR="00C17DD7">
              <w:rPr>
                <w:noProof/>
                <w:webHidden/>
              </w:rPr>
              <w:fldChar w:fldCharType="begin"/>
            </w:r>
            <w:r w:rsidR="00C17DD7">
              <w:rPr>
                <w:noProof/>
                <w:webHidden/>
              </w:rPr>
              <w:instrText xml:space="preserve"> PAGEREF _Toc109195988 \h </w:instrText>
            </w:r>
            <w:r w:rsidR="00C17DD7">
              <w:rPr>
                <w:noProof/>
                <w:webHidden/>
              </w:rPr>
            </w:r>
            <w:r w:rsidR="00C17DD7">
              <w:rPr>
                <w:noProof/>
                <w:webHidden/>
              </w:rPr>
              <w:fldChar w:fldCharType="separate"/>
            </w:r>
            <w:r w:rsidR="00356390">
              <w:rPr>
                <w:noProof/>
                <w:webHidden/>
              </w:rPr>
              <w:t>21</w:t>
            </w:r>
            <w:r w:rsidR="00C17DD7">
              <w:rPr>
                <w:noProof/>
                <w:webHidden/>
              </w:rPr>
              <w:fldChar w:fldCharType="end"/>
            </w:r>
          </w:hyperlink>
        </w:p>
        <w:p w14:paraId="7C130A29" w14:textId="55FF233C" w:rsidR="00C17DD7" w:rsidRDefault="00695FC4">
          <w:pPr>
            <w:pStyle w:val="TOC3"/>
            <w:tabs>
              <w:tab w:val="right" w:leader="dot" w:pos="9350"/>
            </w:tabs>
            <w:rPr>
              <w:rFonts w:asciiTheme="minorHAnsi" w:eastAsiaTheme="minorEastAsia" w:hAnsiTheme="minorHAnsi" w:cstheme="minorBidi"/>
              <w:noProof/>
              <w:szCs w:val="22"/>
            </w:rPr>
          </w:pPr>
          <w:hyperlink w:anchor="_Toc109195989" w:history="1">
            <w:r w:rsidR="00C17DD7" w:rsidRPr="0036498A">
              <w:rPr>
                <w:rStyle w:val="Hyperlink"/>
                <w:b/>
                <w:bCs/>
                <w:noProof/>
              </w:rPr>
              <w:t>Curriculum Requirements for All Programs</w:t>
            </w:r>
            <w:r w:rsidR="00C17DD7">
              <w:rPr>
                <w:noProof/>
                <w:webHidden/>
              </w:rPr>
              <w:tab/>
            </w:r>
            <w:r w:rsidR="00C17DD7">
              <w:rPr>
                <w:noProof/>
                <w:webHidden/>
              </w:rPr>
              <w:fldChar w:fldCharType="begin"/>
            </w:r>
            <w:r w:rsidR="00C17DD7">
              <w:rPr>
                <w:noProof/>
                <w:webHidden/>
              </w:rPr>
              <w:instrText xml:space="preserve"> PAGEREF _Toc109195989 \h </w:instrText>
            </w:r>
            <w:r w:rsidR="00C17DD7">
              <w:rPr>
                <w:noProof/>
                <w:webHidden/>
              </w:rPr>
            </w:r>
            <w:r w:rsidR="00C17DD7">
              <w:rPr>
                <w:noProof/>
                <w:webHidden/>
              </w:rPr>
              <w:fldChar w:fldCharType="separate"/>
            </w:r>
            <w:r w:rsidR="00356390">
              <w:rPr>
                <w:noProof/>
                <w:webHidden/>
              </w:rPr>
              <w:t>21</w:t>
            </w:r>
            <w:r w:rsidR="00C17DD7">
              <w:rPr>
                <w:noProof/>
                <w:webHidden/>
              </w:rPr>
              <w:fldChar w:fldCharType="end"/>
            </w:r>
          </w:hyperlink>
        </w:p>
        <w:p w14:paraId="0179D197" w14:textId="05FD0957" w:rsidR="00C17DD7" w:rsidRDefault="00695FC4">
          <w:pPr>
            <w:pStyle w:val="TOC2"/>
            <w:rPr>
              <w:rFonts w:asciiTheme="minorHAnsi" w:eastAsiaTheme="minorEastAsia" w:hAnsiTheme="minorHAnsi" w:cstheme="minorBidi"/>
              <w:sz w:val="22"/>
              <w:szCs w:val="22"/>
            </w:rPr>
          </w:pPr>
          <w:hyperlink w:anchor="_Toc109195990" w:history="1">
            <w:r w:rsidR="00C17DD7" w:rsidRPr="0036498A">
              <w:rPr>
                <w:rStyle w:val="Hyperlink"/>
                <w:b/>
              </w:rPr>
              <w:t>Chapter 5:  Indicator 5:  Instruction and Assessment</w:t>
            </w:r>
            <w:r w:rsidR="00C17DD7">
              <w:rPr>
                <w:webHidden/>
              </w:rPr>
              <w:tab/>
            </w:r>
            <w:r w:rsidR="00C17DD7">
              <w:rPr>
                <w:webHidden/>
              </w:rPr>
              <w:fldChar w:fldCharType="begin"/>
            </w:r>
            <w:r w:rsidR="00C17DD7">
              <w:rPr>
                <w:webHidden/>
              </w:rPr>
              <w:instrText xml:space="preserve"> PAGEREF _Toc109195990 \h </w:instrText>
            </w:r>
            <w:r w:rsidR="00C17DD7">
              <w:rPr>
                <w:webHidden/>
              </w:rPr>
            </w:r>
            <w:r w:rsidR="00C17DD7">
              <w:rPr>
                <w:webHidden/>
              </w:rPr>
              <w:fldChar w:fldCharType="separate"/>
            </w:r>
            <w:r w:rsidR="00356390">
              <w:rPr>
                <w:webHidden/>
              </w:rPr>
              <w:t>23</w:t>
            </w:r>
            <w:r w:rsidR="00C17DD7">
              <w:rPr>
                <w:webHidden/>
              </w:rPr>
              <w:fldChar w:fldCharType="end"/>
            </w:r>
          </w:hyperlink>
        </w:p>
        <w:p w14:paraId="396A49B9" w14:textId="458000A8" w:rsidR="00C17DD7" w:rsidRDefault="00695FC4">
          <w:pPr>
            <w:pStyle w:val="TOC3"/>
            <w:tabs>
              <w:tab w:val="right" w:leader="dot" w:pos="9350"/>
            </w:tabs>
            <w:rPr>
              <w:rFonts w:asciiTheme="minorHAnsi" w:eastAsiaTheme="minorEastAsia" w:hAnsiTheme="minorHAnsi" w:cstheme="minorBidi"/>
              <w:noProof/>
              <w:szCs w:val="22"/>
            </w:rPr>
          </w:pPr>
          <w:hyperlink w:anchor="_Toc109195991" w:history="1">
            <w:r w:rsidR="00C17DD7" w:rsidRPr="0036498A">
              <w:rPr>
                <w:rStyle w:val="Hyperlink"/>
                <w:b/>
                <w:bCs/>
                <w:noProof/>
              </w:rPr>
              <w:t>Alignment to Standards (State requirement)</w:t>
            </w:r>
            <w:r w:rsidR="00C17DD7">
              <w:rPr>
                <w:noProof/>
                <w:webHidden/>
              </w:rPr>
              <w:tab/>
            </w:r>
            <w:r w:rsidR="00C17DD7">
              <w:rPr>
                <w:noProof/>
                <w:webHidden/>
              </w:rPr>
              <w:fldChar w:fldCharType="begin"/>
            </w:r>
            <w:r w:rsidR="00C17DD7">
              <w:rPr>
                <w:noProof/>
                <w:webHidden/>
              </w:rPr>
              <w:instrText xml:space="preserve"> PAGEREF _Toc109195991 \h </w:instrText>
            </w:r>
            <w:r w:rsidR="00C17DD7">
              <w:rPr>
                <w:noProof/>
                <w:webHidden/>
              </w:rPr>
            </w:r>
            <w:r w:rsidR="00C17DD7">
              <w:rPr>
                <w:noProof/>
                <w:webHidden/>
              </w:rPr>
              <w:fldChar w:fldCharType="separate"/>
            </w:r>
            <w:r w:rsidR="00356390">
              <w:rPr>
                <w:noProof/>
                <w:webHidden/>
              </w:rPr>
              <w:t>23</w:t>
            </w:r>
            <w:r w:rsidR="00C17DD7">
              <w:rPr>
                <w:noProof/>
                <w:webHidden/>
              </w:rPr>
              <w:fldChar w:fldCharType="end"/>
            </w:r>
          </w:hyperlink>
        </w:p>
        <w:p w14:paraId="3D9B1D11" w14:textId="1DF3D16A" w:rsidR="00C17DD7" w:rsidRDefault="00695FC4">
          <w:pPr>
            <w:pStyle w:val="TOC3"/>
            <w:tabs>
              <w:tab w:val="right" w:leader="dot" w:pos="9350"/>
            </w:tabs>
            <w:rPr>
              <w:rFonts w:asciiTheme="minorHAnsi" w:eastAsiaTheme="minorEastAsia" w:hAnsiTheme="minorHAnsi" w:cstheme="minorBidi"/>
              <w:noProof/>
              <w:szCs w:val="22"/>
            </w:rPr>
          </w:pPr>
          <w:hyperlink w:anchor="_Toc109195992" w:history="1">
            <w:r w:rsidR="00C17DD7" w:rsidRPr="0036498A">
              <w:rPr>
                <w:rStyle w:val="Hyperlink"/>
                <w:b/>
                <w:bCs/>
                <w:noProof/>
              </w:rPr>
              <w:t>Integration of Workforce Preparation Activities and Digital Literacy Development</w:t>
            </w:r>
            <w:r w:rsidR="00C17DD7">
              <w:rPr>
                <w:noProof/>
                <w:webHidden/>
              </w:rPr>
              <w:tab/>
            </w:r>
            <w:r w:rsidR="00C17DD7">
              <w:rPr>
                <w:noProof/>
                <w:webHidden/>
              </w:rPr>
              <w:fldChar w:fldCharType="begin"/>
            </w:r>
            <w:r w:rsidR="00C17DD7">
              <w:rPr>
                <w:noProof/>
                <w:webHidden/>
              </w:rPr>
              <w:instrText xml:space="preserve"> PAGEREF _Toc109195992 \h </w:instrText>
            </w:r>
            <w:r w:rsidR="00C17DD7">
              <w:rPr>
                <w:noProof/>
                <w:webHidden/>
              </w:rPr>
            </w:r>
            <w:r w:rsidR="00C17DD7">
              <w:rPr>
                <w:noProof/>
                <w:webHidden/>
              </w:rPr>
              <w:fldChar w:fldCharType="separate"/>
            </w:r>
            <w:r w:rsidR="00356390">
              <w:rPr>
                <w:noProof/>
                <w:webHidden/>
              </w:rPr>
              <w:t>23</w:t>
            </w:r>
            <w:r w:rsidR="00C17DD7">
              <w:rPr>
                <w:noProof/>
                <w:webHidden/>
              </w:rPr>
              <w:fldChar w:fldCharType="end"/>
            </w:r>
          </w:hyperlink>
        </w:p>
        <w:p w14:paraId="02B6F8D6" w14:textId="4557F1E0" w:rsidR="00C17DD7" w:rsidRDefault="00695FC4">
          <w:pPr>
            <w:pStyle w:val="TOC3"/>
            <w:tabs>
              <w:tab w:val="right" w:leader="dot" w:pos="9350"/>
            </w:tabs>
            <w:rPr>
              <w:rFonts w:asciiTheme="minorHAnsi" w:eastAsiaTheme="minorEastAsia" w:hAnsiTheme="minorHAnsi" w:cstheme="minorBidi"/>
              <w:noProof/>
              <w:szCs w:val="22"/>
            </w:rPr>
          </w:pPr>
          <w:hyperlink w:anchor="_Toc109195993" w:history="1">
            <w:r w:rsidR="00C17DD7" w:rsidRPr="0036498A">
              <w:rPr>
                <w:rStyle w:val="Hyperlink"/>
                <w:b/>
                <w:bCs/>
                <w:noProof/>
              </w:rPr>
              <w:t>High Quality Resources for Instruction</w:t>
            </w:r>
            <w:r w:rsidR="00C17DD7">
              <w:rPr>
                <w:noProof/>
                <w:webHidden/>
              </w:rPr>
              <w:tab/>
            </w:r>
            <w:r w:rsidR="00C17DD7">
              <w:rPr>
                <w:noProof/>
                <w:webHidden/>
              </w:rPr>
              <w:fldChar w:fldCharType="begin"/>
            </w:r>
            <w:r w:rsidR="00C17DD7">
              <w:rPr>
                <w:noProof/>
                <w:webHidden/>
              </w:rPr>
              <w:instrText xml:space="preserve"> PAGEREF _Toc109195993 \h </w:instrText>
            </w:r>
            <w:r w:rsidR="00C17DD7">
              <w:rPr>
                <w:noProof/>
                <w:webHidden/>
              </w:rPr>
            </w:r>
            <w:r w:rsidR="00C17DD7">
              <w:rPr>
                <w:noProof/>
                <w:webHidden/>
              </w:rPr>
              <w:fldChar w:fldCharType="separate"/>
            </w:r>
            <w:r w:rsidR="00356390">
              <w:rPr>
                <w:noProof/>
                <w:webHidden/>
              </w:rPr>
              <w:t>24</w:t>
            </w:r>
            <w:r w:rsidR="00C17DD7">
              <w:rPr>
                <w:noProof/>
                <w:webHidden/>
              </w:rPr>
              <w:fldChar w:fldCharType="end"/>
            </w:r>
          </w:hyperlink>
        </w:p>
        <w:p w14:paraId="4074CD2F" w14:textId="663A73B9" w:rsidR="00C17DD7" w:rsidRDefault="00695FC4">
          <w:pPr>
            <w:pStyle w:val="TOC3"/>
            <w:tabs>
              <w:tab w:val="right" w:leader="dot" w:pos="9350"/>
            </w:tabs>
            <w:rPr>
              <w:rFonts w:asciiTheme="minorHAnsi" w:eastAsiaTheme="minorEastAsia" w:hAnsiTheme="minorHAnsi" w:cstheme="minorBidi"/>
              <w:noProof/>
              <w:szCs w:val="22"/>
            </w:rPr>
          </w:pPr>
          <w:hyperlink w:anchor="_Toc109195994" w:history="1">
            <w:r w:rsidR="00C17DD7" w:rsidRPr="0036498A">
              <w:rPr>
                <w:rStyle w:val="Hyperlink"/>
                <w:b/>
                <w:bCs/>
                <w:noProof/>
              </w:rPr>
              <w:t>Assessment</w:t>
            </w:r>
            <w:r w:rsidR="00C17DD7">
              <w:rPr>
                <w:noProof/>
                <w:webHidden/>
              </w:rPr>
              <w:tab/>
            </w:r>
            <w:r w:rsidR="00C17DD7">
              <w:rPr>
                <w:noProof/>
                <w:webHidden/>
              </w:rPr>
              <w:fldChar w:fldCharType="begin"/>
            </w:r>
            <w:r w:rsidR="00C17DD7">
              <w:rPr>
                <w:noProof/>
                <w:webHidden/>
              </w:rPr>
              <w:instrText xml:space="preserve"> PAGEREF _Toc109195994 \h </w:instrText>
            </w:r>
            <w:r w:rsidR="00C17DD7">
              <w:rPr>
                <w:noProof/>
                <w:webHidden/>
              </w:rPr>
            </w:r>
            <w:r w:rsidR="00C17DD7">
              <w:rPr>
                <w:noProof/>
                <w:webHidden/>
              </w:rPr>
              <w:fldChar w:fldCharType="separate"/>
            </w:r>
            <w:r w:rsidR="00356390">
              <w:rPr>
                <w:noProof/>
                <w:webHidden/>
              </w:rPr>
              <w:t>24</w:t>
            </w:r>
            <w:r w:rsidR="00C17DD7">
              <w:rPr>
                <w:noProof/>
                <w:webHidden/>
              </w:rPr>
              <w:fldChar w:fldCharType="end"/>
            </w:r>
          </w:hyperlink>
        </w:p>
        <w:p w14:paraId="5BF05AB1" w14:textId="16B77A9C" w:rsidR="00C17DD7" w:rsidRDefault="00695FC4">
          <w:pPr>
            <w:pStyle w:val="TOC3"/>
            <w:tabs>
              <w:tab w:val="right" w:leader="dot" w:pos="9350"/>
            </w:tabs>
            <w:rPr>
              <w:rFonts w:asciiTheme="minorHAnsi" w:eastAsiaTheme="minorEastAsia" w:hAnsiTheme="minorHAnsi" w:cstheme="minorBidi"/>
              <w:noProof/>
              <w:szCs w:val="22"/>
            </w:rPr>
          </w:pPr>
          <w:hyperlink w:anchor="_Toc109195995" w:history="1">
            <w:r w:rsidR="00C17DD7" w:rsidRPr="0036498A">
              <w:rPr>
                <w:rStyle w:val="Hyperlink"/>
                <w:b/>
                <w:bCs/>
                <w:noProof/>
              </w:rPr>
              <w:t>Formative Assessment</w:t>
            </w:r>
            <w:r w:rsidR="00C17DD7">
              <w:rPr>
                <w:noProof/>
                <w:webHidden/>
              </w:rPr>
              <w:tab/>
            </w:r>
            <w:r w:rsidR="00C17DD7">
              <w:rPr>
                <w:noProof/>
                <w:webHidden/>
              </w:rPr>
              <w:fldChar w:fldCharType="begin"/>
            </w:r>
            <w:r w:rsidR="00C17DD7">
              <w:rPr>
                <w:noProof/>
                <w:webHidden/>
              </w:rPr>
              <w:instrText xml:space="preserve"> PAGEREF _Toc109195995 \h </w:instrText>
            </w:r>
            <w:r w:rsidR="00C17DD7">
              <w:rPr>
                <w:noProof/>
                <w:webHidden/>
              </w:rPr>
            </w:r>
            <w:r w:rsidR="00C17DD7">
              <w:rPr>
                <w:noProof/>
                <w:webHidden/>
              </w:rPr>
              <w:fldChar w:fldCharType="separate"/>
            </w:r>
            <w:r w:rsidR="00356390">
              <w:rPr>
                <w:noProof/>
                <w:webHidden/>
              </w:rPr>
              <w:t>25</w:t>
            </w:r>
            <w:r w:rsidR="00C17DD7">
              <w:rPr>
                <w:noProof/>
                <w:webHidden/>
              </w:rPr>
              <w:fldChar w:fldCharType="end"/>
            </w:r>
          </w:hyperlink>
        </w:p>
        <w:p w14:paraId="2ED4283F" w14:textId="1BDF00AD" w:rsidR="00C17DD7" w:rsidRDefault="00695FC4">
          <w:pPr>
            <w:pStyle w:val="TOC3"/>
            <w:tabs>
              <w:tab w:val="right" w:leader="dot" w:pos="9350"/>
            </w:tabs>
            <w:rPr>
              <w:rFonts w:asciiTheme="minorHAnsi" w:eastAsiaTheme="minorEastAsia" w:hAnsiTheme="minorHAnsi" w:cstheme="minorBidi"/>
              <w:noProof/>
              <w:szCs w:val="22"/>
            </w:rPr>
          </w:pPr>
          <w:hyperlink w:anchor="_Toc109195996" w:history="1">
            <w:r w:rsidR="00C17DD7" w:rsidRPr="0036498A">
              <w:rPr>
                <w:rStyle w:val="Hyperlink"/>
                <w:b/>
                <w:bCs/>
                <w:noProof/>
              </w:rPr>
              <w:t>Summative Assessment</w:t>
            </w:r>
            <w:r w:rsidR="00C17DD7">
              <w:rPr>
                <w:noProof/>
                <w:webHidden/>
              </w:rPr>
              <w:tab/>
            </w:r>
            <w:r w:rsidR="00C17DD7">
              <w:rPr>
                <w:noProof/>
                <w:webHidden/>
              </w:rPr>
              <w:fldChar w:fldCharType="begin"/>
            </w:r>
            <w:r w:rsidR="00C17DD7">
              <w:rPr>
                <w:noProof/>
                <w:webHidden/>
              </w:rPr>
              <w:instrText xml:space="preserve"> PAGEREF _Toc109195996 \h </w:instrText>
            </w:r>
            <w:r w:rsidR="00C17DD7">
              <w:rPr>
                <w:noProof/>
                <w:webHidden/>
              </w:rPr>
            </w:r>
            <w:r w:rsidR="00C17DD7">
              <w:rPr>
                <w:noProof/>
                <w:webHidden/>
              </w:rPr>
              <w:fldChar w:fldCharType="separate"/>
            </w:r>
            <w:r w:rsidR="00356390">
              <w:rPr>
                <w:noProof/>
                <w:webHidden/>
              </w:rPr>
              <w:t>25</w:t>
            </w:r>
            <w:r w:rsidR="00C17DD7">
              <w:rPr>
                <w:noProof/>
                <w:webHidden/>
              </w:rPr>
              <w:fldChar w:fldCharType="end"/>
            </w:r>
          </w:hyperlink>
        </w:p>
        <w:p w14:paraId="1C18BA9A" w14:textId="5E7801C5" w:rsidR="00C17DD7" w:rsidRDefault="00695FC4">
          <w:pPr>
            <w:pStyle w:val="TOC2"/>
            <w:rPr>
              <w:rFonts w:asciiTheme="minorHAnsi" w:eastAsiaTheme="minorEastAsia" w:hAnsiTheme="minorHAnsi" w:cstheme="minorBidi"/>
              <w:sz w:val="22"/>
              <w:szCs w:val="22"/>
            </w:rPr>
          </w:pPr>
          <w:hyperlink w:anchor="_Toc109195997" w:history="1">
            <w:r w:rsidR="00C17DD7" w:rsidRPr="0036498A">
              <w:rPr>
                <w:rStyle w:val="Hyperlink"/>
                <w:b/>
              </w:rPr>
              <w:t>Chapter 6:  Indicator 6:  Student Progress</w:t>
            </w:r>
            <w:r w:rsidR="00C17DD7">
              <w:rPr>
                <w:webHidden/>
              </w:rPr>
              <w:tab/>
            </w:r>
            <w:r w:rsidR="00C17DD7">
              <w:rPr>
                <w:webHidden/>
              </w:rPr>
              <w:fldChar w:fldCharType="begin"/>
            </w:r>
            <w:r w:rsidR="00C17DD7">
              <w:rPr>
                <w:webHidden/>
              </w:rPr>
              <w:instrText xml:space="preserve"> PAGEREF _Toc109195997 \h </w:instrText>
            </w:r>
            <w:r w:rsidR="00C17DD7">
              <w:rPr>
                <w:webHidden/>
              </w:rPr>
            </w:r>
            <w:r w:rsidR="00C17DD7">
              <w:rPr>
                <w:webHidden/>
              </w:rPr>
              <w:fldChar w:fldCharType="separate"/>
            </w:r>
            <w:r w:rsidR="00356390">
              <w:rPr>
                <w:webHidden/>
              </w:rPr>
              <w:t>26</w:t>
            </w:r>
            <w:r w:rsidR="00C17DD7">
              <w:rPr>
                <w:webHidden/>
              </w:rPr>
              <w:fldChar w:fldCharType="end"/>
            </w:r>
          </w:hyperlink>
        </w:p>
        <w:p w14:paraId="7BBB64E2" w14:textId="344B1516" w:rsidR="00C17DD7" w:rsidRDefault="00695FC4">
          <w:pPr>
            <w:pStyle w:val="TOC3"/>
            <w:tabs>
              <w:tab w:val="right" w:leader="dot" w:pos="9350"/>
            </w:tabs>
            <w:rPr>
              <w:rFonts w:asciiTheme="minorHAnsi" w:eastAsiaTheme="minorEastAsia" w:hAnsiTheme="minorHAnsi" w:cstheme="minorBidi"/>
              <w:noProof/>
              <w:szCs w:val="22"/>
            </w:rPr>
          </w:pPr>
          <w:hyperlink w:anchor="_Toc109195998" w:history="1">
            <w:r w:rsidR="00C17DD7" w:rsidRPr="0036498A">
              <w:rPr>
                <w:rStyle w:val="Hyperlink"/>
                <w:b/>
                <w:bCs/>
                <w:noProof/>
              </w:rPr>
              <w:t>Standardized Assessment</w:t>
            </w:r>
            <w:r w:rsidR="00C17DD7">
              <w:rPr>
                <w:noProof/>
                <w:webHidden/>
              </w:rPr>
              <w:tab/>
            </w:r>
            <w:r w:rsidR="00C17DD7">
              <w:rPr>
                <w:noProof/>
                <w:webHidden/>
              </w:rPr>
              <w:fldChar w:fldCharType="begin"/>
            </w:r>
            <w:r w:rsidR="00C17DD7">
              <w:rPr>
                <w:noProof/>
                <w:webHidden/>
              </w:rPr>
              <w:instrText xml:space="preserve"> PAGEREF _Toc109195998 \h </w:instrText>
            </w:r>
            <w:r w:rsidR="00C17DD7">
              <w:rPr>
                <w:noProof/>
                <w:webHidden/>
              </w:rPr>
            </w:r>
            <w:r w:rsidR="00C17DD7">
              <w:rPr>
                <w:noProof/>
                <w:webHidden/>
              </w:rPr>
              <w:fldChar w:fldCharType="separate"/>
            </w:r>
            <w:r w:rsidR="00356390">
              <w:rPr>
                <w:noProof/>
                <w:webHidden/>
              </w:rPr>
              <w:t>26</w:t>
            </w:r>
            <w:r w:rsidR="00C17DD7">
              <w:rPr>
                <w:noProof/>
                <w:webHidden/>
              </w:rPr>
              <w:fldChar w:fldCharType="end"/>
            </w:r>
          </w:hyperlink>
        </w:p>
        <w:p w14:paraId="5F1A221E" w14:textId="1E225ACE" w:rsidR="00C17DD7" w:rsidRDefault="00695FC4">
          <w:pPr>
            <w:pStyle w:val="TOC3"/>
            <w:tabs>
              <w:tab w:val="right" w:leader="dot" w:pos="9350"/>
            </w:tabs>
            <w:rPr>
              <w:rFonts w:asciiTheme="minorHAnsi" w:eastAsiaTheme="minorEastAsia" w:hAnsiTheme="minorHAnsi" w:cstheme="minorBidi"/>
              <w:noProof/>
              <w:szCs w:val="22"/>
            </w:rPr>
          </w:pPr>
          <w:hyperlink w:anchor="_Toc109195999" w:history="1">
            <w:r w:rsidR="00C17DD7" w:rsidRPr="0036498A">
              <w:rPr>
                <w:rStyle w:val="Hyperlink"/>
                <w:b/>
                <w:bCs/>
                <w:noProof/>
              </w:rPr>
              <w:t>Required Assessments (State requirement)</w:t>
            </w:r>
            <w:r w:rsidR="00C17DD7">
              <w:rPr>
                <w:noProof/>
                <w:webHidden/>
              </w:rPr>
              <w:tab/>
            </w:r>
            <w:r w:rsidR="00C17DD7">
              <w:rPr>
                <w:noProof/>
                <w:webHidden/>
              </w:rPr>
              <w:fldChar w:fldCharType="begin"/>
            </w:r>
            <w:r w:rsidR="00C17DD7">
              <w:rPr>
                <w:noProof/>
                <w:webHidden/>
              </w:rPr>
              <w:instrText xml:space="preserve"> PAGEREF _Toc109195999 \h </w:instrText>
            </w:r>
            <w:r w:rsidR="00C17DD7">
              <w:rPr>
                <w:noProof/>
                <w:webHidden/>
              </w:rPr>
            </w:r>
            <w:r w:rsidR="00C17DD7">
              <w:rPr>
                <w:noProof/>
                <w:webHidden/>
              </w:rPr>
              <w:fldChar w:fldCharType="separate"/>
            </w:r>
            <w:r w:rsidR="00356390">
              <w:rPr>
                <w:noProof/>
                <w:webHidden/>
              </w:rPr>
              <w:t>26</w:t>
            </w:r>
            <w:r w:rsidR="00C17DD7">
              <w:rPr>
                <w:noProof/>
                <w:webHidden/>
              </w:rPr>
              <w:fldChar w:fldCharType="end"/>
            </w:r>
          </w:hyperlink>
        </w:p>
        <w:p w14:paraId="089BC805" w14:textId="04E4BAFB" w:rsidR="00C17DD7" w:rsidRDefault="00695FC4">
          <w:pPr>
            <w:pStyle w:val="TOC3"/>
            <w:tabs>
              <w:tab w:val="right" w:leader="dot" w:pos="9350"/>
            </w:tabs>
            <w:rPr>
              <w:rFonts w:asciiTheme="minorHAnsi" w:eastAsiaTheme="minorEastAsia" w:hAnsiTheme="minorHAnsi" w:cstheme="minorBidi"/>
              <w:noProof/>
              <w:szCs w:val="22"/>
            </w:rPr>
          </w:pPr>
          <w:hyperlink w:anchor="_Toc109196000" w:history="1">
            <w:r w:rsidR="00C17DD7" w:rsidRPr="0036498A">
              <w:rPr>
                <w:rStyle w:val="Hyperlink"/>
                <w:b/>
                <w:bCs/>
                <w:noProof/>
              </w:rPr>
              <w:t>Measurable Skills Gain (MSG) and Performance Accountability (State requirement)</w:t>
            </w:r>
            <w:r w:rsidR="00C17DD7">
              <w:rPr>
                <w:noProof/>
                <w:webHidden/>
              </w:rPr>
              <w:tab/>
            </w:r>
            <w:r w:rsidR="00C17DD7">
              <w:rPr>
                <w:noProof/>
                <w:webHidden/>
              </w:rPr>
              <w:fldChar w:fldCharType="begin"/>
            </w:r>
            <w:r w:rsidR="00C17DD7">
              <w:rPr>
                <w:noProof/>
                <w:webHidden/>
              </w:rPr>
              <w:instrText xml:space="preserve"> PAGEREF _Toc109196000 \h </w:instrText>
            </w:r>
            <w:r w:rsidR="00C17DD7">
              <w:rPr>
                <w:noProof/>
                <w:webHidden/>
              </w:rPr>
            </w:r>
            <w:r w:rsidR="00C17DD7">
              <w:rPr>
                <w:noProof/>
                <w:webHidden/>
              </w:rPr>
              <w:fldChar w:fldCharType="separate"/>
            </w:r>
            <w:r w:rsidR="00356390">
              <w:rPr>
                <w:noProof/>
                <w:webHidden/>
              </w:rPr>
              <w:t>27</w:t>
            </w:r>
            <w:r w:rsidR="00C17DD7">
              <w:rPr>
                <w:noProof/>
                <w:webHidden/>
              </w:rPr>
              <w:fldChar w:fldCharType="end"/>
            </w:r>
          </w:hyperlink>
        </w:p>
        <w:p w14:paraId="5B55299A" w14:textId="4D4703EC" w:rsidR="00C17DD7" w:rsidRDefault="00695FC4">
          <w:pPr>
            <w:pStyle w:val="TOC3"/>
            <w:tabs>
              <w:tab w:val="right" w:leader="dot" w:pos="9350"/>
            </w:tabs>
            <w:rPr>
              <w:rFonts w:asciiTheme="minorHAnsi" w:eastAsiaTheme="minorEastAsia" w:hAnsiTheme="minorHAnsi" w:cstheme="minorBidi"/>
              <w:noProof/>
              <w:szCs w:val="22"/>
            </w:rPr>
          </w:pPr>
          <w:hyperlink w:anchor="_Toc109196001" w:history="1">
            <w:r w:rsidR="00C17DD7" w:rsidRPr="0036498A">
              <w:rPr>
                <w:rStyle w:val="Hyperlink"/>
                <w:b/>
                <w:bCs/>
                <w:noProof/>
              </w:rPr>
              <w:t>MSG Targets (State requirement)</w:t>
            </w:r>
            <w:r w:rsidR="00C17DD7">
              <w:rPr>
                <w:noProof/>
                <w:webHidden/>
              </w:rPr>
              <w:tab/>
            </w:r>
            <w:r w:rsidR="00C17DD7">
              <w:rPr>
                <w:noProof/>
                <w:webHidden/>
              </w:rPr>
              <w:fldChar w:fldCharType="begin"/>
            </w:r>
            <w:r w:rsidR="00C17DD7">
              <w:rPr>
                <w:noProof/>
                <w:webHidden/>
              </w:rPr>
              <w:instrText xml:space="preserve"> PAGEREF _Toc109196001 \h </w:instrText>
            </w:r>
            <w:r w:rsidR="00C17DD7">
              <w:rPr>
                <w:noProof/>
                <w:webHidden/>
              </w:rPr>
            </w:r>
            <w:r w:rsidR="00C17DD7">
              <w:rPr>
                <w:noProof/>
                <w:webHidden/>
              </w:rPr>
              <w:fldChar w:fldCharType="separate"/>
            </w:r>
            <w:r w:rsidR="00356390">
              <w:rPr>
                <w:noProof/>
                <w:webHidden/>
              </w:rPr>
              <w:t>27</w:t>
            </w:r>
            <w:r w:rsidR="00C17DD7">
              <w:rPr>
                <w:noProof/>
                <w:webHidden/>
              </w:rPr>
              <w:fldChar w:fldCharType="end"/>
            </w:r>
          </w:hyperlink>
        </w:p>
        <w:p w14:paraId="6D29E537" w14:textId="51EE190C" w:rsidR="00C17DD7" w:rsidRDefault="00695FC4">
          <w:pPr>
            <w:pStyle w:val="TOC2"/>
            <w:rPr>
              <w:rFonts w:asciiTheme="minorHAnsi" w:eastAsiaTheme="minorEastAsia" w:hAnsiTheme="minorHAnsi" w:cstheme="minorBidi"/>
              <w:sz w:val="22"/>
              <w:szCs w:val="22"/>
            </w:rPr>
          </w:pPr>
          <w:hyperlink w:anchor="_Toc109196002" w:history="1">
            <w:r w:rsidR="00C17DD7" w:rsidRPr="0036498A">
              <w:rPr>
                <w:rStyle w:val="Hyperlink"/>
                <w:b/>
              </w:rPr>
              <w:t>Chapter 7:  Indicator 7:  Advising and Student Support Services</w:t>
            </w:r>
            <w:r w:rsidR="00C17DD7">
              <w:rPr>
                <w:webHidden/>
              </w:rPr>
              <w:tab/>
            </w:r>
            <w:r w:rsidR="00C17DD7">
              <w:rPr>
                <w:webHidden/>
              </w:rPr>
              <w:fldChar w:fldCharType="begin"/>
            </w:r>
            <w:r w:rsidR="00C17DD7">
              <w:rPr>
                <w:webHidden/>
              </w:rPr>
              <w:instrText xml:space="preserve"> PAGEREF _Toc109196002 \h </w:instrText>
            </w:r>
            <w:r w:rsidR="00C17DD7">
              <w:rPr>
                <w:webHidden/>
              </w:rPr>
            </w:r>
            <w:r w:rsidR="00C17DD7">
              <w:rPr>
                <w:webHidden/>
              </w:rPr>
              <w:fldChar w:fldCharType="separate"/>
            </w:r>
            <w:r w:rsidR="00356390">
              <w:rPr>
                <w:webHidden/>
              </w:rPr>
              <w:t>28</w:t>
            </w:r>
            <w:r w:rsidR="00C17DD7">
              <w:rPr>
                <w:webHidden/>
              </w:rPr>
              <w:fldChar w:fldCharType="end"/>
            </w:r>
          </w:hyperlink>
        </w:p>
        <w:p w14:paraId="7B4B5AE0" w14:textId="731C5681" w:rsidR="00C17DD7" w:rsidRDefault="00695FC4">
          <w:pPr>
            <w:pStyle w:val="TOC3"/>
            <w:tabs>
              <w:tab w:val="right" w:leader="dot" w:pos="9350"/>
            </w:tabs>
            <w:rPr>
              <w:rFonts w:asciiTheme="minorHAnsi" w:eastAsiaTheme="minorEastAsia" w:hAnsiTheme="minorHAnsi" w:cstheme="minorBidi"/>
              <w:noProof/>
              <w:szCs w:val="22"/>
            </w:rPr>
          </w:pPr>
          <w:hyperlink w:anchor="_Toc109196003" w:history="1">
            <w:r w:rsidR="00C17DD7" w:rsidRPr="0036498A">
              <w:rPr>
                <w:rStyle w:val="Hyperlink"/>
                <w:b/>
                <w:bCs/>
                <w:noProof/>
              </w:rPr>
              <w:t>Advising (State requirement)</w:t>
            </w:r>
            <w:r w:rsidR="00C17DD7">
              <w:rPr>
                <w:noProof/>
                <w:webHidden/>
              </w:rPr>
              <w:tab/>
            </w:r>
            <w:r w:rsidR="00C17DD7">
              <w:rPr>
                <w:noProof/>
                <w:webHidden/>
              </w:rPr>
              <w:fldChar w:fldCharType="begin"/>
            </w:r>
            <w:r w:rsidR="00C17DD7">
              <w:rPr>
                <w:noProof/>
                <w:webHidden/>
              </w:rPr>
              <w:instrText xml:space="preserve"> PAGEREF _Toc109196003 \h </w:instrText>
            </w:r>
            <w:r w:rsidR="00C17DD7">
              <w:rPr>
                <w:noProof/>
                <w:webHidden/>
              </w:rPr>
            </w:r>
            <w:r w:rsidR="00C17DD7">
              <w:rPr>
                <w:noProof/>
                <w:webHidden/>
              </w:rPr>
              <w:fldChar w:fldCharType="separate"/>
            </w:r>
            <w:r w:rsidR="00356390">
              <w:rPr>
                <w:noProof/>
                <w:webHidden/>
              </w:rPr>
              <w:t>28</w:t>
            </w:r>
            <w:r w:rsidR="00C17DD7">
              <w:rPr>
                <w:noProof/>
                <w:webHidden/>
              </w:rPr>
              <w:fldChar w:fldCharType="end"/>
            </w:r>
          </w:hyperlink>
        </w:p>
        <w:p w14:paraId="14EA32CC" w14:textId="0CE1C2E2" w:rsidR="00C17DD7" w:rsidRDefault="00695FC4">
          <w:pPr>
            <w:pStyle w:val="TOC3"/>
            <w:tabs>
              <w:tab w:val="right" w:leader="dot" w:pos="9350"/>
            </w:tabs>
            <w:rPr>
              <w:rFonts w:asciiTheme="minorHAnsi" w:eastAsiaTheme="minorEastAsia" w:hAnsiTheme="minorHAnsi" w:cstheme="minorBidi"/>
              <w:noProof/>
              <w:szCs w:val="22"/>
            </w:rPr>
          </w:pPr>
          <w:hyperlink w:anchor="_Toc109196004" w:history="1">
            <w:r w:rsidR="00C17DD7" w:rsidRPr="0036498A">
              <w:rPr>
                <w:rStyle w:val="Hyperlink"/>
                <w:b/>
                <w:bCs/>
                <w:noProof/>
              </w:rPr>
              <w:t>Advising for Out-of-School Youth and Parents or Family Members</w:t>
            </w:r>
            <w:r w:rsidR="00C17DD7">
              <w:rPr>
                <w:noProof/>
                <w:webHidden/>
              </w:rPr>
              <w:tab/>
            </w:r>
            <w:r w:rsidR="00C17DD7">
              <w:rPr>
                <w:noProof/>
                <w:webHidden/>
              </w:rPr>
              <w:fldChar w:fldCharType="begin"/>
            </w:r>
            <w:r w:rsidR="00C17DD7">
              <w:rPr>
                <w:noProof/>
                <w:webHidden/>
              </w:rPr>
              <w:instrText xml:space="preserve"> PAGEREF _Toc109196004 \h </w:instrText>
            </w:r>
            <w:r w:rsidR="00C17DD7">
              <w:rPr>
                <w:noProof/>
                <w:webHidden/>
              </w:rPr>
            </w:r>
            <w:r w:rsidR="00C17DD7">
              <w:rPr>
                <w:noProof/>
                <w:webHidden/>
              </w:rPr>
              <w:fldChar w:fldCharType="separate"/>
            </w:r>
            <w:r w:rsidR="00356390">
              <w:rPr>
                <w:noProof/>
                <w:webHidden/>
              </w:rPr>
              <w:t>28</w:t>
            </w:r>
            <w:r w:rsidR="00C17DD7">
              <w:rPr>
                <w:noProof/>
                <w:webHidden/>
              </w:rPr>
              <w:fldChar w:fldCharType="end"/>
            </w:r>
          </w:hyperlink>
        </w:p>
        <w:p w14:paraId="77AB737A" w14:textId="6D1C0FAA" w:rsidR="00C17DD7" w:rsidRDefault="00695FC4">
          <w:pPr>
            <w:pStyle w:val="TOC2"/>
            <w:rPr>
              <w:rFonts w:asciiTheme="minorHAnsi" w:eastAsiaTheme="minorEastAsia" w:hAnsiTheme="minorHAnsi" w:cstheme="minorBidi"/>
              <w:sz w:val="22"/>
              <w:szCs w:val="22"/>
            </w:rPr>
          </w:pPr>
          <w:hyperlink w:anchor="_Toc109196005" w:history="1">
            <w:r w:rsidR="00C17DD7" w:rsidRPr="0036498A">
              <w:rPr>
                <w:rStyle w:val="Hyperlink"/>
                <w:b/>
              </w:rPr>
              <w:t>Chapter 8:  Indicator 8:  Organizational Support</w:t>
            </w:r>
            <w:r w:rsidR="00C17DD7">
              <w:rPr>
                <w:webHidden/>
              </w:rPr>
              <w:tab/>
            </w:r>
            <w:r w:rsidR="00C17DD7">
              <w:rPr>
                <w:webHidden/>
              </w:rPr>
              <w:fldChar w:fldCharType="begin"/>
            </w:r>
            <w:r w:rsidR="00C17DD7">
              <w:rPr>
                <w:webHidden/>
              </w:rPr>
              <w:instrText xml:space="preserve"> PAGEREF _Toc109196005 \h </w:instrText>
            </w:r>
            <w:r w:rsidR="00C17DD7">
              <w:rPr>
                <w:webHidden/>
              </w:rPr>
            </w:r>
            <w:r w:rsidR="00C17DD7">
              <w:rPr>
                <w:webHidden/>
              </w:rPr>
              <w:fldChar w:fldCharType="separate"/>
            </w:r>
            <w:r w:rsidR="00356390">
              <w:rPr>
                <w:webHidden/>
              </w:rPr>
              <w:t>29</w:t>
            </w:r>
            <w:r w:rsidR="00C17DD7">
              <w:rPr>
                <w:webHidden/>
              </w:rPr>
              <w:fldChar w:fldCharType="end"/>
            </w:r>
          </w:hyperlink>
        </w:p>
        <w:p w14:paraId="077A1871" w14:textId="2E96F2B3" w:rsidR="00C17DD7" w:rsidRDefault="00695FC4">
          <w:pPr>
            <w:pStyle w:val="TOC3"/>
            <w:tabs>
              <w:tab w:val="right" w:leader="dot" w:pos="9350"/>
            </w:tabs>
            <w:rPr>
              <w:rFonts w:asciiTheme="minorHAnsi" w:eastAsiaTheme="minorEastAsia" w:hAnsiTheme="minorHAnsi" w:cstheme="minorBidi"/>
              <w:noProof/>
              <w:szCs w:val="22"/>
            </w:rPr>
          </w:pPr>
          <w:hyperlink w:anchor="_Toc109196006" w:history="1">
            <w:r w:rsidR="00C17DD7" w:rsidRPr="0036498A">
              <w:rPr>
                <w:rStyle w:val="Hyperlink"/>
                <w:b/>
                <w:bCs/>
                <w:noProof/>
              </w:rPr>
              <w:t>Program Governance (State requirement)</w:t>
            </w:r>
            <w:r w:rsidR="00C17DD7">
              <w:rPr>
                <w:noProof/>
                <w:webHidden/>
              </w:rPr>
              <w:tab/>
            </w:r>
            <w:r w:rsidR="00C17DD7">
              <w:rPr>
                <w:noProof/>
                <w:webHidden/>
              </w:rPr>
              <w:fldChar w:fldCharType="begin"/>
            </w:r>
            <w:r w:rsidR="00C17DD7">
              <w:rPr>
                <w:noProof/>
                <w:webHidden/>
              </w:rPr>
              <w:instrText xml:space="preserve"> PAGEREF _Toc109196006 \h </w:instrText>
            </w:r>
            <w:r w:rsidR="00C17DD7">
              <w:rPr>
                <w:noProof/>
                <w:webHidden/>
              </w:rPr>
            </w:r>
            <w:r w:rsidR="00C17DD7">
              <w:rPr>
                <w:noProof/>
                <w:webHidden/>
              </w:rPr>
              <w:fldChar w:fldCharType="separate"/>
            </w:r>
            <w:r w:rsidR="00356390">
              <w:rPr>
                <w:noProof/>
                <w:webHidden/>
              </w:rPr>
              <w:t>29</w:t>
            </w:r>
            <w:r w:rsidR="00C17DD7">
              <w:rPr>
                <w:noProof/>
                <w:webHidden/>
              </w:rPr>
              <w:fldChar w:fldCharType="end"/>
            </w:r>
          </w:hyperlink>
        </w:p>
        <w:p w14:paraId="72086A1C" w14:textId="3D98E035" w:rsidR="00C17DD7" w:rsidRDefault="00695FC4">
          <w:pPr>
            <w:pStyle w:val="TOC3"/>
            <w:tabs>
              <w:tab w:val="right" w:leader="dot" w:pos="9350"/>
            </w:tabs>
            <w:rPr>
              <w:rFonts w:asciiTheme="minorHAnsi" w:eastAsiaTheme="minorEastAsia" w:hAnsiTheme="minorHAnsi" w:cstheme="minorBidi"/>
              <w:noProof/>
              <w:szCs w:val="22"/>
            </w:rPr>
          </w:pPr>
          <w:hyperlink w:anchor="_Toc109196007" w:history="1">
            <w:r w:rsidR="00C17DD7" w:rsidRPr="0036498A">
              <w:rPr>
                <w:rStyle w:val="Hyperlink"/>
                <w:b/>
                <w:bCs/>
                <w:noProof/>
              </w:rPr>
              <w:t>Facilities (State requirement)</w:t>
            </w:r>
            <w:r w:rsidR="00C17DD7">
              <w:rPr>
                <w:noProof/>
                <w:webHidden/>
              </w:rPr>
              <w:tab/>
            </w:r>
            <w:r w:rsidR="00C17DD7">
              <w:rPr>
                <w:noProof/>
                <w:webHidden/>
              </w:rPr>
              <w:fldChar w:fldCharType="begin"/>
            </w:r>
            <w:r w:rsidR="00C17DD7">
              <w:rPr>
                <w:noProof/>
                <w:webHidden/>
              </w:rPr>
              <w:instrText xml:space="preserve"> PAGEREF _Toc109196007 \h </w:instrText>
            </w:r>
            <w:r w:rsidR="00C17DD7">
              <w:rPr>
                <w:noProof/>
                <w:webHidden/>
              </w:rPr>
            </w:r>
            <w:r w:rsidR="00C17DD7">
              <w:rPr>
                <w:noProof/>
                <w:webHidden/>
              </w:rPr>
              <w:fldChar w:fldCharType="separate"/>
            </w:r>
            <w:r w:rsidR="00356390">
              <w:rPr>
                <w:noProof/>
                <w:webHidden/>
              </w:rPr>
              <w:t>29</w:t>
            </w:r>
            <w:r w:rsidR="00C17DD7">
              <w:rPr>
                <w:noProof/>
                <w:webHidden/>
              </w:rPr>
              <w:fldChar w:fldCharType="end"/>
            </w:r>
          </w:hyperlink>
        </w:p>
        <w:p w14:paraId="47DBA3D1" w14:textId="58320CB9" w:rsidR="00C17DD7" w:rsidRDefault="00695FC4">
          <w:pPr>
            <w:pStyle w:val="TOC3"/>
            <w:tabs>
              <w:tab w:val="right" w:leader="dot" w:pos="9350"/>
            </w:tabs>
            <w:rPr>
              <w:rFonts w:asciiTheme="minorHAnsi" w:eastAsiaTheme="minorEastAsia" w:hAnsiTheme="minorHAnsi" w:cstheme="minorBidi"/>
              <w:noProof/>
              <w:szCs w:val="22"/>
            </w:rPr>
          </w:pPr>
          <w:hyperlink w:anchor="_Toc109196008" w:history="1">
            <w:r w:rsidR="00C17DD7" w:rsidRPr="0036498A">
              <w:rPr>
                <w:rStyle w:val="Hyperlink"/>
                <w:b/>
                <w:bCs/>
                <w:noProof/>
              </w:rPr>
              <w:t>Technology (State requirement)</w:t>
            </w:r>
            <w:r w:rsidR="00C17DD7">
              <w:rPr>
                <w:noProof/>
                <w:webHidden/>
              </w:rPr>
              <w:tab/>
            </w:r>
            <w:r w:rsidR="00C17DD7">
              <w:rPr>
                <w:noProof/>
                <w:webHidden/>
              </w:rPr>
              <w:fldChar w:fldCharType="begin"/>
            </w:r>
            <w:r w:rsidR="00C17DD7">
              <w:rPr>
                <w:noProof/>
                <w:webHidden/>
              </w:rPr>
              <w:instrText xml:space="preserve"> PAGEREF _Toc109196008 \h </w:instrText>
            </w:r>
            <w:r w:rsidR="00C17DD7">
              <w:rPr>
                <w:noProof/>
                <w:webHidden/>
              </w:rPr>
            </w:r>
            <w:r w:rsidR="00C17DD7">
              <w:rPr>
                <w:noProof/>
                <w:webHidden/>
              </w:rPr>
              <w:fldChar w:fldCharType="separate"/>
            </w:r>
            <w:r w:rsidR="00356390">
              <w:rPr>
                <w:noProof/>
                <w:webHidden/>
              </w:rPr>
              <w:t>29</w:t>
            </w:r>
            <w:r w:rsidR="00C17DD7">
              <w:rPr>
                <w:noProof/>
                <w:webHidden/>
              </w:rPr>
              <w:fldChar w:fldCharType="end"/>
            </w:r>
          </w:hyperlink>
        </w:p>
        <w:p w14:paraId="50285547" w14:textId="2420EE40" w:rsidR="00C17DD7" w:rsidRDefault="00695FC4">
          <w:pPr>
            <w:pStyle w:val="TOC3"/>
            <w:tabs>
              <w:tab w:val="right" w:leader="dot" w:pos="9350"/>
            </w:tabs>
            <w:rPr>
              <w:rFonts w:asciiTheme="minorHAnsi" w:eastAsiaTheme="minorEastAsia" w:hAnsiTheme="minorHAnsi" w:cstheme="minorBidi"/>
              <w:noProof/>
              <w:szCs w:val="22"/>
            </w:rPr>
          </w:pPr>
          <w:hyperlink w:anchor="_Toc109196009" w:history="1">
            <w:r w:rsidR="00C17DD7" w:rsidRPr="0036498A">
              <w:rPr>
                <w:rStyle w:val="Hyperlink"/>
                <w:b/>
                <w:bCs/>
                <w:noProof/>
              </w:rPr>
              <w:t>Salaries and Benefits (State requirement)</w:t>
            </w:r>
            <w:r w:rsidR="00C17DD7">
              <w:rPr>
                <w:noProof/>
                <w:webHidden/>
              </w:rPr>
              <w:tab/>
            </w:r>
            <w:r w:rsidR="00C17DD7">
              <w:rPr>
                <w:noProof/>
                <w:webHidden/>
              </w:rPr>
              <w:fldChar w:fldCharType="begin"/>
            </w:r>
            <w:r w:rsidR="00C17DD7">
              <w:rPr>
                <w:noProof/>
                <w:webHidden/>
              </w:rPr>
              <w:instrText xml:space="preserve"> PAGEREF _Toc109196009 \h </w:instrText>
            </w:r>
            <w:r w:rsidR="00C17DD7">
              <w:rPr>
                <w:noProof/>
                <w:webHidden/>
              </w:rPr>
            </w:r>
            <w:r w:rsidR="00C17DD7">
              <w:rPr>
                <w:noProof/>
                <w:webHidden/>
              </w:rPr>
              <w:fldChar w:fldCharType="separate"/>
            </w:r>
            <w:r w:rsidR="00356390">
              <w:rPr>
                <w:noProof/>
                <w:webHidden/>
              </w:rPr>
              <w:t>29</w:t>
            </w:r>
            <w:r w:rsidR="00C17DD7">
              <w:rPr>
                <w:noProof/>
                <w:webHidden/>
              </w:rPr>
              <w:fldChar w:fldCharType="end"/>
            </w:r>
          </w:hyperlink>
        </w:p>
        <w:p w14:paraId="365C6228" w14:textId="2BEB04A4" w:rsidR="00C17DD7" w:rsidRDefault="00695FC4">
          <w:pPr>
            <w:pStyle w:val="TOC3"/>
            <w:tabs>
              <w:tab w:val="right" w:leader="dot" w:pos="9350"/>
            </w:tabs>
            <w:rPr>
              <w:rFonts w:asciiTheme="minorHAnsi" w:eastAsiaTheme="minorEastAsia" w:hAnsiTheme="minorHAnsi" w:cstheme="minorBidi"/>
              <w:noProof/>
              <w:szCs w:val="22"/>
            </w:rPr>
          </w:pPr>
          <w:hyperlink w:anchor="_Toc109196010" w:history="1">
            <w:r w:rsidR="00C17DD7" w:rsidRPr="0036498A">
              <w:rPr>
                <w:rStyle w:val="Hyperlink"/>
                <w:b/>
                <w:bCs/>
                <w:noProof/>
              </w:rPr>
              <w:t>Administrator Qualifications (State requirement)</w:t>
            </w:r>
            <w:r w:rsidR="00C17DD7">
              <w:rPr>
                <w:noProof/>
                <w:webHidden/>
              </w:rPr>
              <w:tab/>
            </w:r>
            <w:r w:rsidR="00C17DD7">
              <w:rPr>
                <w:noProof/>
                <w:webHidden/>
              </w:rPr>
              <w:fldChar w:fldCharType="begin"/>
            </w:r>
            <w:r w:rsidR="00C17DD7">
              <w:rPr>
                <w:noProof/>
                <w:webHidden/>
              </w:rPr>
              <w:instrText xml:space="preserve"> PAGEREF _Toc109196010 \h </w:instrText>
            </w:r>
            <w:r w:rsidR="00C17DD7">
              <w:rPr>
                <w:noProof/>
                <w:webHidden/>
              </w:rPr>
            </w:r>
            <w:r w:rsidR="00C17DD7">
              <w:rPr>
                <w:noProof/>
                <w:webHidden/>
              </w:rPr>
              <w:fldChar w:fldCharType="separate"/>
            </w:r>
            <w:r w:rsidR="00356390">
              <w:rPr>
                <w:noProof/>
                <w:webHidden/>
              </w:rPr>
              <w:t>30</w:t>
            </w:r>
            <w:r w:rsidR="00C17DD7">
              <w:rPr>
                <w:noProof/>
                <w:webHidden/>
              </w:rPr>
              <w:fldChar w:fldCharType="end"/>
            </w:r>
          </w:hyperlink>
        </w:p>
        <w:p w14:paraId="112E5873" w14:textId="0F0376BB" w:rsidR="00C17DD7" w:rsidRDefault="00695FC4">
          <w:pPr>
            <w:pStyle w:val="TOC3"/>
            <w:tabs>
              <w:tab w:val="right" w:leader="dot" w:pos="9350"/>
            </w:tabs>
            <w:rPr>
              <w:rFonts w:asciiTheme="minorHAnsi" w:eastAsiaTheme="minorEastAsia" w:hAnsiTheme="minorHAnsi" w:cstheme="minorBidi"/>
              <w:noProof/>
              <w:szCs w:val="22"/>
            </w:rPr>
          </w:pPr>
          <w:hyperlink w:anchor="_Toc109196011" w:history="1">
            <w:r w:rsidR="00C17DD7" w:rsidRPr="0036498A">
              <w:rPr>
                <w:rStyle w:val="Hyperlink"/>
                <w:b/>
                <w:bCs/>
                <w:noProof/>
              </w:rPr>
              <w:t>Staff Qualifications (State requirement)</w:t>
            </w:r>
            <w:r w:rsidR="00C17DD7">
              <w:rPr>
                <w:noProof/>
                <w:webHidden/>
              </w:rPr>
              <w:tab/>
            </w:r>
            <w:r w:rsidR="00C17DD7">
              <w:rPr>
                <w:noProof/>
                <w:webHidden/>
              </w:rPr>
              <w:fldChar w:fldCharType="begin"/>
            </w:r>
            <w:r w:rsidR="00C17DD7">
              <w:rPr>
                <w:noProof/>
                <w:webHidden/>
              </w:rPr>
              <w:instrText xml:space="preserve"> PAGEREF _Toc109196011 \h </w:instrText>
            </w:r>
            <w:r w:rsidR="00C17DD7">
              <w:rPr>
                <w:noProof/>
                <w:webHidden/>
              </w:rPr>
            </w:r>
            <w:r w:rsidR="00C17DD7">
              <w:rPr>
                <w:noProof/>
                <w:webHidden/>
              </w:rPr>
              <w:fldChar w:fldCharType="separate"/>
            </w:r>
            <w:r w:rsidR="00356390">
              <w:rPr>
                <w:noProof/>
                <w:webHidden/>
              </w:rPr>
              <w:t>30</w:t>
            </w:r>
            <w:r w:rsidR="00C17DD7">
              <w:rPr>
                <w:noProof/>
                <w:webHidden/>
              </w:rPr>
              <w:fldChar w:fldCharType="end"/>
            </w:r>
          </w:hyperlink>
        </w:p>
        <w:p w14:paraId="3A03E4EE" w14:textId="33E2E0B1" w:rsidR="00C17DD7" w:rsidRDefault="00695FC4">
          <w:pPr>
            <w:pStyle w:val="TOC2"/>
            <w:rPr>
              <w:rFonts w:asciiTheme="minorHAnsi" w:eastAsiaTheme="minorEastAsia" w:hAnsiTheme="minorHAnsi" w:cstheme="minorBidi"/>
              <w:sz w:val="22"/>
              <w:szCs w:val="22"/>
            </w:rPr>
          </w:pPr>
          <w:hyperlink w:anchor="_Toc109196012" w:history="1">
            <w:r w:rsidR="00C17DD7" w:rsidRPr="0036498A">
              <w:rPr>
                <w:rStyle w:val="Hyperlink"/>
                <w:b/>
              </w:rPr>
              <w:t>Chapter 9:  Indicator 9:  Educational Leadership</w:t>
            </w:r>
            <w:r w:rsidR="00C17DD7">
              <w:rPr>
                <w:webHidden/>
              </w:rPr>
              <w:tab/>
            </w:r>
            <w:r w:rsidR="00C17DD7">
              <w:rPr>
                <w:webHidden/>
              </w:rPr>
              <w:fldChar w:fldCharType="begin"/>
            </w:r>
            <w:r w:rsidR="00C17DD7">
              <w:rPr>
                <w:webHidden/>
              </w:rPr>
              <w:instrText xml:space="preserve"> PAGEREF _Toc109196012 \h </w:instrText>
            </w:r>
            <w:r w:rsidR="00C17DD7">
              <w:rPr>
                <w:webHidden/>
              </w:rPr>
            </w:r>
            <w:r w:rsidR="00C17DD7">
              <w:rPr>
                <w:webHidden/>
              </w:rPr>
              <w:fldChar w:fldCharType="separate"/>
            </w:r>
            <w:r w:rsidR="00356390">
              <w:rPr>
                <w:webHidden/>
              </w:rPr>
              <w:t>31</w:t>
            </w:r>
            <w:r w:rsidR="00C17DD7">
              <w:rPr>
                <w:webHidden/>
              </w:rPr>
              <w:fldChar w:fldCharType="end"/>
            </w:r>
          </w:hyperlink>
        </w:p>
        <w:p w14:paraId="42725E4B" w14:textId="776382F7" w:rsidR="00C17DD7" w:rsidRDefault="00695FC4">
          <w:pPr>
            <w:pStyle w:val="TOC3"/>
            <w:tabs>
              <w:tab w:val="right" w:leader="dot" w:pos="9350"/>
            </w:tabs>
            <w:rPr>
              <w:rFonts w:asciiTheme="minorHAnsi" w:eastAsiaTheme="minorEastAsia" w:hAnsiTheme="minorHAnsi" w:cstheme="minorBidi"/>
              <w:noProof/>
              <w:szCs w:val="22"/>
            </w:rPr>
          </w:pPr>
          <w:hyperlink w:anchor="_Toc109196013" w:history="1">
            <w:r w:rsidR="00C17DD7" w:rsidRPr="0036498A">
              <w:rPr>
                <w:rStyle w:val="Hyperlink"/>
                <w:b/>
                <w:bCs/>
                <w:noProof/>
              </w:rPr>
              <w:t>New Staff</w:t>
            </w:r>
            <w:r w:rsidR="00C17DD7">
              <w:rPr>
                <w:noProof/>
                <w:webHidden/>
              </w:rPr>
              <w:tab/>
            </w:r>
            <w:r w:rsidR="00C17DD7">
              <w:rPr>
                <w:noProof/>
                <w:webHidden/>
              </w:rPr>
              <w:fldChar w:fldCharType="begin"/>
            </w:r>
            <w:r w:rsidR="00C17DD7">
              <w:rPr>
                <w:noProof/>
                <w:webHidden/>
              </w:rPr>
              <w:instrText xml:space="preserve"> PAGEREF _Toc109196013 \h </w:instrText>
            </w:r>
            <w:r w:rsidR="00C17DD7">
              <w:rPr>
                <w:noProof/>
                <w:webHidden/>
              </w:rPr>
            </w:r>
            <w:r w:rsidR="00C17DD7">
              <w:rPr>
                <w:noProof/>
                <w:webHidden/>
              </w:rPr>
              <w:fldChar w:fldCharType="separate"/>
            </w:r>
            <w:r w:rsidR="00356390">
              <w:rPr>
                <w:noProof/>
                <w:webHidden/>
              </w:rPr>
              <w:t>31</w:t>
            </w:r>
            <w:r w:rsidR="00C17DD7">
              <w:rPr>
                <w:noProof/>
                <w:webHidden/>
              </w:rPr>
              <w:fldChar w:fldCharType="end"/>
            </w:r>
          </w:hyperlink>
        </w:p>
        <w:p w14:paraId="3898494D" w14:textId="4912007A" w:rsidR="00C17DD7" w:rsidRDefault="00695FC4">
          <w:pPr>
            <w:pStyle w:val="TOC3"/>
            <w:tabs>
              <w:tab w:val="right" w:leader="dot" w:pos="9350"/>
            </w:tabs>
            <w:rPr>
              <w:rFonts w:asciiTheme="minorHAnsi" w:eastAsiaTheme="minorEastAsia" w:hAnsiTheme="minorHAnsi" w:cstheme="minorBidi"/>
              <w:noProof/>
              <w:szCs w:val="22"/>
            </w:rPr>
          </w:pPr>
          <w:hyperlink w:anchor="_Toc109196014" w:history="1">
            <w:r w:rsidR="00C17DD7" w:rsidRPr="0036498A">
              <w:rPr>
                <w:rStyle w:val="Hyperlink"/>
                <w:b/>
                <w:bCs/>
                <w:noProof/>
              </w:rPr>
              <w:t>High Quality Resources for PD</w:t>
            </w:r>
            <w:r w:rsidR="00C17DD7">
              <w:rPr>
                <w:noProof/>
                <w:webHidden/>
              </w:rPr>
              <w:tab/>
            </w:r>
            <w:r w:rsidR="00C17DD7">
              <w:rPr>
                <w:noProof/>
                <w:webHidden/>
              </w:rPr>
              <w:fldChar w:fldCharType="begin"/>
            </w:r>
            <w:r w:rsidR="00C17DD7">
              <w:rPr>
                <w:noProof/>
                <w:webHidden/>
              </w:rPr>
              <w:instrText xml:space="preserve"> PAGEREF _Toc109196014 \h </w:instrText>
            </w:r>
            <w:r w:rsidR="00C17DD7">
              <w:rPr>
                <w:noProof/>
                <w:webHidden/>
              </w:rPr>
            </w:r>
            <w:r w:rsidR="00C17DD7">
              <w:rPr>
                <w:noProof/>
                <w:webHidden/>
              </w:rPr>
              <w:fldChar w:fldCharType="separate"/>
            </w:r>
            <w:r w:rsidR="00356390">
              <w:rPr>
                <w:noProof/>
                <w:webHidden/>
              </w:rPr>
              <w:t>31</w:t>
            </w:r>
            <w:r w:rsidR="00C17DD7">
              <w:rPr>
                <w:noProof/>
                <w:webHidden/>
              </w:rPr>
              <w:fldChar w:fldCharType="end"/>
            </w:r>
          </w:hyperlink>
        </w:p>
        <w:p w14:paraId="4540D195" w14:textId="60256782" w:rsidR="00C17DD7" w:rsidRDefault="00695FC4">
          <w:pPr>
            <w:pStyle w:val="TOC3"/>
            <w:tabs>
              <w:tab w:val="right" w:leader="dot" w:pos="9350"/>
            </w:tabs>
            <w:rPr>
              <w:rFonts w:asciiTheme="minorHAnsi" w:eastAsiaTheme="minorEastAsia" w:hAnsiTheme="minorHAnsi" w:cstheme="minorBidi"/>
              <w:noProof/>
              <w:szCs w:val="22"/>
            </w:rPr>
          </w:pPr>
          <w:hyperlink w:anchor="_Toc109196015" w:history="1">
            <w:r w:rsidR="00C17DD7" w:rsidRPr="0036498A">
              <w:rPr>
                <w:rStyle w:val="Hyperlink"/>
                <w:b/>
                <w:bCs/>
                <w:noProof/>
              </w:rPr>
              <w:t>Professional Standards</w:t>
            </w:r>
            <w:r w:rsidR="00C17DD7">
              <w:rPr>
                <w:noProof/>
                <w:webHidden/>
              </w:rPr>
              <w:tab/>
            </w:r>
            <w:r w:rsidR="00C17DD7">
              <w:rPr>
                <w:noProof/>
                <w:webHidden/>
              </w:rPr>
              <w:fldChar w:fldCharType="begin"/>
            </w:r>
            <w:r w:rsidR="00C17DD7">
              <w:rPr>
                <w:noProof/>
                <w:webHidden/>
              </w:rPr>
              <w:instrText xml:space="preserve"> PAGEREF _Toc109196015 \h </w:instrText>
            </w:r>
            <w:r w:rsidR="00C17DD7">
              <w:rPr>
                <w:noProof/>
                <w:webHidden/>
              </w:rPr>
            </w:r>
            <w:r w:rsidR="00C17DD7">
              <w:rPr>
                <w:noProof/>
                <w:webHidden/>
              </w:rPr>
              <w:fldChar w:fldCharType="separate"/>
            </w:r>
            <w:r w:rsidR="00356390">
              <w:rPr>
                <w:noProof/>
                <w:webHidden/>
              </w:rPr>
              <w:t>32</w:t>
            </w:r>
            <w:r w:rsidR="00C17DD7">
              <w:rPr>
                <w:noProof/>
                <w:webHidden/>
              </w:rPr>
              <w:fldChar w:fldCharType="end"/>
            </w:r>
          </w:hyperlink>
        </w:p>
        <w:p w14:paraId="62B52D53" w14:textId="64FDD35F" w:rsidR="00C17DD7" w:rsidRDefault="00695FC4">
          <w:pPr>
            <w:pStyle w:val="TOC3"/>
            <w:tabs>
              <w:tab w:val="right" w:leader="dot" w:pos="9350"/>
            </w:tabs>
            <w:rPr>
              <w:rFonts w:asciiTheme="minorHAnsi" w:eastAsiaTheme="minorEastAsia" w:hAnsiTheme="minorHAnsi" w:cstheme="minorBidi"/>
              <w:noProof/>
              <w:szCs w:val="22"/>
            </w:rPr>
          </w:pPr>
          <w:hyperlink w:anchor="_Toc109196016" w:history="1">
            <w:r w:rsidR="00C17DD7" w:rsidRPr="0036498A">
              <w:rPr>
                <w:rStyle w:val="Hyperlink"/>
                <w:b/>
                <w:bCs/>
                <w:noProof/>
              </w:rPr>
              <w:t>Educator Growth and Effectiveness (EGE)</w:t>
            </w:r>
            <w:r w:rsidR="00C17DD7">
              <w:rPr>
                <w:noProof/>
                <w:webHidden/>
              </w:rPr>
              <w:tab/>
            </w:r>
            <w:r w:rsidR="00C17DD7">
              <w:rPr>
                <w:noProof/>
                <w:webHidden/>
              </w:rPr>
              <w:fldChar w:fldCharType="begin"/>
            </w:r>
            <w:r w:rsidR="00C17DD7">
              <w:rPr>
                <w:noProof/>
                <w:webHidden/>
              </w:rPr>
              <w:instrText xml:space="preserve"> PAGEREF _Toc109196016 \h </w:instrText>
            </w:r>
            <w:r w:rsidR="00C17DD7">
              <w:rPr>
                <w:noProof/>
                <w:webHidden/>
              </w:rPr>
            </w:r>
            <w:r w:rsidR="00C17DD7">
              <w:rPr>
                <w:noProof/>
                <w:webHidden/>
              </w:rPr>
              <w:fldChar w:fldCharType="separate"/>
            </w:r>
            <w:r w:rsidR="00356390">
              <w:rPr>
                <w:noProof/>
                <w:webHidden/>
              </w:rPr>
              <w:t>33</w:t>
            </w:r>
            <w:r w:rsidR="00C17DD7">
              <w:rPr>
                <w:noProof/>
                <w:webHidden/>
              </w:rPr>
              <w:fldChar w:fldCharType="end"/>
            </w:r>
          </w:hyperlink>
        </w:p>
        <w:p w14:paraId="5B98AE14" w14:textId="5AB59A33" w:rsidR="00C17DD7" w:rsidRDefault="00695FC4">
          <w:pPr>
            <w:pStyle w:val="TOC3"/>
            <w:tabs>
              <w:tab w:val="right" w:leader="dot" w:pos="9350"/>
            </w:tabs>
            <w:rPr>
              <w:rFonts w:asciiTheme="minorHAnsi" w:eastAsiaTheme="minorEastAsia" w:hAnsiTheme="minorHAnsi" w:cstheme="minorBidi"/>
              <w:noProof/>
              <w:szCs w:val="22"/>
            </w:rPr>
          </w:pPr>
          <w:hyperlink w:anchor="_Toc109196017" w:history="1">
            <w:r w:rsidR="00C17DD7" w:rsidRPr="0036498A">
              <w:rPr>
                <w:rStyle w:val="Hyperlink"/>
                <w:b/>
                <w:bCs/>
                <w:noProof/>
              </w:rPr>
              <w:t>Staff Supervision and Evaluation (State requirement)</w:t>
            </w:r>
            <w:r w:rsidR="00C17DD7">
              <w:rPr>
                <w:noProof/>
                <w:webHidden/>
              </w:rPr>
              <w:tab/>
            </w:r>
            <w:r w:rsidR="00C17DD7">
              <w:rPr>
                <w:noProof/>
                <w:webHidden/>
              </w:rPr>
              <w:fldChar w:fldCharType="begin"/>
            </w:r>
            <w:r w:rsidR="00C17DD7">
              <w:rPr>
                <w:noProof/>
                <w:webHidden/>
              </w:rPr>
              <w:instrText xml:space="preserve"> PAGEREF _Toc109196017 \h </w:instrText>
            </w:r>
            <w:r w:rsidR="00C17DD7">
              <w:rPr>
                <w:noProof/>
                <w:webHidden/>
              </w:rPr>
            </w:r>
            <w:r w:rsidR="00C17DD7">
              <w:rPr>
                <w:noProof/>
                <w:webHidden/>
              </w:rPr>
              <w:fldChar w:fldCharType="separate"/>
            </w:r>
            <w:r w:rsidR="00356390">
              <w:rPr>
                <w:noProof/>
                <w:webHidden/>
              </w:rPr>
              <w:t>33</w:t>
            </w:r>
            <w:r w:rsidR="00C17DD7">
              <w:rPr>
                <w:noProof/>
                <w:webHidden/>
              </w:rPr>
              <w:fldChar w:fldCharType="end"/>
            </w:r>
          </w:hyperlink>
        </w:p>
        <w:p w14:paraId="0B5B28CF" w14:textId="368BF5EC" w:rsidR="00C17DD7" w:rsidRDefault="00695FC4">
          <w:pPr>
            <w:pStyle w:val="TOC2"/>
            <w:rPr>
              <w:rFonts w:asciiTheme="minorHAnsi" w:eastAsiaTheme="minorEastAsia" w:hAnsiTheme="minorHAnsi" w:cstheme="minorBidi"/>
              <w:sz w:val="22"/>
              <w:szCs w:val="22"/>
            </w:rPr>
          </w:pPr>
          <w:hyperlink w:anchor="_Toc109196018" w:history="1">
            <w:r w:rsidR="00C17DD7" w:rsidRPr="0036498A">
              <w:rPr>
                <w:rStyle w:val="Hyperlink"/>
                <w:b/>
              </w:rPr>
              <w:t>Chapter 10:  Indicator 10:  Fiscal and Data Accountability</w:t>
            </w:r>
            <w:r w:rsidR="00C17DD7">
              <w:rPr>
                <w:webHidden/>
              </w:rPr>
              <w:tab/>
            </w:r>
            <w:r w:rsidR="00C17DD7">
              <w:rPr>
                <w:webHidden/>
              </w:rPr>
              <w:fldChar w:fldCharType="begin"/>
            </w:r>
            <w:r w:rsidR="00C17DD7">
              <w:rPr>
                <w:webHidden/>
              </w:rPr>
              <w:instrText xml:space="preserve"> PAGEREF _Toc109196018 \h </w:instrText>
            </w:r>
            <w:r w:rsidR="00C17DD7">
              <w:rPr>
                <w:webHidden/>
              </w:rPr>
            </w:r>
            <w:r w:rsidR="00C17DD7">
              <w:rPr>
                <w:webHidden/>
              </w:rPr>
              <w:fldChar w:fldCharType="separate"/>
            </w:r>
            <w:r w:rsidR="00356390">
              <w:rPr>
                <w:webHidden/>
              </w:rPr>
              <w:t>34</w:t>
            </w:r>
            <w:r w:rsidR="00C17DD7">
              <w:rPr>
                <w:webHidden/>
              </w:rPr>
              <w:fldChar w:fldCharType="end"/>
            </w:r>
          </w:hyperlink>
        </w:p>
        <w:p w14:paraId="4339441F" w14:textId="09F0C06D" w:rsidR="00C17DD7" w:rsidRDefault="00695FC4">
          <w:pPr>
            <w:pStyle w:val="TOC3"/>
            <w:tabs>
              <w:tab w:val="right" w:leader="dot" w:pos="9350"/>
            </w:tabs>
            <w:rPr>
              <w:rFonts w:asciiTheme="minorHAnsi" w:eastAsiaTheme="minorEastAsia" w:hAnsiTheme="minorHAnsi" w:cstheme="minorBidi"/>
              <w:noProof/>
              <w:szCs w:val="22"/>
            </w:rPr>
          </w:pPr>
          <w:hyperlink w:anchor="_Toc109196019" w:history="1">
            <w:r w:rsidR="00C17DD7" w:rsidRPr="0036498A">
              <w:rPr>
                <w:rStyle w:val="Hyperlink"/>
                <w:b/>
                <w:bCs/>
                <w:noProof/>
              </w:rPr>
              <w:t>Fiscal Responsibilities and Grant Administration</w:t>
            </w:r>
            <w:r w:rsidR="00C17DD7">
              <w:rPr>
                <w:noProof/>
                <w:webHidden/>
              </w:rPr>
              <w:tab/>
            </w:r>
            <w:r w:rsidR="00C17DD7">
              <w:rPr>
                <w:noProof/>
                <w:webHidden/>
              </w:rPr>
              <w:fldChar w:fldCharType="begin"/>
            </w:r>
            <w:r w:rsidR="00C17DD7">
              <w:rPr>
                <w:noProof/>
                <w:webHidden/>
              </w:rPr>
              <w:instrText xml:space="preserve"> PAGEREF _Toc109196019 \h </w:instrText>
            </w:r>
            <w:r w:rsidR="00C17DD7">
              <w:rPr>
                <w:noProof/>
                <w:webHidden/>
              </w:rPr>
            </w:r>
            <w:r w:rsidR="00C17DD7">
              <w:rPr>
                <w:noProof/>
                <w:webHidden/>
              </w:rPr>
              <w:fldChar w:fldCharType="separate"/>
            </w:r>
            <w:r w:rsidR="00356390">
              <w:rPr>
                <w:noProof/>
                <w:webHidden/>
              </w:rPr>
              <w:t>34</w:t>
            </w:r>
            <w:r w:rsidR="00C17DD7">
              <w:rPr>
                <w:noProof/>
                <w:webHidden/>
              </w:rPr>
              <w:fldChar w:fldCharType="end"/>
            </w:r>
          </w:hyperlink>
        </w:p>
        <w:p w14:paraId="06F73893" w14:textId="54C7D472" w:rsidR="00C17DD7" w:rsidRDefault="00695FC4">
          <w:pPr>
            <w:pStyle w:val="TOC3"/>
            <w:tabs>
              <w:tab w:val="right" w:leader="dot" w:pos="9350"/>
            </w:tabs>
            <w:rPr>
              <w:rFonts w:asciiTheme="minorHAnsi" w:eastAsiaTheme="minorEastAsia" w:hAnsiTheme="minorHAnsi" w:cstheme="minorBidi"/>
              <w:noProof/>
              <w:szCs w:val="22"/>
            </w:rPr>
          </w:pPr>
          <w:hyperlink w:anchor="_Toc109196020" w:history="1">
            <w:r w:rsidR="00C17DD7" w:rsidRPr="0036498A">
              <w:rPr>
                <w:rStyle w:val="Hyperlink"/>
                <w:b/>
                <w:bCs/>
                <w:noProof/>
              </w:rPr>
              <w:t>Record Keeping</w:t>
            </w:r>
            <w:r w:rsidR="00C17DD7">
              <w:rPr>
                <w:noProof/>
                <w:webHidden/>
              </w:rPr>
              <w:tab/>
            </w:r>
            <w:r w:rsidR="00C17DD7">
              <w:rPr>
                <w:noProof/>
                <w:webHidden/>
              </w:rPr>
              <w:fldChar w:fldCharType="begin"/>
            </w:r>
            <w:r w:rsidR="00C17DD7">
              <w:rPr>
                <w:noProof/>
                <w:webHidden/>
              </w:rPr>
              <w:instrText xml:space="preserve"> PAGEREF _Toc109196020 \h </w:instrText>
            </w:r>
            <w:r w:rsidR="00C17DD7">
              <w:rPr>
                <w:noProof/>
                <w:webHidden/>
              </w:rPr>
            </w:r>
            <w:r w:rsidR="00C17DD7">
              <w:rPr>
                <w:noProof/>
                <w:webHidden/>
              </w:rPr>
              <w:fldChar w:fldCharType="separate"/>
            </w:r>
            <w:r w:rsidR="00356390">
              <w:rPr>
                <w:noProof/>
                <w:webHidden/>
              </w:rPr>
              <w:t>35</w:t>
            </w:r>
            <w:r w:rsidR="00C17DD7">
              <w:rPr>
                <w:noProof/>
                <w:webHidden/>
              </w:rPr>
              <w:fldChar w:fldCharType="end"/>
            </w:r>
          </w:hyperlink>
        </w:p>
        <w:p w14:paraId="554214AD" w14:textId="4CD1C595" w:rsidR="00C17DD7" w:rsidRDefault="00695FC4">
          <w:pPr>
            <w:pStyle w:val="TOC3"/>
            <w:tabs>
              <w:tab w:val="right" w:leader="dot" w:pos="9350"/>
            </w:tabs>
            <w:rPr>
              <w:rFonts w:asciiTheme="minorHAnsi" w:eastAsiaTheme="minorEastAsia" w:hAnsiTheme="minorHAnsi" w:cstheme="minorBidi"/>
              <w:noProof/>
              <w:szCs w:val="22"/>
            </w:rPr>
          </w:pPr>
          <w:hyperlink w:anchor="_Toc109196021" w:history="1">
            <w:r w:rsidR="00C17DD7" w:rsidRPr="0036498A">
              <w:rPr>
                <w:rStyle w:val="Hyperlink"/>
                <w:b/>
                <w:bCs/>
                <w:noProof/>
              </w:rPr>
              <w:t>Supplement not Supplant</w:t>
            </w:r>
            <w:r w:rsidR="00C17DD7">
              <w:rPr>
                <w:noProof/>
                <w:webHidden/>
              </w:rPr>
              <w:tab/>
            </w:r>
            <w:r w:rsidR="00C17DD7">
              <w:rPr>
                <w:noProof/>
                <w:webHidden/>
              </w:rPr>
              <w:fldChar w:fldCharType="begin"/>
            </w:r>
            <w:r w:rsidR="00C17DD7">
              <w:rPr>
                <w:noProof/>
                <w:webHidden/>
              </w:rPr>
              <w:instrText xml:space="preserve"> PAGEREF _Toc109196021 \h </w:instrText>
            </w:r>
            <w:r w:rsidR="00C17DD7">
              <w:rPr>
                <w:noProof/>
                <w:webHidden/>
              </w:rPr>
            </w:r>
            <w:r w:rsidR="00C17DD7">
              <w:rPr>
                <w:noProof/>
                <w:webHidden/>
              </w:rPr>
              <w:fldChar w:fldCharType="separate"/>
            </w:r>
            <w:r w:rsidR="00356390">
              <w:rPr>
                <w:noProof/>
                <w:webHidden/>
              </w:rPr>
              <w:t>37</w:t>
            </w:r>
            <w:r w:rsidR="00C17DD7">
              <w:rPr>
                <w:noProof/>
                <w:webHidden/>
              </w:rPr>
              <w:fldChar w:fldCharType="end"/>
            </w:r>
          </w:hyperlink>
        </w:p>
        <w:p w14:paraId="6320104E" w14:textId="33EAACE7" w:rsidR="00C17DD7" w:rsidRDefault="00695FC4">
          <w:pPr>
            <w:pStyle w:val="TOC3"/>
            <w:tabs>
              <w:tab w:val="right" w:leader="dot" w:pos="9350"/>
            </w:tabs>
            <w:rPr>
              <w:rFonts w:asciiTheme="minorHAnsi" w:eastAsiaTheme="minorEastAsia" w:hAnsiTheme="minorHAnsi" w:cstheme="minorBidi"/>
              <w:noProof/>
              <w:szCs w:val="22"/>
            </w:rPr>
          </w:pPr>
          <w:hyperlink w:anchor="_Toc109196022" w:history="1">
            <w:r w:rsidR="00C17DD7" w:rsidRPr="0036498A">
              <w:rPr>
                <w:rStyle w:val="Hyperlink"/>
                <w:b/>
                <w:bCs/>
                <w:noProof/>
              </w:rPr>
              <w:t>Match and Maintenance of Effort (State requirement)</w:t>
            </w:r>
            <w:r w:rsidR="00C17DD7">
              <w:rPr>
                <w:noProof/>
                <w:webHidden/>
              </w:rPr>
              <w:tab/>
            </w:r>
            <w:r w:rsidR="00C17DD7">
              <w:rPr>
                <w:noProof/>
                <w:webHidden/>
              </w:rPr>
              <w:fldChar w:fldCharType="begin"/>
            </w:r>
            <w:r w:rsidR="00C17DD7">
              <w:rPr>
                <w:noProof/>
                <w:webHidden/>
              </w:rPr>
              <w:instrText xml:space="preserve"> PAGEREF _Toc109196022 \h </w:instrText>
            </w:r>
            <w:r w:rsidR="00C17DD7">
              <w:rPr>
                <w:noProof/>
                <w:webHidden/>
              </w:rPr>
            </w:r>
            <w:r w:rsidR="00C17DD7">
              <w:rPr>
                <w:noProof/>
                <w:webHidden/>
              </w:rPr>
              <w:fldChar w:fldCharType="separate"/>
            </w:r>
            <w:r w:rsidR="00356390">
              <w:rPr>
                <w:noProof/>
                <w:webHidden/>
              </w:rPr>
              <w:t>37</w:t>
            </w:r>
            <w:r w:rsidR="00C17DD7">
              <w:rPr>
                <w:noProof/>
                <w:webHidden/>
              </w:rPr>
              <w:fldChar w:fldCharType="end"/>
            </w:r>
          </w:hyperlink>
        </w:p>
        <w:p w14:paraId="601E69E9" w14:textId="3ADF49B3" w:rsidR="00C17DD7" w:rsidRDefault="00695FC4">
          <w:pPr>
            <w:pStyle w:val="TOC3"/>
            <w:tabs>
              <w:tab w:val="right" w:leader="dot" w:pos="9350"/>
            </w:tabs>
            <w:rPr>
              <w:rFonts w:asciiTheme="minorHAnsi" w:eastAsiaTheme="minorEastAsia" w:hAnsiTheme="minorHAnsi" w:cstheme="minorBidi"/>
              <w:noProof/>
              <w:szCs w:val="22"/>
            </w:rPr>
          </w:pPr>
          <w:hyperlink w:anchor="_Toc109196023" w:history="1">
            <w:r w:rsidR="00C17DD7" w:rsidRPr="0036498A">
              <w:rPr>
                <w:rStyle w:val="Hyperlink"/>
                <w:b/>
                <w:bCs/>
                <w:noProof/>
              </w:rPr>
              <w:t>General Grant Requirements</w:t>
            </w:r>
            <w:r w:rsidR="00C17DD7">
              <w:rPr>
                <w:noProof/>
                <w:webHidden/>
              </w:rPr>
              <w:tab/>
            </w:r>
            <w:r w:rsidR="00C17DD7">
              <w:rPr>
                <w:noProof/>
                <w:webHidden/>
              </w:rPr>
              <w:fldChar w:fldCharType="begin"/>
            </w:r>
            <w:r w:rsidR="00C17DD7">
              <w:rPr>
                <w:noProof/>
                <w:webHidden/>
              </w:rPr>
              <w:instrText xml:space="preserve"> PAGEREF _Toc109196023 \h </w:instrText>
            </w:r>
            <w:r w:rsidR="00C17DD7">
              <w:rPr>
                <w:noProof/>
                <w:webHidden/>
              </w:rPr>
            </w:r>
            <w:r w:rsidR="00C17DD7">
              <w:rPr>
                <w:noProof/>
                <w:webHidden/>
              </w:rPr>
              <w:fldChar w:fldCharType="separate"/>
            </w:r>
            <w:r w:rsidR="00356390">
              <w:rPr>
                <w:noProof/>
                <w:webHidden/>
              </w:rPr>
              <w:t>38</w:t>
            </w:r>
            <w:r w:rsidR="00C17DD7">
              <w:rPr>
                <w:noProof/>
                <w:webHidden/>
              </w:rPr>
              <w:fldChar w:fldCharType="end"/>
            </w:r>
          </w:hyperlink>
        </w:p>
        <w:p w14:paraId="09D1E6DD" w14:textId="24C372B3" w:rsidR="00C17DD7" w:rsidRDefault="00695FC4">
          <w:pPr>
            <w:pStyle w:val="TOC3"/>
            <w:tabs>
              <w:tab w:val="right" w:leader="dot" w:pos="9350"/>
            </w:tabs>
            <w:rPr>
              <w:rFonts w:asciiTheme="minorHAnsi" w:eastAsiaTheme="minorEastAsia" w:hAnsiTheme="minorHAnsi" w:cstheme="minorBidi"/>
              <w:noProof/>
              <w:szCs w:val="22"/>
            </w:rPr>
          </w:pPr>
          <w:hyperlink w:anchor="_Toc109196024" w:history="1">
            <w:r w:rsidR="00C17DD7" w:rsidRPr="0036498A">
              <w:rPr>
                <w:rStyle w:val="Hyperlink"/>
                <w:b/>
                <w:bCs/>
                <w:noProof/>
              </w:rPr>
              <w:t>Essential Budget Information</w:t>
            </w:r>
            <w:r w:rsidR="00C17DD7">
              <w:rPr>
                <w:noProof/>
                <w:webHidden/>
              </w:rPr>
              <w:tab/>
            </w:r>
            <w:r w:rsidR="00C17DD7">
              <w:rPr>
                <w:noProof/>
                <w:webHidden/>
              </w:rPr>
              <w:fldChar w:fldCharType="begin"/>
            </w:r>
            <w:r w:rsidR="00C17DD7">
              <w:rPr>
                <w:noProof/>
                <w:webHidden/>
              </w:rPr>
              <w:instrText xml:space="preserve"> PAGEREF _Toc109196024 \h </w:instrText>
            </w:r>
            <w:r w:rsidR="00C17DD7">
              <w:rPr>
                <w:noProof/>
                <w:webHidden/>
              </w:rPr>
            </w:r>
            <w:r w:rsidR="00C17DD7">
              <w:rPr>
                <w:noProof/>
                <w:webHidden/>
              </w:rPr>
              <w:fldChar w:fldCharType="separate"/>
            </w:r>
            <w:r w:rsidR="00356390">
              <w:rPr>
                <w:noProof/>
                <w:webHidden/>
              </w:rPr>
              <w:t>40</w:t>
            </w:r>
            <w:r w:rsidR="00C17DD7">
              <w:rPr>
                <w:noProof/>
                <w:webHidden/>
              </w:rPr>
              <w:fldChar w:fldCharType="end"/>
            </w:r>
          </w:hyperlink>
        </w:p>
        <w:p w14:paraId="5492703F" w14:textId="23A0DCDB" w:rsidR="00C17DD7" w:rsidRDefault="00695FC4">
          <w:pPr>
            <w:pStyle w:val="TOC3"/>
            <w:tabs>
              <w:tab w:val="right" w:leader="dot" w:pos="9350"/>
            </w:tabs>
            <w:rPr>
              <w:rFonts w:asciiTheme="minorHAnsi" w:eastAsiaTheme="minorEastAsia" w:hAnsiTheme="minorHAnsi" w:cstheme="minorBidi"/>
              <w:noProof/>
              <w:szCs w:val="22"/>
            </w:rPr>
          </w:pPr>
          <w:hyperlink w:anchor="_Toc109196025" w:history="1">
            <w:r w:rsidR="00C17DD7" w:rsidRPr="0036498A">
              <w:rPr>
                <w:rStyle w:val="Hyperlink"/>
                <w:b/>
                <w:bCs/>
                <w:noProof/>
              </w:rPr>
              <w:t>Data Quality and Integrity</w:t>
            </w:r>
            <w:r w:rsidR="00C17DD7">
              <w:rPr>
                <w:noProof/>
                <w:webHidden/>
              </w:rPr>
              <w:tab/>
            </w:r>
            <w:r w:rsidR="00C17DD7">
              <w:rPr>
                <w:noProof/>
                <w:webHidden/>
              </w:rPr>
              <w:fldChar w:fldCharType="begin"/>
            </w:r>
            <w:r w:rsidR="00C17DD7">
              <w:rPr>
                <w:noProof/>
                <w:webHidden/>
              </w:rPr>
              <w:instrText xml:space="preserve"> PAGEREF _Toc109196025 \h </w:instrText>
            </w:r>
            <w:r w:rsidR="00C17DD7">
              <w:rPr>
                <w:noProof/>
                <w:webHidden/>
              </w:rPr>
            </w:r>
            <w:r w:rsidR="00C17DD7">
              <w:rPr>
                <w:noProof/>
                <w:webHidden/>
              </w:rPr>
              <w:fldChar w:fldCharType="separate"/>
            </w:r>
            <w:r w:rsidR="00356390">
              <w:rPr>
                <w:noProof/>
                <w:webHidden/>
              </w:rPr>
              <w:t>42</w:t>
            </w:r>
            <w:r w:rsidR="00C17DD7">
              <w:rPr>
                <w:noProof/>
                <w:webHidden/>
              </w:rPr>
              <w:fldChar w:fldCharType="end"/>
            </w:r>
          </w:hyperlink>
        </w:p>
        <w:p w14:paraId="10E8F110" w14:textId="667EF0D8" w:rsidR="00C17DD7" w:rsidRDefault="00695FC4">
          <w:pPr>
            <w:pStyle w:val="TOC2"/>
            <w:rPr>
              <w:rFonts w:asciiTheme="minorHAnsi" w:eastAsiaTheme="minorEastAsia" w:hAnsiTheme="minorHAnsi" w:cstheme="minorBidi"/>
              <w:sz w:val="22"/>
              <w:szCs w:val="22"/>
            </w:rPr>
          </w:pPr>
          <w:hyperlink w:anchor="_Toc109196026" w:history="1">
            <w:r w:rsidR="00C17DD7" w:rsidRPr="0036498A">
              <w:rPr>
                <w:rStyle w:val="Hyperlink"/>
                <w:b/>
              </w:rPr>
              <w:t>Appendix A:  The 13 WIOA Considerations</w:t>
            </w:r>
            <w:r w:rsidR="00C17DD7">
              <w:rPr>
                <w:webHidden/>
              </w:rPr>
              <w:tab/>
            </w:r>
            <w:r w:rsidR="00C17DD7">
              <w:rPr>
                <w:webHidden/>
              </w:rPr>
              <w:fldChar w:fldCharType="begin"/>
            </w:r>
            <w:r w:rsidR="00C17DD7">
              <w:rPr>
                <w:webHidden/>
              </w:rPr>
              <w:instrText xml:space="preserve"> PAGEREF _Toc109196026 \h </w:instrText>
            </w:r>
            <w:r w:rsidR="00C17DD7">
              <w:rPr>
                <w:webHidden/>
              </w:rPr>
            </w:r>
            <w:r w:rsidR="00C17DD7">
              <w:rPr>
                <w:webHidden/>
              </w:rPr>
              <w:fldChar w:fldCharType="separate"/>
            </w:r>
            <w:r w:rsidR="00356390">
              <w:rPr>
                <w:webHidden/>
              </w:rPr>
              <w:t>44</w:t>
            </w:r>
            <w:r w:rsidR="00C17DD7">
              <w:rPr>
                <w:webHidden/>
              </w:rPr>
              <w:fldChar w:fldCharType="end"/>
            </w:r>
          </w:hyperlink>
        </w:p>
        <w:p w14:paraId="5374B3ED" w14:textId="59A81AD3" w:rsidR="00C17DD7" w:rsidRDefault="00695FC4">
          <w:pPr>
            <w:pStyle w:val="TOC2"/>
            <w:rPr>
              <w:rFonts w:asciiTheme="minorHAnsi" w:eastAsiaTheme="minorEastAsia" w:hAnsiTheme="minorHAnsi" w:cstheme="minorBidi"/>
              <w:sz w:val="22"/>
              <w:szCs w:val="22"/>
            </w:rPr>
          </w:pPr>
          <w:hyperlink w:anchor="_Toc109196027" w:history="1">
            <w:r w:rsidR="00C17DD7" w:rsidRPr="0036498A">
              <w:rPr>
                <w:rStyle w:val="Hyperlink"/>
                <w:b/>
              </w:rPr>
              <w:t>Appendix B:  Guidelines for Memoranda of Agreement (MOA)</w:t>
            </w:r>
            <w:r w:rsidR="00C17DD7">
              <w:rPr>
                <w:webHidden/>
              </w:rPr>
              <w:tab/>
            </w:r>
            <w:r w:rsidR="00C17DD7">
              <w:rPr>
                <w:webHidden/>
              </w:rPr>
              <w:fldChar w:fldCharType="begin"/>
            </w:r>
            <w:r w:rsidR="00C17DD7">
              <w:rPr>
                <w:webHidden/>
              </w:rPr>
              <w:instrText xml:space="preserve"> PAGEREF _Toc109196027 \h </w:instrText>
            </w:r>
            <w:r w:rsidR="00C17DD7">
              <w:rPr>
                <w:webHidden/>
              </w:rPr>
            </w:r>
            <w:r w:rsidR="00C17DD7">
              <w:rPr>
                <w:webHidden/>
              </w:rPr>
              <w:fldChar w:fldCharType="separate"/>
            </w:r>
            <w:r w:rsidR="00356390">
              <w:rPr>
                <w:webHidden/>
              </w:rPr>
              <w:t>46</w:t>
            </w:r>
            <w:r w:rsidR="00C17DD7">
              <w:rPr>
                <w:webHidden/>
              </w:rPr>
              <w:fldChar w:fldCharType="end"/>
            </w:r>
          </w:hyperlink>
        </w:p>
        <w:p w14:paraId="3F275F05" w14:textId="5ED23B60" w:rsidR="00C17DD7" w:rsidRDefault="00695FC4">
          <w:pPr>
            <w:pStyle w:val="TOC2"/>
            <w:rPr>
              <w:rFonts w:asciiTheme="minorHAnsi" w:eastAsiaTheme="minorEastAsia" w:hAnsiTheme="minorHAnsi" w:cstheme="minorBidi"/>
              <w:sz w:val="22"/>
              <w:szCs w:val="22"/>
            </w:rPr>
          </w:pPr>
          <w:hyperlink w:anchor="_Toc109196028" w:history="1">
            <w:r w:rsidR="00C17DD7" w:rsidRPr="0036498A">
              <w:rPr>
                <w:rStyle w:val="Hyperlink"/>
                <w:b/>
              </w:rPr>
              <w:t>Appendix C:  Distance Education</w:t>
            </w:r>
            <w:r w:rsidR="00C17DD7">
              <w:rPr>
                <w:webHidden/>
              </w:rPr>
              <w:tab/>
            </w:r>
            <w:r w:rsidR="00C17DD7">
              <w:rPr>
                <w:webHidden/>
              </w:rPr>
              <w:fldChar w:fldCharType="begin"/>
            </w:r>
            <w:r w:rsidR="00C17DD7">
              <w:rPr>
                <w:webHidden/>
              </w:rPr>
              <w:instrText xml:space="preserve"> PAGEREF _Toc109196028 \h </w:instrText>
            </w:r>
            <w:r w:rsidR="00C17DD7">
              <w:rPr>
                <w:webHidden/>
              </w:rPr>
            </w:r>
            <w:r w:rsidR="00C17DD7">
              <w:rPr>
                <w:webHidden/>
              </w:rPr>
              <w:fldChar w:fldCharType="separate"/>
            </w:r>
            <w:r w:rsidR="00356390">
              <w:rPr>
                <w:webHidden/>
              </w:rPr>
              <w:t>48</w:t>
            </w:r>
            <w:r w:rsidR="00C17DD7">
              <w:rPr>
                <w:webHidden/>
              </w:rPr>
              <w:fldChar w:fldCharType="end"/>
            </w:r>
          </w:hyperlink>
        </w:p>
        <w:p w14:paraId="64750713" w14:textId="6054F137" w:rsidR="00C17DD7" w:rsidRDefault="00695FC4">
          <w:pPr>
            <w:pStyle w:val="TOC2"/>
            <w:rPr>
              <w:rFonts w:asciiTheme="minorHAnsi" w:eastAsiaTheme="minorEastAsia" w:hAnsiTheme="minorHAnsi" w:cstheme="minorBidi"/>
              <w:sz w:val="22"/>
              <w:szCs w:val="22"/>
            </w:rPr>
          </w:pPr>
          <w:hyperlink w:anchor="_Toc109196029" w:history="1">
            <w:r w:rsidR="00C17DD7" w:rsidRPr="0036498A">
              <w:rPr>
                <w:rStyle w:val="Hyperlink"/>
                <w:b/>
              </w:rPr>
              <w:t>Appendix D:  Sample Calendar for Educational Leaders</w:t>
            </w:r>
            <w:r w:rsidR="00C17DD7">
              <w:rPr>
                <w:webHidden/>
              </w:rPr>
              <w:tab/>
            </w:r>
            <w:r w:rsidR="00C17DD7">
              <w:rPr>
                <w:webHidden/>
              </w:rPr>
              <w:fldChar w:fldCharType="begin"/>
            </w:r>
            <w:r w:rsidR="00C17DD7">
              <w:rPr>
                <w:webHidden/>
              </w:rPr>
              <w:instrText xml:space="preserve"> PAGEREF _Toc109196029 \h </w:instrText>
            </w:r>
            <w:r w:rsidR="00C17DD7">
              <w:rPr>
                <w:webHidden/>
              </w:rPr>
            </w:r>
            <w:r w:rsidR="00C17DD7">
              <w:rPr>
                <w:webHidden/>
              </w:rPr>
              <w:fldChar w:fldCharType="separate"/>
            </w:r>
            <w:r w:rsidR="00356390">
              <w:rPr>
                <w:webHidden/>
              </w:rPr>
              <w:t>51</w:t>
            </w:r>
            <w:r w:rsidR="00C17DD7">
              <w:rPr>
                <w:webHidden/>
              </w:rPr>
              <w:fldChar w:fldCharType="end"/>
            </w:r>
          </w:hyperlink>
        </w:p>
        <w:p w14:paraId="789D4FF2" w14:textId="6BBF3402" w:rsidR="00C17DD7" w:rsidRDefault="00695FC4">
          <w:pPr>
            <w:pStyle w:val="TOC2"/>
            <w:rPr>
              <w:rFonts w:asciiTheme="minorHAnsi" w:eastAsiaTheme="minorEastAsia" w:hAnsiTheme="minorHAnsi" w:cstheme="minorBidi"/>
              <w:sz w:val="22"/>
              <w:szCs w:val="22"/>
            </w:rPr>
          </w:pPr>
          <w:hyperlink w:anchor="_Toc109196030" w:history="1">
            <w:r w:rsidR="00C17DD7" w:rsidRPr="0036498A">
              <w:rPr>
                <w:rStyle w:val="Hyperlink"/>
                <w:b/>
              </w:rPr>
              <w:t>Appendix E:  Hierarchy of Applicable Regulations</w:t>
            </w:r>
            <w:r w:rsidR="00C17DD7">
              <w:rPr>
                <w:webHidden/>
              </w:rPr>
              <w:tab/>
            </w:r>
            <w:r w:rsidR="00C17DD7">
              <w:rPr>
                <w:webHidden/>
              </w:rPr>
              <w:fldChar w:fldCharType="begin"/>
            </w:r>
            <w:r w:rsidR="00C17DD7">
              <w:rPr>
                <w:webHidden/>
              </w:rPr>
              <w:instrText xml:space="preserve"> PAGEREF _Toc109196030 \h </w:instrText>
            </w:r>
            <w:r w:rsidR="00C17DD7">
              <w:rPr>
                <w:webHidden/>
              </w:rPr>
            </w:r>
            <w:r w:rsidR="00C17DD7">
              <w:rPr>
                <w:webHidden/>
              </w:rPr>
              <w:fldChar w:fldCharType="separate"/>
            </w:r>
            <w:r w:rsidR="00356390">
              <w:rPr>
                <w:webHidden/>
              </w:rPr>
              <w:t>52</w:t>
            </w:r>
            <w:r w:rsidR="00C17DD7">
              <w:rPr>
                <w:webHidden/>
              </w:rPr>
              <w:fldChar w:fldCharType="end"/>
            </w:r>
          </w:hyperlink>
        </w:p>
        <w:p w14:paraId="4610F445" w14:textId="3EFC8DB8" w:rsidR="00C17DD7" w:rsidRDefault="00695FC4">
          <w:pPr>
            <w:pStyle w:val="TOC2"/>
            <w:rPr>
              <w:rFonts w:asciiTheme="minorHAnsi" w:eastAsiaTheme="minorEastAsia" w:hAnsiTheme="minorHAnsi" w:cstheme="minorBidi"/>
              <w:sz w:val="22"/>
              <w:szCs w:val="22"/>
            </w:rPr>
          </w:pPr>
          <w:hyperlink w:anchor="_Toc109196031" w:history="1">
            <w:r w:rsidR="00C17DD7" w:rsidRPr="0036498A">
              <w:rPr>
                <w:rStyle w:val="Hyperlink"/>
                <w:b/>
              </w:rPr>
              <w:t>Appendix F:  Subawards</w:t>
            </w:r>
            <w:r w:rsidR="00C17DD7">
              <w:rPr>
                <w:webHidden/>
              </w:rPr>
              <w:tab/>
            </w:r>
            <w:r w:rsidR="00C17DD7">
              <w:rPr>
                <w:webHidden/>
              </w:rPr>
              <w:fldChar w:fldCharType="begin"/>
            </w:r>
            <w:r w:rsidR="00C17DD7">
              <w:rPr>
                <w:webHidden/>
              </w:rPr>
              <w:instrText xml:space="preserve"> PAGEREF _Toc109196031 \h </w:instrText>
            </w:r>
            <w:r w:rsidR="00C17DD7">
              <w:rPr>
                <w:webHidden/>
              </w:rPr>
            </w:r>
            <w:r w:rsidR="00C17DD7">
              <w:rPr>
                <w:webHidden/>
              </w:rPr>
              <w:fldChar w:fldCharType="separate"/>
            </w:r>
            <w:r w:rsidR="00356390">
              <w:rPr>
                <w:webHidden/>
              </w:rPr>
              <w:t>54</w:t>
            </w:r>
            <w:r w:rsidR="00C17DD7">
              <w:rPr>
                <w:webHidden/>
              </w:rPr>
              <w:fldChar w:fldCharType="end"/>
            </w:r>
          </w:hyperlink>
        </w:p>
        <w:p w14:paraId="1377D090" w14:textId="3C45B5CF" w:rsidR="00C17DD7" w:rsidRDefault="00695FC4">
          <w:pPr>
            <w:pStyle w:val="TOC2"/>
            <w:rPr>
              <w:rFonts w:asciiTheme="minorHAnsi" w:eastAsiaTheme="minorEastAsia" w:hAnsiTheme="minorHAnsi" w:cstheme="minorBidi"/>
              <w:sz w:val="22"/>
              <w:szCs w:val="22"/>
            </w:rPr>
          </w:pPr>
          <w:hyperlink w:anchor="_Toc109196032" w:history="1">
            <w:r w:rsidR="00C17DD7" w:rsidRPr="0036498A">
              <w:rPr>
                <w:rStyle w:val="Hyperlink"/>
                <w:b/>
              </w:rPr>
              <w:t>Appendix G:  Budget Information Line by Line</w:t>
            </w:r>
            <w:r w:rsidR="00C17DD7">
              <w:rPr>
                <w:webHidden/>
              </w:rPr>
              <w:tab/>
            </w:r>
            <w:r w:rsidR="00C17DD7">
              <w:rPr>
                <w:webHidden/>
              </w:rPr>
              <w:fldChar w:fldCharType="begin"/>
            </w:r>
            <w:r w:rsidR="00C17DD7">
              <w:rPr>
                <w:webHidden/>
              </w:rPr>
              <w:instrText xml:space="preserve"> PAGEREF _Toc109196032 \h </w:instrText>
            </w:r>
            <w:r w:rsidR="00C17DD7">
              <w:rPr>
                <w:webHidden/>
              </w:rPr>
            </w:r>
            <w:r w:rsidR="00C17DD7">
              <w:rPr>
                <w:webHidden/>
              </w:rPr>
              <w:fldChar w:fldCharType="separate"/>
            </w:r>
            <w:r w:rsidR="00356390">
              <w:rPr>
                <w:webHidden/>
              </w:rPr>
              <w:t>56</w:t>
            </w:r>
            <w:r w:rsidR="00C17DD7">
              <w:rPr>
                <w:webHidden/>
              </w:rPr>
              <w:fldChar w:fldCharType="end"/>
            </w:r>
          </w:hyperlink>
        </w:p>
        <w:p w14:paraId="2DE6C22F" w14:textId="7688E173" w:rsidR="2C87A253" w:rsidRPr="00F33FF4" w:rsidRDefault="2C87A253" w:rsidP="1E8607B9">
          <w:pPr>
            <w:pStyle w:val="TOC2"/>
            <w:tabs>
              <w:tab w:val="clear" w:pos="9350"/>
              <w:tab w:val="right" w:leader="dot" w:pos="9360"/>
            </w:tabs>
            <w:rPr>
              <w:shd w:val="clear" w:color="auto" w:fill="E6E6E6"/>
            </w:rPr>
            <w:sectPr w:rsidR="2C87A253" w:rsidRPr="00F33FF4" w:rsidSect="004D60D4">
              <w:footerReference w:type="default" r:id="rId14"/>
              <w:pgSz w:w="12240" w:h="15840" w:code="1"/>
              <w:pgMar w:top="1440" w:right="1440" w:bottom="1440" w:left="1440" w:header="576" w:footer="576" w:gutter="0"/>
              <w:pgNumType w:start="1"/>
              <w:cols w:space="720"/>
              <w:docGrid w:linePitch="360"/>
            </w:sectPr>
          </w:pPr>
          <w:r>
            <w:fldChar w:fldCharType="end"/>
          </w:r>
        </w:p>
      </w:sdtContent>
    </w:sdt>
    <w:p w14:paraId="23070453" w14:textId="1A546861" w:rsidR="003C1CDD" w:rsidRPr="0079354F" w:rsidRDefault="0DEEF7D8" w:rsidP="1E8607B9">
      <w:pPr>
        <w:pStyle w:val="Heading2"/>
        <w:spacing w:before="0"/>
        <w:rPr>
          <w:b/>
          <w:color w:val="E36C0A" w:themeColor="accent6" w:themeShade="BF"/>
        </w:rPr>
      </w:pPr>
      <w:bookmarkStart w:id="8" w:name="_Toc109195952"/>
      <w:r w:rsidRPr="1E8607B9">
        <w:rPr>
          <w:b/>
          <w:color w:val="E36C0A" w:themeColor="accent6" w:themeShade="BF"/>
        </w:rPr>
        <w:t>Introduction</w:t>
      </w:r>
      <w:r w:rsidR="145E1EF7" w:rsidRPr="1E8607B9">
        <w:rPr>
          <w:b/>
          <w:color w:val="E36C0A" w:themeColor="accent6" w:themeShade="BF"/>
        </w:rPr>
        <w:t xml:space="preserve"> and Adult Education Glossar</w:t>
      </w:r>
      <w:r w:rsidR="00ED3D67" w:rsidRPr="1E8607B9">
        <w:rPr>
          <w:b/>
          <w:color w:val="E36C0A" w:themeColor="accent6" w:themeShade="BF"/>
        </w:rPr>
        <w:t>y</w:t>
      </w:r>
      <w:bookmarkEnd w:id="8"/>
    </w:p>
    <w:p w14:paraId="5A8CBA89" w14:textId="6469FA2D" w:rsidR="00250003" w:rsidRDefault="00EA261A" w:rsidP="00AC0052">
      <w:pPr>
        <w:spacing w:line="259" w:lineRule="auto"/>
      </w:pPr>
      <w:r w:rsidRPr="0079354F">
        <w:t xml:space="preserve">The </w:t>
      </w:r>
      <w:r w:rsidR="008E1F58">
        <w:t>FY24</w:t>
      </w:r>
      <w:r w:rsidRPr="0079354F">
        <w:t>-FY2</w:t>
      </w:r>
      <w:r w:rsidR="008E1F58">
        <w:t>8</w:t>
      </w:r>
      <w:r w:rsidR="003B32DD" w:rsidRPr="0079354F">
        <w:t xml:space="preserve"> </w:t>
      </w:r>
      <w:r w:rsidR="3147218F" w:rsidRPr="0079354F">
        <w:t xml:space="preserve">edition </w:t>
      </w:r>
      <w:r w:rsidR="003B32DD" w:rsidRPr="0079354F">
        <w:t>of the</w:t>
      </w:r>
      <w:r w:rsidR="004352A7" w:rsidRPr="0079354F">
        <w:t xml:space="preserve"> </w:t>
      </w:r>
      <w:hyperlink r:id="rId15" w:history="1">
        <w:r w:rsidR="004352A7" w:rsidRPr="0079354F">
          <w:rPr>
            <w:rStyle w:val="Hyperlink"/>
            <w:rFonts w:eastAsia="Batang"/>
            <w:i/>
            <w:iCs/>
          </w:rPr>
          <w:t>Massachusetts Policies for Effective Adult Education in Community Adult Learning Centers and Correctional Institutions</w:t>
        </w:r>
      </w:hyperlink>
      <w:r w:rsidR="004352A7" w:rsidRPr="0079354F">
        <w:t xml:space="preserve"> (</w:t>
      </w:r>
      <w:r w:rsidR="0074686F" w:rsidRPr="0079354F">
        <w:t xml:space="preserve">the </w:t>
      </w:r>
      <w:hyperlink r:id="rId16" w:history="1">
        <w:r w:rsidR="0074686F" w:rsidRPr="0079354F">
          <w:rPr>
            <w:rStyle w:val="Hyperlink"/>
            <w:i/>
            <w:iCs/>
          </w:rPr>
          <w:t>Policies</w:t>
        </w:r>
      </w:hyperlink>
      <w:r w:rsidR="00AA23C4" w:rsidRPr="0079354F">
        <w:t xml:space="preserve">) </w:t>
      </w:r>
      <w:r w:rsidR="00DB431C" w:rsidRPr="0079354F">
        <w:t xml:space="preserve">serves </w:t>
      </w:r>
      <w:r w:rsidR="004352A7" w:rsidRPr="0079354F">
        <w:t xml:space="preserve">to help adult educators prepare for the exciting, yet challenging task of operating a Community Adult Learning Center </w:t>
      </w:r>
      <w:r w:rsidR="005B157F" w:rsidRPr="0079354F">
        <w:t xml:space="preserve">(CALC) </w:t>
      </w:r>
      <w:r w:rsidR="004352A7" w:rsidRPr="0079354F">
        <w:t xml:space="preserve">or Adult Education in Correctional Institutions </w:t>
      </w:r>
      <w:r w:rsidR="00B252C7" w:rsidRPr="0079354F">
        <w:t>(</w:t>
      </w:r>
      <w:r w:rsidR="002E40DE" w:rsidRPr="0079354F">
        <w:t>A</w:t>
      </w:r>
      <w:r w:rsidR="00CF34B4" w:rsidRPr="0079354F">
        <w:t>ECI</w:t>
      </w:r>
      <w:r w:rsidR="00B252C7" w:rsidRPr="0079354F">
        <w:t xml:space="preserve">) program. </w:t>
      </w:r>
      <w:r w:rsidR="004352A7" w:rsidRPr="0079354F">
        <w:t xml:space="preserve">To that end, </w:t>
      </w:r>
      <w:r w:rsidR="00DB431C" w:rsidRPr="0079354F">
        <w:t xml:space="preserve">it </w:t>
      </w:r>
      <w:r w:rsidR="004352A7" w:rsidRPr="0079354F">
        <w:t>provide</w:t>
      </w:r>
      <w:r w:rsidR="00DB431C" w:rsidRPr="0079354F">
        <w:t>s</w:t>
      </w:r>
      <w:r w:rsidR="004352A7" w:rsidRPr="0079354F">
        <w:t>:</w:t>
      </w:r>
    </w:p>
    <w:p w14:paraId="50AF7487" w14:textId="77777777" w:rsidR="0011442C" w:rsidRPr="0079354F" w:rsidRDefault="0011442C" w:rsidP="00AC0052">
      <w:pPr>
        <w:spacing w:line="259" w:lineRule="auto"/>
      </w:pPr>
    </w:p>
    <w:p w14:paraId="317716F2" w14:textId="28260423" w:rsidR="00F75338" w:rsidRPr="0079354F" w:rsidRDefault="00E31A72" w:rsidP="00FC65BD">
      <w:pPr>
        <w:pStyle w:val="NormalWeb"/>
        <w:numPr>
          <w:ilvl w:val="0"/>
          <w:numId w:val="9"/>
        </w:numPr>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Ba</w:t>
      </w:r>
      <w:r w:rsidR="00850DDD" w:rsidRPr="0079354F">
        <w:rPr>
          <w:rFonts w:ascii="Times New Roman" w:hAnsi="Times New Roman" w:cs="Times New Roman"/>
          <w:sz w:val="24"/>
          <w:szCs w:val="24"/>
        </w:rPr>
        <w:t xml:space="preserve">sic information about </w:t>
      </w:r>
      <w:r w:rsidR="002205CD" w:rsidRPr="0079354F">
        <w:rPr>
          <w:rFonts w:ascii="Times New Roman" w:hAnsi="Times New Roman" w:cs="Times New Roman"/>
          <w:sz w:val="24"/>
          <w:szCs w:val="24"/>
        </w:rPr>
        <w:t xml:space="preserve">the </w:t>
      </w:r>
      <w:r w:rsidR="008C7589" w:rsidRPr="0079354F">
        <w:rPr>
          <w:rFonts w:ascii="Times New Roman" w:hAnsi="Times New Roman" w:cs="Times New Roman"/>
          <w:sz w:val="24"/>
          <w:szCs w:val="24"/>
        </w:rPr>
        <w:t>adult education</w:t>
      </w:r>
      <w:r w:rsidR="002205CD" w:rsidRPr="0079354F">
        <w:rPr>
          <w:rFonts w:ascii="Times New Roman" w:hAnsi="Times New Roman" w:cs="Times New Roman"/>
          <w:sz w:val="24"/>
          <w:szCs w:val="24"/>
        </w:rPr>
        <w:t xml:space="preserve"> system in Massachusetts</w:t>
      </w:r>
      <w:r w:rsidR="00F217A6" w:rsidRPr="0079354F">
        <w:rPr>
          <w:rFonts w:ascii="Times New Roman" w:hAnsi="Times New Roman" w:cs="Times New Roman"/>
          <w:sz w:val="24"/>
          <w:szCs w:val="24"/>
        </w:rPr>
        <w:t xml:space="preserve"> including </w:t>
      </w:r>
      <w:r w:rsidR="006C3BDC" w:rsidRPr="0079354F">
        <w:rPr>
          <w:rFonts w:ascii="Times New Roman" w:hAnsi="Times New Roman" w:cs="Times New Roman"/>
          <w:sz w:val="24"/>
          <w:szCs w:val="24"/>
        </w:rPr>
        <w:t>links to the ACLS data management system</w:t>
      </w:r>
      <w:hyperlink r:id="rId17" w:history="1">
        <w:r w:rsidR="00EF4BC1" w:rsidRPr="0079354F">
          <w:rPr>
            <w:rStyle w:val="Hyperlink"/>
            <w:rFonts w:ascii="Times New Roman" w:hAnsi="Times New Roman" w:cs="Times New Roman"/>
            <w:color w:val="auto"/>
            <w:sz w:val="24"/>
            <w:szCs w:val="24"/>
            <w:u w:val="none"/>
          </w:rPr>
          <w:t>,</w:t>
        </w:r>
        <w:r w:rsidR="00EF4BC1" w:rsidRPr="0079354F">
          <w:rPr>
            <w:rStyle w:val="Hyperlink"/>
            <w:rFonts w:ascii="Times New Roman" w:hAnsi="Times New Roman" w:cs="Times New Roman"/>
            <w:sz w:val="24"/>
            <w:szCs w:val="24"/>
            <w:u w:val="none"/>
          </w:rPr>
          <w:t xml:space="preserve"> </w:t>
        </w:r>
        <w:r w:rsidR="006C3BDC" w:rsidRPr="0079354F">
          <w:rPr>
            <w:rStyle w:val="Hyperlink"/>
            <w:rFonts w:ascii="Times New Roman" w:hAnsi="Times New Roman" w:cs="Times New Roman"/>
            <w:sz w:val="24"/>
            <w:szCs w:val="24"/>
          </w:rPr>
          <w:t>LACES</w:t>
        </w:r>
      </w:hyperlink>
      <w:r w:rsidR="006C3BDC" w:rsidRPr="0079354F">
        <w:rPr>
          <w:rFonts w:ascii="Times New Roman" w:hAnsi="Times New Roman" w:cs="Times New Roman"/>
          <w:sz w:val="24"/>
          <w:szCs w:val="24"/>
        </w:rPr>
        <w:t xml:space="preserve">, and </w:t>
      </w:r>
      <w:r w:rsidR="00A02B7A" w:rsidRPr="0079354F">
        <w:rPr>
          <w:rFonts w:ascii="Times New Roman" w:hAnsi="Times New Roman" w:cs="Times New Roman"/>
          <w:sz w:val="24"/>
          <w:szCs w:val="24"/>
        </w:rPr>
        <w:t xml:space="preserve">a </w:t>
      </w:r>
      <w:r w:rsidR="005F62BF" w:rsidRPr="0079354F">
        <w:rPr>
          <w:rFonts w:ascii="Times New Roman" w:hAnsi="Times New Roman" w:cs="Times New Roman"/>
          <w:sz w:val="24"/>
          <w:szCs w:val="24"/>
        </w:rPr>
        <w:t>glossary</w:t>
      </w:r>
      <w:r w:rsidR="00426953" w:rsidRPr="0079354F">
        <w:rPr>
          <w:rFonts w:ascii="Times New Roman" w:hAnsi="Times New Roman" w:cs="Times New Roman"/>
          <w:sz w:val="24"/>
          <w:szCs w:val="24"/>
        </w:rPr>
        <w:t xml:space="preserve"> of common </w:t>
      </w:r>
      <w:r w:rsidR="00F217A6" w:rsidRPr="0079354F">
        <w:rPr>
          <w:rFonts w:ascii="Times New Roman" w:hAnsi="Times New Roman" w:cs="Times New Roman"/>
          <w:sz w:val="24"/>
          <w:szCs w:val="24"/>
        </w:rPr>
        <w:t>a</w:t>
      </w:r>
      <w:r w:rsidR="00A02B7A" w:rsidRPr="0079354F">
        <w:rPr>
          <w:rFonts w:ascii="Times New Roman" w:hAnsi="Times New Roman" w:cs="Times New Roman"/>
          <w:sz w:val="24"/>
          <w:szCs w:val="24"/>
        </w:rPr>
        <w:t xml:space="preserve">dult education </w:t>
      </w:r>
      <w:r w:rsidR="00426953" w:rsidRPr="0079354F">
        <w:rPr>
          <w:rFonts w:ascii="Times New Roman" w:hAnsi="Times New Roman" w:cs="Times New Roman"/>
          <w:sz w:val="24"/>
          <w:szCs w:val="24"/>
        </w:rPr>
        <w:t>terms and acronyms</w:t>
      </w:r>
      <w:r w:rsidR="002C5067" w:rsidRPr="0079354F">
        <w:rPr>
          <w:rFonts w:ascii="Times New Roman" w:hAnsi="Times New Roman" w:cs="Times New Roman"/>
          <w:sz w:val="24"/>
          <w:szCs w:val="24"/>
        </w:rPr>
        <w:t xml:space="preserve"> </w:t>
      </w:r>
      <w:r w:rsidR="00CA38BD" w:rsidRPr="0079354F">
        <w:rPr>
          <w:rFonts w:ascii="Times New Roman" w:hAnsi="Times New Roman" w:cs="Times New Roman"/>
          <w:sz w:val="24"/>
          <w:szCs w:val="24"/>
        </w:rPr>
        <w:t xml:space="preserve">posted </w:t>
      </w:r>
      <w:r w:rsidR="00F75338" w:rsidRPr="0079354F">
        <w:rPr>
          <w:rFonts w:ascii="Times New Roman" w:hAnsi="Times New Roman" w:cs="Times New Roman"/>
          <w:sz w:val="24"/>
          <w:szCs w:val="24"/>
        </w:rPr>
        <w:t>at</w:t>
      </w:r>
      <w:r w:rsidR="002503F0" w:rsidRPr="0079354F">
        <w:rPr>
          <w:rFonts w:ascii="Times New Roman" w:hAnsi="Times New Roman" w:cs="Times New Roman"/>
          <w:sz w:val="24"/>
          <w:szCs w:val="24"/>
        </w:rPr>
        <w:t xml:space="preserve"> </w:t>
      </w:r>
      <w:hyperlink r:id="rId18" w:history="1">
        <w:r w:rsidR="002503F0" w:rsidRPr="0079354F">
          <w:rPr>
            <w:rStyle w:val="Hyperlink"/>
            <w:rFonts w:ascii="Times New Roman" w:hAnsi="Times New Roman" w:cs="Times New Roman"/>
            <w:sz w:val="24"/>
            <w:szCs w:val="24"/>
          </w:rPr>
          <w:t>Adult Education Policies</w:t>
        </w:r>
      </w:hyperlink>
      <w:r w:rsidR="00450E96" w:rsidRPr="0079354F">
        <w:rPr>
          <w:rStyle w:val="Hyperlink"/>
          <w:rFonts w:ascii="Times New Roman" w:hAnsi="Times New Roman" w:cs="Times New Roman"/>
          <w:color w:val="000000" w:themeColor="text1"/>
          <w:sz w:val="24"/>
          <w:szCs w:val="24"/>
          <w:u w:val="none"/>
        </w:rPr>
        <w:t>;</w:t>
      </w:r>
    </w:p>
    <w:p w14:paraId="525ABD36" w14:textId="32823BBA" w:rsidR="00250003" w:rsidRPr="0079354F" w:rsidRDefault="00E31A72" w:rsidP="00FC65BD">
      <w:pPr>
        <w:pStyle w:val="NormalWeb"/>
        <w:numPr>
          <w:ilvl w:val="0"/>
          <w:numId w:val="9"/>
        </w:numPr>
        <w:spacing w:before="0" w:beforeAutospacing="0" w:after="0" w:afterAutospacing="0"/>
        <w:rPr>
          <w:rFonts w:ascii="Times New Roman" w:hAnsi="Times New Roman" w:cs="Times New Roman"/>
          <w:sz w:val="24"/>
          <w:szCs w:val="24"/>
        </w:rPr>
      </w:pPr>
      <w:r w:rsidRPr="0079354F">
        <w:rPr>
          <w:rFonts w:ascii="Times New Roman" w:eastAsia="Batang" w:hAnsi="Times New Roman" w:cs="Times New Roman"/>
          <w:sz w:val="24"/>
          <w:szCs w:val="24"/>
        </w:rPr>
        <w:t>E</w:t>
      </w:r>
      <w:r w:rsidR="00056BA6" w:rsidRPr="0079354F">
        <w:rPr>
          <w:rFonts w:ascii="Times New Roman" w:eastAsia="Batang" w:hAnsi="Times New Roman" w:cs="Times New Roman"/>
          <w:sz w:val="24"/>
          <w:szCs w:val="24"/>
        </w:rPr>
        <w:t>xplanations</w:t>
      </w:r>
      <w:r w:rsidR="004352A7" w:rsidRPr="0079354F">
        <w:rPr>
          <w:rFonts w:ascii="Times New Roman" w:eastAsia="Batang" w:hAnsi="Times New Roman" w:cs="Times New Roman"/>
          <w:sz w:val="24"/>
          <w:szCs w:val="24"/>
        </w:rPr>
        <w:t xml:space="preserve"> </w:t>
      </w:r>
      <w:r w:rsidR="00056BA6" w:rsidRPr="0079354F">
        <w:rPr>
          <w:rFonts w:ascii="Times New Roman" w:eastAsia="Batang" w:hAnsi="Times New Roman" w:cs="Times New Roman"/>
          <w:sz w:val="24"/>
          <w:szCs w:val="24"/>
        </w:rPr>
        <w:t>of</w:t>
      </w:r>
      <w:r w:rsidR="004352A7" w:rsidRPr="0079354F">
        <w:rPr>
          <w:rFonts w:ascii="Times New Roman" w:eastAsia="Batang" w:hAnsi="Times New Roman" w:cs="Times New Roman"/>
          <w:sz w:val="24"/>
          <w:szCs w:val="24"/>
        </w:rPr>
        <w:t xml:space="preserve"> policy </w:t>
      </w:r>
      <w:r w:rsidR="00056BA6" w:rsidRPr="0079354F">
        <w:rPr>
          <w:rFonts w:ascii="Times New Roman" w:eastAsia="Batang" w:hAnsi="Times New Roman" w:cs="Times New Roman"/>
          <w:sz w:val="24"/>
          <w:szCs w:val="24"/>
        </w:rPr>
        <w:t>requirements</w:t>
      </w:r>
      <w:r w:rsidR="004352A7" w:rsidRPr="0079354F">
        <w:rPr>
          <w:rFonts w:ascii="Times New Roman" w:eastAsia="Batang" w:hAnsi="Times New Roman" w:cs="Times New Roman"/>
          <w:sz w:val="24"/>
          <w:szCs w:val="24"/>
        </w:rPr>
        <w:t xml:space="preserve"> for </w:t>
      </w:r>
      <w:r w:rsidR="00056BA6" w:rsidRPr="0079354F">
        <w:rPr>
          <w:rFonts w:ascii="Times New Roman" w:eastAsia="Batang" w:hAnsi="Times New Roman" w:cs="Times New Roman"/>
          <w:sz w:val="24"/>
          <w:szCs w:val="24"/>
        </w:rPr>
        <w:t>organizations</w:t>
      </w:r>
      <w:r w:rsidR="004352A7" w:rsidRPr="0079354F">
        <w:rPr>
          <w:rFonts w:ascii="Times New Roman" w:eastAsia="Batang" w:hAnsi="Times New Roman" w:cs="Times New Roman"/>
          <w:sz w:val="24"/>
          <w:szCs w:val="24"/>
        </w:rPr>
        <w:t xml:space="preserve"> providing instructional services to adult education students</w:t>
      </w:r>
      <w:r w:rsidR="00250003" w:rsidRPr="0079354F">
        <w:rPr>
          <w:rFonts w:ascii="Times New Roman" w:eastAsia="Batang" w:hAnsi="Times New Roman" w:cs="Times New Roman"/>
          <w:sz w:val="24"/>
          <w:szCs w:val="24"/>
        </w:rPr>
        <w:t xml:space="preserve">: </w:t>
      </w:r>
      <w:r w:rsidR="00250003" w:rsidRPr="0079354F">
        <w:rPr>
          <w:rFonts w:ascii="Times New Roman" w:hAnsi="Times New Roman" w:cs="Times New Roman"/>
          <w:sz w:val="24"/>
          <w:szCs w:val="24"/>
        </w:rPr>
        <w:t xml:space="preserve">The success </w:t>
      </w:r>
      <w:r w:rsidR="008474D8" w:rsidRPr="0079354F">
        <w:rPr>
          <w:rFonts w:ascii="Times New Roman" w:hAnsi="Times New Roman" w:cs="Times New Roman"/>
          <w:sz w:val="24"/>
          <w:szCs w:val="24"/>
        </w:rPr>
        <w:t xml:space="preserve">of </w:t>
      </w:r>
      <w:r w:rsidR="00250003" w:rsidRPr="0079354F">
        <w:rPr>
          <w:rFonts w:ascii="Times New Roman" w:hAnsi="Times New Roman" w:cs="Times New Roman"/>
          <w:sz w:val="24"/>
          <w:szCs w:val="24"/>
        </w:rPr>
        <w:t xml:space="preserve">a CALC or </w:t>
      </w:r>
      <w:r w:rsidR="003D0B03" w:rsidRPr="0079354F">
        <w:rPr>
          <w:rFonts w:ascii="Times New Roman" w:hAnsi="Times New Roman" w:cs="Times New Roman"/>
          <w:sz w:val="24"/>
          <w:szCs w:val="24"/>
        </w:rPr>
        <w:t xml:space="preserve">an </w:t>
      </w:r>
      <w:r w:rsidR="007D7312" w:rsidRPr="0079354F">
        <w:rPr>
          <w:rFonts w:ascii="Times New Roman" w:hAnsi="Times New Roman" w:cs="Times New Roman"/>
          <w:sz w:val="24"/>
          <w:szCs w:val="24"/>
        </w:rPr>
        <w:t>A</w:t>
      </w:r>
      <w:r w:rsidR="00CF34B4" w:rsidRPr="0079354F">
        <w:rPr>
          <w:rFonts w:ascii="Times New Roman" w:hAnsi="Times New Roman" w:cs="Times New Roman"/>
          <w:sz w:val="24"/>
          <w:szCs w:val="24"/>
        </w:rPr>
        <w:t>ECI</w:t>
      </w:r>
      <w:r w:rsidR="00250003" w:rsidRPr="0079354F">
        <w:rPr>
          <w:rFonts w:ascii="Times New Roman" w:hAnsi="Times New Roman" w:cs="Times New Roman"/>
          <w:sz w:val="24"/>
          <w:szCs w:val="24"/>
        </w:rPr>
        <w:t xml:space="preserve"> program rests on the effective implementation of policy requirements derived f</w:t>
      </w:r>
      <w:r w:rsidR="0033119B" w:rsidRPr="0079354F">
        <w:rPr>
          <w:rFonts w:ascii="Times New Roman" w:hAnsi="Times New Roman" w:cs="Times New Roman"/>
          <w:sz w:val="24"/>
          <w:szCs w:val="24"/>
        </w:rPr>
        <w:t xml:space="preserve">rom multiple sources including </w:t>
      </w:r>
      <w:r w:rsidR="006160A5" w:rsidRPr="0079354F">
        <w:rPr>
          <w:rFonts w:ascii="Times New Roman" w:hAnsi="Times New Roman" w:cs="Times New Roman"/>
          <w:sz w:val="24"/>
          <w:szCs w:val="24"/>
        </w:rPr>
        <w:t>federal</w:t>
      </w:r>
      <w:r w:rsidR="00250003" w:rsidRPr="0079354F">
        <w:rPr>
          <w:rFonts w:ascii="Times New Roman" w:hAnsi="Times New Roman" w:cs="Times New Roman"/>
          <w:sz w:val="24"/>
          <w:szCs w:val="24"/>
        </w:rPr>
        <w:t xml:space="preserve"> legislation, research and data, and prac</w:t>
      </w:r>
      <w:r w:rsidR="00C83259" w:rsidRPr="0079354F">
        <w:rPr>
          <w:rFonts w:ascii="Times New Roman" w:hAnsi="Times New Roman" w:cs="Times New Roman"/>
          <w:sz w:val="24"/>
          <w:szCs w:val="24"/>
        </w:rPr>
        <w:t>titioner wisdom and experience.</w:t>
      </w:r>
      <w:r w:rsidR="006D0933" w:rsidRPr="0079354F">
        <w:rPr>
          <w:rFonts w:ascii="Times New Roman" w:hAnsi="Times New Roman" w:cs="Times New Roman"/>
          <w:sz w:val="24"/>
          <w:szCs w:val="24"/>
        </w:rPr>
        <w:t xml:space="preserve"> </w:t>
      </w:r>
      <w:r w:rsidR="00145680" w:rsidRPr="0079354F">
        <w:rPr>
          <w:rFonts w:ascii="Times New Roman" w:hAnsi="Times New Roman" w:cs="Times New Roman"/>
          <w:sz w:val="24"/>
          <w:szCs w:val="24"/>
        </w:rPr>
        <w:t xml:space="preserve">The failure of a </w:t>
      </w:r>
      <w:r w:rsidR="00250003" w:rsidRPr="0079354F">
        <w:rPr>
          <w:rFonts w:ascii="Times New Roman" w:hAnsi="Times New Roman" w:cs="Times New Roman"/>
          <w:sz w:val="24"/>
          <w:szCs w:val="24"/>
        </w:rPr>
        <w:t xml:space="preserve">program to demonstrate compliance with the policy requirements in this document </w:t>
      </w:r>
      <w:r w:rsidR="00D053F7" w:rsidRPr="0079354F">
        <w:rPr>
          <w:rFonts w:ascii="Times New Roman" w:hAnsi="Times New Roman" w:cs="Times New Roman"/>
          <w:sz w:val="24"/>
          <w:szCs w:val="24"/>
        </w:rPr>
        <w:t xml:space="preserve">and in subsequent policy updates throughout the year </w:t>
      </w:r>
      <w:r w:rsidR="00DB431C" w:rsidRPr="0079354F">
        <w:rPr>
          <w:rFonts w:ascii="Times New Roman" w:hAnsi="Times New Roman" w:cs="Times New Roman"/>
          <w:sz w:val="24"/>
          <w:szCs w:val="24"/>
        </w:rPr>
        <w:t xml:space="preserve">may </w:t>
      </w:r>
      <w:r w:rsidR="00250003" w:rsidRPr="0079354F">
        <w:rPr>
          <w:rFonts w:ascii="Times New Roman" w:hAnsi="Times New Roman" w:cs="Times New Roman"/>
          <w:sz w:val="24"/>
          <w:szCs w:val="24"/>
        </w:rPr>
        <w:t xml:space="preserve">have consequences, including but not limited to </w:t>
      </w:r>
      <w:r w:rsidR="00162DEC" w:rsidRPr="0079354F">
        <w:rPr>
          <w:rFonts w:ascii="Times New Roman" w:hAnsi="Times New Roman" w:cs="Times New Roman"/>
          <w:sz w:val="24"/>
          <w:szCs w:val="24"/>
        </w:rPr>
        <w:t>corrective</w:t>
      </w:r>
      <w:r w:rsidR="008319C9" w:rsidRPr="0079354F">
        <w:rPr>
          <w:rFonts w:ascii="Times New Roman" w:hAnsi="Times New Roman" w:cs="Times New Roman"/>
          <w:sz w:val="24"/>
          <w:szCs w:val="24"/>
        </w:rPr>
        <w:t xml:space="preserve"> </w:t>
      </w:r>
      <w:r w:rsidR="00250003" w:rsidRPr="0079354F">
        <w:rPr>
          <w:rFonts w:ascii="Times New Roman" w:hAnsi="Times New Roman" w:cs="Times New Roman"/>
          <w:sz w:val="24"/>
          <w:szCs w:val="24"/>
        </w:rPr>
        <w:t>action</w:t>
      </w:r>
      <w:r w:rsidR="00E81C57" w:rsidRPr="0079354F">
        <w:rPr>
          <w:rFonts w:ascii="Times New Roman" w:hAnsi="Times New Roman" w:cs="Times New Roman"/>
          <w:sz w:val="24"/>
          <w:szCs w:val="24"/>
        </w:rPr>
        <w:t xml:space="preserve">, </w:t>
      </w:r>
      <w:r w:rsidR="00250003" w:rsidRPr="0079354F">
        <w:rPr>
          <w:rFonts w:ascii="Times New Roman" w:hAnsi="Times New Roman" w:cs="Times New Roman"/>
          <w:sz w:val="24"/>
          <w:szCs w:val="24"/>
        </w:rPr>
        <w:t>withholding of funds</w:t>
      </w:r>
      <w:r w:rsidR="00E81C57" w:rsidRPr="0079354F">
        <w:rPr>
          <w:rFonts w:ascii="Times New Roman" w:hAnsi="Times New Roman" w:cs="Times New Roman"/>
          <w:sz w:val="24"/>
          <w:szCs w:val="24"/>
        </w:rPr>
        <w:t>, grant reduction, or grant termination</w:t>
      </w:r>
      <w:r w:rsidR="00450E96" w:rsidRPr="0079354F">
        <w:rPr>
          <w:rFonts w:ascii="Times New Roman" w:hAnsi="Times New Roman" w:cs="Times New Roman"/>
          <w:sz w:val="24"/>
          <w:szCs w:val="24"/>
        </w:rPr>
        <w:t>; and</w:t>
      </w:r>
    </w:p>
    <w:p w14:paraId="7E19919C" w14:textId="0C9CAECD" w:rsidR="007F362C" w:rsidRPr="0079354F" w:rsidRDefault="2AF999A7" w:rsidP="00FC65BD">
      <w:pPr>
        <w:pStyle w:val="ListParagraph"/>
        <w:numPr>
          <w:ilvl w:val="0"/>
          <w:numId w:val="9"/>
        </w:numPr>
        <w:spacing w:after="0" w:line="240" w:lineRule="auto"/>
        <w:rPr>
          <w:rFonts w:ascii="Times New Roman" w:hAnsi="Times New Roman" w:cs="Times New Roman"/>
          <w:sz w:val="24"/>
          <w:szCs w:val="24"/>
        </w:rPr>
      </w:pPr>
      <w:r w:rsidRPr="675C1F61">
        <w:rPr>
          <w:rFonts w:ascii="Times New Roman" w:hAnsi="Times New Roman" w:cs="Times New Roman"/>
          <w:sz w:val="24"/>
          <w:szCs w:val="24"/>
        </w:rPr>
        <w:t>L</w:t>
      </w:r>
      <w:r w:rsidR="6EC01D04" w:rsidRPr="675C1F61">
        <w:rPr>
          <w:rFonts w:ascii="Times New Roman" w:hAnsi="Times New Roman" w:cs="Times New Roman"/>
          <w:sz w:val="24"/>
          <w:szCs w:val="24"/>
        </w:rPr>
        <w:t>inks to additional information</w:t>
      </w:r>
      <w:r w:rsidR="52D0CE0B" w:rsidRPr="675C1F61">
        <w:rPr>
          <w:rFonts w:ascii="Times New Roman" w:hAnsi="Times New Roman" w:cs="Times New Roman"/>
          <w:sz w:val="24"/>
          <w:szCs w:val="24"/>
        </w:rPr>
        <w:t xml:space="preserve"> to facilitate</w:t>
      </w:r>
      <w:r w:rsidR="0581629C" w:rsidRPr="675C1F61">
        <w:rPr>
          <w:rFonts w:ascii="Times New Roman" w:hAnsi="Times New Roman" w:cs="Times New Roman"/>
          <w:sz w:val="24"/>
          <w:szCs w:val="24"/>
        </w:rPr>
        <w:t xml:space="preserve"> </w:t>
      </w:r>
      <w:r w:rsidR="4269D0A0" w:rsidRPr="675C1F61">
        <w:rPr>
          <w:rFonts w:ascii="Times New Roman" w:hAnsi="Times New Roman" w:cs="Times New Roman"/>
          <w:sz w:val="24"/>
          <w:szCs w:val="24"/>
        </w:rPr>
        <w:t>effective</w:t>
      </w:r>
      <w:r w:rsidR="52D0CE0B" w:rsidRPr="675C1F61">
        <w:rPr>
          <w:rFonts w:ascii="Times New Roman" w:hAnsi="Times New Roman" w:cs="Times New Roman"/>
          <w:sz w:val="24"/>
          <w:szCs w:val="24"/>
        </w:rPr>
        <w:t xml:space="preserve"> </w:t>
      </w:r>
      <w:r w:rsidR="0581629C" w:rsidRPr="675C1F61">
        <w:rPr>
          <w:rFonts w:ascii="Times New Roman" w:hAnsi="Times New Roman" w:cs="Times New Roman"/>
          <w:sz w:val="24"/>
          <w:szCs w:val="24"/>
        </w:rPr>
        <w:t>service delivery</w:t>
      </w:r>
      <w:r w:rsidR="52D0CE0B" w:rsidRPr="675C1F61">
        <w:rPr>
          <w:rFonts w:ascii="Times New Roman" w:hAnsi="Times New Roman" w:cs="Times New Roman"/>
          <w:sz w:val="24"/>
          <w:szCs w:val="24"/>
        </w:rPr>
        <w:t xml:space="preserve"> and</w:t>
      </w:r>
      <w:r w:rsidR="0BC7CC9A" w:rsidRPr="675C1F61">
        <w:rPr>
          <w:rFonts w:ascii="Times New Roman" w:hAnsi="Times New Roman" w:cs="Times New Roman"/>
          <w:sz w:val="24"/>
          <w:szCs w:val="24"/>
        </w:rPr>
        <w:t>/or</w:t>
      </w:r>
      <w:r w:rsidR="35913433" w:rsidRPr="675C1F61">
        <w:rPr>
          <w:rFonts w:ascii="Times New Roman" w:hAnsi="Times New Roman" w:cs="Times New Roman"/>
          <w:sz w:val="24"/>
          <w:szCs w:val="24"/>
        </w:rPr>
        <w:t xml:space="preserve"> further </w:t>
      </w:r>
      <w:r w:rsidR="3CC97637" w:rsidRPr="675C1F61">
        <w:rPr>
          <w:rFonts w:ascii="Times New Roman" w:hAnsi="Times New Roman" w:cs="Times New Roman"/>
          <w:sz w:val="24"/>
          <w:szCs w:val="24"/>
        </w:rPr>
        <w:t xml:space="preserve">professional </w:t>
      </w:r>
      <w:r w:rsidR="35913433" w:rsidRPr="675C1F61">
        <w:rPr>
          <w:rFonts w:ascii="Times New Roman" w:hAnsi="Times New Roman" w:cs="Times New Roman"/>
          <w:sz w:val="24"/>
          <w:szCs w:val="24"/>
        </w:rPr>
        <w:t>growth and development</w:t>
      </w:r>
      <w:r w:rsidR="2FF53C85" w:rsidRPr="675C1F61">
        <w:rPr>
          <w:rFonts w:ascii="Times New Roman" w:hAnsi="Times New Roman" w:cs="Times New Roman"/>
          <w:sz w:val="24"/>
          <w:szCs w:val="24"/>
        </w:rPr>
        <w:t xml:space="preserve">: </w:t>
      </w:r>
      <w:r w:rsidR="0581629C" w:rsidRPr="675C1F61">
        <w:rPr>
          <w:rFonts w:ascii="Times New Roman" w:hAnsi="Times New Roman" w:cs="Times New Roman"/>
          <w:sz w:val="24"/>
          <w:szCs w:val="24"/>
        </w:rPr>
        <w:t>The</w:t>
      </w:r>
      <w:r w:rsidR="291ED76C" w:rsidRPr="675C1F61">
        <w:rPr>
          <w:rFonts w:ascii="Times New Roman" w:hAnsi="Times New Roman" w:cs="Times New Roman"/>
          <w:sz w:val="24"/>
          <w:szCs w:val="24"/>
        </w:rPr>
        <w:t>se</w:t>
      </w:r>
      <w:r w:rsidR="0581629C" w:rsidRPr="675C1F61">
        <w:rPr>
          <w:rFonts w:ascii="Times New Roman" w:hAnsi="Times New Roman" w:cs="Times New Roman"/>
          <w:sz w:val="24"/>
          <w:szCs w:val="24"/>
        </w:rPr>
        <w:t xml:space="preserve"> links to</w:t>
      </w:r>
      <w:r w:rsidR="2FF53C85" w:rsidRPr="675C1F61">
        <w:rPr>
          <w:rFonts w:ascii="Times New Roman" w:hAnsi="Times New Roman" w:cs="Times New Roman"/>
          <w:sz w:val="24"/>
          <w:szCs w:val="24"/>
        </w:rPr>
        <w:t xml:space="preserve"> additional information </w:t>
      </w:r>
      <w:r w:rsidR="51DE55FD" w:rsidRPr="675C1F61">
        <w:rPr>
          <w:rFonts w:ascii="Times New Roman" w:hAnsi="Times New Roman" w:cs="Times New Roman"/>
          <w:sz w:val="24"/>
          <w:szCs w:val="24"/>
        </w:rPr>
        <w:t>are</w:t>
      </w:r>
      <w:r w:rsidR="2FF53C85" w:rsidRPr="675C1F61">
        <w:rPr>
          <w:rFonts w:ascii="Times New Roman" w:hAnsi="Times New Roman" w:cs="Times New Roman"/>
          <w:sz w:val="24"/>
          <w:szCs w:val="24"/>
        </w:rPr>
        <w:t xml:space="preserve"> useful </w:t>
      </w:r>
      <w:r w:rsidR="51DE55FD" w:rsidRPr="675C1F61">
        <w:rPr>
          <w:rFonts w:ascii="Times New Roman" w:hAnsi="Times New Roman" w:cs="Times New Roman"/>
          <w:sz w:val="24"/>
          <w:szCs w:val="24"/>
        </w:rPr>
        <w:t>to</w:t>
      </w:r>
      <w:r w:rsidR="7CD1444C" w:rsidRPr="675C1F61">
        <w:rPr>
          <w:rFonts w:ascii="Times New Roman" w:hAnsi="Times New Roman" w:cs="Times New Roman"/>
          <w:sz w:val="24"/>
          <w:szCs w:val="24"/>
        </w:rPr>
        <w:t xml:space="preserve"> programs </w:t>
      </w:r>
      <w:r w:rsidR="72E6B4D6" w:rsidRPr="675C1F61">
        <w:rPr>
          <w:rFonts w:ascii="Times New Roman" w:hAnsi="Times New Roman" w:cs="Times New Roman"/>
          <w:sz w:val="24"/>
          <w:szCs w:val="24"/>
        </w:rPr>
        <w:t>develop</w:t>
      </w:r>
      <w:r w:rsidR="51DE55FD" w:rsidRPr="675C1F61">
        <w:rPr>
          <w:rFonts w:ascii="Times New Roman" w:hAnsi="Times New Roman" w:cs="Times New Roman"/>
          <w:sz w:val="24"/>
          <w:szCs w:val="24"/>
        </w:rPr>
        <w:t>ing</w:t>
      </w:r>
      <w:r w:rsidR="72E6B4D6" w:rsidRPr="675C1F61">
        <w:rPr>
          <w:rFonts w:ascii="Times New Roman" w:hAnsi="Times New Roman" w:cs="Times New Roman"/>
          <w:sz w:val="24"/>
          <w:szCs w:val="24"/>
        </w:rPr>
        <w:t xml:space="preserve"> and implement</w:t>
      </w:r>
      <w:r w:rsidR="51DE55FD" w:rsidRPr="675C1F61">
        <w:rPr>
          <w:rFonts w:ascii="Times New Roman" w:hAnsi="Times New Roman" w:cs="Times New Roman"/>
          <w:sz w:val="24"/>
          <w:szCs w:val="24"/>
        </w:rPr>
        <w:t>ing</w:t>
      </w:r>
      <w:r w:rsidR="72E6B4D6" w:rsidRPr="675C1F61">
        <w:rPr>
          <w:rFonts w:ascii="Times New Roman" w:hAnsi="Times New Roman" w:cs="Times New Roman"/>
          <w:sz w:val="24"/>
          <w:szCs w:val="24"/>
        </w:rPr>
        <w:t xml:space="preserve"> high</w:t>
      </w:r>
      <w:r w:rsidR="6E0C2456" w:rsidRPr="675C1F61">
        <w:rPr>
          <w:rFonts w:ascii="Times New Roman" w:hAnsi="Times New Roman" w:cs="Times New Roman"/>
          <w:sz w:val="24"/>
          <w:szCs w:val="24"/>
        </w:rPr>
        <w:t xml:space="preserve"> </w:t>
      </w:r>
      <w:r w:rsidR="72E6B4D6" w:rsidRPr="675C1F61">
        <w:rPr>
          <w:rFonts w:ascii="Times New Roman" w:hAnsi="Times New Roman" w:cs="Times New Roman"/>
          <w:sz w:val="24"/>
          <w:szCs w:val="24"/>
        </w:rPr>
        <w:t xml:space="preserve">quality and innovative models </w:t>
      </w:r>
      <w:r w:rsidR="6A97FE8E" w:rsidRPr="675C1F61">
        <w:rPr>
          <w:rFonts w:ascii="Times New Roman" w:hAnsi="Times New Roman" w:cs="Times New Roman"/>
          <w:sz w:val="24"/>
          <w:szCs w:val="24"/>
        </w:rPr>
        <w:t>to</w:t>
      </w:r>
      <w:r w:rsidR="72E6B4D6" w:rsidRPr="675C1F61">
        <w:rPr>
          <w:rFonts w:ascii="Times New Roman" w:hAnsi="Times New Roman" w:cs="Times New Roman"/>
          <w:sz w:val="24"/>
          <w:szCs w:val="24"/>
        </w:rPr>
        <w:t xml:space="preserve"> increase s</w:t>
      </w:r>
      <w:r w:rsidR="7CD1444C" w:rsidRPr="675C1F61">
        <w:rPr>
          <w:rFonts w:ascii="Times New Roman" w:hAnsi="Times New Roman" w:cs="Times New Roman"/>
          <w:sz w:val="24"/>
          <w:szCs w:val="24"/>
        </w:rPr>
        <w:t xml:space="preserve">tudent outcomes </w:t>
      </w:r>
      <w:r w:rsidR="2EE495B7" w:rsidRPr="675C1F61">
        <w:rPr>
          <w:rFonts w:ascii="Times New Roman" w:hAnsi="Times New Roman" w:cs="Times New Roman"/>
          <w:sz w:val="24"/>
          <w:szCs w:val="24"/>
        </w:rPr>
        <w:t xml:space="preserve">(e.g., </w:t>
      </w:r>
      <w:hyperlink r:id="rId19">
        <w:r w:rsidR="4469C3F7" w:rsidRPr="675C1F61">
          <w:rPr>
            <w:rStyle w:val="Hyperlink"/>
            <w:rFonts w:ascii="Times New Roman" w:hAnsi="Times New Roman" w:cs="Times New Roman"/>
            <w:sz w:val="24"/>
            <w:szCs w:val="24"/>
          </w:rPr>
          <w:t>I</w:t>
        </w:r>
        <w:r w:rsidR="7CD1444C" w:rsidRPr="675C1F61">
          <w:rPr>
            <w:rStyle w:val="Hyperlink"/>
            <w:rFonts w:ascii="Times New Roman" w:hAnsi="Times New Roman" w:cs="Times New Roman"/>
            <w:sz w:val="24"/>
            <w:szCs w:val="24"/>
          </w:rPr>
          <w:t xml:space="preserve">ndicators of </w:t>
        </w:r>
        <w:r w:rsidR="4469C3F7" w:rsidRPr="675C1F61">
          <w:rPr>
            <w:rStyle w:val="Hyperlink"/>
            <w:rFonts w:ascii="Times New Roman" w:hAnsi="Times New Roman" w:cs="Times New Roman"/>
            <w:sz w:val="24"/>
            <w:szCs w:val="24"/>
          </w:rPr>
          <w:t>P</w:t>
        </w:r>
        <w:r w:rsidR="7CD1444C" w:rsidRPr="675C1F61">
          <w:rPr>
            <w:rStyle w:val="Hyperlink"/>
            <w:rFonts w:ascii="Times New Roman" w:hAnsi="Times New Roman" w:cs="Times New Roman"/>
            <w:sz w:val="24"/>
            <w:szCs w:val="24"/>
          </w:rPr>
          <w:t xml:space="preserve">rogram </w:t>
        </w:r>
        <w:r w:rsidR="4469C3F7" w:rsidRPr="675C1F61">
          <w:rPr>
            <w:rStyle w:val="Hyperlink"/>
            <w:rFonts w:ascii="Times New Roman" w:hAnsi="Times New Roman" w:cs="Times New Roman"/>
            <w:sz w:val="24"/>
            <w:szCs w:val="24"/>
          </w:rPr>
          <w:t>Q</w:t>
        </w:r>
        <w:r w:rsidR="7CD1444C" w:rsidRPr="675C1F61">
          <w:rPr>
            <w:rStyle w:val="Hyperlink"/>
            <w:rFonts w:ascii="Times New Roman" w:hAnsi="Times New Roman" w:cs="Times New Roman"/>
            <w:sz w:val="24"/>
            <w:szCs w:val="24"/>
          </w:rPr>
          <w:t>uality</w:t>
        </w:r>
      </w:hyperlink>
      <w:r w:rsidR="3D8F4E55" w:rsidRPr="675C1F61">
        <w:rPr>
          <w:rFonts w:ascii="Times New Roman" w:hAnsi="Times New Roman" w:cs="Times New Roman"/>
          <w:sz w:val="24"/>
          <w:szCs w:val="24"/>
        </w:rPr>
        <w:t xml:space="preserve"> (IPQ</w:t>
      </w:r>
      <w:r w:rsidR="533B417B" w:rsidRPr="675C1F61">
        <w:rPr>
          <w:rFonts w:ascii="Times New Roman" w:hAnsi="Times New Roman" w:cs="Times New Roman"/>
          <w:sz w:val="24"/>
          <w:szCs w:val="24"/>
        </w:rPr>
        <w:t>s</w:t>
      </w:r>
      <w:r w:rsidR="3D8F4E55" w:rsidRPr="675C1F61">
        <w:rPr>
          <w:rFonts w:ascii="Times New Roman" w:hAnsi="Times New Roman" w:cs="Times New Roman"/>
          <w:sz w:val="24"/>
          <w:szCs w:val="24"/>
        </w:rPr>
        <w:t>)</w:t>
      </w:r>
      <w:r w:rsidR="3AF64DDD" w:rsidRPr="675C1F61">
        <w:rPr>
          <w:rFonts w:ascii="Times New Roman" w:hAnsi="Times New Roman" w:cs="Times New Roman"/>
          <w:sz w:val="24"/>
          <w:szCs w:val="24"/>
        </w:rPr>
        <w:t xml:space="preserve">, </w:t>
      </w:r>
      <w:hyperlink r:id="rId20" w:history="1">
        <w:r w:rsidR="3AF64DDD" w:rsidRPr="00DD71CE">
          <w:rPr>
            <w:rStyle w:val="Hyperlink"/>
            <w:rFonts w:ascii="Times New Roman" w:hAnsi="Times New Roman" w:cs="Times New Roman"/>
            <w:sz w:val="24"/>
            <w:szCs w:val="24"/>
          </w:rPr>
          <w:t>MassSTEP</w:t>
        </w:r>
      </w:hyperlink>
      <w:r w:rsidR="06C6E31B" w:rsidRPr="675C1F61">
        <w:rPr>
          <w:rFonts w:ascii="Times New Roman" w:hAnsi="Times New Roman" w:cs="Times New Roman"/>
          <w:sz w:val="24"/>
          <w:szCs w:val="24"/>
        </w:rPr>
        <w:t>)</w:t>
      </w:r>
      <w:r w:rsidR="0D7C2077" w:rsidRPr="675C1F61">
        <w:rPr>
          <w:rFonts w:ascii="Times New Roman" w:hAnsi="Times New Roman" w:cs="Times New Roman"/>
          <w:sz w:val="24"/>
          <w:szCs w:val="24"/>
        </w:rPr>
        <w:t>.</w:t>
      </w:r>
    </w:p>
    <w:p w14:paraId="35F41B70" w14:textId="77777777" w:rsidR="00780C36" w:rsidRPr="0079354F" w:rsidRDefault="00780C36" w:rsidP="00C00F9E"/>
    <w:p w14:paraId="359B88E8" w14:textId="530C6963" w:rsidR="675C1F61" w:rsidRDefault="709FCDB8" w:rsidP="0ADF2C45">
      <w:pPr>
        <w:pStyle w:val="CommentText"/>
        <w:spacing w:line="259" w:lineRule="auto"/>
        <w:rPr>
          <w:sz w:val="24"/>
          <w:szCs w:val="24"/>
        </w:rPr>
      </w:pPr>
      <w:r w:rsidRPr="36742878">
        <w:rPr>
          <w:sz w:val="24"/>
          <w:szCs w:val="24"/>
        </w:rPr>
        <w:t xml:space="preserve">For information on </w:t>
      </w:r>
      <w:r w:rsidR="31B107D8" w:rsidRPr="36742878">
        <w:rPr>
          <w:sz w:val="24"/>
          <w:szCs w:val="24"/>
        </w:rPr>
        <w:t>career pathways</w:t>
      </w:r>
      <w:r w:rsidRPr="36742878">
        <w:rPr>
          <w:sz w:val="24"/>
          <w:szCs w:val="24"/>
        </w:rPr>
        <w:t xml:space="preserve">, see </w:t>
      </w:r>
      <w:hyperlink r:id="rId21">
        <w:r w:rsidR="31B107D8" w:rsidRPr="36742878">
          <w:rPr>
            <w:rStyle w:val="Hyperlink"/>
            <w:sz w:val="24"/>
            <w:szCs w:val="24"/>
          </w:rPr>
          <w:t>https://www.doe.mass.edu/acls/acp/</w:t>
        </w:r>
      </w:hyperlink>
      <w:r w:rsidRPr="36742878">
        <w:rPr>
          <w:sz w:val="24"/>
          <w:szCs w:val="24"/>
        </w:rPr>
        <w:t>.</w:t>
      </w:r>
      <w:r w:rsidR="091CBB70" w:rsidRPr="36742878">
        <w:rPr>
          <w:sz w:val="24"/>
          <w:szCs w:val="24"/>
        </w:rPr>
        <w:t xml:space="preserve"> </w:t>
      </w:r>
      <w:r w:rsidR="48966D1E" w:rsidRPr="36742878">
        <w:rPr>
          <w:sz w:val="24"/>
          <w:szCs w:val="24"/>
        </w:rPr>
        <w:t xml:space="preserve">For </w:t>
      </w:r>
      <w:r w:rsidRPr="36742878">
        <w:rPr>
          <w:sz w:val="24"/>
          <w:szCs w:val="24"/>
        </w:rPr>
        <w:t>t</w:t>
      </w:r>
      <w:r w:rsidR="1FE1FD8E" w:rsidRPr="36742878">
        <w:rPr>
          <w:sz w:val="24"/>
          <w:szCs w:val="24"/>
        </w:rPr>
        <w:t xml:space="preserve">he </w:t>
      </w:r>
      <w:r w:rsidR="6356FA86" w:rsidRPr="36742878">
        <w:rPr>
          <w:sz w:val="24"/>
          <w:szCs w:val="24"/>
        </w:rPr>
        <w:t>IPQ</w:t>
      </w:r>
      <w:r w:rsidR="09EB9DFB" w:rsidRPr="36742878">
        <w:rPr>
          <w:sz w:val="24"/>
          <w:szCs w:val="24"/>
        </w:rPr>
        <w:t>s</w:t>
      </w:r>
      <w:r w:rsidR="7BC3C71C" w:rsidRPr="36742878">
        <w:rPr>
          <w:rStyle w:val="Hyperlink"/>
          <w:sz w:val="24"/>
          <w:szCs w:val="24"/>
          <w:u w:val="none"/>
        </w:rPr>
        <w:t xml:space="preserve">, </w:t>
      </w:r>
      <w:r w:rsidR="7BC3C71C" w:rsidRPr="36742878">
        <w:rPr>
          <w:rStyle w:val="Hyperlink"/>
          <w:color w:val="auto"/>
          <w:sz w:val="24"/>
          <w:szCs w:val="24"/>
          <w:u w:val="none"/>
        </w:rPr>
        <w:t xml:space="preserve">see </w:t>
      </w:r>
      <w:hyperlink r:id="rId22">
        <w:r w:rsidR="15AE8E18" w:rsidRPr="36742878">
          <w:rPr>
            <w:rStyle w:val="Hyperlink"/>
            <w:sz w:val="24"/>
            <w:szCs w:val="24"/>
          </w:rPr>
          <w:t>https://www.doe.mass.edu/acls/accountability/program-quality</w:t>
        </w:r>
      </w:hyperlink>
      <w:r w:rsidR="15AE8E18" w:rsidRPr="36742878">
        <w:rPr>
          <w:sz w:val="24"/>
          <w:szCs w:val="24"/>
        </w:rPr>
        <w:t xml:space="preserve">. </w:t>
      </w:r>
      <w:r w:rsidR="62217E50" w:rsidRPr="36742878">
        <w:rPr>
          <w:sz w:val="24"/>
          <w:szCs w:val="24"/>
        </w:rPr>
        <w:t xml:space="preserve">For </w:t>
      </w:r>
      <w:r w:rsidR="5332B5F1" w:rsidRPr="36742878">
        <w:rPr>
          <w:sz w:val="24"/>
          <w:szCs w:val="24"/>
        </w:rPr>
        <w:t>i</w:t>
      </w:r>
      <w:r w:rsidR="62217E50" w:rsidRPr="36742878">
        <w:rPr>
          <w:sz w:val="24"/>
          <w:szCs w:val="24"/>
        </w:rPr>
        <w:t xml:space="preserve">nformation on </w:t>
      </w:r>
      <w:r w:rsidR="6AE909DB" w:rsidRPr="36742878">
        <w:rPr>
          <w:sz w:val="24"/>
          <w:szCs w:val="24"/>
        </w:rPr>
        <w:t xml:space="preserve">how </w:t>
      </w:r>
      <w:r w:rsidR="62217E50" w:rsidRPr="36742878">
        <w:rPr>
          <w:sz w:val="24"/>
          <w:szCs w:val="24"/>
        </w:rPr>
        <w:t>the IPQ</w:t>
      </w:r>
      <w:r w:rsidR="04760500" w:rsidRPr="36742878">
        <w:rPr>
          <w:sz w:val="24"/>
          <w:szCs w:val="24"/>
        </w:rPr>
        <w:t>s</w:t>
      </w:r>
      <w:r w:rsidR="4C181C52" w:rsidRPr="36742878">
        <w:rPr>
          <w:sz w:val="24"/>
          <w:szCs w:val="24"/>
        </w:rPr>
        <w:t xml:space="preserve"> </w:t>
      </w:r>
      <w:r w:rsidR="62217E50" w:rsidRPr="36742878">
        <w:rPr>
          <w:sz w:val="24"/>
          <w:szCs w:val="24"/>
        </w:rPr>
        <w:t xml:space="preserve">inform program quality reviews, see </w:t>
      </w:r>
      <w:hyperlink r:id="rId23">
        <w:r w:rsidR="62217E50" w:rsidRPr="36742878">
          <w:rPr>
            <w:rStyle w:val="Hyperlink"/>
            <w:sz w:val="24"/>
            <w:szCs w:val="24"/>
          </w:rPr>
          <w:t>https://www.doe.mass.edu/acls/accountability/program-quality/reviews.html</w:t>
        </w:r>
      </w:hyperlink>
      <w:r w:rsidR="15AE8E18" w:rsidRPr="36742878">
        <w:rPr>
          <w:sz w:val="24"/>
          <w:szCs w:val="24"/>
        </w:rPr>
        <w:t>.</w:t>
      </w:r>
      <w:r w:rsidR="62217E50" w:rsidRPr="36742878">
        <w:rPr>
          <w:sz w:val="24"/>
          <w:szCs w:val="24"/>
        </w:rPr>
        <w:t xml:space="preserve"> </w:t>
      </w:r>
      <w:bookmarkStart w:id="9" w:name="_Hlk68005396"/>
      <w:bookmarkEnd w:id="9"/>
    </w:p>
    <w:p w14:paraId="085E3343" w14:textId="1AAE064B" w:rsidR="0ADF2C45" w:rsidRDefault="0ADF2C45" w:rsidP="0ADF2C45">
      <w:pPr>
        <w:pStyle w:val="CommentText"/>
        <w:spacing w:line="259" w:lineRule="auto"/>
      </w:pPr>
    </w:p>
    <w:p w14:paraId="7D6653DD" w14:textId="76163342" w:rsidR="000B2ABB" w:rsidRDefault="315290D3" w:rsidP="22CF907E">
      <w:pPr>
        <w:snapToGrid w:val="0"/>
      </w:pPr>
      <w:r w:rsidRPr="0079354F">
        <w:t>Subsequent to the release of this policy manual and, as needed, ACLS will release an updated versi</w:t>
      </w:r>
      <w:r w:rsidR="00DD71CE">
        <w:t xml:space="preserve">on of </w:t>
      </w:r>
      <w:r w:rsidRPr="0079354F">
        <w:t xml:space="preserve">the </w:t>
      </w:r>
      <w:hyperlink r:id="rId24">
        <w:r w:rsidR="77EDC1EC" w:rsidRPr="0079354F">
          <w:rPr>
            <w:rStyle w:val="Hyperlink"/>
            <w:i/>
            <w:iCs/>
          </w:rPr>
          <w:t>Policies</w:t>
        </w:r>
      </w:hyperlink>
      <w:r w:rsidRPr="0079354F">
        <w:t>).</w:t>
      </w:r>
      <w:r w:rsidR="00DD71CE">
        <w:t xml:space="preserve"> N</w:t>
      </w:r>
      <w:r w:rsidR="2AE67F6A" w:rsidRPr="0079354F">
        <w:t>ew policies, policy changes, and policy clarifications will be announced in numbered and labeled policy memos</w:t>
      </w:r>
      <w:r w:rsidR="35864E01" w:rsidRPr="0079354F">
        <w:t xml:space="preserve"> </w:t>
      </w:r>
      <w:r w:rsidR="2AE67F6A" w:rsidRPr="0079354F">
        <w:t>in special mailing</w:t>
      </w:r>
      <w:r w:rsidR="589D0807" w:rsidRPr="0079354F">
        <w:t>s</w:t>
      </w:r>
      <w:r w:rsidR="2AE67F6A" w:rsidRPr="0079354F">
        <w:t xml:space="preserve">. Additionally, links to the announcements will be listed in chronological order </w:t>
      </w:r>
      <w:r w:rsidR="7F884B20" w:rsidRPr="0079354F">
        <w:t>below</w:t>
      </w:r>
      <w:r w:rsidR="2AE67F6A" w:rsidRPr="0079354F">
        <w:t xml:space="preserve"> the online policy manual. The naming convention will be ACLS POLICY MEMO followed by:</w:t>
      </w:r>
    </w:p>
    <w:p w14:paraId="4CB97179" w14:textId="77777777" w:rsidR="0011442C" w:rsidRPr="0079354F" w:rsidRDefault="0011442C" w:rsidP="22CF907E">
      <w:pPr>
        <w:snapToGrid w:val="0"/>
      </w:pPr>
    </w:p>
    <w:p w14:paraId="3C58DB8D" w14:textId="03AB87F5" w:rsidR="000B2ABB" w:rsidRPr="0079354F" w:rsidRDefault="00E31A72" w:rsidP="00FC65BD">
      <w:pPr>
        <w:pStyle w:val="ListParagraph"/>
        <w:numPr>
          <w:ilvl w:val="2"/>
          <w:numId w:val="17"/>
        </w:numPr>
        <w:snapToGrid w:val="0"/>
        <w:spacing w:after="0" w:line="240" w:lineRule="auto"/>
        <w:ind w:left="72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B2ABB" w:rsidRPr="0079354F">
        <w:rPr>
          <w:rFonts w:ascii="Times New Roman" w:eastAsia="Times New Roman" w:hAnsi="Times New Roman" w:cs="Times New Roman"/>
          <w:sz w:val="24"/>
          <w:szCs w:val="24"/>
        </w:rPr>
        <w:t xml:space="preserve"> number and calendar year: For example, policy number #3-2020 would be the third policy memo released during calendar year 2020</w:t>
      </w:r>
      <w:r w:rsidR="00BD650F" w:rsidRPr="0079354F">
        <w:rPr>
          <w:rFonts w:ascii="Times New Roman" w:eastAsia="Times New Roman" w:hAnsi="Times New Roman" w:cs="Times New Roman"/>
          <w:sz w:val="24"/>
          <w:szCs w:val="24"/>
        </w:rPr>
        <w:t>; and</w:t>
      </w:r>
    </w:p>
    <w:p w14:paraId="37EB7FBA" w14:textId="7E2D9FC0" w:rsidR="000B2ABB" w:rsidRPr="0079354F" w:rsidRDefault="00E31A72" w:rsidP="00FC65BD">
      <w:pPr>
        <w:pStyle w:val="ListParagraph"/>
        <w:numPr>
          <w:ilvl w:val="2"/>
          <w:numId w:val="17"/>
        </w:numPr>
        <w:snapToGrid w:val="0"/>
        <w:spacing w:after="0" w:line="240" w:lineRule="auto"/>
        <w:ind w:left="72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B2ABB" w:rsidRPr="0079354F">
        <w:rPr>
          <w:rFonts w:ascii="Times New Roman" w:eastAsia="Times New Roman" w:hAnsi="Times New Roman" w:cs="Times New Roman"/>
          <w:sz w:val="24"/>
          <w:szCs w:val="24"/>
        </w:rPr>
        <w:t xml:space="preserve"> descriptive title: For example, if the announcement provides a clarification regarding allowable uses for adult education funds (e.g., use of grant funds for space), the memo might be named Clarification on Use of Grant Funds for Space</w:t>
      </w:r>
      <w:r w:rsidRPr="0079354F">
        <w:rPr>
          <w:rFonts w:ascii="Times New Roman" w:eastAsia="Times New Roman" w:hAnsi="Times New Roman" w:cs="Times New Roman"/>
          <w:sz w:val="24"/>
          <w:szCs w:val="24"/>
        </w:rPr>
        <w:t>.</w:t>
      </w:r>
    </w:p>
    <w:p w14:paraId="3C3C53C0" w14:textId="77777777" w:rsidR="00BD650F" w:rsidRPr="0079354F" w:rsidRDefault="00BD650F" w:rsidP="00BD650F">
      <w:pPr>
        <w:snapToGrid w:val="0"/>
      </w:pPr>
    </w:p>
    <w:p w14:paraId="608FC255" w14:textId="0B76C5DA" w:rsidR="000B2ABB" w:rsidRPr="0079354F" w:rsidRDefault="00E31A72" w:rsidP="00BD650F">
      <w:pPr>
        <w:snapToGrid w:val="0"/>
      </w:pPr>
      <w:r w:rsidRPr="0079354F">
        <w:t>T</w:t>
      </w:r>
      <w:r w:rsidR="000B2ABB" w:rsidRPr="0079354F">
        <w:t>he</w:t>
      </w:r>
      <w:r w:rsidR="00BD650F" w:rsidRPr="0079354F">
        <w:t>refore, the</w:t>
      </w:r>
      <w:r w:rsidR="000B2ABB" w:rsidRPr="0079354F">
        <w:t xml:space="preserve"> above policy clarification might be named: ACLS POLICY MEMO #03-2020: Clarification on Use of Grant Funds for Space.</w:t>
      </w:r>
    </w:p>
    <w:p w14:paraId="535D35D3" w14:textId="410C8C08" w:rsidR="00972334" w:rsidRPr="0079354F" w:rsidRDefault="00972334" w:rsidP="0047675C">
      <w:pPr>
        <w:sectPr w:rsidR="00972334" w:rsidRPr="0079354F" w:rsidSect="004569C9">
          <w:headerReference w:type="default" r:id="rId25"/>
          <w:footerReference w:type="default" r:id="rId26"/>
          <w:footerReference w:type="first" r:id="rId27"/>
          <w:pgSz w:w="12240" w:h="15840" w:code="1"/>
          <w:pgMar w:top="1008" w:right="1440" w:bottom="576" w:left="1440" w:header="720" w:footer="720" w:gutter="0"/>
          <w:pgNumType w:start="1"/>
          <w:cols w:space="720"/>
          <w:titlePg/>
          <w:docGrid w:linePitch="360"/>
        </w:sectPr>
      </w:pPr>
    </w:p>
    <w:p w14:paraId="39E6C81A" w14:textId="308894F0" w:rsidR="00EE3D1F" w:rsidRPr="0079354F" w:rsidRDefault="00323A05" w:rsidP="1E8607B9">
      <w:pPr>
        <w:pStyle w:val="Heading2"/>
        <w:spacing w:before="0"/>
        <w:rPr>
          <w:b/>
          <w:color w:val="E36C0A" w:themeColor="accent6" w:themeShade="BF"/>
        </w:rPr>
      </w:pPr>
      <w:bookmarkStart w:id="10" w:name="_Toc109195953"/>
      <w:bookmarkEnd w:id="7"/>
      <w:r w:rsidRPr="1E8607B9">
        <w:rPr>
          <w:b/>
          <w:color w:val="E36C0A" w:themeColor="accent6" w:themeShade="BF"/>
        </w:rPr>
        <w:t>Overview</w:t>
      </w:r>
      <w:bookmarkEnd w:id="10"/>
    </w:p>
    <w:p w14:paraId="65976F3A" w14:textId="77777777" w:rsidR="00A65EC6" w:rsidRPr="008B471D" w:rsidRDefault="00A65EC6" w:rsidP="000109AD">
      <w:pPr>
        <w:pStyle w:val="Heading3"/>
        <w:rPr>
          <w:b/>
          <w:bCs/>
        </w:rPr>
      </w:pPr>
      <w:bookmarkStart w:id="11" w:name="_Toc109195954"/>
      <w:bookmarkStart w:id="12" w:name="_Hlk2839426"/>
      <w:r w:rsidRPr="1E8607B9">
        <w:rPr>
          <w:b/>
          <w:bCs/>
        </w:rPr>
        <w:t>Department of Elementary and Secondary Education Goal</w:t>
      </w:r>
      <w:r w:rsidR="00501AAD" w:rsidRPr="1E8607B9">
        <w:rPr>
          <w:b/>
          <w:bCs/>
        </w:rPr>
        <w:t xml:space="preserve"> (DESE)</w:t>
      </w:r>
      <w:bookmarkEnd w:id="11"/>
    </w:p>
    <w:p w14:paraId="7D92DF7B" w14:textId="2A439E26" w:rsidR="00C2755A" w:rsidRPr="0079354F" w:rsidRDefault="00A65EC6" w:rsidP="00F86910">
      <w:r w:rsidRPr="0079354F">
        <w:t xml:space="preserve">The goal of the Massachusetts public </w:t>
      </w:r>
      <w:r w:rsidR="00AF4190" w:rsidRPr="0079354F">
        <w:t xml:space="preserve">K-12 and adult </w:t>
      </w:r>
      <w:r w:rsidRPr="0079354F">
        <w:t xml:space="preserve">education </w:t>
      </w:r>
      <w:r w:rsidR="00162DEC" w:rsidRPr="0079354F">
        <w:t xml:space="preserve">(AE) </w:t>
      </w:r>
      <w:r w:rsidRPr="0079354F">
        <w:t xml:space="preserve">system is to prepare </w:t>
      </w:r>
      <w:r w:rsidRPr="0079354F">
        <w:rPr>
          <w:i/>
          <w:iCs/>
        </w:rPr>
        <w:t>all</w:t>
      </w:r>
      <w:r w:rsidRPr="0079354F">
        <w:t xml:space="preserve"> </w:t>
      </w:r>
      <w:r w:rsidR="00501AAD" w:rsidRPr="0079354F">
        <w:t xml:space="preserve">Massachusetts </w:t>
      </w:r>
      <w:r w:rsidRPr="0079354F">
        <w:t xml:space="preserve">students for success in life. </w:t>
      </w:r>
      <w:r w:rsidR="00C2755A" w:rsidRPr="0079354F">
        <w:t xml:space="preserve">This includes services administered by </w:t>
      </w:r>
      <w:r w:rsidR="00F86910" w:rsidRPr="0079354F">
        <w:t xml:space="preserve">the </w:t>
      </w:r>
      <w:hyperlink r:id="rId28">
        <w:r w:rsidR="00F86910" w:rsidRPr="0079354F">
          <w:rPr>
            <w:rStyle w:val="Hyperlink"/>
          </w:rPr>
          <w:t>Office of A</w:t>
        </w:r>
        <w:r w:rsidR="00C2755A" w:rsidRPr="0079354F">
          <w:rPr>
            <w:rStyle w:val="Hyperlink"/>
          </w:rPr>
          <w:t>dul</w:t>
        </w:r>
        <w:r w:rsidR="00EA261A" w:rsidRPr="0079354F">
          <w:rPr>
            <w:rStyle w:val="Hyperlink"/>
          </w:rPr>
          <w:t>t and Community Learning Services</w:t>
        </w:r>
      </w:hyperlink>
      <w:r w:rsidR="00C2755A" w:rsidRPr="0079354F">
        <w:t xml:space="preserve"> (ACLS), part of </w:t>
      </w:r>
      <w:r w:rsidR="00C26A07" w:rsidRPr="0079354F">
        <w:t xml:space="preserve">the </w:t>
      </w:r>
      <w:r w:rsidR="00C2755A" w:rsidRPr="0079354F">
        <w:t xml:space="preserve">DESE’s Center for Educational Options. ACLS is responsible for providing </w:t>
      </w:r>
      <w:r w:rsidR="00E06522" w:rsidRPr="0079354F">
        <w:t>AE</w:t>
      </w:r>
      <w:r w:rsidR="00162DEC" w:rsidRPr="0079354F">
        <w:t xml:space="preserve"> </w:t>
      </w:r>
      <w:r w:rsidR="00C2755A" w:rsidRPr="0079354F">
        <w:t xml:space="preserve">services to adults with academic skill levels below </w:t>
      </w:r>
      <w:r w:rsidR="00F86910" w:rsidRPr="0079354F">
        <w:t xml:space="preserve">grade </w:t>
      </w:r>
      <w:r w:rsidR="00C2755A" w:rsidRPr="0079354F">
        <w:t>12, and/or adults who need English language skills to succeed in our communities.</w:t>
      </w:r>
    </w:p>
    <w:p w14:paraId="25D27B32" w14:textId="16CCF5C6" w:rsidR="00243CFD" w:rsidRPr="0079354F" w:rsidRDefault="00243CFD" w:rsidP="00F86910"/>
    <w:p w14:paraId="3F5B3B5B" w14:textId="7C394E37" w:rsidR="00473A43" w:rsidRPr="0079354F" w:rsidRDefault="4D281EC8" w:rsidP="00473A43">
      <w:pPr>
        <w:rPr>
          <w:color w:val="323130"/>
        </w:rPr>
      </w:pPr>
      <w:bookmarkStart w:id="13" w:name="_Hlk68250346"/>
      <w:r w:rsidRPr="0079354F">
        <w:rPr>
          <w:color w:val="323130"/>
        </w:rPr>
        <w:t>Our commitment to the educational and workforce success of adult students requires that we promote and support diversity</w:t>
      </w:r>
      <w:r w:rsidR="001D0B78" w:rsidRPr="0079354F">
        <w:rPr>
          <w:rStyle w:val="FootnoteReference"/>
          <w:color w:val="323130"/>
        </w:rPr>
        <w:footnoteReference w:id="2"/>
      </w:r>
      <w:r w:rsidRPr="0079354F">
        <w:rPr>
          <w:color w:val="323130"/>
        </w:rPr>
        <w:t>, equity</w:t>
      </w:r>
      <w:r w:rsidR="001D0B78" w:rsidRPr="0079354F">
        <w:rPr>
          <w:rStyle w:val="FootnoteReference"/>
          <w:color w:val="323130"/>
        </w:rPr>
        <w:footnoteReference w:id="3"/>
      </w:r>
      <w:r w:rsidRPr="0079354F">
        <w:rPr>
          <w:color w:val="323130"/>
        </w:rPr>
        <w:t>, and inclusion</w:t>
      </w:r>
      <w:r w:rsidR="00473A43" w:rsidRPr="0079354F">
        <w:rPr>
          <w:rStyle w:val="FootnoteReference"/>
          <w:color w:val="323130"/>
        </w:rPr>
        <w:footnoteReference w:id="4"/>
      </w:r>
      <w:r w:rsidRPr="0079354F">
        <w:rPr>
          <w:color w:val="323130"/>
        </w:rPr>
        <w:t xml:space="preserve"> (DEI) on multiple levels. First and foremost, we must guide and support students as they work to improve their skills in a world that does not always </w:t>
      </w:r>
      <w:r w:rsidR="5207FECD" w:rsidRPr="0079354F">
        <w:rPr>
          <w:color w:val="323130"/>
        </w:rPr>
        <w:t>see</w:t>
      </w:r>
      <w:r w:rsidRPr="0079354F">
        <w:rPr>
          <w:color w:val="323130"/>
        </w:rPr>
        <w:t xml:space="preserve"> them as assets and </w:t>
      </w:r>
      <w:r w:rsidR="2FA0F97B" w:rsidRPr="0079354F">
        <w:rPr>
          <w:color w:val="323130"/>
        </w:rPr>
        <w:t xml:space="preserve">often </w:t>
      </w:r>
      <w:r w:rsidRPr="0079354F">
        <w:rPr>
          <w:color w:val="323130"/>
        </w:rPr>
        <w:t>raises barriers to the achievement of their goals and aspirations.</w:t>
      </w:r>
    </w:p>
    <w:bookmarkEnd w:id="13"/>
    <w:p w14:paraId="0694629B" w14:textId="77777777" w:rsidR="00501AAD" w:rsidRPr="0079354F" w:rsidRDefault="00501AAD" w:rsidP="00F86910"/>
    <w:p w14:paraId="05977D99" w14:textId="77777777" w:rsidR="00A65EC6" w:rsidRPr="008B471D" w:rsidRDefault="00A65EC6" w:rsidP="00A36A19">
      <w:pPr>
        <w:pStyle w:val="Heading3"/>
        <w:rPr>
          <w:b/>
          <w:bCs/>
        </w:rPr>
      </w:pPr>
      <w:bookmarkStart w:id="14" w:name="_Toc109195955"/>
      <w:r w:rsidRPr="1E8607B9">
        <w:rPr>
          <w:b/>
          <w:bCs/>
        </w:rPr>
        <w:t>Center for Educational Options</w:t>
      </w:r>
      <w:r w:rsidR="0080149F" w:rsidRPr="1E8607B9">
        <w:rPr>
          <w:b/>
          <w:bCs/>
        </w:rPr>
        <w:t xml:space="preserve"> Mission</w:t>
      </w:r>
      <w:bookmarkEnd w:id="14"/>
    </w:p>
    <w:p w14:paraId="1FBA0D48" w14:textId="77777777" w:rsidR="00AF4190" w:rsidRPr="0079354F" w:rsidRDefault="00AF4190" w:rsidP="22CF907E">
      <w:pPr>
        <w:ind w:left="540"/>
        <w:rPr>
          <w:b/>
          <w:bCs/>
          <w:i/>
          <w:iCs/>
          <w:noProof/>
          <w:color w:val="0033CC"/>
        </w:rPr>
      </w:pPr>
      <w:r w:rsidRPr="0079354F">
        <w:rPr>
          <w:i/>
          <w:iCs/>
          <w:color w:val="000000" w:themeColor="text1"/>
        </w:rPr>
        <w:t>We expand and enhance high quality educational options for learners of all ages, and ensure equitable access for all, especially for those who have been historically underserved. </w:t>
      </w:r>
    </w:p>
    <w:p w14:paraId="3F9C4D8F" w14:textId="77777777" w:rsidR="00A65EC6" w:rsidRPr="0079354F" w:rsidRDefault="00A65EC6" w:rsidP="00A36A19">
      <w:pPr>
        <w:pStyle w:val="Heading3"/>
      </w:pPr>
    </w:p>
    <w:p w14:paraId="6A584EF3" w14:textId="77777777" w:rsidR="00C06E83" w:rsidRPr="008B471D" w:rsidRDefault="43AD45F8" w:rsidP="00A36A19">
      <w:pPr>
        <w:pStyle w:val="Heading3"/>
        <w:rPr>
          <w:b/>
          <w:bCs/>
        </w:rPr>
      </w:pPr>
      <w:bookmarkStart w:id="15" w:name="_Toc109195956"/>
      <w:r w:rsidRPr="1E8607B9">
        <w:rPr>
          <w:b/>
          <w:bCs/>
        </w:rPr>
        <w:t xml:space="preserve">Adult </w:t>
      </w:r>
      <w:r w:rsidR="3A4D9480" w:rsidRPr="1E8607B9">
        <w:rPr>
          <w:b/>
          <w:bCs/>
        </w:rPr>
        <w:t>and Community Learning Services</w:t>
      </w:r>
      <w:r w:rsidRPr="1E8607B9">
        <w:rPr>
          <w:b/>
          <w:bCs/>
        </w:rPr>
        <w:t xml:space="preserve"> </w:t>
      </w:r>
      <w:r w:rsidR="6FF3A685" w:rsidRPr="1E8607B9">
        <w:rPr>
          <w:b/>
          <w:bCs/>
        </w:rPr>
        <w:t>Mission</w:t>
      </w:r>
      <w:bookmarkEnd w:id="15"/>
    </w:p>
    <w:p w14:paraId="40BB20FD" w14:textId="77777777" w:rsidR="008E1F58" w:rsidRPr="00CE615E" w:rsidRDefault="23B2C0C9" w:rsidP="0ADF2C45">
      <w:pPr>
        <w:pStyle w:val="NormalWeb"/>
        <w:widowControl w:val="0"/>
        <w:spacing w:before="0" w:beforeAutospacing="0" w:after="0" w:afterAutospacing="0"/>
        <w:ind w:left="547"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ACLS partners with adult education programs to ensure that all students have access to quality instruction, advising, job training, and career pathways. </w:t>
      </w:r>
    </w:p>
    <w:p w14:paraId="37A8F68D" w14:textId="77777777" w:rsidR="00652434" w:rsidRPr="00CE615E" w:rsidRDefault="23B2C0C9" w:rsidP="0ADF2C45">
      <w:pPr>
        <w:pStyle w:val="NormalWeb"/>
        <w:widowControl w:val="0"/>
        <w:numPr>
          <w:ilvl w:val="0"/>
          <w:numId w:val="1"/>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set high expectations and provide support to achieve them.</w:t>
      </w:r>
    </w:p>
    <w:p w14:paraId="77BD718B" w14:textId="77777777" w:rsidR="00652434" w:rsidRPr="00CE615E" w:rsidRDefault="23B2C0C9" w:rsidP="0ADF2C45">
      <w:pPr>
        <w:pStyle w:val="NormalWeb"/>
        <w:widowControl w:val="0"/>
        <w:numPr>
          <w:ilvl w:val="0"/>
          <w:numId w:val="1"/>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promote flexible options for learning that honor the diversity of students and advance equity and inclusion.</w:t>
      </w:r>
    </w:p>
    <w:p w14:paraId="279DA59A" w14:textId="76EEBF11" w:rsidR="00652434" w:rsidRPr="00CE615E" w:rsidRDefault="23B2C0C9" w:rsidP="0ADF2C45">
      <w:pPr>
        <w:pStyle w:val="NormalWeb"/>
        <w:numPr>
          <w:ilvl w:val="0"/>
          <w:numId w:val="62"/>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foster collaborations that enhance student success in employment and higher education.</w:t>
      </w:r>
    </w:p>
    <w:p w14:paraId="4024DCD5" w14:textId="448D3E53" w:rsidR="00652434" w:rsidRPr="00CE615E" w:rsidRDefault="00652434" w:rsidP="0ADF2C45">
      <w:pPr>
        <w:pStyle w:val="NormalWeb"/>
        <w:numPr>
          <w:ilvl w:val="0"/>
          <w:numId w:val="62"/>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hold ourselves and our providers accountable for results.</w:t>
      </w:r>
    </w:p>
    <w:bookmarkEnd w:id="12"/>
    <w:p w14:paraId="3277BB3C" w14:textId="155C8BF4" w:rsidR="0ADF2C45" w:rsidRDefault="0ADF2C45" w:rsidP="36742878">
      <w:pPr>
        <w:pStyle w:val="NormalWeb"/>
        <w:spacing w:before="0" w:beforeAutospacing="0" w:after="0" w:afterAutospacing="0"/>
        <w:ind w:left="720"/>
        <w:rPr>
          <w:i/>
          <w:iCs/>
        </w:rPr>
      </w:pPr>
      <w:r w:rsidRPr="36742878">
        <w:t xml:space="preserve">     </w:t>
      </w:r>
      <w:r>
        <w:tab/>
      </w:r>
      <w:r>
        <w:tab/>
      </w:r>
      <w:r>
        <w:tab/>
      </w:r>
      <w:r>
        <w:tab/>
      </w:r>
      <w:r>
        <w:tab/>
      </w:r>
      <w:r>
        <w:tab/>
      </w:r>
      <w:r>
        <w:tab/>
      </w:r>
      <w:r>
        <w:tab/>
      </w:r>
      <w:r>
        <w:tab/>
      </w:r>
      <w:r>
        <w:tab/>
      </w:r>
      <w:r w:rsidRPr="36742878">
        <w:rPr>
          <w:rFonts w:ascii="Times New Roman" w:eastAsia="Times New Roman" w:hAnsi="Times New Roman" w:cs="Times New Roman"/>
        </w:rPr>
        <w:t>Adopted 2022</w:t>
      </w:r>
    </w:p>
    <w:p w14:paraId="60F32CB6" w14:textId="77777777" w:rsidR="00A10509" w:rsidRPr="00E44418" w:rsidRDefault="00A10509" w:rsidP="00652434">
      <w:pPr>
        <w:pStyle w:val="NormalWeb"/>
        <w:spacing w:before="0" w:beforeAutospacing="0" w:after="0" w:afterAutospacing="0"/>
        <w:rPr>
          <w:rFonts w:ascii="Times New Roman" w:eastAsia="Batang" w:hAnsi="Times New Roman" w:cs="Times New Roman"/>
          <w:sz w:val="24"/>
          <w:szCs w:val="24"/>
          <w:highlight w:val="yellow"/>
        </w:rPr>
      </w:pPr>
    </w:p>
    <w:p w14:paraId="78BE7E71" w14:textId="6497AE78" w:rsidR="00331BE3" w:rsidRPr="008B471D" w:rsidRDefault="00331BE3" w:rsidP="00A36A19">
      <w:pPr>
        <w:pStyle w:val="Heading3"/>
        <w:rPr>
          <w:b/>
          <w:bCs/>
        </w:rPr>
      </w:pPr>
      <w:bookmarkStart w:id="16" w:name="_Toc109195957"/>
      <w:r w:rsidRPr="1E8607B9">
        <w:rPr>
          <w:b/>
          <w:bCs/>
        </w:rPr>
        <w:t>The Workforce Innovation and Opportunity Act (WIOA)</w:t>
      </w:r>
      <w:bookmarkEnd w:id="16"/>
    </w:p>
    <w:p w14:paraId="3F059B41" w14:textId="3DD86B08" w:rsidR="00972523" w:rsidRPr="0079354F" w:rsidRDefault="00972523" w:rsidP="0047675C">
      <w:pPr>
        <w:pStyle w:val="Default"/>
        <w:rPr>
          <w:rFonts w:eastAsiaTheme="minorHAnsi"/>
        </w:rPr>
      </w:pPr>
      <w:r w:rsidRPr="0079354F">
        <w:t xml:space="preserve">On July 22, 2014, President Obama signed into law </w:t>
      </w:r>
      <w:r w:rsidRPr="0079354F">
        <w:rPr>
          <w:bCs/>
        </w:rPr>
        <w:t xml:space="preserve">the </w:t>
      </w:r>
      <w:hyperlink r:id="rId29" w:history="1">
        <w:r w:rsidRPr="0079354F">
          <w:rPr>
            <w:rStyle w:val="Hyperlink"/>
            <w:bCs/>
          </w:rPr>
          <w:t>Workforce Innovation and Opportunity Act</w:t>
        </w:r>
      </w:hyperlink>
      <w:r w:rsidRPr="0079354F">
        <w:rPr>
          <w:b/>
          <w:bCs/>
        </w:rPr>
        <w:t xml:space="preserve"> </w:t>
      </w:r>
      <w:r w:rsidRPr="0079354F">
        <w:rPr>
          <w:bCs/>
        </w:rPr>
        <w:t>(</w:t>
      </w:r>
      <w:r w:rsidR="0095461A" w:rsidRPr="0079354F">
        <w:t>WIOA) which revised</w:t>
      </w:r>
      <w:r w:rsidRPr="0079354F">
        <w:t xml:space="preserve"> and reauthorize</w:t>
      </w:r>
      <w:r w:rsidR="0095461A" w:rsidRPr="0079354F">
        <w:t xml:space="preserve">d </w:t>
      </w:r>
      <w:r w:rsidRPr="0079354F">
        <w:t xml:space="preserve">the </w:t>
      </w:r>
      <w:r w:rsidRPr="0079354F">
        <w:rPr>
          <w:bCs/>
          <w:iCs/>
        </w:rPr>
        <w:t>Workforce Investment Act of 1998</w:t>
      </w:r>
      <w:r w:rsidRPr="0079354F">
        <w:rPr>
          <w:b/>
          <w:bCs/>
          <w:iCs/>
        </w:rPr>
        <w:t xml:space="preserve"> </w:t>
      </w:r>
      <w:r w:rsidRPr="0079354F">
        <w:t xml:space="preserve">(WIA). The </w:t>
      </w:r>
      <w:r w:rsidR="001A49A6" w:rsidRPr="0079354F">
        <w:t xml:space="preserve">new </w:t>
      </w:r>
      <w:r w:rsidRPr="0079354F">
        <w:t xml:space="preserve">law supports innovative strategies to keep pace with changing economic conditions and seeks to improve </w:t>
      </w:r>
      <w:r w:rsidR="0037346F" w:rsidRPr="0079354F">
        <w:t xml:space="preserve">coordination between four core </w:t>
      </w:r>
      <w:r w:rsidR="006160A5" w:rsidRPr="0079354F">
        <w:t>federal</w:t>
      </w:r>
      <w:r w:rsidRPr="0079354F">
        <w:t xml:space="preserve"> programs that support </w:t>
      </w:r>
      <w:r w:rsidR="00E80513" w:rsidRPr="0079354F">
        <w:t xml:space="preserve">adult education, </w:t>
      </w:r>
      <w:r w:rsidRPr="0079354F">
        <w:t>employment services, workforce development, and vocati</w:t>
      </w:r>
      <w:r w:rsidR="00233884" w:rsidRPr="0079354F">
        <w:t>onal rehabilitation activities.</w:t>
      </w:r>
      <w:r w:rsidR="00026AF6" w:rsidRPr="0079354F">
        <w:rPr>
          <w:rFonts w:eastAsiaTheme="minorHAnsi"/>
        </w:rPr>
        <w:t xml:space="preserve"> </w:t>
      </w:r>
      <w:r w:rsidR="001A49A6" w:rsidRPr="0079354F">
        <w:t>The core programs are</w:t>
      </w:r>
      <w:r w:rsidR="000374B8" w:rsidRPr="0079354F">
        <w:t>:</w:t>
      </w:r>
    </w:p>
    <w:p w14:paraId="5521DD29" w14:textId="77777777" w:rsidR="00972523" w:rsidRPr="0079354F" w:rsidRDefault="00972523" w:rsidP="00FC65BD">
      <w:pPr>
        <w:pStyle w:val="Default"/>
        <w:numPr>
          <w:ilvl w:val="0"/>
          <w:numId w:val="20"/>
        </w:numPr>
      </w:pPr>
      <w:r w:rsidRPr="0079354F">
        <w:t>Adult, Dislocated Worker, and Youth</w:t>
      </w:r>
      <w:r w:rsidR="00E80513" w:rsidRPr="0079354F">
        <w:t xml:space="preserve">, </w:t>
      </w:r>
      <w:r w:rsidRPr="0079354F">
        <w:t>administered by the Departmen</w:t>
      </w:r>
      <w:r w:rsidR="00233884" w:rsidRPr="0079354F">
        <w:t>t of Labor (DOL) under Title I;</w:t>
      </w:r>
    </w:p>
    <w:p w14:paraId="0F2E51DA" w14:textId="7C082860" w:rsidR="00972523" w:rsidRPr="0079354F" w:rsidRDefault="00E80513" w:rsidP="00FC65BD">
      <w:pPr>
        <w:pStyle w:val="Default"/>
        <w:numPr>
          <w:ilvl w:val="0"/>
          <w:numId w:val="20"/>
        </w:numPr>
      </w:pPr>
      <w:r w:rsidRPr="0079354F">
        <w:t xml:space="preserve">Adult Education and </w:t>
      </w:r>
      <w:r w:rsidR="00753DE2" w:rsidRPr="0079354F">
        <w:t xml:space="preserve">Family </w:t>
      </w:r>
      <w:r w:rsidRPr="0079354F">
        <w:t>Literacy</w:t>
      </w:r>
      <w:r w:rsidR="00753DE2" w:rsidRPr="0079354F">
        <w:t xml:space="preserve"> Act (AEFLA)</w:t>
      </w:r>
      <w:r w:rsidRPr="0079354F">
        <w:t xml:space="preserve">, </w:t>
      </w:r>
      <w:r w:rsidR="00972523" w:rsidRPr="0079354F">
        <w:t>administered by the Department of</w:t>
      </w:r>
      <w:r w:rsidR="00233884" w:rsidRPr="0079354F">
        <w:t xml:space="preserve"> Education (</w:t>
      </w:r>
      <w:r w:rsidR="00067154" w:rsidRPr="0079354F">
        <w:t xml:space="preserve">US </w:t>
      </w:r>
      <w:r w:rsidR="00233884" w:rsidRPr="0079354F">
        <w:t>ED) under Title II;</w:t>
      </w:r>
    </w:p>
    <w:p w14:paraId="7F06D782" w14:textId="77777777" w:rsidR="00972523" w:rsidRPr="0079354F" w:rsidRDefault="2A656B9C" w:rsidP="00FC65BD">
      <w:pPr>
        <w:pStyle w:val="Default"/>
        <w:numPr>
          <w:ilvl w:val="0"/>
          <w:numId w:val="20"/>
        </w:numPr>
      </w:pPr>
      <w:r w:rsidRPr="0079354F">
        <w:t>Wagner-Peyser Act employment services</w:t>
      </w:r>
      <w:r w:rsidR="15094770" w:rsidRPr="0079354F">
        <w:t xml:space="preserve">, </w:t>
      </w:r>
      <w:r w:rsidRPr="0079354F">
        <w:t>administe</w:t>
      </w:r>
      <w:r w:rsidR="1F639E0E" w:rsidRPr="0079354F">
        <w:t>red by DOL under Title III; and</w:t>
      </w:r>
    </w:p>
    <w:p w14:paraId="448682B9" w14:textId="55D686F3" w:rsidR="001A7BD5" w:rsidRPr="0079354F" w:rsidRDefault="00972523" w:rsidP="00FC65BD">
      <w:pPr>
        <w:pStyle w:val="Default"/>
        <w:numPr>
          <w:ilvl w:val="0"/>
          <w:numId w:val="20"/>
        </w:numPr>
      </w:pPr>
      <w:r w:rsidRPr="0079354F">
        <w:t>Vocational Rehabilitation Act</w:t>
      </w:r>
      <w:r w:rsidR="00E80513" w:rsidRPr="0079354F">
        <w:t xml:space="preserve">, </w:t>
      </w:r>
      <w:r w:rsidRPr="0079354F">
        <w:t>adm</w:t>
      </w:r>
      <w:r w:rsidR="00233884" w:rsidRPr="0079354F">
        <w:t xml:space="preserve">inistered by </w:t>
      </w:r>
      <w:r w:rsidR="00067154" w:rsidRPr="0079354F">
        <w:t xml:space="preserve">US </w:t>
      </w:r>
      <w:r w:rsidR="00233884" w:rsidRPr="0079354F">
        <w:t>ED under Title IV.</w:t>
      </w:r>
    </w:p>
    <w:p w14:paraId="55C543B3" w14:textId="77777777" w:rsidR="00132E71" w:rsidRPr="0079354F" w:rsidRDefault="00132E71" w:rsidP="00C26A07">
      <w:pPr>
        <w:pStyle w:val="Default"/>
      </w:pPr>
    </w:p>
    <w:p w14:paraId="7751CDA4" w14:textId="5F92BF54" w:rsidR="00562FBE" w:rsidRPr="0079354F" w:rsidRDefault="00562FBE" w:rsidP="00C26A07">
      <w:pPr>
        <w:pStyle w:val="Default"/>
      </w:pPr>
      <w:r w:rsidRPr="0079354F">
        <w:t xml:space="preserve">There are </w:t>
      </w:r>
      <w:r w:rsidR="00FE15B7" w:rsidRPr="0079354F">
        <w:t>thirteen</w:t>
      </w:r>
      <w:r w:rsidRPr="0079354F">
        <w:t xml:space="preserve"> considerations that states are re</w:t>
      </w:r>
      <w:r w:rsidR="00B12084" w:rsidRPr="0079354F">
        <w:t xml:space="preserve">quired </w:t>
      </w:r>
      <w:r w:rsidRPr="0079354F">
        <w:t>to use in providin</w:t>
      </w:r>
      <w:r w:rsidR="00D90C39" w:rsidRPr="0079354F">
        <w:t>g funding to local programs</w:t>
      </w:r>
      <w:r w:rsidR="004D3022" w:rsidRPr="0079354F">
        <w:t xml:space="preserve">. These </w:t>
      </w:r>
      <w:r w:rsidRPr="0079354F">
        <w:t xml:space="preserve">considerations drive </w:t>
      </w:r>
      <w:r w:rsidR="00D90C39" w:rsidRPr="0079354F">
        <w:t xml:space="preserve">criteria </w:t>
      </w:r>
      <w:r w:rsidR="00A77C06" w:rsidRPr="0079354F">
        <w:t>for evaluating</w:t>
      </w:r>
      <w:r w:rsidR="00D90C39" w:rsidRPr="0079354F">
        <w:t xml:space="preserve"> </w:t>
      </w:r>
      <w:r w:rsidRPr="0079354F">
        <w:t>proposals</w:t>
      </w:r>
      <w:r w:rsidR="00D90C39" w:rsidRPr="0079354F">
        <w:t xml:space="preserve"> for </w:t>
      </w:r>
      <w:r w:rsidR="009A6211" w:rsidRPr="0079354F">
        <w:t>AE</w:t>
      </w:r>
      <w:r w:rsidR="00D90C39" w:rsidRPr="0079354F">
        <w:t xml:space="preserve"> funding</w:t>
      </w:r>
      <w:r w:rsidRPr="0079354F">
        <w:t>.</w:t>
      </w:r>
      <w:r w:rsidR="00ED1E92" w:rsidRPr="0079354F">
        <w:t xml:space="preserve"> </w:t>
      </w:r>
      <w:r w:rsidRPr="0079354F">
        <w:t xml:space="preserve">For more information on the 13 </w:t>
      </w:r>
      <w:r w:rsidR="00D90C39" w:rsidRPr="0079354F">
        <w:t xml:space="preserve">WIOA </w:t>
      </w:r>
      <w:r w:rsidRPr="0079354F">
        <w:t xml:space="preserve">considerations, see Appendix </w:t>
      </w:r>
      <w:r w:rsidR="00977523" w:rsidRPr="0079354F">
        <w:t>A</w:t>
      </w:r>
      <w:r w:rsidRPr="0079354F">
        <w:t>.</w:t>
      </w:r>
    </w:p>
    <w:p w14:paraId="184B1600" w14:textId="77777777" w:rsidR="00914703" w:rsidRPr="0079354F" w:rsidRDefault="00914703" w:rsidP="00C26A07">
      <w:pPr>
        <w:autoSpaceDE w:val="0"/>
        <w:autoSpaceDN w:val="0"/>
        <w:adjustRightInd w:val="0"/>
      </w:pPr>
    </w:p>
    <w:p w14:paraId="1397B693" w14:textId="77777777" w:rsidR="00687566" w:rsidRPr="008B471D" w:rsidRDefault="00687566" w:rsidP="00A36A19">
      <w:pPr>
        <w:pStyle w:val="Heading3"/>
        <w:rPr>
          <w:b/>
          <w:bCs/>
        </w:rPr>
      </w:pPr>
      <w:bookmarkStart w:id="17" w:name="_Toc109195958"/>
      <w:r w:rsidRPr="1E8607B9">
        <w:rPr>
          <w:b/>
          <w:bCs/>
        </w:rPr>
        <w:t>Innovation</w:t>
      </w:r>
      <w:r w:rsidR="00960630" w:rsidRPr="1E8607B9">
        <w:rPr>
          <w:b/>
          <w:bCs/>
        </w:rPr>
        <w:t xml:space="preserve"> and Opportunity</w:t>
      </w:r>
      <w:bookmarkEnd w:id="17"/>
    </w:p>
    <w:p w14:paraId="3E43DE33" w14:textId="7305F809" w:rsidR="00687566" w:rsidRPr="0079354F" w:rsidRDefault="032D39BD" w:rsidP="00C26A07">
      <w:r>
        <w:t xml:space="preserve">In an effort to promote innovation in programs, ACLS has distilled from its policies only those areas of compliance that are essential to running a program; moreover, these policies have been informed by the Massachusetts </w:t>
      </w:r>
      <w:hyperlink r:id="rId30">
        <w:r w:rsidR="4459AEDF" w:rsidRPr="687F89C0">
          <w:rPr>
            <w:rStyle w:val="Hyperlink"/>
          </w:rPr>
          <w:t xml:space="preserve">2020-2024 </w:t>
        </w:r>
        <w:r w:rsidR="00EA261A" w:rsidRPr="687F89C0">
          <w:rPr>
            <w:rStyle w:val="Hyperlink"/>
          </w:rPr>
          <w:t xml:space="preserve">Massachusetts WIOA </w:t>
        </w:r>
        <w:r w:rsidR="4459AEDF" w:rsidRPr="687F89C0">
          <w:rPr>
            <w:rStyle w:val="Hyperlink"/>
          </w:rPr>
          <w:t>C</w:t>
        </w:r>
        <w:r w:rsidR="628531F6" w:rsidRPr="687F89C0">
          <w:rPr>
            <w:rStyle w:val="Hyperlink"/>
          </w:rPr>
          <w:t>ombined State Plan</w:t>
        </w:r>
      </w:hyperlink>
      <w:r>
        <w:t xml:space="preserve"> under WIOA and ACLS’s </w:t>
      </w:r>
      <w:hyperlink r:id="rId31">
        <w:r w:rsidRPr="687F89C0">
          <w:rPr>
            <w:rStyle w:val="Hyperlink"/>
          </w:rPr>
          <w:t>IP</w:t>
        </w:r>
        <w:r w:rsidR="00EA261A" w:rsidRPr="687F89C0">
          <w:rPr>
            <w:rStyle w:val="Hyperlink"/>
          </w:rPr>
          <w:t>Qs</w:t>
        </w:r>
      </w:hyperlink>
      <w:r>
        <w:t xml:space="preserve"> with the goal of facilitating student success</w:t>
      </w:r>
      <w:r w:rsidR="4459AEDF">
        <w:t xml:space="preserve"> </w:t>
      </w:r>
      <w:r>
        <w:t xml:space="preserve">in </w:t>
      </w:r>
      <w:r w:rsidRPr="687F89C0">
        <w:rPr>
          <w:rFonts w:eastAsia="Batang"/>
        </w:rPr>
        <w:t>career pathways</w:t>
      </w:r>
      <w:r>
        <w:t xml:space="preserve">, postsecondary education, training, and family-sustaining </w:t>
      </w:r>
      <w:r w:rsidR="4342B025">
        <w:t>employment</w:t>
      </w:r>
      <w:r>
        <w:t xml:space="preserve">. To that end, it is our </w:t>
      </w:r>
      <w:r w:rsidR="202BA1EF">
        <w:t>intent</w:t>
      </w:r>
      <w:r>
        <w:t xml:space="preserve"> that </w:t>
      </w:r>
      <w:r w:rsidR="6D1C71A0">
        <w:t>AE</w:t>
      </w:r>
      <w:r>
        <w:t xml:space="preserve"> will: </w:t>
      </w:r>
    </w:p>
    <w:p w14:paraId="4CB0183A" w14:textId="77777777" w:rsidR="006C3C31" w:rsidRPr="0079354F" w:rsidRDefault="006C3C31" w:rsidP="00637722">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improve students’ academic skills;</w:t>
      </w:r>
    </w:p>
    <w:p w14:paraId="1A9E50C6" w14:textId="77777777" w:rsidR="000F1566" w:rsidRPr="0079354F" w:rsidRDefault="009430C7" w:rsidP="00637722">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support the educational and skill achievement of parents and family members to participate in the educational development of their children</w:t>
      </w:r>
      <w:r w:rsidR="00607C00" w:rsidRPr="0079354F">
        <w:rPr>
          <w:rFonts w:ascii="Times New Roman" w:hAnsi="Times New Roman" w:cs="Times New Roman"/>
          <w:sz w:val="24"/>
          <w:szCs w:val="24"/>
        </w:rPr>
        <w:t>;</w:t>
      </w:r>
    </w:p>
    <w:p w14:paraId="468D7E64" w14:textId="77777777" w:rsidR="00687566" w:rsidRPr="0079354F" w:rsidRDefault="00687566" w:rsidP="00637722">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enhance students’ </w:t>
      </w:r>
      <w:r w:rsidR="006C3C31" w:rsidRPr="0079354F">
        <w:rPr>
          <w:rFonts w:ascii="Times New Roman" w:hAnsi="Times New Roman" w:cs="Times New Roman"/>
          <w:sz w:val="24"/>
          <w:szCs w:val="24"/>
        </w:rPr>
        <w:t>workforce readiness including digital literacy skills</w:t>
      </w:r>
      <w:r w:rsidRPr="0079354F">
        <w:rPr>
          <w:rFonts w:ascii="Times New Roman" w:hAnsi="Times New Roman" w:cs="Times New Roman"/>
          <w:sz w:val="24"/>
          <w:szCs w:val="24"/>
        </w:rPr>
        <w:t>;</w:t>
      </w:r>
    </w:p>
    <w:p w14:paraId="3D36A097" w14:textId="77777777" w:rsidR="00687566" w:rsidRPr="0079354F" w:rsidRDefault="00687566" w:rsidP="00637722">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assist low-income job seekers and their families, including individuals with disabilities, veterans, and other populations facing persistent barriers to employment, </w:t>
      </w:r>
      <w:r w:rsidR="00F23F30" w:rsidRPr="0079354F">
        <w:rPr>
          <w:rFonts w:ascii="Times New Roman" w:hAnsi="Times New Roman" w:cs="Times New Roman"/>
          <w:sz w:val="24"/>
          <w:szCs w:val="24"/>
        </w:rPr>
        <w:t xml:space="preserve">to </w:t>
      </w:r>
      <w:r w:rsidRPr="0079354F">
        <w:rPr>
          <w:rFonts w:ascii="Times New Roman" w:hAnsi="Times New Roman" w:cs="Times New Roman"/>
          <w:sz w:val="24"/>
          <w:szCs w:val="24"/>
        </w:rPr>
        <w:t xml:space="preserve">achieve economic self-sufficiency; and </w:t>
      </w:r>
    </w:p>
    <w:p w14:paraId="73BB87A9" w14:textId="77777777" w:rsidR="00687566" w:rsidRPr="0079354F" w:rsidRDefault="00C453D5" w:rsidP="00637722">
      <w:pPr>
        <w:pStyle w:val="ListParagraph"/>
        <w:numPr>
          <w:ilvl w:val="0"/>
          <w:numId w:val="6"/>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prepare students </w:t>
      </w:r>
      <w:r w:rsidR="00FB3874" w:rsidRPr="0079354F">
        <w:rPr>
          <w:rFonts w:ascii="Times New Roman" w:hAnsi="Times New Roman" w:cs="Times New Roman"/>
          <w:sz w:val="24"/>
          <w:szCs w:val="24"/>
        </w:rPr>
        <w:t>to</w:t>
      </w:r>
      <w:r w:rsidRPr="0079354F">
        <w:rPr>
          <w:rFonts w:ascii="Times New Roman" w:hAnsi="Times New Roman" w:cs="Times New Roman"/>
          <w:sz w:val="24"/>
          <w:szCs w:val="24"/>
        </w:rPr>
        <w:t xml:space="preserve"> meet </w:t>
      </w:r>
      <w:r w:rsidR="00687566" w:rsidRPr="0079354F">
        <w:rPr>
          <w:rFonts w:ascii="Times New Roman" w:hAnsi="Times New Roman" w:cs="Times New Roman"/>
          <w:sz w:val="24"/>
          <w:szCs w:val="24"/>
        </w:rPr>
        <w:t>the dem</w:t>
      </w:r>
      <w:r w:rsidR="00D15F71" w:rsidRPr="0079354F">
        <w:rPr>
          <w:rFonts w:ascii="Times New Roman" w:hAnsi="Times New Roman" w:cs="Times New Roman"/>
          <w:sz w:val="24"/>
          <w:szCs w:val="24"/>
        </w:rPr>
        <w:t>ands of the state’s job market.</w:t>
      </w:r>
    </w:p>
    <w:p w14:paraId="7C50512E" w14:textId="77777777" w:rsidR="00687566" w:rsidRPr="0079354F" w:rsidRDefault="00687566" w:rsidP="00C26A07">
      <w:pPr>
        <w:autoSpaceDE w:val="0"/>
        <w:autoSpaceDN w:val="0"/>
        <w:adjustRightInd w:val="0"/>
      </w:pPr>
    </w:p>
    <w:p w14:paraId="73A980A1" w14:textId="30341F57" w:rsidR="00780C36" w:rsidRPr="0079354F" w:rsidRDefault="00195326" w:rsidP="00C26A07">
      <w:pPr>
        <w:pStyle w:val="Default"/>
      </w:pPr>
      <w:r w:rsidRPr="687F89C0">
        <w:rPr>
          <w:color w:val="141414"/>
          <w:lang w:val="en"/>
        </w:rPr>
        <w:t xml:space="preserve">The </w:t>
      </w:r>
      <w:hyperlink r:id="rId32">
        <w:r w:rsidR="4459AEDF" w:rsidRPr="687F89C0">
          <w:rPr>
            <w:rStyle w:val="Hyperlink"/>
          </w:rPr>
          <w:t xml:space="preserve">2020-2024 </w:t>
        </w:r>
        <w:r w:rsidR="00EA261A" w:rsidRPr="687F89C0">
          <w:rPr>
            <w:rStyle w:val="Hyperlink"/>
          </w:rPr>
          <w:t xml:space="preserve">Massachusetts WIOA </w:t>
        </w:r>
        <w:r w:rsidR="4459AEDF" w:rsidRPr="687F89C0">
          <w:rPr>
            <w:rStyle w:val="Hyperlink"/>
          </w:rPr>
          <w:t>C</w:t>
        </w:r>
        <w:r w:rsidR="628531F6" w:rsidRPr="687F89C0">
          <w:rPr>
            <w:rStyle w:val="Hyperlink"/>
          </w:rPr>
          <w:t>ombined State Plan</w:t>
        </w:r>
      </w:hyperlink>
      <w:r>
        <w:t xml:space="preserve"> </w:t>
      </w:r>
      <w:r w:rsidRPr="687F89C0">
        <w:rPr>
          <w:color w:val="141414"/>
          <w:lang w:val="en"/>
        </w:rPr>
        <w:t xml:space="preserve">represents the combined efforts of </w:t>
      </w:r>
      <w:r w:rsidR="00A50995" w:rsidRPr="687F89C0">
        <w:rPr>
          <w:color w:val="141414"/>
          <w:lang w:val="en"/>
        </w:rPr>
        <w:t>numerous</w:t>
      </w:r>
      <w:r w:rsidRPr="687F89C0">
        <w:rPr>
          <w:color w:val="141414"/>
          <w:lang w:val="en"/>
        </w:rPr>
        <w:t xml:space="preserve"> state and local partners to provide an effective and efficient workforce system for the Commonwealth.</w:t>
      </w:r>
    </w:p>
    <w:p w14:paraId="48B883FE" w14:textId="77777777" w:rsidR="00780C36" w:rsidRPr="0079354F" w:rsidRDefault="00780C36" w:rsidP="00C26A07">
      <w:pPr>
        <w:pStyle w:val="Default"/>
      </w:pPr>
    </w:p>
    <w:p w14:paraId="69AC8981" w14:textId="1DFE4179" w:rsidR="007365A5" w:rsidRPr="0079354F" w:rsidRDefault="00A40807" w:rsidP="00C26A07">
      <w:pPr>
        <w:pStyle w:val="Default"/>
        <w:rPr>
          <w:color w:val="auto"/>
        </w:rPr>
      </w:pPr>
      <w:r>
        <w:t>For more information on</w:t>
      </w:r>
      <w:r w:rsidR="00CC7CC0">
        <w:t xml:space="preserve"> </w:t>
      </w:r>
      <w:hyperlink r:id="rId33">
        <w:r w:rsidR="00CC5904" w:rsidRPr="4E1667B8">
          <w:rPr>
            <w:rStyle w:val="Hyperlink"/>
          </w:rPr>
          <w:t>WIOA</w:t>
        </w:r>
      </w:hyperlink>
      <w:r w:rsidR="00CC5904">
        <w:t xml:space="preserve">, </w:t>
      </w:r>
      <w:r>
        <w:t xml:space="preserve">see </w:t>
      </w:r>
      <w:hyperlink r:id="rId34">
        <w:r w:rsidR="00195326" w:rsidRPr="4E1667B8">
          <w:rPr>
            <w:rStyle w:val="Hyperlink"/>
            <w:rFonts w:eastAsia="Batang"/>
          </w:rPr>
          <w:t>http://www.doleta.gov/WIOA</w:t>
        </w:r>
      </w:hyperlink>
      <w:r w:rsidRPr="4E1667B8">
        <w:rPr>
          <w:rFonts w:eastAsia="Batang"/>
        </w:rPr>
        <w:t xml:space="preserve"> </w:t>
      </w:r>
      <w:r>
        <w:t>and</w:t>
      </w:r>
      <w:r w:rsidRPr="4E1667B8">
        <w:rPr>
          <w:color w:val="auto"/>
        </w:rPr>
        <w:t xml:space="preserve"> </w:t>
      </w:r>
      <w:hyperlink r:id="rId35">
        <w:r w:rsidRPr="4E1667B8">
          <w:rPr>
            <w:rStyle w:val="Hyperlink"/>
          </w:rPr>
          <w:t>http://www.doe.mass.edu/acls/wioa.html</w:t>
        </w:r>
      </w:hyperlink>
      <w:bookmarkStart w:id="18" w:name="_Toc454284106"/>
      <w:bookmarkEnd w:id="6"/>
      <w:bookmarkEnd w:id="5"/>
      <w:bookmarkEnd w:id="4"/>
      <w:bookmarkEnd w:id="3"/>
      <w:bookmarkEnd w:id="2"/>
      <w:bookmarkEnd w:id="1"/>
      <w:r w:rsidR="00A42563" w:rsidRPr="4E1667B8">
        <w:rPr>
          <w:color w:val="auto"/>
        </w:rPr>
        <w:t>.</w:t>
      </w:r>
    </w:p>
    <w:p w14:paraId="1B23F8BA" w14:textId="77777777" w:rsidR="00024DF7" w:rsidRPr="0079354F" w:rsidRDefault="00024DF7" w:rsidP="00C26A07">
      <w:pPr>
        <w:pStyle w:val="Default"/>
        <w:rPr>
          <w:color w:val="auto"/>
        </w:rPr>
        <w:sectPr w:rsidR="00024DF7" w:rsidRPr="0079354F" w:rsidSect="00BD4638">
          <w:headerReference w:type="default" r:id="rId36"/>
          <w:pgSz w:w="12240" w:h="15840"/>
          <w:pgMar w:top="1008" w:right="1440" w:bottom="576" w:left="1440" w:header="720" w:footer="720" w:gutter="0"/>
          <w:cols w:space="720"/>
          <w:docGrid w:linePitch="360"/>
        </w:sectPr>
      </w:pPr>
    </w:p>
    <w:p w14:paraId="7F31F904" w14:textId="0B61F8B6" w:rsidR="00F61CFB" w:rsidRPr="0079354F" w:rsidRDefault="00B11740" w:rsidP="1E8607B9">
      <w:pPr>
        <w:pStyle w:val="Heading2"/>
        <w:spacing w:before="0" w:after="0"/>
        <w:rPr>
          <w:b/>
          <w:color w:val="E36C0A" w:themeColor="accent6" w:themeShade="BF"/>
        </w:rPr>
      </w:pPr>
      <w:bookmarkStart w:id="19" w:name="_Toc109195959"/>
      <w:r w:rsidRPr="1E8607B9">
        <w:rPr>
          <w:b/>
          <w:color w:val="E36C0A" w:themeColor="accent6" w:themeShade="BF"/>
        </w:rPr>
        <w:t>Chapter 1:</w:t>
      </w:r>
      <w:r w:rsidR="001E2188" w:rsidRPr="1E8607B9">
        <w:rPr>
          <w:b/>
          <w:color w:val="E36C0A" w:themeColor="accent6" w:themeShade="BF"/>
        </w:rPr>
        <w:t xml:space="preserve"> </w:t>
      </w:r>
      <w:r w:rsidRPr="1E8607B9">
        <w:rPr>
          <w:b/>
          <w:color w:val="E36C0A" w:themeColor="accent6" w:themeShade="BF"/>
        </w:rPr>
        <w:t xml:space="preserve"> </w:t>
      </w:r>
      <w:r w:rsidR="00ED53E7" w:rsidRPr="1E8607B9">
        <w:rPr>
          <w:b/>
          <w:color w:val="E36C0A" w:themeColor="accent6" w:themeShade="BF"/>
        </w:rPr>
        <w:t>Indicator</w:t>
      </w:r>
      <w:r w:rsidR="00F61CFB" w:rsidRPr="1E8607B9">
        <w:rPr>
          <w:b/>
          <w:color w:val="E36C0A" w:themeColor="accent6" w:themeShade="BF"/>
        </w:rPr>
        <w:t xml:space="preserve"> 1:  Program Design</w:t>
      </w:r>
      <w:bookmarkEnd w:id="19"/>
    </w:p>
    <w:p w14:paraId="7DA1B791" w14:textId="53BBF558" w:rsidR="00261397" w:rsidRPr="006124D8" w:rsidRDefault="7F9F21EE" w:rsidP="006124D8">
      <w:r w:rsidRPr="006124D8">
        <w:t>ACLS supports outcome-driven program design and delivery that is inspired by new ideas about teaching and learning and guided by research and evidence-based practice</w:t>
      </w:r>
      <w:r w:rsidR="6D5F6A1B" w:rsidRPr="006124D8">
        <w:t>s</w:t>
      </w:r>
      <w:r w:rsidRPr="006124D8">
        <w:t xml:space="preserve"> with the goal of advancing significant achievement and growth among studen</w:t>
      </w:r>
      <w:r w:rsidR="4B9AC3C0" w:rsidRPr="006124D8">
        <w:t>ts</w:t>
      </w:r>
      <w:r w:rsidRPr="006124D8">
        <w:t>.</w:t>
      </w:r>
    </w:p>
    <w:p w14:paraId="6CC00B54" w14:textId="1E7F97F8" w:rsidR="006124D8" w:rsidRPr="006124D8" w:rsidRDefault="006124D8" w:rsidP="006124D8"/>
    <w:p w14:paraId="6C400E98" w14:textId="77777777" w:rsidR="002E5A68" w:rsidRPr="002E5A68" w:rsidRDefault="002E5A68" w:rsidP="006124D8">
      <w:pPr>
        <w:shd w:val="clear" w:color="auto" w:fill="FFFFFF"/>
        <w:rPr>
          <w:b/>
          <w:bCs/>
          <w:color w:val="0000FF"/>
        </w:rPr>
      </w:pPr>
      <w:r w:rsidRPr="002E5A68">
        <w:rPr>
          <w:b/>
          <w:bCs/>
          <w:color w:val="0000FF"/>
        </w:rPr>
        <w:t>In-person Services (State requirement)</w:t>
      </w:r>
    </w:p>
    <w:p w14:paraId="1EEF6318" w14:textId="2AA038CF" w:rsidR="006124D8" w:rsidRPr="006124D8" w:rsidRDefault="006124D8" w:rsidP="006124D8">
      <w:pPr>
        <w:shd w:val="clear" w:color="auto" w:fill="FFFFFF"/>
        <w:rPr>
          <w:color w:val="222222"/>
        </w:rPr>
      </w:pPr>
      <w:r w:rsidRPr="006124D8">
        <w:rPr>
          <w:color w:val="222222"/>
        </w:rPr>
        <w:t>ACLS requires that all programs provide some in-person services. Such services could include advising, assessment, and/or in</w:t>
      </w:r>
      <w:r w:rsidR="00E77F27">
        <w:rPr>
          <w:color w:val="222222"/>
        </w:rPr>
        <w:t>-</w:t>
      </w:r>
      <w:r w:rsidRPr="006124D8">
        <w:rPr>
          <w:color w:val="222222"/>
        </w:rPr>
        <w:t>person classes.</w:t>
      </w:r>
    </w:p>
    <w:p w14:paraId="6AE959A0" w14:textId="77777777" w:rsidR="006B2D8C" w:rsidRPr="006124D8" w:rsidRDefault="006B2D8C" w:rsidP="006124D8">
      <w:pPr>
        <w:pStyle w:val="Heading3"/>
      </w:pPr>
    </w:p>
    <w:p w14:paraId="152038DA" w14:textId="775E4103" w:rsidR="006B2D8C" w:rsidRPr="006124D8" w:rsidRDefault="000D1BA6" w:rsidP="006124D8">
      <w:pPr>
        <w:pStyle w:val="Heading3"/>
        <w:rPr>
          <w:b/>
          <w:bCs/>
        </w:rPr>
      </w:pPr>
      <w:bookmarkStart w:id="20" w:name="_Toc109195960"/>
      <w:bookmarkStart w:id="21" w:name="_Hlk69813985"/>
      <w:r w:rsidRPr="006124D8">
        <w:rPr>
          <w:b/>
          <w:bCs/>
        </w:rPr>
        <w:t xml:space="preserve">Diverse </w:t>
      </w:r>
      <w:r w:rsidR="001E57C0" w:rsidRPr="006124D8">
        <w:rPr>
          <w:b/>
          <w:bCs/>
        </w:rPr>
        <w:t>P</w:t>
      </w:r>
      <w:r w:rsidR="5C33F3BE" w:rsidRPr="006124D8">
        <w:rPr>
          <w:b/>
          <w:bCs/>
        </w:rPr>
        <w:t>opulations</w:t>
      </w:r>
      <w:bookmarkEnd w:id="20"/>
    </w:p>
    <w:p w14:paraId="1031C210" w14:textId="2682C0E6" w:rsidR="00780C36" w:rsidRPr="0079354F" w:rsidRDefault="00BB200D" w:rsidP="006124D8">
      <w:r w:rsidRPr="006124D8">
        <w:t>ACLS</w:t>
      </w:r>
      <w:r w:rsidR="006B2D8C" w:rsidRPr="006124D8">
        <w:t xml:space="preserve"> identifies </w:t>
      </w:r>
      <w:r w:rsidR="00F43CD6" w:rsidRPr="006124D8">
        <w:t>diverse populations</w:t>
      </w:r>
      <w:r w:rsidR="006B2D8C" w:rsidRPr="0079354F">
        <w:t xml:space="preserve"> (e.g., </w:t>
      </w:r>
      <w:r w:rsidRPr="0079354F">
        <w:t xml:space="preserve">out-of-school youth, </w:t>
      </w:r>
      <w:r w:rsidR="4E93678F" w:rsidRPr="0079354F">
        <w:t>individuals experiencing homelessness, incarcerated or formerly incarcerated individuals</w:t>
      </w:r>
      <w:r w:rsidRPr="0079354F">
        <w:t>, families</w:t>
      </w:r>
      <w:r w:rsidR="006B2D8C" w:rsidRPr="0079354F">
        <w:t xml:space="preserve">) in need of services </w:t>
      </w:r>
      <w:r w:rsidR="000E210E" w:rsidRPr="0079354F">
        <w:t>to</w:t>
      </w:r>
      <w:r w:rsidR="006B2D8C" w:rsidRPr="0079354F">
        <w:t xml:space="preserve"> make a smooth transition to education, training, and self-sustaining employment. </w:t>
      </w:r>
      <w:bookmarkStart w:id="22" w:name="_Hlk69814009"/>
      <w:bookmarkEnd w:id="21"/>
      <w:r w:rsidR="006B2D8C" w:rsidRPr="0079354F">
        <w:t xml:space="preserve">Programs are required to ensure that their program design facilitates access to </w:t>
      </w:r>
      <w:r w:rsidR="006B2D8C" w:rsidRPr="0079354F">
        <w:rPr>
          <w:rFonts w:eastAsia="Batang"/>
        </w:rPr>
        <w:t>career pathways</w:t>
      </w:r>
      <w:r w:rsidR="006B2D8C" w:rsidRPr="0079354F">
        <w:t xml:space="preserve"> for these populations.</w:t>
      </w:r>
      <w:bookmarkEnd w:id="22"/>
    </w:p>
    <w:p w14:paraId="5FEEA27F" w14:textId="77777777" w:rsidR="00780C36" w:rsidRPr="0079354F" w:rsidRDefault="00780C36" w:rsidP="0047675C"/>
    <w:p w14:paraId="60DCD54D" w14:textId="05F02F04" w:rsidR="006B2D8C" w:rsidRPr="0079354F" w:rsidRDefault="6EF43204" w:rsidP="0047675C">
      <w:r>
        <w:t xml:space="preserve">For more information on prioritizing services </w:t>
      </w:r>
      <w:r w:rsidR="6973E784">
        <w:t>for</w:t>
      </w:r>
      <w:r w:rsidR="20AEDA5B">
        <w:t xml:space="preserve"> </w:t>
      </w:r>
      <w:r w:rsidR="3B8B9953">
        <w:t>diverse populations</w:t>
      </w:r>
      <w:r>
        <w:t xml:space="preserve">, see </w:t>
      </w:r>
      <w:r w:rsidR="2335BAD0">
        <w:t xml:space="preserve">the </w:t>
      </w:r>
      <w:r w:rsidR="376EFBC4">
        <w:t>Equitable Access</w:t>
      </w:r>
      <w:r w:rsidR="77E7DD9D">
        <w:t xml:space="preserve"> </w:t>
      </w:r>
      <w:r w:rsidR="2335BAD0">
        <w:t>chapter</w:t>
      </w:r>
      <w:r>
        <w:t>.</w:t>
      </w:r>
    </w:p>
    <w:p w14:paraId="12EFCBC8" w14:textId="32119961" w:rsidR="00F553B7" w:rsidRPr="0079354F" w:rsidRDefault="00F553B7" w:rsidP="0047675C"/>
    <w:p w14:paraId="1F080555" w14:textId="77777777" w:rsidR="00B60C9F" w:rsidRPr="008B471D" w:rsidRDefault="00B60C9F" w:rsidP="00A36A19">
      <w:pPr>
        <w:pStyle w:val="Heading3"/>
        <w:rPr>
          <w:b/>
          <w:bCs/>
        </w:rPr>
      </w:pPr>
      <w:bookmarkStart w:id="23" w:name="_Toc109195961"/>
      <w:bookmarkStart w:id="24" w:name="_Hlk68763348"/>
      <w:r w:rsidRPr="1E8607B9">
        <w:rPr>
          <w:b/>
          <w:bCs/>
        </w:rPr>
        <w:t>Program Funding Formula (State requirement)</w:t>
      </w:r>
      <w:bookmarkEnd w:id="23"/>
      <w:r w:rsidRPr="1E8607B9">
        <w:rPr>
          <w:b/>
          <w:bCs/>
        </w:rPr>
        <w:t xml:space="preserve"> </w:t>
      </w:r>
    </w:p>
    <w:p w14:paraId="39AF9950" w14:textId="6773EE6B" w:rsidR="00B60C9F" w:rsidRPr="0079354F" w:rsidRDefault="75270E5B" w:rsidP="0ADF2C45">
      <w:r w:rsidRPr="0ADF2C45">
        <w:t xml:space="preserve">ACLS grants </w:t>
      </w:r>
      <w:r w:rsidR="134A56A5" w:rsidRPr="0ADF2C45">
        <w:t xml:space="preserve">base awards </w:t>
      </w:r>
      <w:r w:rsidR="3437A920" w:rsidRPr="0ADF2C45">
        <w:t>for the provision of services during the academic year (i.e., September to June</w:t>
      </w:r>
      <w:r w:rsidR="00E73CAD" w:rsidRPr="0ADF2C45">
        <w:rPr>
          <w:rStyle w:val="FootnoteReference"/>
        </w:rPr>
        <w:footnoteReference w:id="5"/>
      </w:r>
      <w:r w:rsidR="3437A920" w:rsidRPr="0ADF2C45">
        <w:t xml:space="preserve">) </w:t>
      </w:r>
      <w:r w:rsidRPr="0ADF2C45">
        <w:t xml:space="preserve">based on a cost per student enrollment </w:t>
      </w:r>
      <w:r w:rsidR="3437A920" w:rsidRPr="0ADF2C45">
        <w:t xml:space="preserve">of </w:t>
      </w:r>
      <w:r w:rsidRPr="0ADF2C45">
        <w:t>between $2,800 and $3,</w:t>
      </w:r>
      <w:r w:rsidR="00C25AB5" w:rsidRPr="0ADF2C45">
        <w:t>8</w:t>
      </w:r>
      <w:r w:rsidRPr="0ADF2C45">
        <w:t xml:space="preserve">00 </w:t>
      </w:r>
      <w:r w:rsidR="3437A920" w:rsidRPr="0ADF2C45">
        <w:t>for most programs. A</w:t>
      </w:r>
      <w:r w:rsidR="704874D4" w:rsidRPr="0ADF2C45">
        <w:t xml:space="preserve">wards </w:t>
      </w:r>
      <w:r w:rsidR="0A0576F1" w:rsidRPr="0ADF2C45">
        <w:t>are</w:t>
      </w:r>
      <w:r w:rsidR="704874D4" w:rsidRPr="0ADF2C45">
        <w:t xml:space="preserve"> </w:t>
      </w:r>
      <w:r w:rsidR="68B9FC01" w:rsidRPr="0ADF2C45">
        <w:t>calculated based</w:t>
      </w:r>
      <w:r w:rsidR="704874D4" w:rsidRPr="0ADF2C45">
        <w:t xml:space="preserve"> on </w:t>
      </w:r>
      <w:r w:rsidR="68B9FC01" w:rsidRPr="0ADF2C45">
        <w:t>the approved</w:t>
      </w:r>
      <w:r w:rsidR="704874D4" w:rsidRPr="0ADF2C45">
        <w:t xml:space="preserve"> cost per </w:t>
      </w:r>
      <w:r w:rsidR="68B9FC01" w:rsidRPr="0ADF2C45">
        <w:t>student</w:t>
      </w:r>
      <w:r w:rsidRPr="0ADF2C45">
        <w:t xml:space="preserve"> enrolled</w:t>
      </w:r>
      <w:r w:rsidR="704874D4" w:rsidRPr="0ADF2C45">
        <w:t xml:space="preserve"> multiplied by </w:t>
      </w:r>
      <w:r w:rsidR="3C32083F" w:rsidRPr="0ADF2C45">
        <w:t xml:space="preserve">the </w:t>
      </w:r>
      <w:r w:rsidR="704874D4" w:rsidRPr="0ADF2C45">
        <w:t xml:space="preserve">average monthly </w:t>
      </w:r>
      <w:r w:rsidR="68B9FC01" w:rsidRPr="0ADF2C45">
        <w:t xml:space="preserve">student </w:t>
      </w:r>
      <w:r w:rsidR="704874D4" w:rsidRPr="0ADF2C45">
        <w:t>enrollment (e.g., 50 ABE</w:t>
      </w:r>
      <w:r w:rsidR="3C32083F" w:rsidRPr="0ADF2C45">
        <w:t xml:space="preserve"> students</w:t>
      </w:r>
      <w:r w:rsidR="704874D4" w:rsidRPr="0ADF2C45">
        <w:t xml:space="preserve"> + 150 ESOL</w:t>
      </w:r>
      <w:r w:rsidR="3C32083F" w:rsidRPr="0ADF2C45">
        <w:t xml:space="preserve"> students</w:t>
      </w:r>
      <w:r w:rsidR="704874D4" w:rsidRPr="0ADF2C45">
        <w:t xml:space="preserve"> </w:t>
      </w:r>
      <w:r w:rsidR="3C32083F" w:rsidRPr="0ADF2C45">
        <w:t>=</w:t>
      </w:r>
      <w:r w:rsidR="704874D4" w:rsidRPr="0ADF2C45">
        <w:t xml:space="preserve"> 200 enrollments</w:t>
      </w:r>
      <w:r w:rsidR="403316DA" w:rsidRPr="0ADF2C45">
        <w:t xml:space="preserve"> at $3,000 per </w:t>
      </w:r>
      <w:r w:rsidR="68B9FC01" w:rsidRPr="0ADF2C45">
        <w:t>student</w:t>
      </w:r>
      <w:r w:rsidR="403316DA" w:rsidRPr="0ADF2C45">
        <w:t xml:space="preserve"> </w:t>
      </w:r>
      <w:r w:rsidR="3C32083F" w:rsidRPr="0ADF2C45">
        <w:t xml:space="preserve">= base </w:t>
      </w:r>
      <w:r w:rsidR="403316DA" w:rsidRPr="0ADF2C45">
        <w:t>award of $600,000</w:t>
      </w:r>
      <w:r w:rsidR="68B9FC01" w:rsidRPr="0ADF2C45">
        <w:t>)</w:t>
      </w:r>
      <w:r w:rsidR="704874D4" w:rsidRPr="0ADF2C45">
        <w:t xml:space="preserve">. </w:t>
      </w:r>
      <w:r w:rsidR="1237D577" w:rsidRPr="0ADF2C45">
        <w:t>(Note: The base funding formula does not include MassSTEP, outstationing, or other funds above and beyond the base award and does not apply to MassSTEP funding.)</w:t>
      </w:r>
    </w:p>
    <w:p w14:paraId="1C5079B5" w14:textId="77777777" w:rsidR="006B2BC8" w:rsidRPr="0079354F" w:rsidRDefault="006B2BC8" w:rsidP="00B60C9F"/>
    <w:p w14:paraId="5E2FC556" w14:textId="0B261862" w:rsidR="00B60C9F" w:rsidRPr="0079354F" w:rsidRDefault="00B60C9F" w:rsidP="000F2CE5">
      <w:r w:rsidRPr="0079354F">
        <w:t xml:space="preserve">ACLS will consider requests for </w:t>
      </w:r>
      <w:r w:rsidR="000F2CE5" w:rsidRPr="0079354F">
        <w:t xml:space="preserve">a higher cost per student </w:t>
      </w:r>
      <w:r w:rsidR="00984FD8" w:rsidRPr="0079354F">
        <w:t>if the program</w:t>
      </w:r>
      <w:r w:rsidRPr="0079354F">
        <w:t xml:space="preserve"> provide</w:t>
      </w:r>
      <w:r w:rsidR="00984FD8" w:rsidRPr="0079354F">
        <w:t>s</w:t>
      </w:r>
      <w:r w:rsidRPr="0079354F">
        <w:t xml:space="preserve"> </w:t>
      </w:r>
      <w:r w:rsidR="000F2CE5" w:rsidRPr="0079354F">
        <w:t xml:space="preserve">a justification for the </w:t>
      </w:r>
      <w:r w:rsidR="008A592D" w:rsidRPr="0079354F">
        <w:t>higher</w:t>
      </w:r>
      <w:r w:rsidR="000F2CE5" w:rsidRPr="0079354F">
        <w:t xml:space="preserve"> cost</w:t>
      </w:r>
      <w:r w:rsidRPr="0079354F">
        <w:t xml:space="preserve"> a</w:t>
      </w:r>
      <w:r w:rsidR="008A592D" w:rsidRPr="0079354F">
        <w:t xml:space="preserve">nd </w:t>
      </w:r>
      <w:r w:rsidR="00984FD8" w:rsidRPr="0079354F">
        <w:t>explains</w:t>
      </w:r>
      <w:r w:rsidR="000F2CE5" w:rsidRPr="0079354F">
        <w:t xml:space="preserve"> how the </w:t>
      </w:r>
      <w:r w:rsidR="008A592D" w:rsidRPr="0079354F">
        <w:t>higher</w:t>
      </w:r>
      <w:r w:rsidR="000F2CE5" w:rsidRPr="0079354F">
        <w:t xml:space="preserve"> cost supports </w:t>
      </w:r>
      <w:r w:rsidRPr="0079354F">
        <w:t xml:space="preserve">quality services and student outcomes. For example, </w:t>
      </w:r>
      <w:r w:rsidR="00BF5CFD" w:rsidRPr="0079354F">
        <w:t xml:space="preserve">ACLS encourages summer programming, the cost of which could </w:t>
      </w:r>
      <w:r w:rsidR="008A592D" w:rsidRPr="0079354F">
        <w:t>be</w:t>
      </w:r>
      <w:r w:rsidR="00BF5CFD" w:rsidRPr="0079354F">
        <w:t xml:space="preserve"> </w:t>
      </w:r>
      <w:r w:rsidR="008A592D" w:rsidRPr="0079354F">
        <w:t xml:space="preserve">the </w:t>
      </w:r>
      <w:r w:rsidR="00BF5CFD" w:rsidRPr="0079354F">
        <w:t xml:space="preserve">rationale for </w:t>
      </w:r>
      <w:r w:rsidR="008A592D" w:rsidRPr="0079354F">
        <w:t xml:space="preserve">a </w:t>
      </w:r>
      <w:r w:rsidR="00BF5CFD" w:rsidRPr="0079354F">
        <w:t>higher cost</w:t>
      </w:r>
      <w:r w:rsidR="008A592D" w:rsidRPr="0079354F">
        <w:t xml:space="preserve"> per student. </w:t>
      </w:r>
      <w:r w:rsidR="00984FD8" w:rsidRPr="0079354F">
        <w:t>Justification could also include</w:t>
      </w:r>
      <w:r w:rsidR="006B2BC8" w:rsidRPr="0079354F">
        <w:t xml:space="preserve"> </w:t>
      </w:r>
      <w:r w:rsidR="00984FD8" w:rsidRPr="0079354F">
        <w:t xml:space="preserve">intensive instruction, wrap around services, </w:t>
      </w:r>
      <w:r w:rsidR="006B2BC8" w:rsidRPr="0079354F">
        <w:t>or</w:t>
      </w:r>
      <w:r w:rsidR="00984FD8" w:rsidRPr="0079354F">
        <w:t xml:space="preserve"> other </w:t>
      </w:r>
      <w:r w:rsidR="006B2BC8" w:rsidRPr="0079354F">
        <w:t>design features</w:t>
      </w:r>
      <w:r w:rsidR="00984FD8" w:rsidRPr="0079354F">
        <w:t xml:space="preserve"> based on student need</w:t>
      </w:r>
      <w:r w:rsidR="008A592D" w:rsidRPr="0079354F">
        <w:t>.</w:t>
      </w:r>
    </w:p>
    <w:p w14:paraId="0FC4BA28" w14:textId="4860E69B" w:rsidR="43F4256D" w:rsidRPr="0079354F" w:rsidRDefault="43F4256D" w:rsidP="43F4256D"/>
    <w:p w14:paraId="14698536" w14:textId="341669B1" w:rsidR="00992612" w:rsidRPr="008B471D" w:rsidRDefault="00992612" w:rsidP="00A36A19">
      <w:pPr>
        <w:pStyle w:val="Heading3"/>
        <w:rPr>
          <w:b/>
          <w:bCs/>
        </w:rPr>
      </w:pPr>
      <w:bookmarkStart w:id="25" w:name="_Toc73090566"/>
      <w:bookmarkStart w:id="26" w:name="_Toc109195962"/>
      <w:r w:rsidRPr="1E8607B9">
        <w:rPr>
          <w:b/>
          <w:bCs/>
        </w:rPr>
        <w:t>Enrollment</w:t>
      </w:r>
      <w:r w:rsidR="00F15DED" w:rsidRPr="1E8607B9">
        <w:rPr>
          <w:b/>
          <w:bCs/>
        </w:rPr>
        <w:t xml:space="preserve"> </w:t>
      </w:r>
      <w:r w:rsidR="00265BC8" w:rsidRPr="1E8607B9">
        <w:rPr>
          <w:b/>
          <w:bCs/>
        </w:rPr>
        <w:t>(State requirement)</w:t>
      </w:r>
      <w:bookmarkEnd w:id="25"/>
      <w:bookmarkEnd w:id="26"/>
    </w:p>
    <w:p w14:paraId="650C2A47" w14:textId="0F2D38F8" w:rsidR="00E17E3B" w:rsidRPr="0079354F" w:rsidRDefault="00281A47" w:rsidP="00E17E3B">
      <w:r>
        <w:t xml:space="preserve">CALC and AECI awards include monthly enrollment targets applicable </w:t>
      </w:r>
      <w:r w:rsidR="00B43738">
        <w:t>for</w:t>
      </w:r>
      <w:r>
        <w:t xml:space="preserve"> the period September </w:t>
      </w:r>
      <w:r w:rsidR="00DC4245">
        <w:t>to</w:t>
      </w:r>
      <w:r>
        <w:t xml:space="preserve"> June</w:t>
      </w:r>
      <w:r w:rsidR="00E17E3B">
        <w:t xml:space="preserve">. In order to maintain funded enrollment levels, programs must retain students or enroll new ones as students leave. ACLS considers a program’s average monthly enrollment from September to June relative to its target when evaluating </w:t>
      </w:r>
      <w:r w:rsidR="00B60C9F">
        <w:t xml:space="preserve">funding and </w:t>
      </w:r>
      <w:r w:rsidR="00E17E3B">
        <w:t>performance</w:t>
      </w:r>
      <w:r w:rsidR="0031348B">
        <w:t xml:space="preserve"> and ma</w:t>
      </w:r>
      <w:r w:rsidR="00DC4245">
        <w:t>y</w:t>
      </w:r>
      <w:r w:rsidR="0031348B">
        <w:t xml:space="preserve"> increase or reduce grant awards based on average monthly enrollment</w:t>
      </w:r>
      <w:r w:rsidR="00B43738">
        <w:t>.</w:t>
      </w:r>
    </w:p>
    <w:p w14:paraId="0EF61192" w14:textId="1EBEE04E" w:rsidR="00E17E3B" w:rsidRPr="0079354F" w:rsidRDefault="00E17E3B" w:rsidP="00281A47"/>
    <w:p w14:paraId="4F0447BA" w14:textId="76CFCEE4" w:rsidR="000C5E25" w:rsidRPr="0079354F" w:rsidRDefault="00E17E3B" w:rsidP="00281A47">
      <w:r>
        <w:t>O</w:t>
      </w:r>
      <w:r w:rsidR="00281A47">
        <w:t>nly NRS participants who attend at least one hour in a month count towards monthly enrollment target</w:t>
      </w:r>
      <w:r w:rsidR="00B60C9F">
        <w:t>s</w:t>
      </w:r>
      <w:r w:rsidR="00281A47">
        <w:t>. Students are</w:t>
      </w:r>
      <w:r w:rsidR="000C5E25">
        <w:t xml:space="preserve"> considered NRS participant</w:t>
      </w:r>
      <w:r w:rsidR="00281A47">
        <w:t>s</w:t>
      </w:r>
      <w:r w:rsidR="000C5E25">
        <w:t xml:space="preserve"> when their LACES record has all the required intake information including barriers to employment, a valid NRS assessment, and twelve hours of instruction within a period of participation.</w:t>
      </w:r>
    </w:p>
    <w:p w14:paraId="76F6251F" w14:textId="10889991" w:rsidR="0ADF2C45" w:rsidRDefault="0ADF2C45" w:rsidP="0ADF2C45"/>
    <w:p w14:paraId="7C7CA9C2" w14:textId="5677E3EA" w:rsidR="0ADF2C45" w:rsidRDefault="0ADF2C45" w:rsidP="0ADF2C45">
      <w:r w:rsidRPr="0ADF2C45">
        <w:t>If a program uses match to fund one or more classes, the number of enrollments the program will be required to maintain will be the sum of seats in the DESE funded classes and the seats in the match funded classes. For example, if DESE funds 50 seats and match funds another 50 seats, the program will need to enroll and maintain 100 enrolled students during the period from September to June.</w:t>
      </w:r>
    </w:p>
    <w:p w14:paraId="7E96223C" w14:textId="60AC4FAE" w:rsidR="00E17E3B" w:rsidRPr="0079354F" w:rsidRDefault="00E17E3B" w:rsidP="00281A47"/>
    <w:p w14:paraId="1B4CAD6A" w14:textId="78F93886" w:rsidR="00C01B60" w:rsidRPr="0079354F" w:rsidRDefault="00E17E3B" w:rsidP="00C01B60">
      <w:pPr>
        <w:rPr>
          <w:sz w:val="22"/>
          <w:szCs w:val="22"/>
        </w:rPr>
      </w:pPr>
      <w:r w:rsidRPr="0079354F">
        <w:t>For more information on NRS</w:t>
      </w:r>
      <w:r w:rsidR="683518D4" w:rsidRPr="0079354F">
        <w:t xml:space="preserve"> </w:t>
      </w:r>
      <w:r w:rsidRPr="0079354F">
        <w:t>and LACES, see</w:t>
      </w:r>
      <w:r w:rsidR="268F51BC" w:rsidRPr="0079354F">
        <w:t xml:space="preserve"> </w:t>
      </w:r>
      <w:hyperlink r:id="rId37">
        <w:r w:rsidR="268F51BC" w:rsidRPr="0079354F">
          <w:rPr>
            <w:rStyle w:val="Hyperlink"/>
            <w:rFonts w:eastAsia="Batang"/>
          </w:rPr>
          <w:t>https://nrsweb.org/policy-data/nrs-ta-guide?utm_content=&amp;utm_medium=email&amp;utm_name=&amp;utm_source=govdelivery&amp;utm_term=</w:t>
        </w:r>
        <w:r w:rsidR="4926D470" w:rsidRPr="0079354F">
          <w:rPr>
            <w:rStyle w:val="Hyperlink"/>
            <w:rFonts w:eastAsia="Batang"/>
            <w:u w:val="none"/>
          </w:rPr>
          <w:t xml:space="preserve"> </w:t>
        </w:r>
      </w:hyperlink>
      <w:r w:rsidR="268F51BC" w:rsidRPr="0079354F">
        <w:t xml:space="preserve">and </w:t>
      </w:r>
      <w:hyperlink r:id="rId38">
        <w:r w:rsidR="268F51BC" w:rsidRPr="0079354F">
          <w:rPr>
            <w:rStyle w:val="Hyperlink"/>
            <w:rFonts w:eastAsia="Batang"/>
          </w:rPr>
          <w:t>https://sites.google.com/a/literacypro.com/laces-massachusetts-customizations/ma-laces-manual</w:t>
        </w:r>
      </w:hyperlink>
      <w:r w:rsidR="268F51BC" w:rsidRPr="0079354F">
        <w:t>.</w:t>
      </w:r>
    </w:p>
    <w:bookmarkEnd w:id="24"/>
    <w:p w14:paraId="575B05DE" w14:textId="77777777" w:rsidR="000C5E25" w:rsidRPr="0079354F" w:rsidRDefault="000C5E25" w:rsidP="007E3B3E"/>
    <w:p w14:paraId="352286A8" w14:textId="77777777" w:rsidR="00DA0156" w:rsidRPr="008B471D" w:rsidRDefault="02A41DB9" w:rsidP="00A36A19">
      <w:pPr>
        <w:pStyle w:val="Heading3"/>
        <w:rPr>
          <w:b/>
          <w:bCs/>
        </w:rPr>
      </w:pPr>
      <w:bookmarkStart w:id="27" w:name="_Toc109195963"/>
      <w:r w:rsidRPr="1E8607B9">
        <w:rPr>
          <w:b/>
          <w:bCs/>
        </w:rPr>
        <w:t>Continuum of Instructional Services</w:t>
      </w:r>
      <w:r w:rsidR="430CA76B" w:rsidRPr="1E8607B9">
        <w:rPr>
          <w:b/>
          <w:bCs/>
        </w:rPr>
        <w:t xml:space="preserve"> (State requirement)</w:t>
      </w:r>
      <w:bookmarkEnd w:id="27"/>
    </w:p>
    <w:p w14:paraId="48F4C2D3" w14:textId="27BC3C9D" w:rsidR="00DA0156" w:rsidRPr="0079354F" w:rsidRDefault="2F5FB086" w:rsidP="0047675C">
      <w:r w:rsidRPr="0079354F">
        <w:t>ACLS requires that a full continuum of instructional services be a</w:t>
      </w:r>
      <w:r w:rsidR="2A935904" w:rsidRPr="0079354F">
        <w:t>vailable to students.</w:t>
      </w:r>
      <w:r w:rsidR="02D86937" w:rsidRPr="0079354F">
        <w:t xml:space="preserve"> </w:t>
      </w:r>
      <w:r w:rsidR="02A41DB9" w:rsidRPr="0079354F">
        <w:t xml:space="preserve">A program that chooses to offer services that move students through </w:t>
      </w:r>
      <w:r w:rsidR="07E7D7F6" w:rsidRPr="0079354F">
        <w:t>the</w:t>
      </w:r>
      <w:r w:rsidR="02A41DB9" w:rsidRPr="0079354F">
        <w:t xml:space="preserve"> continuum internally </w:t>
      </w:r>
      <w:r w:rsidR="1F733AB3" w:rsidRPr="0079354F">
        <w:t>is required to</w:t>
      </w:r>
      <w:r w:rsidR="02A41DB9" w:rsidRPr="0079354F">
        <w:t xml:space="preserve"> offer services that span</w:t>
      </w:r>
      <w:r w:rsidR="0F709509" w:rsidRPr="0079354F">
        <w:t xml:space="preserve"> the six Educational Functioning Levels (EFL) for </w:t>
      </w:r>
      <w:r w:rsidR="2524395E" w:rsidRPr="0079354F">
        <w:t>AB</w:t>
      </w:r>
      <w:r w:rsidR="0F709509" w:rsidRPr="0079354F">
        <w:t xml:space="preserve">E and the six EFL for ESOL. </w:t>
      </w:r>
      <w:r w:rsidR="3CD8591E" w:rsidRPr="0079354F">
        <w:t xml:space="preserve">(Note: Programs can use both </w:t>
      </w:r>
      <w:r w:rsidR="443BC2D4" w:rsidRPr="0079354F">
        <w:t>ACLS and non-ACLS</w:t>
      </w:r>
      <w:r w:rsidR="3CD8591E" w:rsidRPr="0079354F">
        <w:t xml:space="preserve"> funds to fulfill this requirement.)</w:t>
      </w:r>
    </w:p>
    <w:p w14:paraId="1B33B80A" w14:textId="77777777" w:rsidR="00F514D5" w:rsidRPr="0079354F" w:rsidRDefault="00F514D5" w:rsidP="0047675C"/>
    <w:p w14:paraId="70E2FFD3" w14:textId="1FC59BF6" w:rsidR="00A25605" w:rsidRPr="0079354F" w:rsidRDefault="00684403" w:rsidP="00A25605">
      <w:r w:rsidRPr="0079354F">
        <w:t xml:space="preserve">Programs that do not fulfill this requirement internally </w:t>
      </w:r>
      <w:r w:rsidR="00FE00BF" w:rsidRPr="0079354F">
        <w:t>are required to</w:t>
      </w:r>
      <w:r w:rsidRPr="0079354F">
        <w:t xml:space="preserve"> have a</w:t>
      </w:r>
      <w:r w:rsidR="5EEBB93B" w:rsidRPr="0079354F">
        <w:t xml:space="preserve"> </w:t>
      </w:r>
      <w:r w:rsidRPr="0079354F">
        <w:t>formal agreement with partners that complete the continuum</w:t>
      </w:r>
      <w:r w:rsidR="00D54171" w:rsidRPr="0079354F">
        <w:t xml:space="preserve">. This requirement is applicable </w:t>
      </w:r>
      <w:r w:rsidRPr="0079354F">
        <w:t xml:space="preserve">whether the </w:t>
      </w:r>
      <w:r w:rsidR="00FE00BF" w:rsidRPr="0079354F">
        <w:t xml:space="preserve">external </w:t>
      </w:r>
      <w:r w:rsidRPr="0079354F">
        <w:t xml:space="preserve">partner is a subgrantee or a partnering program. A </w:t>
      </w:r>
      <w:r w:rsidR="5EEBB93B" w:rsidRPr="0079354F">
        <w:t>Memorandum of Agreement (MOA)</w:t>
      </w:r>
      <w:r w:rsidR="609B468C" w:rsidRPr="0079354F">
        <w:t xml:space="preserve">, </w:t>
      </w:r>
      <w:r w:rsidR="5EEBB93B" w:rsidRPr="0079354F">
        <w:t xml:space="preserve">a written document describing the agreement between a grantee and a </w:t>
      </w:r>
      <w:r w:rsidRPr="0079354F">
        <w:t>partner</w:t>
      </w:r>
      <w:r w:rsidR="5EEBB93B" w:rsidRPr="0079354F">
        <w:t xml:space="preserve"> working together to deliver services</w:t>
      </w:r>
      <w:r w:rsidR="00FE00BF" w:rsidRPr="0079354F">
        <w:t xml:space="preserve">, </w:t>
      </w:r>
      <w:r w:rsidR="5EEBB93B" w:rsidRPr="0079354F">
        <w:t>formalize</w:t>
      </w:r>
      <w:r w:rsidR="00FE00BF" w:rsidRPr="0079354F">
        <w:t>s</w:t>
      </w:r>
      <w:r w:rsidR="5EEBB93B" w:rsidRPr="0079354F">
        <w:t xml:space="preserve"> and clarif</w:t>
      </w:r>
      <w:r w:rsidR="00FE00BF" w:rsidRPr="0079354F">
        <w:t>ies</w:t>
      </w:r>
      <w:r w:rsidR="5EEBB93B" w:rsidRPr="0079354F">
        <w:t xml:space="preserve"> the expectations of the </w:t>
      </w:r>
      <w:r w:rsidR="3984641D" w:rsidRPr="0079354F">
        <w:t xml:space="preserve">grantee and </w:t>
      </w:r>
      <w:r w:rsidR="609B468C" w:rsidRPr="0079354F">
        <w:t xml:space="preserve">the </w:t>
      </w:r>
      <w:r w:rsidR="3984641D" w:rsidRPr="0079354F">
        <w:t>partnering program.</w:t>
      </w:r>
      <w:r w:rsidR="48E8963C" w:rsidRPr="0079354F">
        <w:t xml:space="preserve"> </w:t>
      </w:r>
    </w:p>
    <w:p w14:paraId="4F7D466D" w14:textId="77777777" w:rsidR="00780C36" w:rsidRPr="0079354F" w:rsidRDefault="00780C36" w:rsidP="0047675C"/>
    <w:p w14:paraId="14039858" w14:textId="7857AE49" w:rsidR="00F75338" w:rsidRPr="0079354F" w:rsidRDefault="00BD14EB" w:rsidP="0047675C">
      <w:r w:rsidRPr="0079354F">
        <w:t>F</w:t>
      </w:r>
      <w:r w:rsidR="00E73795" w:rsidRPr="0079354F">
        <w:t xml:space="preserve">or </w:t>
      </w:r>
      <w:r w:rsidR="00A25605" w:rsidRPr="0079354F">
        <w:t xml:space="preserve">guidelines </w:t>
      </w:r>
      <w:r w:rsidR="00FB40F0" w:rsidRPr="0079354F">
        <w:t>on</w:t>
      </w:r>
      <w:r w:rsidR="00A25605" w:rsidRPr="0079354F">
        <w:t xml:space="preserve"> MOA</w:t>
      </w:r>
      <w:r w:rsidR="00863626" w:rsidRPr="0079354F">
        <w:t xml:space="preserve">, see Appendix </w:t>
      </w:r>
      <w:r w:rsidR="00881901" w:rsidRPr="0079354F">
        <w:t>B</w:t>
      </w:r>
      <w:r w:rsidR="00863626" w:rsidRPr="0079354F">
        <w:t>.</w:t>
      </w:r>
    </w:p>
    <w:p w14:paraId="68F82C27" w14:textId="77777777" w:rsidR="00780C36" w:rsidRPr="0079354F" w:rsidRDefault="00780C36" w:rsidP="00A36A19">
      <w:pPr>
        <w:pStyle w:val="Heading3"/>
      </w:pPr>
    </w:p>
    <w:p w14:paraId="70D8CBAC" w14:textId="77777777" w:rsidR="008B471D" w:rsidRPr="008B471D" w:rsidRDefault="008B471D" w:rsidP="008B471D">
      <w:pPr>
        <w:pStyle w:val="Heading3"/>
        <w:rPr>
          <w:b/>
          <w:bCs/>
        </w:rPr>
      </w:pPr>
      <w:bookmarkStart w:id="28" w:name="_Toc109195964"/>
      <w:r w:rsidRPr="1E8607B9">
        <w:rPr>
          <w:b/>
          <w:bCs/>
        </w:rPr>
        <w:t>Intensity and Duration (State requirement)</w:t>
      </w:r>
      <w:bookmarkEnd w:id="28"/>
    </w:p>
    <w:p w14:paraId="5B5788CC" w14:textId="0D717BA9" w:rsidR="00271D99" w:rsidRPr="0079354F" w:rsidRDefault="00271D99" w:rsidP="00271D99">
      <w:r w:rsidRPr="0079354F">
        <w:t>ACLS requires that program design provide services of sufficient intensity and duration for students to progress</w:t>
      </w:r>
      <w:r w:rsidRPr="0079354F">
        <w:rPr>
          <w:rStyle w:val="FootnoteReference"/>
        </w:rPr>
        <w:footnoteReference w:id="6"/>
      </w:r>
      <w:r w:rsidRPr="0079354F">
        <w:t xml:space="preserve"> along the continuum of instructional services. Programs have the option of increasing intensity using program design features including, but not limited to, enrollment in multiple classes, blended learning, </w:t>
      </w:r>
      <w:r w:rsidR="00A01BE5">
        <w:t>tutoring</w:t>
      </w:r>
      <w:r w:rsidRPr="0079354F">
        <w:t>, and co-enrollment.</w:t>
      </w:r>
    </w:p>
    <w:p w14:paraId="378ACADA" w14:textId="77777777" w:rsidR="00271D99" w:rsidRPr="0079354F" w:rsidRDefault="00271D99" w:rsidP="00A36A19">
      <w:pPr>
        <w:pStyle w:val="Heading3"/>
      </w:pPr>
    </w:p>
    <w:p w14:paraId="13C2B940" w14:textId="2FBE6DE6" w:rsidR="00F75338" w:rsidRPr="00DA0CAB" w:rsidRDefault="00F75338" w:rsidP="00A36A19">
      <w:pPr>
        <w:pStyle w:val="Heading3"/>
        <w:rPr>
          <w:b/>
          <w:bCs/>
        </w:rPr>
      </w:pPr>
      <w:bookmarkStart w:id="29" w:name="_Toc109195965"/>
      <w:r w:rsidRPr="1E8607B9">
        <w:rPr>
          <w:b/>
          <w:bCs/>
        </w:rPr>
        <w:t>No Charges to Students</w:t>
      </w:r>
      <w:r w:rsidR="00265BC8" w:rsidRPr="1E8607B9">
        <w:rPr>
          <w:b/>
          <w:bCs/>
        </w:rPr>
        <w:t xml:space="preserve"> (State requirement)</w:t>
      </w:r>
      <w:bookmarkEnd w:id="29"/>
    </w:p>
    <w:p w14:paraId="30498100" w14:textId="4BA6B6C7" w:rsidR="001C48CA" w:rsidRPr="0079354F" w:rsidRDefault="00F75338" w:rsidP="0ADF2C45">
      <w:r>
        <w:t>A</w:t>
      </w:r>
      <w:r w:rsidR="009A6211">
        <w:t>E</w:t>
      </w:r>
      <w:r>
        <w:t xml:space="preserve"> programs must ensure that enrolled students are not charged tuition, fees, or any other charges or required to purchase books or materials needed for participation.</w:t>
      </w:r>
    </w:p>
    <w:p w14:paraId="53A7B8D2" w14:textId="77777777" w:rsidR="006C7C94" w:rsidRPr="0079354F" w:rsidRDefault="006C7C94" w:rsidP="00A36A19">
      <w:pPr>
        <w:pStyle w:val="Heading3"/>
      </w:pPr>
    </w:p>
    <w:p w14:paraId="646A3D9C" w14:textId="77777777" w:rsidR="00DA0156" w:rsidRPr="00DA0CAB" w:rsidRDefault="000C0954" w:rsidP="00A36A19">
      <w:pPr>
        <w:pStyle w:val="Heading3"/>
        <w:rPr>
          <w:b/>
          <w:bCs/>
        </w:rPr>
      </w:pPr>
      <w:bookmarkStart w:id="30" w:name="_Toc109195966"/>
      <w:r w:rsidRPr="00DA0CAB">
        <w:rPr>
          <w:b/>
          <w:bCs/>
        </w:rPr>
        <w:t xml:space="preserve">Adult Education </w:t>
      </w:r>
      <w:r w:rsidR="00CE092B" w:rsidRPr="00DA0CAB">
        <w:rPr>
          <w:b/>
          <w:bCs/>
        </w:rPr>
        <w:t xml:space="preserve">and Family Literacy </w:t>
      </w:r>
      <w:r w:rsidRPr="00DA0CAB">
        <w:rPr>
          <w:b/>
          <w:bCs/>
        </w:rPr>
        <w:t>Service</w:t>
      </w:r>
      <w:r w:rsidR="00CE092B" w:rsidRPr="00DA0CAB">
        <w:rPr>
          <w:b/>
          <w:bCs/>
        </w:rPr>
        <w:t>s</w:t>
      </w:r>
      <w:r w:rsidR="00CE092B" w:rsidRPr="0ADF2C45">
        <w:rPr>
          <w:b/>
          <w:bCs/>
          <w:vertAlign w:val="superscript"/>
        </w:rPr>
        <w:footnoteReference w:id="7"/>
      </w:r>
      <w:bookmarkEnd w:id="30"/>
    </w:p>
    <w:p w14:paraId="209EBEBF" w14:textId="55AD7740" w:rsidR="00A93F99" w:rsidRDefault="000C0954">
      <w:bookmarkStart w:id="31" w:name="_Hlk5711427"/>
      <w:r w:rsidRPr="0079354F">
        <w:t xml:space="preserve">ACLS funds </w:t>
      </w:r>
      <w:r w:rsidR="5C33F3BE" w:rsidRPr="0079354F">
        <w:t xml:space="preserve">a range of </w:t>
      </w:r>
      <w:r w:rsidR="00EF7FEA" w:rsidRPr="0079354F">
        <w:t>services</w:t>
      </w:r>
      <w:r w:rsidR="5C33F3BE" w:rsidRPr="0079354F">
        <w:t xml:space="preserve"> </w:t>
      </w:r>
      <w:r w:rsidR="5C33F3BE" w:rsidRPr="0079354F">
        <w:rPr>
          <w:color w:val="000000" w:themeColor="text1"/>
        </w:rPr>
        <w:t xml:space="preserve">with the goal of </w:t>
      </w:r>
      <w:r w:rsidR="5C33F3BE" w:rsidRPr="0079354F">
        <w:t xml:space="preserve">facilitating student success in postsecondary education, training, and family-sustaining employment. The </w:t>
      </w:r>
      <w:r w:rsidR="00EF7FEA" w:rsidRPr="0079354F">
        <w:t>following chart summarizes these services.</w:t>
      </w:r>
      <w:r w:rsidR="00A93F99">
        <w:br w:type="page"/>
      </w:r>
    </w:p>
    <w:p w14:paraId="3BC0F38A" w14:textId="77777777" w:rsidR="00D1215C" w:rsidRDefault="00D1215C" w:rsidP="0047675C"/>
    <w:tbl>
      <w:tblPr>
        <w:tblpPr w:leftFromText="180" w:rightFromText="180" w:vertAnchor="text"/>
        <w:tblW w:w="9427" w:type="dxa"/>
        <w:tblCellMar>
          <w:left w:w="0" w:type="dxa"/>
          <w:right w:w="0" w:type="dxa"/>
        </w:tblCellMar>
        <w:tblLook w:val="04A0" w:firstRow="1" w:lastRow="0" w:firstColumn="1" w:lastColumn="0" w:noHBand="0" w:noVBand="1"/>
      </w:tblPr>
      <w:tblGrid>
        <w:gridCol w:w="9427"/>
      </w:tblGrid>
      <w:tr w:rsidR="00D1215C" w:rsidRPr="00687B90" w14:paraId="6F386206" w14:textId="77777777" w:rsidTr="00991B3E">
        <w:trPr>
          <w:tblHeader/>
        </w:trPr>
        <w:tc>
          <w:tcPr>
            <w:tcW w:w="9427"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059C71C" w14:textId="77777777" w:rsidR="00D1215C" w:rsidRPr="00687B90" w:rsidRDefault="00D1215C" w:rsidP="00991B3E">
            <w:pPr>
              <w:pStyle w:val="ListParagraph"/>
              <w:spacing w:line="240" w:lineRule="auto"/>
              <w:ind w:left="0"/>
              <w:rPr>
                <w:rFonts w:ascii="Times New Roman" w:hAnsi="Times New Roman" w:cs="Times New Roman"/>
                <w:b/>
                <w:bCs/>
                <w:sz w:val="24"/>
                <w:szCs w:val="24"/>
              </w:rPr>
            </w:pPr>
            <w:r w:rsidRPr="00687B90">
              <w:rPr>
                <w:rFonts w:ascii="Times New Roman" w:hAnsi="Times New Roman" w:cs="Times New Roman"/>
                <w:b/>
                <w:bCs/>
                <w:sz w:val="24"/>
                <w:szCs w:val="24"/>
              </w:rPr>
              <w:t>Services offered by CALCs and AECIs</w:t>
            </w:r>
          </w:p>
        </w:tc>
      </w:tr>
      <w:tr w:rsidR="00D1215C" w:rsidRPr="00687B90" w14:paraId="038A505C" w14:textId="77777777" w:rsidTr="00AF55B8">
        <w:tc>
          <w:tcPr>
            <w:tcW w:w="9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9E33C" w14:textId="1787A03D" w:rsidR="00D1215C" w:rsidRPr="00A93F99" w:rsidRDefault="00D1215C" w:rsidP="00A93F99">
            <w:pPr>
              <w:pStyle w:val="ListParagraph"/>
              <w:numPr>
                <w:ilvl w:val="0"/>
                <w:numId w:val="65"/>
              </w:numPr>
              <w:spacing w:after="0" w:line="240" w:lineRule="auto"/>
              <w:ind w:left="360"/>
              <w:rPr>
                <w:rFonts w:ascii="Times New Roman" w:hAnsi="Times New Roman" w:cs="Times New Roman"/>
                <w:sz w:val="24"/>
                <w:szCs w:val="24"/>
              </w:rPr>
            </w:pPr>
            <w:r w:rsidRPr="00687B90">
              <w:rPr>
                <w:rFonts w:ascii="Times New Roman" w:hAnsi="Times New Roman" w:cs="Times New Roman"/>
                <w:sz w:val="24"/>
                <w:szCs w:val="24"/>
              </w:rPr>
              <w:t>Adult Basic Education (ABE)</w:t>
            </w:r>
            <w:r w:rsidR="00A93F99">
              <w:rPr>
                <w:rFonts w:ascii="Times New Roman" w:hAnsi="Times New Roman" w:cs="Times New Roman"/>
                <w:sz w:val="24"/>
                <w:szCs w:val="24"/>
              </w:rPr>
              <w:t xml:space="preserve"> </w:t>
            </w:r>
            <w:r w:rsidRPr="00A93F99">
              <w:rPr>
                <w:rFonts w:ascii="Times New Roman" w:hAnsi="Times New Roman" w:cs="Times New Roman"/>
                <w:sz w:val="24"/>
                <w:szCs w:val="24"/>
              </w:rPr>
              <w:t xml:space="preserve">Class </w:t>
            </w:r>
            <w:r w:rsidR="00A93F99" w:rsidRPr="00A93F99">
              <w:rPr>
                <w:rFonts w:ascii="Times New Roman" w:hAnsi="Times New Roman" w:cs="Times New Roman"/>
                <w:sz w:val="24"/>
                <w:szCs w:val="24"/>
              </w:rPr>
              <w:t>L</w:t>
            </w:r>
            <w:r w:rsidRPr="00A93F99">
              <w:rPr>
                <w:rFonts w:ascii="Times New Roman" w:hAnsi="Times New Roman" w:cs="Times New Roman"/>
                <w:sz w:val="24"/>
                <w:szCs w:val="24"/>
              </w:rPr>
              <w:t>evels by EFL</w:t>
            </w:r>
            <w:r w:rsidR="00962633">
              <w:rPr>
                <w:rStyle w:val="FootnoteReference"/>
                <w:rFonts w:ascii="Times New Roman" w:hAnsi="Times New Roman" w:cs="Times New Roman"/>
                <w:sz w:val="24"/>
                <w:szCs w:val="24"/>
              </w:rPr>
              <w:footnoteReference w:id="8"/>
            </w:r>
            <w:r w:rsidR="00962633">
              <w:rPr>
                <w:rFonts w:ascii="Times New Roman" w:hAnsi="Times New Roman" w:cs="Times New Roman"/>
                <w:sz w:val="24"/>
                <w:szCs w:val="24"/>
              </w:rPr>
              <w:t xml:space="preserve">  </w:t>
            </w:r>
            <w:r w:rsidR="00962633">
              <w:rPr>
                <w:rStyle w:val="FootnoteReference"/>
                <w:rFonts w:ascii="Times New Roman" w:hAnsi="Times New Roman" w:cs="Times New Roman"/>
                <w:sz w:val="24"/>
                <w:szCs w:val="24"/>
              </w:rPr>
              <w:footnoteReference w:id="9"/>
            </w:r>
          </w:p>
          <w:p w14:paraId="468F3456"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1 (Beginning Literacy)</w:t>
            </w:r>
          </w:p>
          <w:p w14:paraId="7ED7A247"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2 (Beginning Basic)</w:t>
            </w:r>
          </w:p>
          <w:p w14:paraId="3179723C"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3 (Low Intermediate)</w:t>
            </w:r>
          </w:p>
          <w:p w14:paraId="1B2025C4"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4 (High Intermediate)</w:t>
            </w:r>
          </w:p>
          <w:p w14:paraId="3B558BFF"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5 (Low Adult Secondary)</w:t>
            </w:r>
          </w:p>
          <w:p w14:paraId="5BE88D87" w14:textId="77777777" w:rsidR="00D1215C" w:rsidRPr="00687B90" w:rsidRDefault="00D1215C" w:rsidP="00D1215C">
            <w:pPr>
              <w:pStyle w:val="ListParagraph"/>
              <w:numPr>
                <w:ilvl w:val="2"/>
                <w:numId w:val="65"/>
              </w:numPr>
              <w:spacing w:after="0" w:line="240" w:lineRule="auto"/>
              <w:ind w:left="1170" w:hanging="450"/>
              <w:rPr>
                <w:rFonts w:ascii="Times New Roman" w:hAnsi="Times New Roman" w:cs="Times New Roman"/>
                <w:sz w:val="24"/>
                <w:szCs w:val="24"/>
              </w:rPr>
            </w:pPr>
            <w:r w:rsidRPr="00687B90">
              <w:rPr>
                <w:rFonts w:ascii="Times New Roman" w:hAnsi="Times New Roman" w:cs="Times New Roman"/>
                <w:sz w:val="24"/>
                <w:szCs w:val="24"/>
              </w:rPr>
              <w:t>Adult Basic Education Level 6 (High Adult Secondary)</w:t>
            </w:r>
          </w:p>
        </w:tc>
      </w:tr>
      <w:tr w:rsidR="00D1215C" w:rsidRPr="00687B90" w14:paraId="759D33B5" w14:textId="77777777" w:rsidTr="00991B3E">
        <w:trPr>
          <w:trHeight w:val="386"/>
        </w:trPr>
        <w:tc>
          <w:tcPr>
            <w:tcW w:w="9427"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6C398481" w14:textId="1778C4CA" w:rsidR="00D1215C" w:rsidRPr="00687B90" w:rsidRDefault="00D1215C" w:rsidP="00991B3E">
            <w:pPr>
              <w:pStyle w:val="ListParagraph"/>
              <w:numPr>
                <w:ilvl w:val="0"/>
                <w:numId w:val="65"/>
              </w:numPr>
              <w:spacing w:line="240" w:lineRule="auto"/>
              <w:ind w:left="360"/>
              <w:rPr>
                <w:rFonts w:ascii="Times New Roman" w:hAnsi="Times New Roman" w:cs="Times New Roman"/>
                <w:sz w:val="24"/>
                <w:szCs w:val="24"/>
              </w:rPr>
            </w:pPr>
            <w:r w:rsidRPr="00A93F99">
              <w:rPr>
                <w:rFonts w:ascii="Times New Roman" w:hAnsi="Times New Roman" w:cs="Times New Roman"/>
                <w:sz w:val="24"/>
                <w:szCs w:val="24"/>
              </w:rPr>
              <w:t>Spanish High School Equivalency</w:t>
            </w:r>
            <w:r w:rsidR="00C54D15">
              <w:rPr>
                <w:rStyle w:val="FootnoteReference"/>
                <w:rFonts w:ascii="Times New Roman" w:hAnsi="Times New Roman" w:cs="Times New Roman"/>
                <w:sz w:val="24"/>
                <w:szCs w:val="24"/>
              </w:rPr>
              <w:footnoteReference w:id="10"/>
            </w:r>
          </w:p>
        </w:tc>
      </w:tr>
      <w:tr w:rsidR="00D1215C" w:rsidRPr="00687B90" w14:paraId="48DEEF14" w14:textId="77777777" w:rsidTr="00AF55B8">
        <w:tc>
          <w:tcPr>
            <w:tcW w:w="9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55532" w14:textId="45BBB253" w:rsidR="00D1215C" w:rsidRPr="00A93F99" w:rsidRDefault="00D1215C" w:rsidP="00A93F99">
            <w:pPr>
              <w:pStyle w:val="ListParagraph"/>
              <w:numPr>
                <w:ilvl w:val="0"/>
                <w:numId w:val="65"/>
              </w:numPr>
              <w:spacing w:after="0" w:line="240" w:lineRule="auto"/>
              <w:ind w:left="360"/>
              <w:rPr>
                <w:rFonts w:ascii="Times New Roman" w:hAnsi="Times New Roman" w:cs="Times New Roman"/>
                <w:sz w:val="24"/>
                <w:szCs w:val="24"/>
              </w:rPr>
            </w:pPr>
            <w:r w:rsidRPr="00687B90">
              <w:rPr>
                <w:rFonts w:ascii="Times New Roman" w:hAnsi="Times New Roman" w:cs="Times New Roman"/>
                <w:sz w:val="24"/>
                <w:szCs w:val="24"/>
              </w:rPr>
              <w:t>English for Speakers of Other Languages (ESOL)</w:t>
            </w:r>
            <w:r w:rsidR="00A93F99">
              <w:rPr>
                <w:rFonts w:ascii="Times New Roman" w:hAnsi="Times New Roman" w:cs="Times New Roman"/>
                <w:sz w:val="24"/>
                <w:szCs w:val="24"/>
              </w:rPr>
              <w:t xml:space="preserve"> </w:t>
            </w:r>
            <w:r w:rsidRPr="00A93F99">
              <w:rPr>
                <w:rFonts w:ascii="Times New Roman" w:hAnsi="Times New Roman" w:cs="Times New Roman"/>
                <w:sz w:val="24"/>
                <w:szCs w:val="24"/>
              </w:rPr>
              <w:t xml:space="preserve">Class </w:t>
            </w:r>
            <w:r w:rsidR="00A93F99">
              <w:rPr>
                <w:rFonts w:ascii="Times New Roman" w:hAnsi="Times New Roman" w:cs="Times New Roman"/>
                <w:sz w:val="24"/>
                <w:szCs w:val="24"/>
              </w:rPr>
              <w:t>L</w:t>
            </w:r>
            <w:r w:rsidRPr="00A93F99">
              <w:rPr>
                <w:rFonts w:ascii="Times New Roman" w:hAnsi="Times New Roman" w:cs="Times New Roman"/>
                <w:sz w:val="24"/>
                <w:szCs w:val="24"/>
              </w:rPr>
              <w:t>evels by EFL</w:t>
            </w:r>
            <w:r w:rsidR="003F6F84" w:rsidRPr="003F6F84">
              <w:rPr>
                <w:rFonts w:ascii="Times New Roman" w:hAnsi="Times New Roman" w:cs="Times New Roman"/>
                <w:sz w:val="24"/>
                <w:szCs w:val="24"/>
                <w:vertAlign w:val="superscript"/>
              </w:rPr>
              <w:t>7</w:t>
            </w:r>
            <w:r w:rsidR="003F6F84">
              <w:rPr>
                <w:rFonts w:ascii="Times New Roman" w:hAnsi="Times New Roman" w:cs="Times New Roman"/>
                <w:sz w:val="24"/>
                <w:szCs w:val="24"/>
                <w:vertAlign w:val="superscript"/>
              </w:rPr>
              <w:t xml:space="preserve"> </w:t>
            </w:r>
            <w:r w:rsidR="003F6F84" w:rsidRPr="003F6F84">
              <w:rPr>
                <w:rFonts w:ascii="Times New Roman" w:hAnsi="Times New Roman" w:cs="Times New Roman"/>
                <w:sz w:val="24"/>
                <w:szCs w:val="24"/>
                <w:vertAlign w:val="superscript"/>
              </w:rPr>
              <w:t xml:space="preserve"> 8</w:t>
            </w:r>
          </w:p>
          <w:p w14:paraId="38F25ACC"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1 (Beginning ESOL Literacy)</w:t>
            </w:r>
          </w:p>
          <w:p w14:paraId="449212B6"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2 (Low Beginning ESOL)</w:t>
            </w:r>
          </w:p>
          <w:p w14:paraId="32E49859"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3 (High Beginning ESOL)</w:t>
            </w:r>
          </w:p>
          <w:p w14:paraId="06B56C12"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4 (Low Intermediate ESOL)</w:t>
            </w:r>
          </w:p>
          <w:p w14:paraId="78FFAAEE"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5 (High Intermediate ESOL)</w:t>
            </w:r>
          </w:p>
          <w:p w14:paraId="034D55BD" w14:textId="77777777" w:rsidR="00D1215C" w:rsidRPr="00687B90" w:rsidRDefault="00D1215C" w:rsidP="00D1215C">
            <w:pPr>
              <w:pStyle w:val="ListParagraph"/>
              <w:numPr>
                <w:ilvl w:val="2"/>
                <w:numId w:val="65"/>
              </w:numPr>
              <w:spacing w:after="0" w:line="240" w:lineRule="auto"/>
              <w:ind w:left="1080"/>
              <w:rPr>
                <w:rFonts w:ascii="Times New Roman" w:hAnsi="Times New Roman" w:cs="Times New Roman"/>
                <w:sz w:val="24"/>
                <w:szCs w:val="24"/>
              </w:rPr>
            </w:pPr>
            <w:r w:rsidRPr="00687B90">
              <w:rPr>
                <w:rFonts w:ascii="Times New Roman" w:hAnsi="Times New Roman" w:cs="Times New Roman"/>
                <w:sz w:val="24"/>
                <w:szCs w:val="24"/>
              </w:rPr>
              <w:t>ESOL Level 6 (Advanced ESOL)</w:t>
            </w:r>
          </w:p>
        </w:tc>
      </w:tr>
      <w:tr w:rsidR="00D1215C" w:rsidRPr="00687B90" w14:paraId="68C1CDC4" w14:textId="77777777" w:rsidTr="00AF55B8">
        <w:trPr>
          <w:trHeight w:val="530"/>
        </w:trPr>
        <w:tc>
          <w:tcPr>
            <w:tcW w:w="9427"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B86ADAF" w14:textId="77777777" w:rsidR="00D1215C" w:rsidRPr="00687B90" w:rsidRDefault="00D1215C" w:rsidP="00D1215C">
            <w:pPr>
              <w:pStyle w:val="ListParagraph"/>
              <w:numPr>
                <w:ilvl w:val="0"/>
                <w:numId w:val="65"/>
              </w:numPr>
              <w:spacing w:after="0" w:line="240" w:lineRule="auto"/>
              <w:ind w:left="360"/>
              <w:rPr>
                <w:rFonts w:ascii="Times New Roman" w:hAnsi="Times New Roman" w:cs="Times New Roman"/>
                <w:sz w:val="24"/>
                <w:szCs w:val="24"/>
              </w:rPr>
            </w:pPr>
            <w:r w:rsidRPr="00687B90">
              <w:rPr>
                <w:rFonts w:ascii="Times New Roman" w:hAnsi="Times New Roman" w:cs="Times New Roman"/>
                <w:color w:val="000000"/>
                <w:sz w:val="24"/>
                <w:szCs w:val="24"/>
              </w:rPr>
              <w:t>MassSTEP ABE (Pre-Adult Secondary Education/Adult Secondary Education)</w:t>
            </w:r>
          </w:p>
        </w:tc>
      </w:tr>
      <w:tr w:rsidR="00D1215C" w:rsidRPr="00687B90" w14:paraId="083840D3" w14:textId="77777777" w:rsidTr="00AF55B8">
        <w:trPr>
          <w:trHeight w:val="611"/>
        </w:trPr>
        <w:tc>
          <w:tcPr>
            <w:tcW w:w="9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C512" w14:textId="77777777" w:rsidR="00D1215C" w:rsidRPr="00687B90" w:rsidRDefault="00D1215C" w:rsidP="003F6F84">
            <w:pPr>
              <w:pStyle w:val="ListParagraph"/>
              <w:numPr>
                <w:ilvl w:val="0"/>
                <w:numId w:val="65"/>
              </w:numPr>
              <w:spacing w:after="0" w:line="240" w:lineRule="auto"/>
              <w:ind w:left="360"/>
              <w:rPr>
                <w:rFonts w:ascii="Times New Roman" w:hAnsi="Times New Roman" w:cs="Times New Roman"/>
                <w:sz w:val="24"/>
                <w:szCs w:val="24"/>
              </w:rPr>
            </w:pPr>
            <w:r w:rsidRPr="00687B90">
              <w:rPr>
                <w:rFonts w:ascii="Times New Roman" w:hAnsi="Times New Roman" w:cs="Times New Roman"/>
                <w:sz w:val="24"/>
                <w:szCs w:val="24"/>
              </w:rPr>
              <w:t>MassSTEP ESOL (English for Speakers of Other Languages)</w:t>
            </w:r>
          </w:p>
        </w:tc>
      </w:tr>
    </w:tbl>
    <w:p w14:paraId="4E099303" w14:textId="77777777" w:rsidR="00D1215C" w:rsidRPr="0079354F" w:rsidRDefault="00D1215C" w:rsidP="0047675C"/>
    <w:bookmarkEnd w:id="31"/>
    <w:p w14:paraId="424E3154" w14:textId="77777777" w:rsidR="00885ED7" w:rsidRPr="0079354F" w:rsidRDefault="00885ED7" w:rsidP="0047675C">
      <w:pPr>
        <w:pStyle w:val="Heading4"/>
        <w:spacing w:before="0"/>
        <w:rPr>
          <w:b/>
          <w:color w:val="E36C0A" w:themeColor="accent6" w:themeShade="BF"/>
        </w:rPr>
      </w:pPr>
      <w:r w:rsidRPr="00187183">
        <w:rPr>
          <w:b/>
          <w:color w:val="B85808"/>
        </w:rPr>
        <w:t>Basic Skills and Pre</w:t>
      </w:r>
      <w:r w:rsidR="002C2435" w:rsidRPr="00187183">
        <w:rPr>
          <w:b/>
          <w:color w:val="B85808"/>
        </w:rPr>
        <w:t>-Adult Secondary Education (</w:t>
      </w:r>
      <w:r w:rsidR="00A967A1" w:rsidRPr="00187183">
        <w:rPr>
          <w:b/>
          <w:color w:val="B85808"/>
        </w:rPr>
        <w:t>Pre-ASE)</w:t>
      </w:r>
    </w:p>
    <w:p w14:paraId="4C2B757F" w14:textId="6F544E06" w:rsidR="000C4AB6" w:rsidRPr="0079354F" w:rsidRDefault="20321F58" w:rsidP="22CF907E">
      <w:r w:rsidRPr="0079354F">
        <w:t xml:space="preserve">The goal of basic skills and pre-ASE services is to improve students’ skills in preparation for higher levels of instruction. Curricula include reading, writing, speaking and listening, science, history/social studies, and mathematics skills aligned to the </w:t>
      </w:r>
      <w:hyperlink r:id="rId39">
        <w:r w:rsidRPr="0079354F">
          <w:rPr>
            <w:rStyle w:val="Hyperlink"/>
            <w:i/>
            <w:iCs/>
          </w:rPr>
          <w:t>College and Career Readiness Standards for Adult Education</w:t>
        </w:r>
      </w:hyperlink>
      <w:r w:rsidRPr="0079354F">
        <w:t xml:space="preserve"> (i.e., reflective of the shifts and mathematical practices described in the Curriculum and Instruction chapter of the </w:t>
      </w:r>
      <w:hyperlink r:id="rId40">
        <w:r w:rsidRPr="0079354F">
          <w:rPr>
            <w:rStyle w:val="Hyperlink"/>
            <w:i/>
            <w:iCs/>
          </w:rPr>
          <w:t>Policies</w:t>
        </w:r>
      </w:hyperlink>
      <w:r w:rsidRPr="0079354F">
        <w:t xml:space="preserve">) and necessary for functioning at levels comparable to students in the first through eighth grade. </w:t>
      </w:r>
      <w:r w:rsidR="11FC7582" w:rsidRPr="0079354F">
        <w:t>WIOA</w:t>
      </w:r>
      <w:r w:rsidRPr="0079354F">
        <w:t xml:space="preserve"> requires the integration of workforce preparation </w:t>
      </w:r>
      <w:r w:rsidR="00C97F0D" w:rsidRPr="0079354F">
        <w:t xml:space="preserve">activities </w:t>
      </w:r>
      <w:r w:rsidRPr="0079354F">
        <w:t>and digital literacy</w:t>
      </w:r>
      <w:r w:rsidR="00C97F0D" w:rsidRPr="0079354F">
        <w:t xml:space="preserve"> </w:t>
      </w:r>
      <w:r w:rsidR="00685591" w:rsidRPr="0079354F">
        <w:t>development</w:t>
      </w:r>
      <w:r w:rsidRPr="0079354F">
        <w:t xml:space="preserve"> in these services.</w:t>
      </w:r>
    </w:p>
    <w:p w14:paraId="11840981" w14:textId="77777777" w:rsidR="003471D7" w:rsidRPr="0079354F" w:rsidRDefault="003471D7" w:rsidP="0047675C"/>
    <w:p w14:paraId="116D4447" w14:textId="79FCABD2" w:rsidR="00885ED7" w:rsidRPr="0079354F" w:rsidRDefault="00885ED7" w:rsidP="0047675C">
      <w:pPr>
        <w:pStyle w:val="Heading4"/>
        <w:spacing w:before="0"/>
        <w:rPr>
          <w:b/>
          <w:color w:val="E36C0A" w:themeColor="accent6" w:themeShade="BF"/>
        </w:rPr>
      </w:pPr>
      <w:r w:rsidRPr="00187183">
        <w:rPr>
          <w:b/>
          <w:color w:val="B85808"/>
        </w:rPr>
        <w:t>Adult Secondary Education (ASE)</w:t>
      </w:r>
      <w:r w:rsidR="00096861" w:rsidRPr="0079354F">
        <w:rPr>
          <w:b/>
          <w:color w:val="E36C0A" w:themeColor="accent6" w:themeShade="BF"/>
        </w:rPr>
        <w:t xml:space="preserve"> </w:t>
      </w:r>
      <w:r w:rsidRPr="00187183">
        <w:rPr>
          <w:b/>
          <w:color w:val="B85808"/>
        </w:rPr>
        <w:t>and High School Equivalency (HSE) Preparation</w:t>
      </w:r>
      <w:r w:rsidR="0057354B" w:rsidRPr="00187183">
        <w:rPr>
          <w:rStyle w:val="FootnoteReference"/>
          <w:b/>
          <w:color w:val="B85808"/>
        </w:rPr>
        <w:footnoteReference w:id="11"/>
      </w:r>
    </w:p>
    <w:p w14:paraId="3E2EE907" w14:textId="512CAA6A" w:rsidR="000C4AB6" w:rsidRPr="0079354F" w:rsidRDefault="4B8F89D1" w:rsidP="000C4AB6">
      <w:r w:rsidRPr="0079354F">
        <w:t xml:space="preserve">The goal of ASE services is to enable students to earn the Massachusetts HSE credential in order to successfully transition into and succeed in postsecondary education, training, and employment. Curricula should be contextualized to the academic demands of HSE assessments and include reading, writing, speaking and listening, science, history/social studies, and mathematics skills aligned to the </w:t>
      </w:r>
      <w:hyperlink r:id="rId41" w:history="1">
        <w:r w:rsidRPr="0079354F">
          <w:rPr>
            <w:rStyle w:val="Hyperlink"/>
            <w:i/>
            <w:iCs/>
          </w:rPr>
          <w:t>College and Career Readiness Standards for Adult Education</w:t>
        </w:r>
      </w:hyperlink>
      <w:r w:rsidRPr="0079354F">
        <w:t xml:space="preserve"> (i.e., reflective of the shifts and mathematical practices described in the Curriculum and Instruction chapter of the </w:t>
      </w:r>
      <w:hyperlink r:id="rId42" w:history="1">
        <w:r w:rsidRPr="0079354F">
          <w:rPr>
            <w:rStyle w:val="Hyperlink"/>
            <w:i/>
            <w:iCs/>
          </w:rPr>
          <w:t>Policies</w:t>
        </w:r>
      </w:hyperlink>
      <w:r w:rsidRPr="0079354F">
        <w:t xml:space="preserve">) and necessary for functioning at levels comparable to students in the ninth through twelfth grade. </w:t>
      </w:r>
      <w:r w:rsidR="11FC7582" w:rsidRPr="0079354F">
        <w:t>WIOA</w:t>
      </w:r>
      <w:r w:rsidRPr="0079354F">
        <w:t xml:space="preserve"> requires the integration of workforce preparation</w:t>
      </w:r>
      <w:r w:rsidR="00C97F0D" w:rsidRPr="0079354F">
        <w:t xml:space="preserve"> activities</w:t>
      </w:r>
      <w:r w:rsidRPr="0079354F">
        <w:t xml:space="preserve"> and digital literacy </w:t>
      </w:r>
      <w:r w:rsidR="00685591" w:rsidRPr="0079354F">
        <w:t>development</w:t>
      </w:r>
      <w:r w:rsidR="00C97F0D" w:rsidRPr="0079354F">
        <w:t xml:space="preserve"> </w:t>
      </w:r>
      <w:r w:rsidRPr="0079354F">
        <w:t>in these services and that classroom practices be designed to foster a growth mindset.</w:t>
      </w:r>
      <w:r w:rsidR="000C4AB6" w:rsidRPr="0079354F">
        <w:rPr>
          <w:rStyle w:val="FootnoteReference"/>
        </w:rPr>
        <w:footnoteReference w:id="12"/>
      </w:r>
      <w:r w:rsidRPr="0079354F">
        <w:t xml:space="preserve"> (Note: Programs have the option of embedding science and history/social studies vocabulary and concepts in ELA and mathematics curricula or offering separate classes for science and history/social studies.)</w:t>
      </w:r>
    </w:p>
    <w:p w14:paraId="44142524" w14:textId="77777777" w:rsidR="000C4AB6" w:rsidRPr="0079354F" w:rsidRDefault="000C4AB6" w:rsidP="008F1588"/>
    <w:p w14:paraId="28AE90A1" w14:textId="6869AC67" w:rsidR="000C4AB6" w:rsidRPr="0079354F" w:rsidRDefault="000C4AB6" w:rsidP="008F1588">
      <w:r w:rsidRPr="0079354F">
        <w:t>Programs that provide preparation for the HSE assessment (i.e., HiSET, GED) are required to be familiar with</w:t>
      </w:r>
      <w:r w:rsidR="009A6211" w:rsidRPr="0079354F">
        <w:t xml:space="preserve"> the</w:t>
      </w:r>
      <w:r w:rsidRPr="0079354F">
        <w:t>:</w:t>
      </w:r>
    </w:p>
    <w:p w14:paraId="36BBEDD7" w14:textId="4E1F8DB7" w:rsidR="009A6211" w:rsidRPr="0079354F" w:rsidRDefault="000C4AB6" w:rsidP="00FC65BD">
      <w:pPr>
        <w:pStyle w:val="ListParagraph"/>
        <w:numPr>
          <w:ilvl w:val="0"/>
          <w:numId w:val="35"/>
        </w:numPr>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Massachusetts HSE assessment policies </w:t>
      </w:r>
      <w:r w:rsidR="00FA6C28" w:rsidRPr="0079354F">
        <w:rPr>
          <w:rFonts w:ascii="Times New Roman" w:hAnsi="Times New Roman" w:cs="Times New Roman"/>
          <w:sz w:val="24"/>
          <w:szCs w:val="24"/>
        </w:rPr>
        <w:t xml:space="preserve">posted </w:t>
      </w:r>
      <w:r w:rsidRPr="0079354F">
        <w:rPr>
          <w:rFonts w:ascii="Times New Roman" w:hAnsi="Times New Roman" w:cs="Times New Roman"/>
          <w:sz w:val="24"/>
          <w:szCs w:val="24"/>
        </w:rPr>
        <w:t xml:space="preserve">at </w:t>
      </w:r>
      <w:hyperlink r:id="rId43" w:history="1">
        <w:r w:rsidRPr="0079354F">
          <w:rPr>
            <w:rStyle w:val="Hyperlink"/>
            <w:rFonts w:ascii="Times New Roman" w:hAnsi="Times New Roman" w:cs="Times New Roman"/>
            <w:sz w:val="24"/>
            <w:szCs w:val="24"/>
          </w:rPr>
          <w:t>http://www.doe.mass.edu/hse</w:t>
        </w:r>
      </w:hyperlink>
      <w:r w:rsidRPr="0079354F">
        <w:rPr>
          <w:rStyle w:val="Hyperlink"/>
          <w:rFonts w:ascii="Times New Roman" w:hAnsi="Times New Roman" w:cs="Times New Roman"/>
          <w:sz w:val="24"/>
          <w:szCs w:val="24"/>
        </w:rPr>
        <w:t>;</w:t>
      </w:r>
    </w:p>
    <w:p w14:paraId="32A72EAD" w14:textId="61764607" w:rsidR="00FA6C28" w:rsidRPr="0079354F" w:rsidRDefault="009A6211" w:rsidP="00FC65BD">
      <w:pPr>
        <w:pStyle w:val="ListParagraph"/>
        <w:numPr>
          <w:ilvl w:val="0"/>
          <w:numId w:val="35"/>
        </w:numPr>
        <w:spacing w:after="0" w:line="240" w:lineRule="auto"/>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C4AB6" w:rsidRPr="0079354F">
        <w:rPr>
          <w:rFonts w:ascii="Times New Roman" w:eastAsia="Times New Roman" w:hAnsi="Times New Roman" w:cs="Times New Roman"/>
          <w:sz w:val="24"/>
          <w:szCs w:val="24"/>
        </w:rPr>
        <w:t>cademic requirements of the Massachusetts HSE assessments</w:t>
      </w:r>
      <w:r w:rsidR="00FA6C28" w:rsidRPr="0079354F">
        <w:rPr>
          <w:rFonts w:ascii="Times New Roman" w:eastAsia="Times New Roman" w:hAnsi="Times New Roman" w:cs="Times New Roman"/>
          <w:sz w:val="24"/>
          <w:szCs w:val="24"/>
        </w:rPr>
        <w:t>;</w:t>
      </w:r>
      <w:r w:rsidR="000C4AB6" w:rsidRPr="0079354F">
        <w:rPr>
          <w:rFonts w:ascii="Times New Roman" w:eastAsia="Times New Roman" w:hAnsi="Times New Roman" w:cs="Times New Roman"/>
          <w:sz w:val="24"/>
          <w:szCs w:val="24"/>
        </w:rPr>
        <w:t xml:space="preserve"> and</w:t>
      </w:r>
    </w:p>
    <w:p w14:paraId="33264B2B" w14:textId="340C175C" w:rsidR="000C4AB6" w:rsidRPr="0079354F" w:rsidRDefault="009A6211" w:rsidP="00FC65BD">
      <w:pPr>
        <w:pStyle w:val="ListParagraph"/>
        <w:numPr>
          <w:ilvl w:val="0"/>
          <w:numId w:val="35"/>
        </w:numPr>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W</w:t>
      </w:r>
      <w:r w:rsidR="000C4AB6" w:rsidRPr="0079354F">
        <w:rPr>
          <w:rFonts w:ascii="Times New Roman" w:hAnsi="Times New Roman" w:cs="Times New Roman"/>
          <w:sz w:val="24"/>
          <w:szCs w:val="24"/>
        </w:rPr>
        <w:t xml:space="preserve">ebsites where students register for the HSE assessments </w:t>
      </w:r>
      <w:r w:rsidR="00FA6C28" w:rsidRPr="0079354F">
        <w:rPr>
          <w:rFonts w:ascii="Times New Roman" w:hAnsi="Times New Roman" w:cs="Times New Roman"/>
          <w:sz w:val="24"/>
          <w:szCs w:val="24"/>
        </w:rPr>
        <w:t>(i.e.,</w:t>
      </w:r>
      <w:r w:rsidR="000C4AB6" w:rsidRPr="0079354F">
        <w:rPr>
          <w:rFonts w:ascii="Times New Roman" w:hAnsi="Times New Roman" w:cs="Times New Roman"/>
          <w:sz w:val="24"/>
          <w:szCs w:val="24"/>
        </w:rPr>
        <w:t xml:space="preserve"> </w:t>
      </w:r>
      <w:hyperlink r:id="rId44" w:history="1">
        <w:r w:rsidR="000C4AB6" w:rsidRPr="0079354F">
          <w:rPr>
            <w:rStyle w:val="Hyperlink"/>
            <w:rFonts w:ascii="Times New Roman" w:hAnsi="Times New Roman" w:cs="Times New Roman"/>
            <w:sz w:val="24"/>
            <w:szCs w:val="24"/>
          </w:rPr>
          <w:t>https://ged.com/</w:t>
        </w:r>
      </w:hyperlink>
      <w:r w:rsidR="000C4AB6" w:rsidRPr="0079354F">
        <w:rPr>
          <w:rFonts w:ascii="Times New Roman" w:hAnsi="Times New Roman" w:cs="Times New Roman"/>
          <w:sz w:val="24"/>
          <w:szCs w:val="24"/>
        </w:rPr>
        <w:t xml:space="preserve"> and </w:t>
      </w:r>
      <w:hyperlink r:id="rId45" w:history="1">
        <w:r w:rsidR="000C4AB6" w:rsidRPr="0079354F">
          <w:rPr>
            <w:rStyle w:val="Hyperlink"/>
            <w:rFonts w:ascii="Times New Roman" w:hAnsi="Times New Roman" w:cs="Times New Roman"/>
            <w:sz w:val="24"/>
            <w:szCs w:val="24"/>
          </w:rPr>
          <w:t>http://hiset.ets.org/</w:t>
        </w:r>
      </w:hyperlink>
      <w:r w:rsidR="00FA6C28" w:rsidRPr="0079354F">
        <w:rPr>
          <w:rStyle w:val="Hyperlink"/>
          <w:rFonts w:ascii="Times New Roman" w:hAnsi="Times New Roman" w:cs="Times New Roman"/>
          <w:sz w:val="24"/>
          <w:szCs w:val="24"/>
        </w:rPr>
        <w:t>)</w:t>
      </w:r>
      <w:r w:rsidR="000C4AB6" w:rsidRPr="0079354F">
        <w:rPr>
          <w:rFonts w:ascii="Times New Roman" w:hAnsi="Times New Roman" w:cs="Times New Roman"/>
          <w:sz w:val="24"/>
          <w:szCs w:val="24"/>
        </w:rPr>
        <w:t>.</w:t>
      </w:r>
    </w:p>
    <w:p w14:paraId="45C762B8" w14:textId="77777777" w:rsidR="000C4AB6" w:rsidRPr="0079354F" w:rsidRDefault="000C4AB6" w:rsidP="008F1588"/>
    <w:p w14:paraId="3427B2BD" w14:textId="1EE4B05C" w:rsidR="00B51A3D" w:rsidRPr="0079354F" w:rsidRDefault="2E12AB5D" w:rsidP="0047675C">
      <w:pPr>
        <w:pStyle w:val="BodyText"/>
        <w:spacing w:before="0"/>
        <w:jc w:val="left"/>
      </w:pPr>
      <w:r w:rsidRPr="0079354F">
        <w:t xml:space="preserve">HSE assessment fees must not be charged to </w:t>
      </w:r>
      <w:r w:rsidR="00FA6C28" w:rsidRPr="0079354F">
        <w:t>AE</w:t>
      </w:r>
      <w:r w:rsidRPr="0079354F">
        <w:t xml:space="preserve"> grants. </w:t>
      </w:r>
      <w:r w:rsidR="00FA6C28" w:rsidRPr="0079354F">
        <w:t>Programs should address questions</w:t>
      </w:r>
      <w:r w:rsidRPr="0079354F">
        <w:t xml:space="preserve"> about </w:t>
      </w:r>
      <w:r w:rsidR="00FA6C28" w:rsidRPr="0079354F">
        <w:t xml:space="preserve">allowable </w:t>
      </w:r>
      <w:r w:rsidRPr="0079354F">
        <w:t>expenses to the</w:t>
      </w:r>
      <w:r w:rsidR="00FA6C28" w:rsidRPr="0079354F">
        <w:t xml:space="preserve">ir assigned </w:t>
      </w:r>
      <w:r w:rsidRPr="0079354F">
        <w:t>ACLS program specialist</w:t>
      </w:r>
      <w:r w:rsidR="3E05D7C6" w:rsidRPr="0079354F">
        <w:t xml:space="preserve"> (PS)</w:t>
      </w:r>
      <w:r w:rsidRPr="0079354F">
        <w:t>.</w:t>
      </w:r>
    </w:p>
    <w:p w14:paraId="7200DCF1" w14:textId="77777777" w:rsidR="003471D7" w:rsidRPr="0079354F" w:rsidRDefault="003471D7" w:rsidP="0047675C">
      <w:pPr>
        <w:pStyle w:val="BodyText"/>
        <w:spacing w:before="0"/>
        <w:jc w:val="left"/>
      </w:pPr>
    </w:p>
    <w:p w14:paraId="2628F30D" w14:textId="1453F98F" w:rsidR="002C2435" w:rsidRPr="0079354F" w:rsidRDefault="002C2435" w:rsidP="0047675C">
      <w:pPr>
        <w:pStyle w:val="Heading4"/>
        <w:spacing w:before="0"/>
        <w:rPr>
          <w:b/>
          <w:color w:val="E36C0A" w:themeColor="accent6" w:themeShade="BF"/>
        </w:rPr>
      </w:pPr>
      <w:r w:rsidRPr="00187183">
        <w:rPr>
          <w:b/>
          <w:color w:val="B85808"/>
        </w:rPr>
        <w:t>Adult Diploma Program (ADP)</w:t>
      </w:r>
      <w:r w:rsidR="00C648F4" w:rsidRPr="0079354F">
        <w:rPr>
          <w:b/>
          <w:color w:val="E36C0A" w:themeColor="accent6" w:themeShade="BF"/>
        </w:rPr>
        <w:t xml:space="preserve"> </w:t>
      </w:r>
    </w:p>
    <w:p w14:paraId="6A03B510" w14:textId="77777777" w:rsidR="00BB0456" w:rsidRPr="0079354F" w:rsidRDefault="00481F42" w:rsidP="00481F42">
      <w:r w:rsidRPr="0079354F">
        <w:t>An ADP is a sequence of classes and/or academic tasks, the goal of which is for students to earn an accredited, verifiable high school credential issued by a high school or local school district in order to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the credential earned is a high school diploma, students must comply with Massachusetts state laws regarding the Competency Determination standard</w:t>
      </w:r>
      <w:r w:rsidR="00BB0456" w:rsidRPr="0079354F">
        <w:t>.</w:t>
      </w:r>
    </w:p>
    <w:p w14:paraId="3CD51BD1" w14:textId="77777777" w:rsidR="00BB0456" w:rsidRPr="0079354F" w:rsidRDefault="00BB0456" w:rsidP="00481F42"/>
    <w:p w14:paraId="18FAB576" w14:textId="6193E1C1" w:rsidR="00481F42" w:rsidRPr="0079354F" w:rsidRDefault="00BB0456" w:rsidP="00481F42">
      <w:pPr>
        <w:rPr>
          <w:sz w:val="22"/>
          <w:szCs w:val="22"/>
        </w:rPr>
      </w:pPr>
      <w:r w:rsidRPr="0079354F">
        <w:t>For more information on the Competency Determination standard, see</w:t>
      </w:r>
      <w:r w:rsidR="00481F42" w:rsidRPr="0079354F">
        <w:t xml:space="preserve"> </w:t>
      </w:r>
      <w:hyperlink r:id="rId46" w:history="1">
        <w:r w:rsidR="00481F42" w:rsidRPr="0079354F">
          <w:rPr>
            <w:rStyle w:val="Hyperlink"/>
            <w:rFonts w:eastAsia="Batang"/>
          </w:rPr>
          <w:t>https://www.doe.mass.edu/mcas/graduation.html</w:t>
        </w:r>
      </w:hyperlink>
      <w:r w:rsidRPr="0079354F">
        <w:rPr>
          <w:rStyle w:val="Hyperlink"/>
          <w:rFonts w:eastAsia="Batang"/>
        </w:rPr>
        <w:t>.</w:t>
      </w:r>
    </w:p>
    <w:p w14:paraId="4DA2E639" w14:textId="77777777" w:rsidR="009F4774" w:rsidRPr="0079354F" w:rsidRDefault="009F4774" w:rsidP="0047675C">
      <w:pPr>
        <w:pStyle w:val="CommentText"/>
        <w:rPr>
          <w:sz w:val="24"/>
          <w:szCs w:val="24"/>
        </w:rPr>
      </w:pPr>
    </w:p>
    <w:p w14:paraId="1EE85D8A" w14:textId="0516901A" w:rsidR="00780C36" w:rsidRPr="0079354F" w:rsidRDefault="67171306" w:rsidP="0047675C">
      <w:pPr>
        <w:pStyle w:val="CommentText"/>
        <w:rPr>
          <w:sz w:val="24"/>
          <w:szCs w:val="24"/>
        </w:rPr>
      </w:pPr>
      <w:r w:rsidRPr="0079354F">
        <w:rPr>
          <w:sz w:val="24"/>
          <w:szCs w:val="24"/>
        </w:rPr>
        <w:t>Programs have the option of supporting an ADP to provide an alternative to the HiSET</w:t>
      </w:r>
      <w:r w:rsidR="36A739E5" w:rsidRPr="0079354F">
        <w:rPr>
          <w:rFonts w:ascii="Arial" w:hAnsi="Arial" w:cs="Arial"/>
          <w:color w:val="545454"/>
          <w:shd w:val="clear" w:color="auto" w:fill="FFFFFF"/>
          <w:vertAlign w:val="superscript"/>
        </w:rPr>
        <w:t>®</w:t>
      </w:r>
      <w:r w:rsidRPr="0079354F">
        <w:rPr>
          <w:sz w:val="24"/>
          <w:szCs w:val="24"/>
        </w:rPr>
        <w:t xml:space="preserve"> or GED</w:t>
      </w:r>
      <w:r w:rsidR="36A739E5" w:rsidRPr="0079354F">
        <w:rPr>
          <w:rFonts w:ascii="Arial" w:hAnsi="Arial" w:cs="Arial"/>
          <w:color w:val="545454"/>
          <w:shd w:val="clear" w:color="auto" w:fill="FFFFFF"/>
          <w:vertAlign w:val="superscript"/>
        </w:rPr>
        <w:t>®</w:t>
      </w:r>
      <w:r w:rsidRPr="0079354F">
        <w:rPr>
          <w:sz w:val="24"/>
          <w:szCs w:val="24"/>
        </w:rPr>
        <w:t xml:space="preserve"> as a path to a high school diploma. ADPs are required to partner with their local school districts for approval of curricula and credentialing options.</w:t>
      </w:r>
    </w:p>
    <w:p w14:paraId="535946EE" w14:textId="77777777" w:rsidR="00780C36" w:rsidRPr="0079354F" w:rsidRDefault="00780C36" w:rsidP="0047675C">
      <w:pPr>
        <w:pStyle w:val="CommentText"/>
        <w:rPr>
          <w:sz w:val="24"/>
          <w:szCs w:val="24"/>
        </w:rPr>
      </w:pPr>
    </w:p>
    <w:p w14:paraId="23030376" w14:textId="77777777" w:rsidR="00CA2DE9" w:rsidRPr="0079354F" w:rsidRDefault="00C7531B" w:rsidP="0047675C">
      <w:pPr>
        <w:pStyle w:val="CommentText"/>
        <w:rPr>
          <w:sz w:val="24"/>
          <w:szCs w:val="24"/>
        </w:rPr>
      </w:pPr>
      <w:r w:rsidRPr="0079354F">
        <w:rPr>
          <w:sz w:val="24"/>
          <w:szCs w:val="24"/>
        </w:rPr>
        <w:t xml:space="preserve">For more information on the ADP, see </w:t>
      </w:r>
      <w:hyperlink r:id="rId47" w:history="1">
        <w:r w:rsidR="004C68D9" w:rsidRPr="0079354F">
          <w:rPr>
            <w:rStyle w:val="Hyperlink"/>
            <w:sz w:val="24"/>
            <w:szCs w:val="24"/>
          </w:rPr>
          <w:t>http://www.doe.mass.edu/hse/adp/</w:t>
        </w:r>
      </w:hyperlink>
      <w:r w:rsidR="00151F0F" w:rsidRPr="0079354F">
        <w:rPr>
          <w:sz w:val="24"/>
          <w:szCs w:val="24"/>
        </w:rPr>
        <w:t>.</w:t>
      </w:r>
    </w:p>
    <w:p w14:paraId="45A88807" w14:textId="77777777" w:rsidR="00A967A1" w:rsidRPr="0079354F" w:rsidRDefault="00A967A1" w:rsidP="00A967A1">
      <w:pPr>
        <w:pStyle w:val="CommentText"/>
        <w:rPr>
          <w:sz w:val="24"/>
          <w:szCs w:val="24"/>
        </w:rPr>
      </w:pPr>
    </w:p>
    <w:p w14:paraId="6700F6F8" w14:textId="548B7AC0" w:rsidR="000B587E" w:rsidRPr="0079354F" w:rsidRDefault="27A5F8FE" w:rsidP="00A967A1">
      <w:pPr>
        <w:pStyle w:val="CommentText"/>
        <w:rPr>
          <w:b/>
          <w:bCs/>
          <w:color w:val="E36C0A" w:themeColor="accent6" w:themeShade="BF"/>
          <w:sz w:val="24"/>
          <w:szCs w:val="24"/>
        </w:rPr>
      </w:pPr>
      <w:r w:rsidRPr="00187183">
        <w:rPr>
          <w:b/>
          <w:bCs/>
          <w:color w:val="B85808"/>
          <w:sz w:val="24"/>
          <w:szCs w:val="24"/>
        </w:rPr>
        <w:t>Instruction in L1</w:t>
      </w:r>
    </w:p>
    <w:p w14:paraId="0C2F1155" w14:textId="5F75BCCF" w:rsidR="000B587E" w:rsidRPr="0079354F" w:rsidRDefault="00354B28" w:rsidP="00A967A1">
      <w:pPr>
        <w:pStyle w:val="CommentText"/>
        <w:rPr>
          <w:sz w:val="24"/>
          <w:szCs w:val="24"/>
        </w:rPr>
      </w:pPr>
      <w:r w:rsidRPr="0079354F">
        <w:rPr>
          <w:sz w:val="24"/>
          <w:szCs w:val="24"/>
        </w:rPr>
        <w:t>ACLS funds support two models of instruction in students’ first language (i.e., L1) when that language is not English</w:t>
      </w:r>
      <w:r w:rsidR="00005C63" w:rsidRPr="0079354F">
        <w:rPr>
          <w:sz w:val="24"/>
          <w:szCs w:val="24"/>
        </w:rPr>
        <w:t>: native language literacy and Spanish HSE preparation.</w:t>
      </w:r>
    </w:p>
    <w:p w14:paraId="0D94A3ED" w14:textId="16B2904B" w:rsidR="000B587E" w:rsidRPr="0079354F" w:rsidRDefault="000B587E" w:rsidP="00A967A1">
      <w:pPr>
        <w:pStyle w:val="CommentText"/>
        <w:rPr>
          <w:sz w:val="24"/>
          <w:szCs w:val="24"/>
        </w:rPr>
      </w:pPr>
    </w:p>
    <w:p w14:paraId="79D6E5DD" w14:textId="77777777" w:rsidR="00F33E39" w:rsidRDefault="00F33E39">
      <w:pPr>
        <w:rPr>
          <w:b/>
          <w:bCs/>
          <w:color w:val="B85808"/>
        </w:rPr>
      </w:pPr>
      <w:r>
        <w:rPr>
          <w:b/>
          <w:bCs/>
          <w:color w:val="B85808"/>
        </w:rPr>
        <w:br w:type="page"/>
      </w:r>
    </w:p>
    <w:p w14:paraId="28CA38D5" w14:textId="6F6B1378" w:rsidR="000B587E" w:rsidRPr="0079354F" w:rsidRDefault="56E64B12" w:rsidP="00A967A1">
      <w:pPr>
        <w:pStyle w:val="CommentText"/>
        <w:rPr>
          <w:b/>
          <w:bCs/>
          <w:color w:val="E36C0A" w:themeColor="accent6" w:themeShade="BF"/>
          <w:sz w:val="24"/>
          <w:szCs w:val="24"/>
        </w:rPr>
      </w:pPr>
      <w:r w:rsidRPr="00187183">
        <w:rPr>
          <w:b/>
          <w:bCs/>
          <w:color w:val="B85808"/>
          <w:sz w:val="24"/>
          <w:szCs w:val="24"/>
        </w:rPr>
        <w:t>Native Language Literacy</w:t>
      </w:r>
      <w:r w:rsidR="00CF0DAC" w:rsidRPr="00187183">
        <w:rPr>
          <w:b/>
          <w:bCs/>
          <w:color w:val="B85808"/>
          <w:sz w:val="24"/>
          <w:szCs w:val="24"/>
        </w:rPr>
        <w:t xml:space="preserve"> (State requirement)</w:t>
      </w:r>
    </w:p>
    <w:p w14:paraId="6568E22D" w14:textId="43EE2D55" w:rsidR="007D0022" w:rsidRPr="007D0022" w:rsidRDefault="00CF0DAC" w:rsidP="007D0022">
      <w:pPr>
        <w:rPr>
          <w:sz w:val="22"/>
          <w:szCs w:val="22"/>
        </w:rPr>
      </w:pPr>
      <w:r w:rsidRPr="00CF0DAC">
        <w:t>The goal of native language literacy instruction is to support students who speak other languages to develop foundational literacy skills in their first language including reading, writing, speaking and listening, and mathematics for students who need it. ACLS requires that programs providing native language literacy instruction ensure that students receive instruction in English language acquisition. This will help students acquire the basic skills needed to be prepared for further education and training and improve their English language skills so they make gains on required Massachusetts-approved ESOL assessments.</w:t>
      </w:r>
      <w:r w:rsidR="001B7E80">
        <w:t xml:space="preserve"> </w:t>
      </w:r>
      <w:r w:rsidR="007D0022" w:rsidRPr="007E6D84">
        <w:t>Native language literacy students should be tested with one of the NRS-approved ESOL assessments used in Massachusetts (</w:t>
      </w:r>
      <w:r w:rsidR="000B1D0D">
        <w:t>i.e</w:t>
      </w:r>
      <w:r w:rsidR="007D0022" w:rsidRPr="007E6D84">
        <w:t xml:space="preserve">., BEST Plus 2.0, CLAS E Reading, </w:t>
      </w:r>
      <w:r w:rsidR="00A804C4">
        <w:t xml:space="preserve">and </w:t>
      </w:r>
      <w:r w:rsidR="007D0022" w:rsidRPr="007E6D84">
        <w:t>CLAS E Writing)</w:t>
      </w:r>
      <w:r w:rsidR="00553FE0">
        <w:t>.</w:t>
      </w:r>
    </w:p>
    <w:p w14:paraId="3765B5A8" w14:textId="77777777" w:rsidR="000B587E" w:rsidRPr="0079354F" w:rsidRDefault="000B587E" w:rsidP="007D0022">
      <w:pPr>
        <w:pStyle w:val="CommentText"/>
        <w:rPr>
          <w:b/>
          <w:bCs/>
          <w:color w:val="E36C0A" w:themeColor="accent6" w:themeShade="BF"/>
          <w:sz w:val="24"/>
          <w:szCs w:val="24"/>
        </w:rPr>
      </w:pPr>
    </w:p>
    <w:p w14:paraId="6D775D4A" w14:textId="04B88F7F" w:rsidR="00885ED7" w:rsidRPr="0079354F" w:rsidRDefault="412EE04A" w:rsidP="00A967A1">
      <w:pPr>
        <w:pStyle w:val="CommentText"/>
        <w:rPr>
          <w:b/>
          <w:bCs/>
          <w:color w:val="E36C0A" w:themeColor="accent6" w:themeShade="BF"/>
          <w:sz w:val="24"/>
          <w:szCs w:val="24"/>
        </w:rPr>
      </w:pPr>
      <w:r w:rsidRPr="00187183">
        <w:rPr>
          <w:b/>
          <w:bCs/>
          <w:color w:val="B85808"/>
          <w:sz w:val="24"/>
          <w:szCs w:val="24"/>
        </w:rPr>
        <w:t>Spanish HSE</w:t>
      </w:r>
      <w:r w:rsidR="330821AB" w:rsidRPr="00187183">
        <w:rPr>
          <w:b/>
          <w:bCs/>
          <w:color w:val="B85808"/>
          <w:sz w:val="24"/>
          <w:szCs w:val="24"/>
        </w:rPr>
        <w:t xml:space="preserve"> Preparation</w:t>
      </w:r>
      <w:r w:rsidR="529A31FE" w:rsidRPr="00187183">
        <w:rPr>
          <w:b/>
          <w:bCs/>
          <w:color w:val="B85808"/>
          <w:sz w:val="24"/>
          <w:szCs w:val="24"/>
        </w:rPr>
        <w:t xml:space="preserve"> (State requirement)</w:t>
      </w:r>
    </w:p>
    <w:p w14:paraId="1742DD8A" w14:textId="5328D63B" w:rsidR="00E47AA4" w:rsidRPr="0079354F" w:rsidRDefault="02B6E8B9" w:rsidP="00101BEE">
      <w:r w:rsidRPr="0079354F">
        <w:t>ACLS requires that programs providing preparation for the Spanish HSE</w:t>
      </w:r>
      <w:r w:rsidR="00814812" w:rsidRPr="0079354F">
        <w:rPr>
          <w:rStyle w:val="FootnoteReference"/>
        </w:rPr>
        <w:footnoteReference w:id="13"/>
      </w:r>
      <w:r w:rsidRPr="0079354F">
        <w:t xml:space="preserve"> ensure that students receive instruction in English language acquisition. This will help students both acquire the basic and more advanced skills needed to be prepared for further education and training and improve their English language </w:t>
      </w:r>
      <w:r w:rsidR="7410B218" w:rsidRPr="0079354F">
        <w:t>skills</w:t>
      </w:r>
      <w:r w:rsidR="084E2670" w:rsidRPr="0079354F">
        <w:t xml:space="preserve"> </w:t>
      </w:r>
      <w:r w:rsidRPr="0079354F">
        <w:t xml:space="preserve">so they make gains on Massachusetts-approved ESOL assessments. </w:t>
      </w:r>
      <w:r w:rsidR="5D4309A0" w:rsidRPr="0079354F">
        <w:t>Spanish HSE students who test at the exit criteria for ESOL should take the MAPT-CCR for pre- and post-testing.</w:t>
      </w:r>
    </w:p>
    <w:p w14:paraId="42B0A89F" w14:textId="77777777" w:rsidR="00B97966" w:rsidRPr="0079354F" w:rsidRDefault="00B97966" w:rsidP="0047675C">
      <w:pPr>
        <w:pStyle w:val="CommentText"/>
        <w:rPr>
          <w:sz w:val="24"/>
          <w:szCs w:val="24"/>
        </w:rPr>
      </w:pPr>
    </w:p>
    <w:p w14:paraId="7B39C222" w14:textId="5E9C6FBA" w:rsidR="00E47AA4" w:rsidRPr="0079354F" w:rsidRDefault="00E47AA4" w:rsidP="0047675C">
      <w:pPr>
        <w:pStyle w:val="CommentText"/>
        <w:rPr>
          <w:sz w:val="24"/>
          <w:szCs w:val="24"/>
        </w:rPr>
      </w:pPr>
      <w:r w:rsidRPr="0079354F">
        <w:rPr>
          <w:sz w:val="24"/>
          <w:szCs w:val="24"/>
        </w:rPr>
        <w:t>Program design for students preparing for the Spanish HSE takes into consideration factors including</w:t>
      </w:r>
      <w:r w:rsidR="4FAFA94E" w:rsidRPr="0079354F">
        <w:rPr>
          <w:sz w:val="24"/>
          <w:szCs w:val="24"/>
        </w:rPr>
        <w:t>,</w:t>
      </w:r>
      <w:r w:rsidRPr="0079354F">
        <w:rPr>
          <w:sz w:val="24"/>
          <w:szCs w:val="24"/>
        </w:rPr>
        <w:t xml:space="preserve"> but not limited </w:t>
      </w:r>
      <w:r w:rsidR="00E46E94" w:rsidRPr="0079354F">
        <w:rPr>
          <w:sz w:val="24"/>
          <w:szCs w:val="24"/>
        </w:rPr>
        <w:t>to</w:t>
      </w:r>
      <w:r w:rsidRPr="0079354F">
        <w:rPr>
          <w:sz w:val="24"/>
          <w:szCs w:val="24"/>
        </w:rPr>
        <w:t xml:space="preserve"> research-based strategies for concurrent instruction in students’ first language and English; curriculum and instruction relevant to students’ needs (e.g., instruction in </w:t>
      </w:r>
      <w:r w:rsidR="00F4502C" w:rsidRPr="0079354F">
        <w:rPr>
          <w:sz w:val="24"/>
          <w:szCs w:val="24"/>
        </w:rPr>
        <w:t>mathematics</w:t>
      </w:r>
      <w:r w:rsidRPr="0079354F">
        <w:rPr>
          <w:sz w:val="24"/>
          <w:szCs w:val="24"/>
        </w:rPr>
        <w:t xml:space="preserve"> for students who need it, HSE-level content); and student availability for ESOL instruction in addition to first language instruction.</w:t>
      </w:r>
    </w:p>
    <w:p w14:paraId="7E6E3EB6" w14:textId="6668D1DD" w:rsidR="0084627A" w:rsidRPr="0079354F" w:rsidRDefault="0084627A" w:rsidP="0047675C">
      <w:pPr>
        <w:pStyle w:val="CommentText"/>
        <w:rPr>
          <w:sz w:val="24"/>
          <w:szCs w:val="24"/>
        </w:rPr>
      </w:pPr>
    </w:p>
    <w:p w14:paraId="18CBDC61" w14:textId="1136DF0E" w:rsidR="00504891" w:rsidRPr="0079354F" w:rsidRDefault="00354B28" w:rsidP="0047675C">
      <w:pPr>
        <w:pStyle w:val="CommentText"/>
        <w:rPr>
          <w:sz w:val="24"/>
          <w:szCs w:val="24"/>
        </w:rPr>
      </w:pPr>
      <w:r w:rsidRPr="0079354F">
        <w:rPr>
          <w:sz w:val="24"/>
          <w:szCs w:val="24"/>
        </w:rPr>
        <w:t xml:space="preserve">For information on ESOL assessments and </w:t>
      </w:r>
      <w:r w:rsidR="00504891" w:rsidRPr="0079354F">
        <w:rPr>
          <w:sz w:val="24"/>
          <w:szCs w:val="24"/>
        </w:rPr>
        <w:t xml:space="preserve">the </w:t>
      </w:r>
      <w:r w:rsidRPr="0079354F">
        <w:rPr>
          <w:sz w:val="24"/>
          <w:szCs w:val="24"/>
        </w:rPr>
        <w:t>MAPT-CCR, see the Student Progress chapter</w:t>
      </w:r>
      <w:r w:rsidR="0061492D" w:rsidRPr="0079354F">
        <w:rPr>
          <w:sz w:val="24"/>
          <w:szCs w:val="24"/>
        </w:rPr>
        <w:t xml:space="preserve"> and the </w:t>
      </w:r>
      <w:hyperlink r:id="rId48" w:history="1">
        <w:r w:rsidR="0061492D" w:rsidRPr="0079354F">
          <w:rPr>
            <w:rStyle w:val="Hyperlink"/>
            <w:sz w:val="24"/>
            <w:szCs w:val="24"/>
          </w:rPr>
          <w:t>Massachusetts standardized assessment policies</w:t>
        </w:r>
      </w:hyperlink>
      <w:r w:rsidR="0061492D" w:rsidRPr="0079354F">
        <w:rPr>
          <w:sz w:val="24"/>
          <w:szCs w:val="24"/>
        </w:rPr>
        <w:t xml:space="preserve">. </w:t>
      </w:r>
    </w:p>
    <w:p w14:paraId="31DC6696" w14:textId="77777777" w:rsidR="00354B28" w:rsidRPr="0079354F" w:rsidRDefault="00354B28" w:rsidP="0047675C">
      <w:pPr>
        <w:pStyle w:val="CommentText"/>
        <w:rPr>
          <w:sz w:val="24"/>
          <w:szCs w:val="24"/>
        </w:rPr>
      </w:pPr>
    </w:p>
    <w:p w14:paraId="41D28F07" w14:textId="77777777" w:rsidR="00885ED7" w:rsidRPr="0079354F" w:rsidRDefault="00885ED7" w:rsidP="0047675C">
      <w:pPr>
        <w:pStyle w:val="Heading4"/>
        <w:spacing w:before="0"/>
        <w:rPr>
          <w:b/>
          <w:color w:val="E36C0A" w:themeColor="accent6" w:themeShade="BF"/>
        </w:rPr>
      </w:pPr>
      <w:bookmarkStart w:id="32" w:name="_Hlk8288754"/>
      <w:r w:rsidRPr="00187183">
        <w:rPr>
          <w:b/>
          <w:color w:val="B85808"/>
        </w:rPr>
        <w:t>English for Speakers of Other Languages (ESOL) Services</w:t>
      </w:r>
    </w:p>
    <w:p w14:paraId="68E93AC1" w14:textId="15E7CDF6" w:rsidR="008C59A1" w:rsidRPr="0079354F" w:rsidRDefault="008C59A1" w:rsidP="22CF907E">
      <w:pPr>
        <w:pStyle w:val="CommentText"/>
        <w:rPr>
          <w:sz w:val="24"/>
          <w:szCs w:val="24"/>
        </w:rPr>
      </w:pPr>
      <w:r w:rsidRPr="0079354F">
        <w:rPr>
          <w:sz w:val="24"/>
          <w:szCs w:val="24"/>
        </w:rPr>
        <w:t xml:space="preserve">The goal </w:t>
      </w:r>
      <w:r w:rsidR="00B50D90" w:rsidRPr="0079354F">
        <w:rPr>
          <w:sz w:val="24"/>
          <w:szCs w:val="24"/>
        </w:rPr>
        <w:t>of</w:t>
      </w:r>
      <w:r w:rsidRPr="0079354F">
        <w:rPr>
          <w:sz w:val="24"/>
          <w:szCs w:val="24"/>
        </w:rPr>
        <w:t xml:space="preserve"> ESOL services is to prepare adult English learners to speak, read, and write English. ESOL curriculum and instruction must be contextualized to students’ academic and career needs, aligned to the </w:t>
      </w:r>
      <w:hyperlink r:id="rId49">
        <w:r w:rsidRPr="0079354F">
          <w:rPr>
            <w:rStyle w:val="Hyperlink"/>
            <w:rFonts w:eastAsiaTheme="majorEastAsia"/>
            <w:i/>
            <w:iCs/>
            <w:sz w:val="24"/>
            <w:szCs w:val="24"/>
          </w:rPr>
          <w:t>Massachusetts English Language Proficiency Standards for Adult Education</w:t>
        </w:r>
      </w:hyperlink>
      <w:r w:rsidR="00D54171" w:rsidRPr="0079354F">
        <w:rPr>
          <w:sz w:val="24"/>
          <w:szCs w:val="24"/>
        </w:rPr>
        <w:t xml:space="preserve"> (</w:t>
      </w:r>
      <w:hyperlink r:id="rId50" w:history="1">
        <w:r w:rsidR="00D54171" w:rsidRPr="0079354F">
          <w:rPr>
            <w:rStyle w:val="Hyperlink"/>
            <w:i/>
            <w:iCs/>
            <w:sz w:val="24"/>
            <w:szCs w:val="24"/>
          </w:rPr>
          <w:t>MA ELPS</w:t>
        </w:r>
      </w:hyperlink>
      <w:r w:rsidR="00D54171" w:rsidRPr="0079354F">
        <w:rPr>
          <w:sz w:val="24"/>
          <w:szCs w:val="24"/>
        </w:rPr>
        <w:t>)</w:t>
      </w:r>
      <w:r w:rsidRPr="0079354F">
        <w:rPr>
          <w:sz w:val="24"/>
          <w:szCs w:val="24"/>
        </w:rPr>
        <w:t xml:space="preserve"> and integrate civics education, workforce preparation</w:t>
      </w:r>
      <w:r w:rsidR="00C97F0D" w:rsidRPr="0079354F">
        <w:rPr>
          <w:sz w:val="24"/>
          <w:szCs w:val="24"/>
        </w:rPr>
        <w:t xml:space="preserve"> activities</w:t>
      </w:r>
      <w:r w:rsidRPr="0079354F">
        <w:rPr>
          <w:sz w:val="24"/>
          <w:szCs w:val="24"/>
        </w:rPr>
        <w:t xml:space="preserve">, and digital literacy </w:t>
      </w:r>
      <w:r w:rsidR="00685591" w:rsidRPr="0079354F">
        <w:rPr>
          <w:sz w:val="24"/>
          <w:szCs w:val="24"/>
        </w:rPr>
        <w:t>development</w:t>
      </w:r>
      <w:r w:rsidRPr="0079354F">
        <w:rPr>
          <w:sz w:val="24"/>
          <w:szCs w:val="24"/>
        </w:rPr>
        <w:t xml:space="preserve"> at all levels. Services must be designed to reach all learners regardless of their level of readiness, previous schooling, or learning differences.</w:t>
      </w:r>
    </w:p>
    <w:bookmarkEnd w:id="32"/>
    <w:p w14:paraId="50D865CB" w14:textId="77777777" w:rsidR="003471D7" w:rsidRPr="0079354F" w:rsidRDefault="003471D7" w:rsidP="0047675C">
      <w:pPr>
        <w:pStyle w:val="CommentText"/>
        <w:rPr>
          <w:sz w:val="24"/>
          <w:szCs w:val="24"/>
        </w:rPr>
      </w:pPr>
    </w:p>
    <w:p w14:paraId="18C5F1F1" w14:textId="13186622" w:rsidR="003A0FF1" w:rsidRPr="00187183" w:rsidRDefault="000D1BA6" w:rsidP="0047675C">
      <w:pPr>
        <w:pStyle w:val="Heading4"/>
        <w:spacing w:before="0"/>
        <w:rPr>
          <w:b/>
          <w:color w:val="B85808"/>
        </w:rPr>
      </w:pPr>
      <w:r w:rsidRPr="00187183">
        <w:rPr>
          <w:rFonts w:eastAsia="Calibri"/>
          <w:b/>
          <w:color w:val="B85808"/>
        </w:rPr>
        <w:t>MassSTEP</w:t>
      </w:r>
      <w:r w:rsidR="003A0FF1" w:rsidRPr="00187183">
        <w:rPr>
          <w:rFonts w:eastAsia="Calibri"/>
          <w:b/>
          <w:color w:val="B85808"/>
        </w:rPr>
        <w:t xml:space="preserve"> </w:t>
      </w:r>
      <w:r w:rsidR="00081EE1" w:rsidRPr="00187183">
        <w:rPr>
          <w:rFonts w:eastAsia="Calibri"/>
          <w:b/>
          <w:color w:val="B85808"/>
        </w:rPr>
        <w:t>ABE</w:t>
      </w:r>
    </w:p>
    <w:p w14:paraId="7CDF722E" w14:textId="2A4AC8A6" w:rsidR="003A0FF1" w:rsidRPr="0079354F" w:rsidRDefault="58D61E2E" w:rsidP="0047675C">
      <w:r w:rsidRPr="0079354F">
        <w:t xml:space="preserve">The </w:t>
      </w:r>
      <w:r w:rsidR="5F88732E" w:rsidRPr="0079354F">
        <w:t xml:space="preserve">MassSTEP </w:t>
      </w:r>
      <w:r w:rsidR="3C070C5A" w:rsidRPr="0079354F">
        <w:t>ABE</w:t>
      </w:r>
      <w:r w:rsidRPr="0079354F">
        <w:rPr>
          <w:rFonts w:eastAsia="Calibri"/>
        </w:rPr>
        <w:t xml:space="preserve"> </w:t>
      </w:r>
      <w:r w:rsidRPr="0079354F">
        <w:t xml:space="preserve">model </w:t>
      </w:r>
      <w:r w:rsidRPr="0079354F">
        <w:rPr>
          <w:rFonts w:eastAsia="Calibri"/>
        </w:rPr>
        <w:t xml:space="preserve">combines </w:t>
      </w:r>
      <w:r w:rsidR="198EFD17" w:rsidRPr="0079354F">
        <w:t xml:space="preserve">pre-ASE and ASE instruction, </w:t>
      </w:r>
      <w:r w:rsidR="198EFD17" w:rsidRPr="0079354F">
        <w:rPr>
          <w:rFonts w:eastAsia="Calibri"/>
        </w:rPr>
        <w:t xml:space="preserve">occupational skills training, and </w:t>
      </w:r>
      <w:r w:rsidRPr="0079354F">
        <w:rPr>
          <w:rFonts w:eastAsia="Calibri"/>
        </w:rPr>
        <w:t>workforce preparation</w:t>
      </w:r>
      <w:r w:rsidR="198EFD17" w:rsidRPr="0079354F">
        <w:rPr>
          <w:rFonts w:eastAsia="Calibri"/>
        </w:rPr>
        <w:t xml:space="preserve"> activities</w:t>
      </w:r>
      <w:r w:rsidR="00D17059" w:rsidRPr="0079354F">
        <w:rPr>
          <w:rStyle w:val="FootnoteReference"/>
        </w:rPr>
        <w:footnoteReference w:id="14"/>
      </w:r>
      <w:r w:rsidR="198EFD17" w:rsidRPr="0079354F">
        <w:rPr>
          <w:rFonts w:eastAsia="Calibri"/>
        </w:rPr>
        <w:t xml:space="preserve"> concurrently and contextually</w:t>
      </w:r>
      <w:r w:rsidRPr="0079354F">
        <w:rPr>
          <w:rFonts w:eastAsia="Calibri"/>
        </w:rPr>
        <w:t xml:space="preserve"> to increase </w:t>
      </w:r>
      <w:r w:rsidR="5284D3DE" w:rsidRPr="0079354F">
        <w:rPr>
          <w:rFonts w:eastAsia="Calibri"/>
        </w:rPr>
        <w:t>students’</w:t>
      </w:r>
      <w:r w:rsidRPr="0079354F">
        <w:rPr>
          <w:rFonts w:eastAsia="Calibri"/>
        </w:rPr>
        <w:t xml:space="preserve"> educational and career advancement. </w:t>
      </w:r>
      <w:r w:rsidRPr="0079354F">
        <w:t xml:space="preserve">In </w:t>
      </w:r>
      <w:r w:rsidR="2E6B19D9" w:rsidRPr="0079354F">
        <w:t xml:space="preserve">this </w:t>
      </w:r>
      <w:r w:rsidRPr="0079354F">
        <w:t xml:space="preserve">service delivery model, </w:t>
      </w:r>
      <w:r w:rsidR="5C11F5AB" w:rsidRPr="0079354F">
        <w:t>a variety of team</w:t>
      </w:r>
      <w:r w:rsidR="62238C69" w:rsidRPr="0079354F">
        <w:t>-</w:t>
      </w:r>
      <w:r w:rsidRPr="0079354F">
        <w:t xml:space="preserve">teaching strategies </w:t>
      </w:r>
      <w:r w:rsidR="6E8B4F62" w:rsidRPr="0079354F">
        <w:t>are</w:t>
      </w:r>
      <w:r w:rsidRPr="0079354F">
        <w:t xml:space="preserve"> used to deliver the curriculum.</w:t>
      </w:r>
      <w:r w:rsidRPr="0079354F">
        <w:rPr>
          <w:rFonts w:eastAsia="Calibri"/>
        </w:rPr>
        <w:t xml:space="preserve"> </w:t>
      </w:r>
      <w:r w:rsidR="009A491A" w:rsidRPr="00F94AE0">
        <w:t>Students in need of a high school credential must earn one by the conclusion of the program</w:t>
      </w:r>
      <w:r w:rsidR="005F6196" w:rsidRPr="00F94AE0">
        <w:t>. U</w:t>
      </w:r>
      <w:r w:rsidRPr="00F94AE0">
        <w:t xml:space="preserve">pon completion, it is intended that students </w:t>
      </w:r>
      <w:r w:rsidR="6E8B4F62" w:rsidRPr="00F94AE0">
        <w:t xml:space="preserve">will have obtained an industry recognized credential </w:t>
      </w:r>
      <w:r w:rsidR="6C75F345" w:rsidRPr="00F94AE0">
        <w:t xml:space="preserve">and </w:t>
      </w:r>
      <w:r w:rsidRPr="00F94AE0">
        <w:t>will be employable or go on to more advanced training in their chosen career pathway.</w:t>
      </w:r>
    </w:p>
    <w:p w14:paraId="232C416E" w14:textId="77777777" w:rsidR="003471D7" w:rsidRPr="0079354F" w:rsidRDefault="003471D7" w:rsidP="0047675C"/>
    <w:p w14:paraId="73D6D008" w14:textId="322135D5" w:rsidR="003A0FF1" w:rsidRPr="0079354F" w:rsidRDefault="000D1BA6" w:rsidP="0047675C">
      <w:pPr>
        <w:pStyle w:val="Heading4"/>
        <w:spacing w:before="0"/>
        <w:rPr>
          <w:b/>
          <w:color w:val="E36C0A" w:themeColor="accent6" w:themeShade="BF"/>
        </w:rPr>
      </w:pPr>
      <w:r w:rsidRPr="00187183">
        <w:rPr>
          <w:rFonts w:eastAsia="Calibri"/>
          <w:b/>
          <w:color w:val="B85808"/>
        </w:rPr>
        <w:t>MassSTEP</w:t>
      </w:r>
      <w:r w:rsidR="00081EE1" w:rsidRPr="00187183">
        <w:rPr>
          <w:rFonts w:eastAsia="Calibri"/>
          <w:b/>
          <w:color w:val="B85808"/>
        </w:rPr>
        <w:t xml:space="preserve"> ESOL</w:t>
      </w:r>
    </w:p>
    <w:p w14:paraId="12F7B028" w14:textId="16560B55" w:rsidR="00CB688E" w:rsidRPr="0079354F" w:rsidRDefault="7E8B270B" w:rsidP="0047675C">
      <w:r w:rsidRPr="0079354F">
        <w:t xml:space="preserve">The </w:t>
      </w:r>
      <w:r w:rsidR="5F88732E" w:rsidRPr="0079354F">
        <w:t xml:space="preserve">MassSTEP </w:t>
      </w:r>
      <w:r w:rsidR="3C070C5A" w:rsidRPr="0079354F">
        <w:t>ESOL</w:t>
      </w:r>
      <w:r w:rsidRPr="0079354F">
        <w:t xml:space="preserve"> model combines </w:t>
      </w:r>
      <w:r w:rsidR="58D61E2E" w:rsidRPr="0079354F">
        <w:t xml:space="preserve">ESOL </w:t>
      </w:r>
      <w:r w:rsidRPr="0079354F">
        <w:t>instruction, civics education, occupational skills training, and workforce preparation activities</w:t>
      </w:r>
      <w:r w:rsidR="25357DCC" w:rsidRPr="0079354F">
        <w:t xml:space="preserve"> c</w:t>
      </w:r>
      <w:r w:rsidRPr="0079354F">
        <w:t>oncurrently and contextually to increase ESOL students’ educational and career advancement</w:t>
      </w:r>
      <w:r w:rsidR="0CA3E118" w:rsidRPr="0079354F">
        <w:t xml:space="preserve">. In </w:t>
      </w:r>
      <w:r w:rsidR="3A2A7DBC" w:rsidRPr="0079354F">
        <w:t>this</w:t>
      </w:r>
      <w:r w:rsidR="0CA3E118" w:rsidRPr="0079354F">
        <w:t xml:space="preserve"> service delivery model, a variety of team</w:t>
      </w:r>
      <w:r w:rsidR="62238C69" w:rsidRPr="0079354F">
        <w:t>-</w:t>
      </w:r>
      <w:r w:rsidR="0CA3E118" w:rsidRPr="0079354F">
        <w:t>teaching strategies are used to deliver the curriculum.</w:t>
      </w:r>
      <w:r w:rsidR="0CA3E118" w:rsidRPr="0079354F">
        <w:rPr>
          <w:rFonts w:eastAsia="Calibri"/>
        </w:rPr>
        <w:t xml:space="preserve"> </w:t>
      </w:r>
      <w:r w:rsidR="0CA3E118" w:rsidRPr="0079354F">
        <w:t>Upon completion, it is intended that students will have obtained an industry recognized credential and will be employable or go on to more advanced training in their chosen career pathway.</w:t>
      </w:r>
    </w:p>
    <w:p w14:paraId="432D9BB7" w14:textId="77777777" w:rsidR="00780C36" w:rsidRPr="0079354F" w:rsidRDefault="00780C36" w:rsidP="0047675C"/>
    <w:p w14:paraId="62704245" w14:textId="2B94BCFB" w:rsidR="00532088" w:rsidRPr="0079354F" w:rsidRDefault="0055350B" w:rsidP="4E1667B8">
      <w:pPr>
        <w:rPr>
          <w:rStyle w:val="Hyperlink"/>
          <w:color w:val="auto"/>
          <w:u w:val="none"/>
        </w:rPr>
      </w:pPr>
      <w:r>
        <w:t xml:space="preserve">For more information on </w:t>
      </w:r>
      <w:r w:rsidR="000C5E25">
        <w:t>MassSTEP</w:t>
      </w:r>
      <w:r>
        <w:t xml:space="preserve">, see </w:t>
      </w:r>
      <w:hyperlink r:id="rId51">
        <w:r w:rsidR="4E1667B8" w:rsidRPr="4E1667B8">
          <w:rPr>
            <w:rStyle w:val="Hyperlink"/>
          </w:rPr>
          <w:t>https://www.doe.mass.edu/acls/MassSTEP/default.html</w:t>
        </w:r>
      </w:hyperlink>
      <w:r w:rsidR="25CB16EE">
        <w:t>.</w:t>
      </w:r>
    </w:p>
    <w:p w14:paraId="47BB8343" w14:textId="0BCFF58A" w:rsidR="00532088" w:rsidRPr="0079354F" w:rsidRDefault="00A967A1" w:rsidP="0047675C">
      <w:pPr>
        <w:rPr>
          <w:rStyle w:val="Hyperlink"/>
          <w:color w:val="auto"/>
          <w:u w:val="none"/>
        </w:rPr>
      </w:pPr>
      <w:r>
        <w:t>For more information on ACLS career pathways, see</w:t>
      </w:r>
      <w:r w:rsidRPr="4E1667B8">
        <w:rPr>
          <w:rFonts w:ascii="Arial Narrow" w:hAnsi="Arial Narrow"/>
          <w:sz w:val="22"/>
          <w:szCs w:val="22"/>
        </w:rPr>
        <w:t xml:space="preserve"> </w:t>
      </w:r>
      <w:hyperlink r:id="rId52">
        <w:r w:rsidR="74EBB534" w:rsidRPr="4E1667B8">
          <w:rPr>
            <w:rStyle w:val="Hyperlink"/>
          </w:rPr>
          <w:t>http://www.doe.mass.edu/acls/acp/</w:t>
        </w:r>
      </w:hyperlink>
      <w:r w:rsidR="176B6544" w:rsidRPr="4E1667B8">
        <w:rPr>
          <w:rStyle w:val="Hyperlink"/>
          <w:color w:val="auto"/>
          <w:u w:val="none"/>
        </w:rPr>
        <w:t>.</w:t>
      </w:r>
    </w:p>
    <w:p w14:paraId="7FA77BA0" w14:textId="77777777" w:rsidR="00532088" w:rsidRPr="0079354F" w:rsidRDefault="00532088" w:rsidP="00532088">
      <w:pPr>
        <w:pStyle w:val="CommentText"/>
        <w:rPr>
          <w:sz w:val="24"/>
          <w:szCs w:val="24"/>
        </w:rPr>
      </w:pPr>
    </w:p>
    <w:p w14:paraId="573EA49B" w14:textId="77777777" w:rsidR="00532088" w:rsidRPr="0079354F" w:rsidRDefault="00532088" w:rsidP="00532088">
      <w:pPr>
        <w:pStyle w:val="CommentText"/>
        <w:rPr>
          <w:b/>
          <w:bCs/>
          <w:color w:val="E36C0A" w:themeColor="accent6" w:themeShade="BF"/>
          <w:sz w:val="24"/>
          <w:szCs w:val="24"/>
        </w:rPr>
      </w:pPr>
      <w:r w:rsidRPr="00187183">
        <w:rPr>
          <w:b/>
          <w:bCs/>
          <w:color w:val="B85808"/>
          <w:sz w:val="24"/>
          <w:szCs w:val="24"/>
        </w:rPr>
        <w:t>Family Literacy</w:t>
      </w:r>
      <w:r w:rsidR="00157FA1" w:rsidRPr="00187183">
        <w:rPr>
          <w:b/>
          <w:bCs/>
          <w:color w:val="B85808"/>
          <w:sz w:val="24"/>
          <w:szCs w:val="24"/>
        </w:rPr>
        <w:t xml:space="preserve"> Activities</w:t>
      </w:r>
      <w:r w:rsidR="00157FA1" w:rsidRPr="00187183">
        <w:rPr>
          <w:rStyle w:val="FootnoteReference"/>
          <w:b/>
          <w:bCs/>
          <w:color w:val="B85808"/>
          <w:sz w:val="24"/>
          <w:szCs w:val="24"/>
        </w:rPr>
        <w:footnoteReference w:id="15"/>
      </w:r>
    </w:p>
    <w:p w14:paraId="193DB556" w14:textId="77777777" w:rsidR="000C0954" w:rsidRPr="0079354F" w:rsidRDefault="3EE0B0AD" w:rsidP="003D2AD7">
      <w:pPr>
        <w:pStyle w:val="CommentText"/>
        <w:rPr>
          <w:sz w:val="24"/>
          <w:szCs w:val="24"/>
        </w:rPr>
      </w:pPr>
      <w:r w:rsidRPr="0079354F">
        <w:rPr>
          <w:sz w:val="24"/>
          <w:szCs w:val="24"/>
        </w:rPr>
        <w:t>Family literacy refers to</w:t>
      </w:r>
      <w:r w:rsidRPr="0079354F">
        <w:rPr>
          <w:color w:val="FF0000"/>
          <w:sz w:val="24"/>
          <w:szCs w:val="24"/>
        </w:rPr>
        <w:t xml:space="preserve"> </w:t>
      </w:r>
      <w:r w:rsidRPr="0079354F">
        <w:rPr>
          <w:rStyle w:val="tgc"/>
          <w:sz w:val="24"/>
          <w:szCs w:val="24"/>
        </w:rPr>
        <w:t>parents</w:t>
      </w:r>
      <w:r w:rsidR="00532088" w:rsidRPr="0079354F">
        <w:rPr>
          <w:rStyle w:val="FootnoteReference"/>
          <w:sz w:val="24"/>
          <w:szCs w:val="24"/>
        </w:rPr>
        <w:footnoteReference w:id="16"/>
      </w:r>
      <w:r w:rsidRPr="0079354F">
        <w:rPr>
          <w:rStyle w:val="tgc"/>
          <w:sz w:val="24"/>
          <w:szCs w:val="24"/>
        </w:rPr>
        <w:t xml:space="preserve"> and children learning together. </w:t>
      </w:r>
      <w:r w:rsidRPr="0079354F">
        <w:rPr>
          <w:sz w:val="24"/>
          <w:szCs w:val="24"/>
        </w:rPr>
        <w:t>Innovative adult education programs can help both generations in the family succeed by building the capacity of students to improve their language and literacy skills while learning how to better support their children’s learning. Tools that can help accomplish these goals include but are not limited to shared reading, interactive literacy activities, parenting support, and helping parents communicate more effectively with their children’s teachers. Family literacy services may be provided to A</w:t>
      </w:r>
      <w:r w:rsidR="01A5B065" w:rsidRPr="0079354F">
        <w:rPr>
          <w:sz w:val="24"/>
          <w:szCs w:val="24"/>
        </w:rPr>
        <w:t>BE and</w:t>
      </w:r>
      <w:r w:rsidRPr="0079354F">
        <w:rPr>
          <w:sz w:val="24"/>
          <w:szCs w:val="24"/>
        </w:rPr>
        <w:t xml:space="preserve"> ESOL students.</w:t>
      </w:r>
    </w:p>
    <w:p w14:paraId="6F6274B6" w14:textId="77777777" w:rsidR="002C4C2C" w:rsidRPr="0079354F" w:rsidRDefault="002C4C2C" w:rsidP="00A36A19">
      <w:pPr>
        <w:pStyle w:val="Heading3"/>
      </w:pPr>
    </w:p>
    <w:p w14:paraId="2F246D78" w14:textId="62729773" w:rsidR="000C0954" w:rsidRPr="00DA0CAB" w:rsidRDefault="006815D2" w:rsidP="00A36A19">
      <w:pPr>
        <w:pStyle w:val="Heading3"/>
        <w:rPr>
          <w:b/>
          <w:bCs/>
        </w:rPr>
      </w:pPr>
      <w:bookmarkStart w:id="33" w:name="_Toc109195967"/>
      <w:r w:rsidRPr="1E8607B9">
        <w:rPr>
          <w:b/>
          <w:bCs/>
        </w:rPr>
        <w:t xml:space="preserve">Program </w:t>
      </w:r>
      <w:r w:rsidR="000C0954" w:rsidRPr="1E8607B9">
        <w:rPr>
          <w:b/>
          <w:bCs/>
        </w:rPr>
        <w:t>Delivery Options</w:t>
      </w:r>
      <w:bookmarkEnd w:id="33"/>
    </w:p>
    <w:p w14:paraId="73FE8C2E" w14:textId="1C0EF236" w:rsidR="00EF5766" w:rsidRPr="0079354F" w:rsidRDefault="7CF69C4D" w:rsidP="43F4256D">
      <w:pPr>
        <w:pStyle w:val="paragraph"/>
        <w:spacing w:before="0" w:beforeAutospacing="0" w:after="0" w:afterAutospacing="0"/>
        <w:textAlignment w:val="baseline"/>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CALCs are encouraged to incorporate a variety of class designs </w:t>
      </w:r>
      <w:r w:rsidR="7ADF769E" w:rsidRPr="0079354F">
        <w:rPr>
          <w:rFonts w:ascii="Times New Roman" w:eastAsia="Times New Roman" w:hAnsi="Times New Roman" w:cs="Times New Roman"/>
          <w:sz w:val="24"/>
          <w:szCs w:val="24"/>
        </w:rPr>
        <w:t xml:space="preserve">which meet the needs of learners in their program area including </w:t>
      </w:r>
      <w:r w:rsidR="1C9AB965" w:rsidRPr="0079354F">
        <w:rPr>
          <w:rFonts w:ascii="Times New Roman" w:eastAsia="Times New Roman" w:hAnsi="Times New Roman" w:cs="Times New Roman"/>
          <w:sz w:val="24"/>
          <w:szCs w:val="24"/>
        </w:rPr>
        <w:t>in-person</w:t>
      </w:r>
      <w:r w:rsidRPr="0079354F">
        <w:rPr>
          <w:rFonts w:ascii="Times New Roman" w:eastAsia="Times New Roman" w:hAnsi="Times New Roman" w:cs="Times New Roman"/>
          <w:sz w:val="24"/>
          <w:szCs w:val="24"/>
        </w:rPr>
        <w:t xml:space="preserve"> </w:t>
      </w:r>
      <w:r w:rsidR="1C9AB965" w:rsidRPr="0079354F">
        <w:rPr>
          <w:rFonts w:ascii="Times New Roman" w:eastAsia="Times New Roman" w:hAnsi="Times New Roman" w:cs="Times New Roman"/>
          <w:sz w:val="24"/>
          <w:szCs w:val="24"/>
        </w:rPr>
        <w:t>face-to-face</w:t>
      </w:r>
      <w:r w:rsidRPr="0079354F">
        <w:rPr>
          <w:rFonts w:ascii="Times New Roman" w:eastAsia="Times New Roman" w:hAnsi="Times New Roman" w:cs="Times New Roman"/>
          <w:sz w:val="24"/>
          <w:szCs w:val="24"/>
        </w:rPr>
        <w:t>, distance education</w:t>
      </w:r>
      <w:r w:rsidR="1C9AB965"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and hybrid options.</w:t>
      </w:r>
    </w:p>
    <w:p w14:paraId="24852011" w14:textId="77777777" w:rsidR="00BD2AE3" w:rsidRPr="0079354F" w:rsidRDefault="00BD2AE3" w:rsidP="00EF5766">
      <w:pPr>
        <w:pStyle w:val="paragraph"/>
        <w:spacing w:before="0" w:beforeAutospacing="0" w:after="0" w:afterAutospacing="0"/>
        <w:textAlignment w:val="baseline"/>
      </w:pPr>
    </w:p>
    <w:p w14:paraId="579C7839" w14:textId="046ECBCD" w:rsidR="00EF5766" w:rsidRPr="0079354F" w:rsidRDefault="00EF5766" w:rsidP="00EF5766">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Face-to-Face (F2F) Education</w:t>
      </w:r>
    </w:p>
    <w:p w14:paraId="28BCFC9F" w14:textId="76AFAEF1" w:rsidR="00EF5766" w:rsidRPr="0079354F" w:rsidRDefault="00EF5766" w:rsidP="00EF5766">
      <w:pPr>
        <w:pStyle w:val="paragraph"/>
        <w:spacing w:before="0" w:beforeAutospacing="0" w:after="0" w:afterAutospacing="0"/>
        <w:textAlignment w:val="baseline"/>
        <w:rPr>
          <w:rStyle w:val="eop"/>
          <w:rFonts w:ascii="Times New Roman" w:hAnsi="Times New Roman" w:cs="Times New Roman"/>
          <w:sz w:val="24"/>
          <w:szCs w:val="24"/>
        </w:rPr>
      </w:pPr>
      <w:r w:rsidRPr="0079354F">
        <w:rPr>
          <w:rStyle w:val="eop"/>
          <w:rFonts w:ascii="Times New Roman" w:hAnsi="Times New Roman" w:cs="Times New Roman"/>
          <w:sz w:val="24"/>
          <w:szCs w:val="24"/>
        </w:rPr>
        <w:t>In-person F2F instruction</w:t>
      </w:r>
      <w:r w:rsidRPr="0079354F">
        <w:rPr>
          <w:rFonts w:ascii="Times New Roman" w:hAnsi="Times New Roman" w:cs="Times New Roman"/>
          <w:sz w:val="24"/>
          <w:szCs w:val="24"/>
        </w:rPr>
        <w:t xml:space="preserve"> </w:t>
      </w:r>
      <w:r w:rsidRPr="0079354F">
        <w:rPr>
          <w:rStyle w:val="normaltextrun"/>
          <w:rFonts w:ascii="Times New Roman" w:hAnsi="Times New Roman" w:cs="Times New Roman"/>
          <w:sz w:val="24"/>
          <w:szCs w:val="24"/>
        </w:rPr>
        <w:t>refers to face-to-face instruction delivered in a physical classroom.</w:t>
      </w:r>
    </w:p>
    <w:p w14:paraId="2754F19C" w14:textId="77777777" w:rsidR="003471D7" w:rsidRPr="0079354F" w:rsidRDefault="003471D7" w:rsidP="0047675C"/>
    <w:p w14:paraId="34AD80A0" w14:textId="0060DF70" w:rsidR="00EF5766" w:rsidRPr="0079354F" w:rsidRDefault="00EF5766" w:rsidP="272CDB5B">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Distance Education (DE)</w:t>
      </w:r>
    </w:p>
    <w:p w14:paraId="6A30B3AA" w14:textId="4E345E7E" w:rsidR="00EF5766" w:rsidRPr="0079354F" w:rsidRDefault="0992688D" w:rsidP="253E051E">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D</w:t>
      </w:r>
      <w:r w:rsidR="79820339" w:rsidRPr="0079354F">
        <w:rPr>
          <w:rStyle w:val="normaltextrun"/>
          <w:rFonts w:ascii="Times New Roman" w:hAnsi="Times New Roman" w:cs="Times New Roman"/>
          <w:sz w:val="24"/>
          <w:szCs w:val="24"/>
        </w:rPr>
        <w:t>E</w:t>
      </w:r>
      <w:r w:rsidR="00730826" w:rsidRPr="0079354F">
        <w:rPr>
          <w:rStyle w:val="FootnoteReference"/>
          <w:rFonts w:ascii="Times New Roman" w:hAnsi="Times New Roman" w:cs="Times New Roman"/>
          <w:sz w:val="24"/>
          <w:szCs w:val="24"/>
        </w:rPr>
        <w:footnoteReference w:id="17"/>
      </w:r>
      <w:r w:rsidRPr="0079354F">
        <w:rPr>
          <w:rStyle w:val="normaltextrun"/>
          <w:rFonts w:ascii="Times New Roman" w:hAnsi="Times New Roman" w:cs="Times New Roman"/>
          <w:sz w:val="24"/>
          <w:szCs w:val="24"/>
        </w:rPr>
        <w:t> is defined</w:t>
      </w:r>
      <w:r w:rsidR="006678AF" w:rsidRPr="0079354F">
        <w:rPr>
          <w:rStyle w:val="normaltextrun"/>
          <w:rFonts w:ascii="Times New Roman" w:hAnsi="Times New Roman" w:cs="Times New Roman"/>
          <w:sz w:val="24"/>
          <w:szCs w:val="24"/>
        </w:rPr>
        <w:t xml:space="preserve"> in the </w:t>
      </w:r>
      <w:r w:rsidR="00EB1327" w:rsidRPr="0079354F">
        <w:rPr>
          <w:rStyle w:val="normaltextrun"/>
          <w:rFonts w:ascii="Times New Roman" w:hAnsi="Times New Roman" w:cs="Times New Roman"/>
          <w:sz w:val="24"/>
          <w:szCs w:val="24"/>
        </w:rPr>
        <w:t xml:space="preserve">National Reporting System (NRS) </w:t>
      </w:r>
      <w:r w:rsidRPr="0079354F">
        <w:rPr>
          <w:rStyle w:val="normaltextrun"/>
          <w:rFonts w:ascii="Times New Roman" w:hAnsi="Times New Roman" w:cs="Times New Roman"/>
          <w:sz w:val="24"/>
          <w:szCs w:val="24"/>
        </w:rPr>
        <w:t>as:</w:t>
      </w:r>
      <w:r w:rsidRPr="0079354F">
        <w:rPr>
          <w:rStyle w:val="eop"/>
          <w:rFonts w:ascii="Times New Roman" w:hAnsi="Times New Roman" w:cs="Times New Roman"/>
          <w:sz w:val="24"/>
          <w:szCs w:val="24"/>
        </w:rPr>
        <w:t xml:space="preserve"> </w:t>
      </w:r>
      <w:r w:rsidRPr="0079354F">
        <w:rPr>
          <w:rStyle w:val="normaltextrun"/>
          <w:rFonts w:ascii="Times New Roman" w:hAnsi="Times New Roman" w:cs="Times New Roman"/>
          <w:sz w:val="24"/>
          <w:szCs w:val="24"/>
        </w:rP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via mail, telephone, e-mail, or online technologies and softwa</w:t>
      </w:r>
      <w:r w:rsidR="00B3078D" w:rsidRPr="0079354F">
        <w:rPr>
          <w:rStyle w:val="normaltextrun"/>
          <w:rFonts w:ascii="Times New Roman" w:hAnsi="Times New Roman" w:cs="Times New Roman"/>
          <w:sz w:val="24"/>
          <w:szCs w:val="24"/>
        </w:rPr>
        <w:t>re.</w:t>
      </w:r>
      <w:r w:rsidR="00EB1327" w:rsidRPr="0079354F">
        <w:rPr>
          <w:rStyle w:val="FootnoteReference"/>
          <w:rFonts w:ascii="Times New Roman" w:hAnsi="Times New Roman" w:cs="Times New Roman"/>
          <w:sz w:val="24"/>
          <w:szCs w:val="24"/>
        </w:rPr>
        <w:footnoteReference w:id="18"/>
      </w:r>
    </w:p>
    <w:p w14:paraId="69695F17" w14:textId="77777777" w:rsidR="00EF5766" w:rsidRPr="0079354F" w:rsidRDefault="00EF5766" w:rsidP="00D21169">
      <w:pPr>
        <w:pStyle w:val="paragraph"/>
        <w:spacing w:before="0" w:beforeAutospacing="0" w:after="0" w:afterAutospacing="0"/>
        <w:textAlignment w:val="baseline"/>
      </w:pPr>
    </w:p>
    <w:p w14:paraId="0A71E97F" w14:textId="6A472FAC" w:rsidR="00EF5766" w:rsidRPr="0079354F" w:rsidRDefault="00EF5766" w:rsidP="2C87A253">
      <w:pPr>
        <w:pStyle w:val="paragraph"/>
        <w:spacing w:before="0" w:beforeAutospacing="0" w:after="0" w:afterAutospacing="0"/>
        <w:textAlignment w:val="baseline"/>
        <w:rPr>
          <w:rFonts w:ascii="Times New Roman" w:hAnsi="Times New Roman" w:cs="Times New Roman"/>
          <w:sz w:val="24"/>
          <w:szCs w:val="24"/>
        </w:rPr>
      </w:pPr>
      <w:r w:rsidRPr="2C87A253">
        <w:rPr>
          <w:rFonts w:ascii="Times New Roman" w:hAnsi="Times New Roman" w:cs="Times New Roman"/>
          <w:sz w:val="24"/>
          <w:szCs w:val="24"/>
        </w:rPr>
        <w:t>A DE</w:t>
      </w:r>
      <w:r w:rsidR="00EB1327" w:rsidRPr="2C87A253">
        <w:rPr>
          <w:rStyle w:val="normaltextrun"/>
          <w:rFonts w:ascii="Times New Roman" w:hAnsi="Times New Roman" w:cs="Times New Roman"/>
          <w:sz w:val="24"/>
          <w:szCs w:val="24"/>
        </w:rPr>
        <w:t xml:space="preserve"> </w:t>
      </w:r>
      <w:r w:rsidRPr="2C87A253">
        <w:rPr>
          <w:rFonts w:ascii="Times New Roman" w:hAnsi="Times New Roman" w:cs="Times New Roman"/>
          <w:sz w:val="24"/>
          <w:szCs w:val="24"/>
        </w:rPr>
        <w:t>participant receives all or a majority of instruction through distance methods.</w:t>
      </w:r>
      <w:r w:rsidR="00141C32" w:rsidRPr="2C87A253">
        <w:rPr>
          <w:rFonts w:ascii="Times New Roman" w:hAnsi="Times New Roman" w:cs="Times New Roman"/>
          <w:sz w:val="24"/>
          <w:szCs w:val="24"/>
        </w:rPr>
        <w:t xml:space="preserve"> </w:t>
      </w:r>
      <w:r w:rsidR="006678AF" w:rsidRPr="2C87A253">
        <w:rPr>
          <w:rFonts w:ascii="Times New Roman" w:hAnsi="Times New Roman" w:cs="Times New Roman"/>
          <w:sz w:val="24"/>
          <w:szCs w:val="24"/>
        </w:rPr>
        <w:t>When</w:t>
      </w:r>
      <w:r w:rsidRPr="2C87A253">
        <w:rPr>
          <w:rFonts w:ascii="Times New Roman" w:hAnsi="Times New Roman" w:cs="Times New Roman"/>
          <w:sz w:val="24"/>
          <w:szCs w:val="24"/>
        </w:rPr>
        <w:t xml:space="preserve"> </w:t>
      </w:r>
      <w:r w:rsidR="00141C32" w:rsidRPr="2C87A253">
        <w:rPr>
          <w:rFonts w:ascii="Times New Roman" w:hAnsi="Times New Roman" w:cs="Times New Roman"/>
          <w:sz w:val="24"/>
          <w:szCs w:val="24"/>
        </w:rPr>
        <w:t xml:space="preserve">a </w:t>
      </w:r>
      <w:r w:rsidRPr="2C87A253">
        <w:rPr>
          <w:rFonts w:ascii="Times New Roman" w:hAnsi="Times New Roman" w:cs="Times New Roman"/>
          <w:sz w:val="24"/>
          <w:szCs w:val="24"/>
        </w:rPr>
        <w:t>participant receive</w:t>
      </w:r>
      <w:r w:rsidR="00141C32" w:rsidRPr="2C87A253">
        <w:rPr>
          <w:rFonts w:ascii="Times New Roman" w:hAnsi="Times New Roman" w:cs="Times New Roman"/>
          <w:sz w:val="24"/>
          <w:szCs w:val="24"/>
        </w:rPr>
        <w:t>s</w:t>
      </w:r>
      <w:r w:rsidRPr="2C87A253">
        <w:rPr>
          <w:rFonts w:ascii="Times New Roman" w:hAnsi="Times New Roman" w:cs="Times New Roman"/>
          <w:sz w:val="24"/>
          <w:szCs w:val="24"/>
        </w:rPr>
        <w:t xml:space="preserve"> both </w:t>
      </w:r>
      <w:r w:rsidR="00480E0C" w:rsidRPr="2C87A253">
        <w:rPr>
          <w:rFonts w:ascii="Times New Roman" w:hAnsi="Times New Roman" w:cs="Times New Roman"/>
          <w:sz w:val="24"/>
          <w:szCs w:val="24"/>
        </w:rPr>
        <w:t>DE</w:t>
      </w:r>
      <w:r w:rsidRPr="2C87A253">
        <w:rPr>
          <w:rFonts w:ascii="Times New Roman" w:hAnsi="Times New Roman" w:cs="Times New Roman"/>
          <w:sz w:val="24"/>
          <w:szCs w:val="24"/>
        </w:rPr>
        <w:t xml:space="preserve"> and </w:t>
      </w:r>
      <w:r w:rsidR="00141C32" w:rsidRPr="2C87A253">
        <w:rPr>
          <w:rFonts w:ascii="Times New Roman" w:hAnsi="Times New Roman" w:cs="Times New Roman"/>
          <w:sz w:val="24"/>
          <w:szCs w:val="24"/>
        </w:rPr>
        <w:t>traditional classroom</w:t>
      </w:r>
      <w:r w:rsidRPr="2C87A253">
        <w:rPr>
          <w:rFonts w:ascii="Times New Roman" w:hAnsi="Times New Roman" w:cs="Times New Roman"/>
          <w:sz w:val="24"/>
          <w:szCs w:val="24"/>
        </w:rPr>
        <w:t xml:space="preserve"> instruction during a program year, ACLS reviews the total number of instructional hours for </w:t>
      </w:r>
      <w:r w:rsidR="00141C32" w:rsidRPr="2C87A253">
        <w:rPr>
          <w:rFonts w:ascii="Times New Roman" w:hAnsi="Times New Roman" w:cs="Times New Roman"/>
          <w:sz w:val="24"/>
          <w:szCs w:val="24"/>
        </w:rPr>
        <w:t>the</w:t>
      </w:r>
      <w:r w:rsidRPr="2C87A253">
        <w:rPr>
          <w:rFonts w:ascii="Times New Roman" w:hAnsi="Times New Roman" w:cs="Times New Roman"/>
          <w:sz w:val="24"/>
          <w:szCs w:val="24"/>
        </w:rPr>
        <w:t xml:space="preserve"> student</w:t>
      </w:r>
      <w:r w:rsidR="006055F5" w:rsidRPr="2C87A253">
        <w:rPr>
          <w:rFonts w:ascii="Times New Roman" w:hAnsi="Times New Roman" w:cs="Times New Roman"/>
          <w:sz w:val="24"/>
          <w:szCs w:val="24"/>
        </w:rPr>
        <w:t>. Any</w:t>
      </w:r>
      <w:r w:rsidRPr="2C87A253">
        <w:rPr>
          <w:rFonts w:ascii="Times New Roman" w:hAnsi="Times New Roman" w:cs="Times New Roman"/>
          <w:sz w:val="24"/>
          <w:szCs w:val="24"/>
        </w:rPr>
        <w:t xml:space="preserve"> student </w:t>
      </w:r>
      <w:r w:rsidR="006055F5" w:rsidRPr="2C87A253">
        <w:rPr>
          <w:rFonts w:ascii="Times New Roman" w:hAnsi="Times New Roman" w:cs="Times New Roman"/>
          <w:sz w:val="24"/>
          <w:szCs w:val="24"/>
        </w:rPr>
        <w:t xml:space="preserve">that </w:t>
      </w:r>
      <w:r w:rsidRPr="2C87A253">
        <w:rPr>
          <w:rFonts w:ascii="Times New Roman" w:hAnsi="Times New Roman" w:cs="Times New Roman"/>
          <w:sz w:val="24"/>
          <w:szCs w:val="24"/>
        </w:rPr>
        <w:t xml:space="preserve">has </w:t>
      </w:r>
      <w:r w:rsidR="0061492D" w:rsidRPr="2C87A253">
        <w:rPr>
          <w:rFonts w:ascii="Times New Roman" w:hAnsi="Times New Roman" w:cs="Times New Roman"/>
          <w:sz w:val="24"/>
          <w:szCs w:val="24"/>
        </w:rPr>
        <w:t xml:space="preserve">greater than </w:t>
      </w:r>
      <w:r w:rsidRPr="2C87A253">
        <w:rPr>
          <w:rFonts w:ascii="Times New Roman" w:hAnsi="Times New Roman" w:cs="Times New Roman"/>
          <w:sz w:val="24"/>
          <w:szCs w:val="24"/>
        </w:rPr>
        <w:t>50% of their hours in Instruction – Distance Learning categories in LACES</w:t>
      </w:r>
      <w:r w:rsidR="006055F5" w:rsidRPr="2C87A253">
        <w:rPr>
          <w:rFonts w:ascii="Times New Roman" w:hAnsi="Times New Roman" w:cs="Times New Roman"/>
          <w:sz w:val="24"/>
          <w:szCs w:val="24"/>
        </w:rPr>
        <w:t xml:space="preserve"> </w:t>
      </w:r>
      <w:r w:rsidR="00141C32" w:rsidRPr="2C87A253">
        <w:rPr>
          <w:rFonts w:ascii="Times New Roman" w:hAnsi="Times New Roman" w:cs="Times New Roman"/>
          <w:sz w:val="24"/>
          <w:szCs w:val="24"/>
        </w:rPr>
        <w:t>is</w:t>
      </w:r>
      <w:r w:rsidRPr="2C87A253">
        <w:rPr>
          <w:rFonts w:ascii="Times New Roman" w:hAnsi="Times New Roman" w:cs="Times New Roman"/>
          <w:sz w:val="24"/>
          <w:szCs w:val="24"/>
        </w:rPr>
        <w:t xml:space="preserve"> considered a </w:t>
      </w:r>
      <w:r w:rsidR="00141C32" w:rsidRPr="2C87A253">
        <w:rPr>
          <w:rFonts w:ascii="Times New Roman" w:hAnsi="Times New Roman" w:cs="Times New Roman"/>
          <w:sz w:val="24"/>
          <w:szCs w:val="24"/>
        </w:rPr>
        <w:t>DE</w:t>
      </w:r>
      <w:r w:rsidRPr="2C87A253">
        <w:rPr>
          <w:rFonts w:ascii="Times New Roman" w:hAnsi="Times New Roman" w:cs="Times New Roman"/>
          <w:sz w:val="24"/>
          <w:szCs w:val="24"/>
        </w:rPr>
        <w:t xml:space="preserve"> participant. For NRS reporting, states can count a participant only once, as either a </w:t>
      </w:r>
      <w:r w:rsidR="00D616EE" w:rsidRPr="2C87A253">
        <w:rPr>
          <w:rFonts w:ascii="Times New Roman" w:hAnsi="Times New Roman" w:cs="Times New Roman"/>
          <w:sz w:val="24"/>
          <w:szCs w:val="24"/>
        </w:rPr>
        <w:t>DE</w:t>
      </w:r>
      <w:r w:rsidRPr="2C87A253">
        <w:rPr>
          <w:rFonts w:ascii="Times New Roman" w:hAnsi="Times New Roman" w:cs="Times New Roman"/>
          <w:sz w:val="24"/>
          <w:szCs w:val="24"/>
        </w:rPr>
        <w:t xml:space="preserve"> participant or a traditional classroom participant.</w:t>
      </w:r>
    </w:p>
    <w:p w14:paraId="4F177571" w14:textId="77777777" w:rsidR="00EF5766" w:rsidRPr="0079354F" w:rsidRDefault="00EF5766" w:rsidP="00EF5766">
      <w:pPr>
        <w:pStyle w:val="paragraph"/>
        <w:spacing w:before="0" w:beforeAutospacing="0" w:after="0" w:afterAutospacing="0"/>
        <w:textAlignment w:val="baseline"/>
        <w:rPr>
          <w:rFonts w:ascii="Times New Roman" w:hAnsi="Times New Roman" w:cs="Times New Roman"/>
          <w:b/>
          <w:bCs/>
          <w:sz w:val="24"/>
          <w:szCs w:val="24"/>
        </w:rPr>
      </w:pPr>
    </w:p>
    <w:p w14:paraId="181D4EC0" w14:textId="62B56578" w:rsidR="00EF5766" w:rsidRPr="0079354F" w:rsidRDefault="00EF5766" w:rsidP="00EF5766">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AE programs can provide the following </w:t>
      </w:r>
      <w:r w:rsidR="00132F5C" w:rsidRPr="0079354F">
        <w:rPr>
          <w:rFonts w:ascii="Times New Roman" w:hAnsi="Times New Roman" w:cs="Times New Roman"/>
          <w:sz w:val="24"/>
          <w:szCs w:val="24"/>
        </w:rPr>
        <w:t>DE</w:t>
      </w:r>
      <w:r w:rsidRPr="0079354F">
        <w:rPr>
          <w:rFonts w:ascii="Times New Roman" w:hAnsi="Times New Roman" w:cs="Times New Roman"/>
          <w:sz w:val="24"/>
          <w:szCs w:val="24"/>
        </w:rPr>
        <w:t xml:space="preserve"> options:</w:t>
      </w:r>
    </w:p>
    <w:p w14:paraId="67133A74" w14:textId="4BB1AA81" w:rsidR="00EF5766" w:rsidRPr="0079354F" w:rsidRDefault="00EF5766" w:rsidP="00FC65BD">
      <w:pPr>
        <w:pStyle w:val="paragraph"/>
        <w:numPr>
          <w:ilvl w:val="0"/>
          <w:numId w:val="54"/>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Synchronous: Virtual </w:t>
      </w:r>
      <w:r w:rsidR="00D616EE" w:rsidRPr="0079354F">
        <w:rPr>
          <w:rFonts w:ascii="Times New Roman" w:hAnsi="Times New Roman" w:cs="Times New Roman"/>
          <w:sz w:val="24"/>
          <w:szCs w:val="24"/>
        </w:rPr>
        <w:t>F2F</w:t>
      </w:r>
      <w:r w:rsidRPr="0079354F">
        <w:rPr>
          <w:rFonts w:ascii="Times New Roman" w:hAnsi="Times New Roman" w:cs="Times New Roman"/>
          <w:sz w:val="24"/>
          <w:szCs w:val="24"/>
        </w:rPr>
        <w:t xml:space="preserve"> instruction (e.g., via Zoom)</w:t>
      </w:r>
    </w:p>
    <w:p w14:paraId="59B4B284" w14:textId="4830360A" w:rsidR="00EF5766" w:rsidRPr="0079354F" w:rsidRDefault="00EF5766" w:rsidP="00FC65BD">
      <w:pPr>
        <w:pStyle w:val="paragraph"/>
        <w:numPr>
          <w:ilvl w:val="0"/>
          <w:numId w:val="54"/>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Asynchronous: </w:t>
      </w:r>
      <w:r w:rsidR="00D21169" w:rsidRPr="0079354F">
        <w:rPr>
          <w:rFonts w:ascii="Times New Roman" w:hAnsi="Times New Roman" w:cs="Times New Roman"/>
          <w:sz w:val="24"/>
          <w:szCs w:val="24"/>
        </w:rPr>
        <w:t>U</w:t>
      </w:r>
      <w:r w:rsidRPr="0079354F">
        <w:rPr>
          <w:rFonts w:ascii="Times New Roman" w:hAnsi="Times New Roman" w:cs="Times New Roman"/>
          <w:sz w:val="24"/>
          <w:szCs w:val="24"/>
        </w:rPr>
        <w:t>sing a Learning Management System (LMS) or other online platfor</w:t>
      </w:r>
      <w:r w:rsidR="006D5118" w:rsidRPr="0079354F">
        <w:rPr>
          <w:rFonts w:ascii="Times New Roman" w:hAnsi="Times New Roman" w:cs="Times New Roman"/>
          <w:sz w:val="24"/>
          <w:szCs w:val="24"/>
        </w:rPr>
        <w:t>m or</w:t>
      </w:r>
      <w:r w:rsidRPr="0079354F">
        <w:rPr>
          <w:rFonts w:ascii="Times New Roman" w:hAnsi="Times New Roman" w:cs="Times New Roman"/>
          <w:sz w:val="24"/>
          <w:szCs w:val="24"/>
        </w:rPr>
        <w:t xml:space="preserve"> paper packets. Though learning is asynchronous, it is assumed there is instruction available to students via instructor recorded or other video.</w:t>
      </w:r>
    </w:p>
    <w:p w14:paraId="043155E9" w14:textId="05698FDD" w:rsidR="00EF5766" w:rsidRPr="0079354F" w:rsidRDefault="7CF69C4D" w:rsidP="00FC65BD">
      <w:pPr>
        <w:pStyle w:val="paragraph"/>
        <w:numPr>
          <w:ilvl w:val="0"/>
          <w:numId w:val="54"/>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Blended: </w:t>
      </w:r>
      <w:r w:rsidR="1D96BACE" w:rsidRPr="0079354F">
        <w:rPr>
          <w:rFonts w:ascii="Times New Roman" w:hAnsi="Times New Roman" w:cs="Times New Roman"/>
          <w:sz w:val="24"/>
          <w:szCs w:val="24"/>
        </w:rPr>
        <w:t>A</w:t>
      </w:r>
      <w:r w:rsidRPr="0079354F">
        <w:rPr>
          <w:rFonts w:ascii="Times New Roman" w:hAnsi="Times New Roman" w:cs="Times New Roman"/>
          <w:sz w:val="24"/>
          <w:szCs w:val="24"/>
        </w:rPr>
        <w:t xml:space="preserve"> model which “blends” synchronous and asynchronous </w:t>
      </w:r>
      <w:r w:rsidR="36BFBE9C" w:rsidRPr="0079354F">
        <w:rPr>
          <w:rFonts w:ascii="Times New Roman" w:hAnsi="Times New Roman" w:cs="Times New Roman"/>
          <w:sz w:val="24"/>
          <w:szCs w:val="24"/>
        </w:rPr>
        <w:t>instruction</w:t>
      </w:r>
      <w:r w:rsidRPr="0079354F">
        <w:rPr>
          <w:rFonts w:ascii="Times New Roman" w:hAnsi="Times New Roman" w:cs="Times New Roman"/>
          <w:sz w:val="24"/>
          <w:szCs w:val="24"/>
        </w:rPr>
        <w:t>.</w:t>
      </w:r>
    </w:p>
    <w:p w14:paraId="3014C580" w14:textId="77777777" w:rsidR="00EF5766" w:rsidRPr="0079354F" w:rsidRDefault="00EF5766" w:rsidP="00EF5766">
      <w:pPr>
        <w:pStyle w:val="paragraph"/>
        <w:spacing w:before="0" w:beforeAutospacing="0" w:after="0" w:afterAutospacing="0"/>
        <w:textAlignment w:val="baseline"/>
        <w:rPr>
          <w:rFonts w:ascii="Times New Roman" w:hAnsi="Times New Roman" w:cs="Times New Roman"/>
          <w:sz w:val="24"/>
          <w:szCs w:val="24"/>
        </w:rPr>
      </w:pPr>
    </w:p>
    <w:p w14:paraId="2B417295" w14:textId="123CEA61" w:rsidR="00D21169" w:rsidRPr="0079354F" w:rsidRDefault="4851D6CE" w:rsidP="1A7FBEF1">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Hybrid Education</w:t>
      </w:r>
      <w:r w:rsidR="4D048C9A" w:rsidRPr="00187183">
        <w:rPr>
          <w:rFonts w:ascii="Times New Roman" w:eastAsia="Calibri" w:hAnsi="Times New Roman" w:cs="Times New Roman"/>
          <w:b/>
          <w:bCs/>
          <w:color w:val="B85808"/>
          <w:sz w:val="24"/>
          <w:szCs w:val="24"/>
        </w:rPr>
        <w:t xml:space="preserve"> (HE)</w:t>
      </w:r>
    </w:p>
    <w:p w14:paraId="3FB15E82" w14:textId="640289E1" w:rsidR="00D21169" w:rsidRPr="0079354F" w:rsidRDefault="00D21169" w:rsidP="00EF5766">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HE </w:t>
      </w:r>
      <w:r w:rsidR="00EF5766" w:rsidRPr="0079354F">
        <w:rPr>
          <w:rFonts w:ascii="Times New Roman" w:hAnsi="Times New Roman" w:cs="Times New Roman"/>
          <w:sz w:val="24"/>
          <w:szCs w:val="24"/>
        </w:rPr>
        <w:t xml:space="preserve">combines </w:t>
      </w:r>
      <w:r w:rsidR="00132F5C" w:rsidRPr="0079354F">
        <w:rPr>
          <w:rFonts w:ascii="Times New Roman" w:hAnsi="Times New Roman" w:cs="Times New Roman"/>
          <w:sz w:val="24"/>
          <w:szCs w:val="24"/>
        </w:rPr>
        <w:t>i</w:t>
      </w:r>
      <w:r w:rsidR="00EF5766" w:rsidRPr="0079354F">
        <w:rPr>
          <w:rFonts w:ascii="Times New Roman" w:hAnsi="Times New Roman" w:cs="Times New Roman"/>
          <w:sz w:val="24"/>
          <w:szCs w:val="24"/>
        </w:rPr>
        <w:t xml:space="preserve">n-person </w:t>
      </w:r>
      <w:r w:rsidRPr="0079354F">
        <w:rPr>
          <w:rFonts w:ascii="Times New Roman" w:hAnsi="Times New Roman" w:cs="Times New Roman"/>
          <w:sz w:val="24"/>
          <w:szCs w:val="24"/>
        </w:rPr>
        <w:t>F2F</w:t>
      </w:r>
      <w:r w:rsidR="00EF5766" w:rsidRPr="0079354F">
        <w:rPr>
          <w:rFonts w:ascii="Times New Roman" w:hAnsi="Times New Roman" w:cs="Times New Roman"/>
          <w:sz w:val="24"/>
          <w:szCs w:val="24"/>
        </w:rPr>
        <w:t xml:space="preserve"> and DE</w:t>
      </w:r>
      <w:r w:rsidRPr="0079354F">
        <w:rPr>
          <w:rFonts w:ascii="Times New Roman" w:hAnsi="Times New Roman" w:cs="Times New Roman"/>
          <w:sz w:val="24"/>
          <w:szCs w:val="24"/>
        </w:rPr>
        <w:t xml:space="preserve">. </w:t>
      </w:r>
      <w:r w:rsidR="00141C32" w:rsidRPr="0079354F">
        <w:rPr>
          <w:rFonts w:ascii="Times New Roman" w:hAnsi="Times New Roman" w:cs="Times New Roman"/>
          <w:sz w:val="24"/>
          <w:szCs w:val="24"/>
        </w:rPr>
        <w:t>AE p</w:t>
      </w:r>
      <w:r w:rsidRPr="0079354F">
        <w:rPr>
          <w:rFonts w:ascii="Times New Roman" w:hAnsi="Times New Roman" w:cs="Times New Roman"/>
          <w:sz w:val="24"/>
          <w:szCs w:val="24"/>
        </w:rPr>
        <w:t xml:space="preserve">rograms can provide the following </w:t>
      </w:r>
      <w:r w:rsidR="00132F5C" w:rsidRPr="0079354F">
        <w:rPr>
          <w:rFonts w:ascii="Times New Roman" w:hAnsi="Times New Roman" w:cs="Times New Roman"/>
          <w:sz w:val="24"/>
          <w:szCs w:val="24"/>
        </w:rPr>
        <w:t>HE</w:t>
      </w:r>
      <w:r w:rsidRPr="0079354F">
        <w:rPr>
          <w:rFonts w:ascii="Times New Roman" w:hAnsi="Times New Roman" w:cs="Times New Roman"/>
          <w:sz w:val="24"/>
          <w:szCs w:val="24"/>
        </w:rPr>
        <w:t xml:space="preserve"> options:</w:t>
      </w:r>
    </w:p>
    <w:p w14:paraId="2F8F7C4F" w14:textId="02A195D3" w:rsidR="00EF5766" w:rsidRPr="0079354F" w:rsidRDefault="00D21169" w:rsidP="00FC65BD">
      <w:pPr>
        <w:pStyle w:val="paragraph"/>
        <w:numPr>
          <w:ilvl w:val="0"/>
          <w:numId w:val="55"/>
        </w:numPr>
        <w:spacing w:before="0" w:beforeAutospacing="0" w:after="0" w:afterAutospacing="0"/>
        <w:ind w:left="720"/>
        <w:textAlignment w:val="baseline"/>
        <w:rPr>
          <w:rStyle w:val="eop"/>
          <w:rFonts w:ascii="Times New Roman" w:hAnsi="Times New Roman" w:cs="Times New Roman"/>
          <w:sz w:val="24"/>
          <w:szCs w:val="24"/>
        </w:rPr>
      </w:pPr>
      <w:r w:rsidRPr="0079354F">
        <w:rPr>
          <w:rFonts w:ascii="Times New Roman" w:hAnsi="Times New Roman" w:cs="Times New Roman"/>
          <w:sz w:val="24"/>
          <w:szCs w:val="24"/>
        </w:rPr>
        <w:t>Combined i</w:t>
      </w:r>
      <w:r w:rsidR="00EF5766" w:rsidRPr="0079354F">
        <w:rPr>
          <w:rFonts w:ascii="Times New Roman" w:hAnsi="Times New Roman" w:cs="Times New Roman"/>
          <w:sz w:val="24"/>
          <w:szCs w:val="24"/>
        </w:rPr>
        <w:t xml:space="preserve">n-person </w:t>
      </w:r>
      <w:r w:rsidR="00D616EE" w:rsidRPr="0079354F">
        <w:rPr>
          <w:rFonts w:ascii="Times New Roman" w:hAnsi="Times New Roman" w:cs="Times New Roman"/>
          <w:sz w:val="24"/>
          <w:szCs w:val="24"/>
        </w:rPr>
        <w:t>F2F</w:t>
      </w:r>
      <w:r w:rsidR="00EF5766" w:rsidRPr="0079354F">
        <w:rPr>
          <w:rFonts w:ascii="Times New Roman" w:hAnsi="Times New Roman" w:cs="Times New Roman"/>
          <w:sz w:val="24"/>
          <w:szCs w:val="24"/>
        </w:rPr>
        <w:t xml:space="preserve"> and online </w:t>
      </w:r>
      <w:r w:rsidR="00EF5766" w:rsidRPr="0079354F">
        <w:rPr>
          <w:rStyle w:val="eop"/>
          <w:rFonts w:ascii="Times New Roman" w:hAnsi="Times New Roman" w:cs="Times New Roman"/>
          <w:sz w:val="24"/>
          <w:szCs w:val="24"/>
        </w:rPr>
        <w:t>synchronous</w:t>
      </w:r>
      <w:r w:rsidRPr="0079354F">
        <w:rPr>
          <w:rStyle w:val="eop"/>
          <w:rFonts w:ascii="Times New Roman" w:hAnsi="Times New Roman" w:cs="Times New Roman"/>
          <w:sz w:val="24"/>
          <w:szCs w:val="24"/>
        </w:rPr>
        <w:t>: F</w:t>
      </w:r>
      <w:r w:rsidR="00EF5766" w:rsidRPr="0079354F">
        <w:rPr>
          <w:rStyle w:val="eop"/>
          <w:rFonts w:ascii="Times New Roman" w:hAnsi="Times New Roman" w:cs="Times New Roman"/>
          <w:sz w:val="24"/>
          <w:szCs w:val="24"/>
        </w:rPr>
        <w:t xml:space="preserve">or example, a class that meets </w:t>
      </w:r>
      <w:r w:rsidR="0061492D" w:rsidRPr="0079354F">
        <w:rPr>
          <w:rStyle w:val="eop"/>
          <w:rFonts w:ascii="Times New Roman" w:hAnsi="Times New Roman" w:cs="Times New Roman"/>
          <w:sz w:val="24"/>
          <w:szCs w:val="24"/>
        </w:rPr>
        <w:t>six</w:t>
      </w:r>
      <w:r w:rsidR="00EF5766" w:rsidRPr="0079354F">
        <w:rPr>
          <w:rStyle w:val="eop"/>
          <w:rFonts w:ascii="Times New Roman" w:hAnsi="Times New Roman" w:cs="Times New Roman"/>
          <w:sz w:val="24"/>
          <w:szCs w:val="24"/>
        </w:rPr>
        <w:t xml:space="preserve"> h</w:t>
      </w:r>
      <w:r w:rsidR="00141C32"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a week </w:t>
      </w:r>
      <w:r w:rsidR="006D5118" w:rsidRPr="0079354F">
        <w:rPr>
          <w:rStyle w:val="eop"/>
          <w:rFonts w:ascii="Times New Roman" w:hAnsi="Times New Roman" w:cs="Times New Roman"/>
          <w:sz w:val="24"/>
          <w:szCs w:val="24"/>
        </w:rPr>
        <w:t>c</w:t>
      </w:r>
      <w:r w:rsidR="00EF5766" w:rsidRPr="0079354F">
        <w:rPr>
          <w:rStyle w:val="eop"/>
          <w:rFonts w:ascii="Times New Roman" w:hAnsi="Times New Roman" w:cs="Times New Roman"/>
          <w:sz w:val="24"/>
          <w:szCs w:val="24"/>
        </w:rPr>
        <w:t xml:space="preserve">ould have </w:t>
      </w:r>
      <w:r w:rsidR="0061492D" w:rsidRPr="0079354F">
        <w:rPr>
          <w:rStyle w:val="eop"/>
          <w:rFonts w:ascii="Times New Roman" w:hAnsi="Times New Roman" w:cs="Times New Roman"/>
          <w:sz w:val="24"/>
          <w:szCs w:val="24"/>
        </w:rPr>
        <w:t xml:space="preserve">three </w:t>
      </w:r>
      <w:r w:rsidR="00EF5766" w:rsidRPr="0079354F">
        <w:rPr>
          <w:rStyle w:val="eop"/>
          <w:rFonts w:ascii="Times New Roman" w:hAnsi="Times New Roman" w:cs="Times New Roman"/>
          <w:sz w:val="24"/>
          <w:szCs w:val="24"/>
        </w:rPr>
        <w:t>h</w:t>
      </w:r>
      <w:r w:rsidR="006D5118"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in</w:t>
      </w:r>
      <w:r w:rsidR="00E77F27">
        <w:rPr>
          <w:rStyle w:val="eop"/>
          <w:rFonts w:ascii="Times New Roman" w:hAnsi="Times New Roman" w:cs="Times New Roman"/>
          <w:sz w:val="24"/>
          <w:szCs w:val="24"/>
        </w:rPr>
        <w:t>-</w:t>
      </w:r>
      <w:r w:rsidR="00EF5766" w:rsidRPr="0079354F">
        <w:rPr>
          <w:rStyle w:val="eop"/>
          <w:rFonts w:ascii="Times New Roman" w:hAnsi="Times New Roman" w:cs="Times New Roman"/>
          <w:sz w:val="24"/>
          <w:szCs w:val="24"/>
        </w:rPr>
        <w:t xml:space="preserve">person and </w:t>
      </w:r>
      <w:r w:rsidR="0061492D" w:rsidRPr="0079354F">
        <w:rPr>
          <w:rStyle w:val="eop"/>
          <w:rFonts w:ascii="Times New Roman" w:hAnsi="Times New Roman" w:cs="Times New Roman"/>
          <w:sz w:val="24"/>
          <w:szCs w:val="24"/>
        </w:rPr>
        <w:t>three</w:t>
      </w:r>
      <w:r w:rsidR="00EF5766" w:rsidRPr="0079354F">
        <w:rPr>
          <w:rStyle w:val="eop"/>
          <w:rFonts w:ascii="Times New Roman" w:hAnsi="Times New Roman" w:cs="Times New Roman"/>
          <w:sz w:val="24"/>
          <w:szCs w:val="24"/>
        </w:rPr>
        <w:t xml:space="preserve"> h</w:t>
      </w:r>
      <w:r w:rsidR="006D5118"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online </w:t>
      </w:r>
      <w:r w:rsidRPr="0079354F">
        <w:rPr>
          <w:rStyle w:val="eop"/>
          <w:rFonts w:ascii="Times New Roman" w:hAnsi="Times New Roman" w:cs="Times New Roman"/>
          <w:sz w:val="24"/>
          <w:szCs w:val="24"/>
        </w:rPr>
        <w:t>(e.g., Zoom)</w:t>
      </w:r>
      <w:r w:rsidR="00821C68" w:rsidRPr="0079354F">
        <w:rPr>
          <w:rStyle w:val="eop"/>
          <w:rFonts w:ascii="Times New Roman" w:hAnsi="Times New Roman" w:cs="Times New Roman"/>
          <w:sz w:val="24"/>
          <w:szCs w:val="24"/>
        </w:rPr>
        <w:t>.</w:t>
      </w:r>
    </w:p>
    <w:p w14:paraId="2EA0B3EC" w14:textId="09EE789F" w:rsidR="00EF5766" w:rsidRPr="0079354F" w:rsidRDefault="00D21169" w:rsidP="00FC65BD">
      <w:pPr>
        <w:pStyle w:val="paragraph"/>
        <w:numPr>
          <w:ilvl w:val="0"/>
          <w:numId w:val="55"/>
        </w:numPr>
        <w:spacing w:before="0" w:beforeAutospacing="0" w:after="0" w:afterAutospacing="0"/>
        <w:ind w:left="720"/>
        <w:textAlignment w:val="baseline"/>
        <w:rPr>
          <w:rStyle w:val="eop"/>
          <w:rFonts w:ascii="Times New Roman" w:hAnsi="Times New Roman" w:cs="Times New Roman"/>
          <w:sz w:val="24"/>
          <w:szCs w:val="24"/>
        </w:rPr>
      </w:pPr>
      <w:r w:rsidRPr="2C87A253">
        <w:rPr>
          <w:rStyle w:val="eop"/>
          <w:rFonts w:ascii="Times New Roman" w:hAnsi="Times New Roman" w:cs="Times New Roman"/>
          <w:sz w:val="24"/>
          <w:szCs w:val="24"/>
        </w:rPr>
        <w:t>Combined i</w:t>
      </w:r>
      <w:r w:rsidR="00EF5766" w:rsidRPr="2C87A253">
        <w:rPr>
          <w:rStyle w:val="eop"/>
          <w:rFonts w:ascii="Times New Roman" w:hAnsi="Times New Roman" w:cs="Times New Roman"/>
          <w:sz w:val="24"/>
          <w:szCs w:val="24"/>
        </w:rPr>
        <w:t>n-person F2F and asynchronous</w:t>
      </w:r>
      <w:r w:rsidR="006D5118" w:rsidRPr="2C87A253">
        <w:rPr>
          <w:rStyle w:val="eop"/>
          <w:rFonts w:ascii="Times New Roman" w:hAnsi="Times New Roman" w:cs="Times New Roman"/>
          <w:sz w:val="24"/>
          <w:szCs w:val="24"/>
        </w:rPr>
        <w:t xml:space="preserve">: For example, a class that meets </w:t>
      </w:r>
      <w:r w:rsidR="0061492D" w:rsidRPr="2C87A253">
        <w:rPr>
          <w:rStyle w:val="eop"/>
          <w:rFonts w:ascii="Times New Roman" w:hAnsi="Times New Roman" w:cs="Times New Roman"/>
          <w:sz w:val="24"/>
          <w:szCs w:val="24"/>
        </w:rPr>
        <w:t xml:space="preserve">six </w:t>
      </w:r>
      <w:r w:rsidR="006D5118" w:rsidRPr="2C87A253">
        <w:rPr>
          <w:rStyle w:val="eop"/>
          <w:rFonts w:ascii="Times New Roman" w:hAnsi="Times New Roman" w:cs="Times New Roman"/>
          <w:sz w:val="24"/>
          <w:szCs w:val="24"/>
        </w:rPr>
        <w:t xml:space="preserve">hours per week could have </w:t>
      </w:r>
      <w:r w:rsidR="0061492D" w:rsidRPr="2C87A253">
        <w:rPr>
          <w:rStyle w:val="eop"/>
          <w:rFonts w:ascii="Times New Roman" w:hAnsi="Times New Roman" w:cs="Times New Roman"/>
          <w:sz w:val="24"/>
          <w:szCs w:val="24"/>
        </w:rPr>
        <w:t xml:space="preserve">three </w:t>
      </w:r>
      <w:r w:rsidR="006D5118" w:rsidRPr="2C87A253">
        <w:rPr>
          <w:rStyle w:val="eop"/>
          <w:rFonts w:ascii="Times New Roman" w:hAnsi="Times New Roman" w:cs="Times New Roman"/>
          <w:sz w:val="24"/>
          <w:szCs w:val="24"/>
        </w:rPr>
        <w:t>hours in</w:t>
      </w:r>
      <w:r w:rsidR="00E77F27">
        <w:rPr>
          <w:rStyle w:val="eop"/>
          <w:rFonts w:ascii="Times New Roman" w:hAnsi="Times New Roman" w:cs="Times New Roman"/>
          <w:sz w:val="24"/>
          <w:szCs w:val="24"/>
        </w:rPr>
        <w:t>-</w:t>
      </w:r>
      <w:r w:rsidR="006D5118" w:rsidRPr="2C87A253">
        <w:rPr>
          <w:rStyle w:val="eop"/>
          <w:rFonts w:ascii="Times New Roman" w:hAnsi="Times New Roman" w:cs="Times New Roman"/>
          <w:sz w:val="24"/>
          <w:szCs w:val="24"/>
        </w:rPr>
        <w:t xml:space="preserve">person and </w:t>
      </w:r>
      <w:r w:rsidR="0061492D" w:rsidRPr="2C87A253">
        <w:rPr>
          <w:rStyle w:val="eop"/>
          <w:rFonts w:ascii="Times New Roman" w:hAnsi="Times New Roman" w:cs="Times New Roman"/>
          <w:sz w:val="24"/>
          <w:szCs w:val="24"/>
        </w:rPr>
        <w:t xml:space="preserve">three </w:t>
      </w:r>
      <w:r w:rsidR="006D5118" w:rsidRPr="2C87A253">
        <w:rPr>
          <w:rStyle w:val="eop"/>
          <w:rFonts w:ascii="Times New Roman" w:hAnsi="Times New Roman" w:cs="Times New Roman"/>
          <w:sz w:val="24"/>
          <w:szCs w:val="24"/>
        </w:rPr>
        <w:t>hours asynchronous work via Google classroom or an online product (e.g., Aztec, Newsela)</w:t>
      </w:r>
      <w:r w:rsidR="00EF5766" w:rsidRPr="2C87A253">
        <w:rPr>
          <w:rStyle w:val="eop"/>
          <w:rFonts w:ascii="Times New Roman" w:hAnsi="Times New Roman" w:cs="Times New Roman"/>
          <w:sz w:val="24"/>
          <w:szCs w:val="24"/>
        </w:rPr>
        <w:t xml:space="preserve"> </w:t>
      </w:r>
      <w:r w:rsidR="006D5118" w:rsidRPr="2C87A253">
        <w:rPr>
          <w:rStyle w:val="eop"/>
          <w:rFonts w:ascii="Times New Roman" w:hAnsi="Times New Roman" w:cs="Times New Roman"/>
          <w:sz w:val="24"/>
          <w:szCs w:val="24"/>
        </w:rPr>
        <w:t>or</w:t>
      </w:r>
      <w:r w:rsidR="00EF5766" w:rsidRPr="2C87A253">
        <w:rPr>
          <w:rStyle w:val="eop"/>
          <w:rFonts w:ascii="Times New Roman" w:hAnsi="Times New Roman" w:cs="Times New Roman"/>
          <w:sz w:val="24"/>
          <w:szCs w:val="24"/>
        </w:rPr>
        <w:t xml:space="preserve"> paper packets</w:t>
      </w:r>
      <w:r w:rsidR="006D5118" w:rsidRPr="2C87A253">
        <w:rPr>
          <w:rStyle w:val="eop"/>
          <w:rFonts w:ascii="Times New Roman" w:hAnsi="Times New Roman" w:cs="Times New Roman"/>
          <w:sz w:val="24"/>
          <w:szCs w:val="24"/>
        </w:rPr>
        <w:t xml:space="preserve">. </w:t>
      </w:r>
      <w:r w:rsidR="00EF5766" w:rsidRPr="2C87A253">
        <w:rPr>
          <w:rStyle w:val="eop"/>
          <w:rFonts w:ascii="Times New Roman" w:hAnsi="Times New Roman" w:cs="Times New Roman"/>
          <w:sz w:val="24"/>
          <w:szCs w:val="24"/>
        </w:rPr>
        <w:t>This option uses the teacher verification model for attendance which means the asynchronous learning activity is assigned time for completion by the teacher</w:t>
      </w:r>
      <w:r w:rsidR="006D5118" w:rsidRPr="2C87A253">
        <w:rPr>
          <w:rStyle w:val="eop"/>
          <w:rFonts w:ascii="Times New Roman" w:hAnsi="Times New Roman" w:cs="Times New Roman"/>
          <w:sz w:val="24"/>
          <w:szCs w:val="24"/>
        </w:rPr>
        <w:t xml:space="preserve"> including </w:t>
      </w:r>
      <w:r w:rsidR="00EF5766" w:rsidRPr="2C87A253">
        <w:rPr>
          <w:rStyle w:val="eop"/>
          <w:rFonts w:ascii="Times New Roman" w:hAnsi="Times New Roman" w:cs="Times New Roman"/>
          <w:sz w:val="24"/>
          <w:szCs w:val="24"/>
        </w:rPr>
        <w:t xml:space="preserve">time </w:t>
      </w:r>
      <w:r w:rsidR="006D5118" w:rsidRPr="2C87A253">
        <w:rPr>
          <w:rStyle w:val="eop"/>
          <w:rFonts w:ascii="Times New Roman" w:hAnsi="Times New Roman" w:cs="Times New Roman"/>
          <w:sz w:val="24"/>
          <w:szCs w:val="24"/>
        </w:rPr>
        <w:t xml:space="preserve">the </w:t>
      </w:r>
      <w:r w:rsidR="00EF5766" w:rsidRPr="2C87A253">
        <w:rPr>
          <w:rStyle w:val="eop"/>
          <w:rFonts w:ascii="Times New Roman" w:hAnsi="Times New Roman" w:cs="Times New Roman"/>
          <w:sz w:val="24"/>
          <w:szCs w:val="24"/>
        </w:rPr>
        <w:t xml:space="preserve">teacher spends checking the student’s work. </w:t>
      </w:r>
    </w:p>
    <w:p w14:paraId="4CD107CE" w14:textId="12299034" w:rsidR="3FB639BC" w:rsidRPr="0079354F" w:rsidRDefault="3FB639BC" w:rsidP="3FB639BC"/>
    <w:p w14:paraId="29696F71" w14:textId="315AE7D0" w:rsidR="46D7C62E" w:rsidRPr="0079354F" w:rsidRDefault="46D7C62E" w:rsidP="253E051E">
      <w:pPr>
        <w:spacing w:line="259" w:lineRule="auto"/>
      </w:pPr>
      <w:r w:rsidRPr="0079354F">
        <w:t xml:space="preserve">For more information on DE curriculum, see </w:t>
      </w:r>
      <w:r w:rsidR="00C81F82" w:rsidRPr="0079354F">
        <w:t>the Curriculum c</w:t>
      </w:r>
      <w:r w:rsidRPr="0079354F">
        <w:t xml:space="preserve">hapter. For more information on DE instruction, see </w:t>
      </w:r>
      <w:r w:rsidR="00C81F82" w:rsidRPr="0079354F">
        <w:t>the Instruction and Assessment c</w:t>
      </w:r>
      <w:r w:rsidRPr="0079354F">
        <w:t xml:space="preserve">hapter. For more information on DE </w:t>
      </w:r>
      <w:r w:rsidR="006678AF" w:rsidRPr="0079354F">
        <w:t xml:space="preserve">attendance and </w:t>
      </w:r>
      <w:r w:rsidRPr="0079354F">
        <w:t>data collection</w:t>
      </w:r>
      <w:r w:rsidR="006678AF" w:rsidRPr="0079354F">
        <w:t xml:space="preserve"> requirements in LACES</w:t>
      </w:r>
      <w:r w:rsidRPr="0079354F">
        <w:t xml:space="preserve">, see Appendix </w:t>
      </w:r>
      <w:r w:rsidR="008F7186" w:rsidRPr="0079354F">
        <w:t>C</w:t>
      </w:r>
      <w:r w:rsidR="76F96D73" w:rsidRPr="0079354F">
        <w:t>.</w:t>
      </w:r>
    </w:p>
    <w:p w14:paraId="0D131261" w14:textId="77777777" w:rsidR="00780C36" w:rsidRPr="0079354F" w:rsidRDefault="00780C36" w:rsidP="3FB639BC">
      <w:pPr>
        <w:rPr>
          <w:strike/>
        </w:rPr>
      </w:pPr>
    </w:p>
    <w:p w14:paraId="13C6476A" w14:textId="78A4D97C" w:rsidR="00CC0094" w:rsidRPr="0079354F" w:rsidRDefault="55C2FF23" w:rsidP="43F4256D">
      <w:pPr>
        <w:pStyle w:val="Heading4"/>
        <w:spacing w:before="0"/>
        <w:rPr>
          <w:b/>
          <w:color w:val="E36C0A" w:themeColor="accent6" w:themeShade="BF"/>
        </w:rPr>
      </w:pPr>
      <w:r w:rsidRPr="00187183">
        <w:rPr>
          <w:b/>
          <w:color w:val="B85808"/>
        </w:rPr>
        <w:t xml:space="preserve">Co-enrollment in </w:t>
      </w:r>
      <w:r w:rsidR="63D12B72" w:rsidRPr="00187183">
        <w:rPr>
          <w:b/>
          <w:color w:val="B85808"/>
        </w:rPr>
        <w:t xml:space="preserve">Core </w:t>
      </w:r>
      <w:r w:rsidRPr="00187183">
        <w:rPr>
          <w:b/>
          <w:color w:val="B85808"/>
        </w:rPr>
        <w:t>Partner Programs</w:t>
      </w:r>
    </w:p>
    <w:p w14:paraId="38AE70B8" w14:textId="5F0A50E3" w:rsidR="00CC0094" w:rsidRPr="0079354F" w:rsidRDefault="00CC0094" w:rsidP="0047675C">
      <w:pPr>
        <w:pStyle w:val="BodyText"/>
        <w:spacing w:before="0"/>
        <w:jc w:val="left"/>
      </w:pPr>
      <w:r w:rsidRPr="0079354F">
        <w:t xml:space="preserve">Co-enrollment in </w:t>
      </w:r>
      <w:r w:rsidR="002A31D6" w:rsidRPr="0079354F">
        <w:t xml:space="preserve">core </w:t>
      </w:r>
      <w:r w:rsidRPr="0079354F">
        <w:t>par</w:t>
      </w:r>
      <w:r w:rsidR="00BE4690" w:rsidRPr="0079354F">
        <w:t xml:space="preserve">tner programs is an </w:t>
      </w:r>
      <w:r w:rsidRPr="0079354F">
        <w:t xml:space="preserve">option for students as long as a student can maintain an ongoing commitment to an increased amount of instruction and the programs’ class schedules do not conflict. Examples of students co-enrolled in </w:t>
      </w:r>
      <w:r w:rsidR="00D550AA" w:rsidRPr="0079354F">
        <w:t xml:space="preserve">core </w:t>
      </w:r>
      <w:r w:rsidRPr="0079354F">
        <w:t>partner programs</w:t>
      </w:r>
      <w:r w:rsidR="002B4F1A" w:rsidRPr="0079354F">
        <w:t>, also known as shared customers,</w:t>
      </w:r>
      <w:r w:rsidRPr="0079354F">
        <w:t xml:space="preserve"> include but are not limited to:</w:t>
      </w:r>
    </w:p>
    <w:p w14:paraId="17271A10" w14:textId="4D6DE846" w:rsidR="00CC0094" w:rsidRPr="0079354F" w:rsidRDefault="009A6211" w:rsidP="00FC65BD">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enrolled by </w:t>
      </w:r>
      <w:r w:rsidR="005232CB" w:rsidRPr="0079354F">
        <w:rPr>
          <w:rFonts w:ascii="Times New Roman" w:hAnsi="Times New Roman" w:cs="Times New Roman"/>
          <w:sz w:val="24"/>
          <w:szCs w:val="24"/>
        </w:rPr>
        <w:t>MassHire</w:t>
      </w:r>
      <w:r w:rsidR="00D45DA8" w:rsidRPr="0079354F">
        <w:rPr>
          <w:rFonts w:ascii="Times New Roman" w:hAnsi="Times New Roman" w:cs="Times New Roman"/>
          <w:sz w:val="24"/>
          <w:szCs w:val="24"/>
        </w:rPr>
        <w:t xml:space="preserve"> </w:t>
      </w:r>
      <w:r w:rsidR="00CC0094" w:rsidRPr="0079354F">
        <w:rPr>
          <w:rFonts w:ascii="Times New Roman" w:hAnsi="Times New Roman" w:cs="Times New Roman"/>
          <w:sz w:val="24"/>
          <w:szCs w:val="24"/>
        </w:rPr>
        <w:t>C</w:t>
      </w:r>
      <w:r w:rsidR="00D45DA8" w:rsidRPr="0079354F">
        <w:rPr>
          <w:rFonts w:ascii="Times New Roman" w:hAnsi="Times New Roman" w:cs="Times New Roman"/>
          <w:sz w:val="24"/>
          <w:szCs w:val="24"/>
        </w:rPr>
        <w:t xml:space="preserve">areer </w:t>
      </w:r>
      <w:r w:rsidR="00CC0094" w:rsidRPr="0079354F">
        <w:rPr>
          <w:rFonts w:ascii="Times New Roman" w:hAnsi="Times New Roman" w:cs="Times New Roman"/>
          <w:sz w:val="24"/>
          <w:szCs w:val="24"/>
        </w:rPr>
        <w:t>C</w:t>
      </w:r>
      <w:r w:rsidR="00D45DA8" w:rsidRPr="0079354F">
        <w:rPr>
          <w:rFonts w:ascii="Times New Roman" w:hAnsi="Times New Roman" w:cs="Times New Roman"/>
          <w:sz w:val="24"/>
          <w:szCs w:val="24"/>
        </w:rPr>
        <w:t>enters (</w:t>
      </w:r>
      <w:r w:rsidR="005232CB" w:rsidRPr="0079354F">
        <w:rPr>
          <w:rFonts w:ascii="Times New Roman" w:hAnsi="Times New Roman" w:cs="Times New Roman"/>
          <w:sz w:val="24"/>
          <w:szCs w:val="24"/>
        </w:rPr>
        <w:t>MCC</w:t>
      </w:r>
      <w:r w:rsidR="00D45DA8" w:rsidRPr="0079354F">
        <w:rPr>
          <w:rFonts w:ascii="Times New Roman" w:hAnsi="Times New Roman" w:cs="Times New Roman"/>
          <w:sz w:val="24"/>
          <w:szCs w:val="24"/>
        </w:rPr>
        <w:t>s)</w:t>
      </w:r>
      <w:r w:rsidR="00CC0094" w:rsidRPr="0079354F">
        <w:rPr>
          <w:rFonts w:ascii="Times New Roman" w:hAnsi="Times New Roman" w:cs="Times New Roman"/>
          <w:sz w:val="24"/>
          <w:szCs w:val="24"/>
        </w:rPr>
        <w:t xml:space="preserve"> and receiving career center </w:t>
      </w:r>
      <w:r w:rsidR="002B03C6" w:rsidRPr="0079354F">
        <w:rPr>
          <w:rFonts w:ascii="Times New Roman" w:hAnsi="Times New Roman" w:cs="Times New Roman"/>
          <w:sz w:val="24"/>
          <w:szCs w:val="24"/>
        </w:rPr>
        <w:t>services leading to employment</w:t>
      </w:r>
    </w:p>
    <w:p w14:paraId="521F9BC6" w14:textId="0F37D9CE" w:rsidR="00CC0094" w:rsidRPr="0079354F" w:rsidRDefault="009A6211" w:rsidP="00FC65BD">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ages 16-24 and enrolled in Title</w:t>
      </w:r>
      <w:r w:rsidR="002B03C6" w:rsidRPr="0079354F">
        <w:rPr>
          <w:rFonts w:ascii="Times New Roman" w:hAnsi="Times New Roman" w:cs="Times New Roman"/>
          <w:sz w:val="24"/>
          <w:szCs w:val="24"/>
        </w:rPr>
        <w:t xml:space="preserve"> I out-of-school youth programs</w:t>
      </w:r>
    </w:p>
    <w:p w14:paraId="21A7CB1B" w14:textId="06380F2E" w:rsidR="00CC0094" w:rsidRPr="0079354F" w:rsidRDefault="009A6211" w:rsidP="00FC65BD">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and recipients of Department of Transitional Assistance (DTA) and/or Massachusetts Rehabilit</w:t>
      </w:r>
      <w:r w:rsidR="002B03C6" w:rsidRPr="0079354F">
        <w:rPr>
          <w:rFonts w:ascii="Times New Roman" w:hAnsi="Times New Roman" w:cs="Times New Roman"/>
          <w:sz w:val="24"/>
          <w:szCs w:val="24"/>
        </w:rPr>
        <w:t>ation Commission (MRC) services</w:t>
      </w:r>
    </w:p>
    <w:p w14:paraId="3D278BEC" w14:textId="23D13D4B" w:rsidR="00CC0094" w:rsidRPr="0079354F" w:rsidRDefault="009A6211" w:rsidP="00FC65BD">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who exit services and then enroll in a training program funded by a core partner</w:t>
      </w:r>
    </w:p>
    <w:p w14:paraId="312FB0A8" w14:textId="77777777" w:rsidR="00780C36" w:rsidRPr="0079354F" w:rsidRDefault="00780C36" w:rsidP="0047675C"/>
    <w:p w14:paraId="0D98E14B" w14:textId="77777777" w:rsidR="005D401D" w:rsidRPr="0079354F" w:rsidRDefault="0F86DDE7" w:rsidP="0047675C">
      <w:r w:rsidRPr="0079354F">
        <w:t>For more information on shared customers, see</w:t>
      </w:r>
      <w:r w:rsidR="677970F6" w:rsidRPr="0079354F">
        <w:t xml:space="preserve"> the Career Pathways Collaboration chapter and</w:t>
      </w:r>
      <w:r w:rsidR="58B0A14F" w:rsidRPr="0079354F">
        <w:t xml:space="preserve"> </w:t>
      </w:r>
      <w:hyperlink r:id="rId53" w:history="1">
        <w:r w:rsidR="58B0A14F" w:rsidRPr="0079354F">
          <w:rPr>
            <w:rStyle w:val="Hyperlink"/>
          </w:rPr>
          <w:t>http://www.doe.mass.edu/acls/wioa.html</w:t>
        </w:r>
      </w:hyperlink>
      <w:r w:rsidR="58B0A14F" w:rsidRPr="0079354F">
        <w:t>.</w:t>
      </w:r>
    </w:p>
    <w:p w14:paraId="3D07BFEE" w14:textId="77777777" w:rsidR="00007E21" w:rsidRPr="0079354F" w:rsidRDefault="00007E21" w:rsidP="0047675C"/>
    <w:p w14:paraId="6D5AE473" w14:textId="0087F1A8" w:rsidR="00007E21" w:rsidRPr="0079354F" w:rsidRDefault="00007E21" w:rsidP="00A36A19">
      <w:pPr>
        <w:pStyle w:val="Heading3"/>
      </w:pPr>
      <w:bookmarkStart w:id="34" w:name="_Toc109195968"/>
      <w:r w:rsidRPr="00DA0CAB">
        <w:rPr>
          <w:b/>
          <w:bCs/>
        </w:rPr>
        <w:t>Volunteer Services</w:t>
      </w:r>
      <w:r w:rsidR="00BD3680" w:rsidRPr="00DA0CAB">
        <w:rPr>
          <w:rStyle w:val="FootnoteReference"/>
          <w:b/>
          <w:bCs/>
        </w:rPr>
        <w:footnoteReference w:id="19"/>
      </w:r>
      <w:bookmarkEnd w:id="34"/>
    </w:p>
    <w:p w14:paraId="52FB0B8F" w14:textId="0A2DACFE" w:rsidR="00780C36" w:rsidRPr="0079354F" w:rsidRDefault="1989657B" w:rsidP="00530B14">
      <w:r w:rsidRPr="0079354F">
        <w:t>ACLS supports effective instruction from well-trained and well-supported volunteers provided to students enrolled in CALC</w:t>
      </w:r>
      <w:r w:rsidR="4FB5AD0A" w:rsidRPr="0079354F">
        <w:t xml:space="preserve"> and AECI programs</w:t>
      </w:r>
      <w:r w:rsidRPr="0079354F">
        <w:t>. Programs that provide volunteer tutoring services may wish to strategically assign tutors to help students achieve educational functioning level (EFL) completions.</w:t>
      </w:r>
    </w:p>
    <w:p w14:paraId="04C4D6C3" w14:textId="0E6FB808" w:rsidR="007D1CE9" w:rsidRPr="0079354F" w:rsidRDefault="007D1CE9" w:rsidP="00530B14"/>
    <w:p w14:paraId="6EF3BF6E" w14:textId="50F7F1DF" w:rsidR="007D1CE9" w:rsidRPr="0079354F" w:rsidRDefault="007D1CE9" w:rsidP="00530B14">
      <w:r w:rsidRPr="0079354F">
        <w:t>For more information on EFL, see the Student Progress chapter.</w:t>
      </w:r>
    </w:p>
    <w:p w14:paraId="46DB278A" w14:textId="77777777" w:rsidR="001E2188" w:rsidRPr="0079354F" w:rsidRDefault="001E2188" w:rsidP="001E2188"/>
    <w:p w14:paraId="6088B4D8" w14:textId="77777777" w:rsidR="00DA0156" w:rsidRPr="00DA0CAB" w:rsidRDefault="7BE9A426" w:rsidP="00A36A19">
      <w:pPr>
        <w:pStyle w:val="Heading3"/>
        <w:rPr>
          <w:b/>
          <w:bCs/>
        </w:rPr>
      </w:pPr>
      <w:bookmarkStart w:id="35" w:name="_Toc109195969"/>
      <w:r w:rsidRPr="1E8607B9">
        <w:rPr>
          <w:b/>
          <w:bCs/>
        </w:rPr>
        <w:t>Enrollment</w:t>
      </w:r>
      <w:r w:rsidR="6CD9BC53" w:rsidRPr="1E8607B9">
        <w:rPr>
          <w:b/>
          <w:bCs/>
        </w:rPr>
        <w:t xml:space="preserve"> and Retention</w:t>
      </w:r>
      <w:r w:rsidR="430CA76B" w:rsidRPr="1E8607B9">
        <w:rPr>
          <w:b/>
          <w:bCs/>
        </w:rPr>
        <w:t xml:space="preserve"> (State requirement)</w:t>
      </w:r>
      <w:bookmarkEnd w:id="35"/>
    </w:p>
    <w:p w14:paraId="065A17B0" w14:textId="2E73A801" w:rsidR="0080142F" w:rsidRPr="0079354F" w:rsidRDefault="26FDEE19" w:rsidP="675C1F61">
      <w:pPr>
        <w:sectPr w:rsidR="0080142F" w:rsidRPr="0079354F" w:rsidSect="00BD4638">
          <w:headerReference w:type="default" r:id="rId54"/>
          <w:pgSz w:w="12240" w:h="15840"/>
          <w:pgMar w:top="1008" w:right="1440" w:bottom="576" w:left="1440" w:header="720" w:footer="720" w:gutter="0"/>
          <w:cols w:space="720"/>
          <w:docGrid w:linePitch="360"/>
        </w:sectPr>
      </w:pPr>
      <w:r>
        <w:t xml:space="preserve">Programs are funded </w:t>
      </w:r>
      <w:r w:rsidR="586B89B8">
        <w:t xml:space="preserve">to </w:t>
      </w:r>
      <w:r w:rsidR="1E449BAB">
        <w:t>enroll</w:t>
      </w:r>
      <w:r w:rsidR="586B89B8">
        <w:t xml:space="preserve"> </w:t>
      </w:r>
      <w:r w:rsidR="4DBD0C9C">
        <w:t xml:space="preserve">and retain </w:t>
      </w:r>
      <w:r w:rsidR="586B89B8">
        <w:t>a</w:t>
      </w:r>
      <w:r w:rsidR="21D2D2F1">
        <w:t xml:space="preserve"> specific number of</w:t>
      </w:r>
      <w:r w:rsidR="1E449BAB">
        <w:t xml:space="preserve"> </w:t>
      </w:r>
      <w:r w:rsidR="1A9A9056">
        <w:t>student enrollment</w:t>
      </w:r>
      <w:r w:rsidR="2EE5DE66">
        <w:t xml:space="preserve">s </w:t>
      </w:r>
      <w:r w:rsidR="35477DD0">
        <w:t>b</w:t>
      </w:r>
      <w:r w:rsidR="1E449BAB">
        <w:t>ased on their grant awards</w:t>
      </w:r>
      <w:r w:rsidR="3014B4B1">
        <w:t xml:space="preserve"> (e.g., 50 ABE seats and 100 ESOL seats)</w:t>
      </w:r>
      <w:r>
        <w:t xml:space="preserve">. </w:t>
      </w:r>
      <w:r w:rsidR="1B2B2D3B">
        <w:t xml:space="preserve">A program that discovers a need to decrease the number of </w:t>
      </w:r>
      <w:r w:rsidR="4A376309">
        <w:t>funded</w:t>
      </w:r>
      <w:r w:rsidR="652A51F0">
        <w:t xml:space="preserve"> </w:t>
      </w:r>
      <w:r w:rsidR="0D69004D">
        <w:t>enrollments</w:t>
      </w:r>
      <w:r w:rsidR="1B2B2D3B">
        <w:t xml:space="preserve"> is required to </w:t>
      </w:r>
      <w:r w:rsidR="5152A9B9">
        <w:t>submit a written request to the state director.</w:t>
      </w:r>
      <w:r w:rsidR="1B2B2D3B">
        <w:t xml:space="preserve"> (Note: Decreasing the </w:t>
      </w:r>
      <w:r w:rsidR="5758F4FF">
        <w:t xml:space="preserve">total </w:t>
      </w:r>
      <w:r w:rsidR="1B2B2D3B">
        <w:t xml:space="preserve">number of </w:t>
      </w:r>
      <w:r w:rsidR="1524CF4E">
        <w:t>funded</w:t>
      </w:r>
      <w:r w:rsidR="1B2B2D3B">
        <w:t xml:space="preserve"> </w:t>
      </w:r>
      <w:r w:rsidR="0D69004D" w:rsidRPr="675C1F61">
        <w:rPr>
          <w:color w:val="000000" w:themeColor="text1"/>
        </w:rPr>
        <w:t>enrollments</w:t>
      </w:r>
      <w:r w:rsidR="1B2B2D3B">
        <w:t xml:space="preserve"> </w:t>
      </w:r>
      <w:r w:rsidR="5A52398A">
        <w:t>may</w:t>
      </w:r>
      <w:r w:rsidR="1B2B2D3B">
        <w:t xml:space="preserve"> impact funding.)</w:t>
      </w:r>
      <w:bookmarkStart w:id="36" w:name="_Hlk68009280"/>
      <w:bookmarkEnd w:id="36"/>
    </w:p>
    <w:p w14:paraId="4C7561C8" w14:textId="60C4184D" w:rsidR="00D0119C" w:rsidRPr="0079354F" w:rsidRDefault="00F37A9D" w:rsidP="1E8607B9">
      <w:pPr>
        <w:pStyle w:val="Heading2"/>
        <w:tabs>
          <w:tab w:val="left" w:pos="3060"/>
        </w:tabs>
        <w:spacing w:before="0"/>
        <w:rPr>
          <w:rFonts w:eastAsia="Batang"/>
          <w:b/>
          <w:color w:val="E36C0A" w:themeColor="accent6" w:themeShade="BF"/>
        </w:rPr>
      </w:pPr>
      <w:bookmarkStart w:id="37" w:name="_Toc109195970"/>
      <w:r w:rsidRPr="1E8607B9">
        <w:rPr>
          <w:rStyle w:val="Hyperlink"/>
          <w:rFonts w:eastAsia="Batang"/>
          <w:b/>
          <w:color w:val="E36C0A" w:themeColor="accent6" w:themeShade="BF"/>
          <w:u w:val="none"/>
        </w:rPr>
        <w:t>Chapter 2:</w:t>
      </w:r>
      <w:r w:rsidR="0086750F" w:rsidRPr="1E8607B9">
        <w:rPr>
          <w:rStyle w:val="Hyperlink"/>
          <w:rFonts w:eastAsia="Batang"/>
          <w:b/>
          <w:color w:val="E36C0A" w:themeColor="accent6" w:themeShade="BF"/>
          <w:u w:val="none"/>
        </w:rPr>
        <w:t xml:space="preserve"> </w:t>
      </w:r>
      <w:r w:rsidRPr="1E8607B9">
        <w:rPr>
          <w:rStyle w:val="Hyperlink"/>
          <w:rFonts w:eastAsia="Batang"/>
          <w:b/>
          <w:color w:val="E36C0A" w:themeColor="accent6" w:themeShade="BF"/>
          <w:u w:val="none"/>
        </w:rPr>
        <w:t xml:space="preserve"> </w:t>
      </w:r>
      <w:hyperlink w:anchor="_Toc468698121">
        <w:r w:rsidR="009E185E" w:rsidRPr="1E8607B9">
          <w:rPr>
            <w:rStyle w:val="Hyperlink"/>
            <w:rFonts w:eastAsia="Batang"/>
            <w:b/>
            <w:color w:val="E36C0A" w:themeColor="accent6" w:themeShade="BF"/>
            <w:u w:val="none"/>
          </w:rPr>
          <w:t>Indicator</w:t>
        </w:r>
        <w:r w:rsidR="00603758" w:rsidRPr="1E8607B9">
          <w:rPr>
            <w:rStyle w:val="Hyperlink"/>
            <w:rFonts w:eastAsia="Batang"/>
            <w:b/>
            <w:color w:val="E36C0A" w:themeColor="accent6" w:themeShade="BF"/>
            <w:u w:val="none"/>
          </w:rPr>
          <w:t xml:space="preserve"> </w:t>
        </w:r>
        <w:r w:rsidR="00F61CFB" w:rsidRPr="1E8607B9">
          <w:rPr>
            <w:rStyle w:val="Hyperlink"/>
            <w:rFonts w:eastAsia="Batang"/>
            <w:b/>
            <w:color w:val="E36C0A" w:themeColor="accent6" w:themeShade="BF"/>
            <w:u w:val="none"/>
          </w:rPr>
          <w:t>2</w:t>
        </w:r>
        <w:r w:rsidR="00D0119C" w:rsidRPr="1E8607B9">
          <w:rPr>
            <w:rStyle w:val="Hyperlink"/>
            <w:rFonts w:eastAsia="Batang"/>
            <w:b/>
            <w:color w:val="E36C0A" w:themeColor="accent6" w:themeShade="BF"/>
            <w:u w:val="none"/>
          </w:rPr>
          <w:t xml:space="preserve">:  </w:t>
        </w:r>
        <w:r w:rsidR="00653CF3" w:rsidRPr="1E8607B9">
          <w:rPr>
            <w:rStyle w:val="Hyperlink"/>
            <w:rFonts w:eastAsia="Batang"/>
            <w:b/>
            <w:color w:val="E36C0A" w:themeColor="accent6" w:themeShade="BF"/>
            <w:u w:val="none"/>
          </w:rPr>
          <w:t>Equitable Access</w:t>
        </w:r>
        <w:bookmarkEnd w:id="37"/>
      </w:hyperlink>
    </w:p>
    <w:p w14:paraId="2F156281" w14:textId="77777777" w:rsidR="00A36A19" w:rsidRPr="00DA0CAB" w:rsidRDefault="00A36A19" w:rsidP="00A36A19">
      <w:pPr>
        <w:pStyle w:val="Heading3"/>
        <w:rPr>
          <w:b/>
          <w:bCs/>
        </w:rPr>
      </w:pPr>
      <w:bookmarkStart w:id="38" w:name="_Toc109195971"/>
      <w:r w:rsidRPr="1E8607B9">
        <w:rPr>
          <w:b/>
          <w:bCs/>
        </w:rPr>
        <w:t>Prioritization (State requirement)</w:t>
      </w:r>
      <w:bookmarkEnd w:id="38"/>
    </w:p>
    <w:p w14:paraId="6270CB79" w14:textId="77777777" w:rsidR="00A36A19" w:rsidRPr="0079354F" w:rsidRDefault="00A36A19" w:rsidP="00A36A19">
      <w:pPr>
        <w:rPr>
          <w:rFonts w:eastAsiaTheme="minorHAnsi"/>
          <w:iCs/>
        </w:rPr>
      </w:pPr>
      <w:bookmarkStart w:id="39" w:name="_Hlk69814430"/>
      <w:r w:rsidRPr="0079354F">
        <w:t xml:space="preserve">ACLS requires that there be regional opportunities for all eligible individuals, especially those with barriers </w:t>
      </w:r>
      <w:r w:rsidRPr="0079354F">
        <w:rPr>
          <w:rFonts w:eastAsiaTheme="minorHAnsi"/>
          <w:iCs/>
        </w:rPr>
        <w:t>to employment, including individuals with disabilities, to improve their literacy skills.</w:t>
      </w:r>
    </w:p>
    <w:bookmarkEnd w:id="39"/>
    <w:p w14:paraId="1C3ACE48" w14:textId="77777777" w:rsidR="00A36A19" w:rsidRPr="00A36A19" w:rsidRDefault="00A36A19" w:rsidP="00A36A19">
      <w:pPr>
        <w:rPr>
          <w:rFonts w:eastAsiaTheme="minorEastAsia"/>
        </w:rPr>
      </w:pPr>
    </w:p>
    <w:p w14:paraId="17085429" w14:textId="77777777" w:rsidR="00A36A19" w:rsidRPr="0079354F" w:rsidRDefault="00A36A19" w:rsidP="00A36A19">
      <w:pPr>
        <w:pStyle w:val="Default"/>
      </w:pPr>
      <w:r>
        <w:t>WIOA also requires that programs using funds to carry out a program for incarcerated individuals in a correctional institution give priority to serving individuals who are likely to leave the correctional institution within five years of participation in the program.</w:t>
      </w:r>
    </w:p>
    <w:p w14:paraId="35915E9E" w14:textId="77777777" w:rsidR="00A36A19" w:rsidRPr="0079354F" w:rsidRDefault="00A36A19" w:rsidP="00A36A19">
      <w:pPr>
        <w:pStyle w:val="Default"/>
      </w:pPr>
    </w:p>
    <w:p w14:paraId="24E7B64E" w14:textId="77777777" w:rsidR="00A36A19" w:rsidRPr="0079354F" w:rsidRDefault="00A36A19" w:rsidP="00A36A19">
      <w:pPr>
        <w:pStyle w:val="Default"/>
      </w:pPr>
      <w:r w:rsidRPr="0079354F">
        <w:t xml:space="preserve">For more information on shared customers and corrections education, see </w:t>
      </w:r>
      <w:hyperlink r:id="rId55">
        <w:r w:rsidRPr="0079354F">
          <w:rPr>
            <w:rStyle w:val="Hyperlink"/>
          </w:rPr>
          <w:t>http://www.doe.mass.edu/acls/wioa.html</w:t>
        </w:r>
      </w:hyperlink>
      <w:r w:rsidRPr="0079354F">
        <w:t>.</w:t>
      </w:r>
    </w:p>
    <w:p w14:paraId="42642E54" w14:textId="77777777" w:rsidR="00A36A19" w:rsidRDefault="00A36A19" w:rsidP="00A36A19">
      <w:pPr>
        <w:pStyle w:val="Heading3"/>
      </w:pPr>
    </w:p>
    <w:p w14:paraId="4E350874" w14:textId="6B6CA789" w:rsidR="00D0119C" w:rsidRPr="005C26E3" w:rsidRDefault="7FEDE81B" w:rsidP="00A36A19">
      <w:pPr>
        <w:pStyle w:val="Heading3"/>
        <w:rPr>
          <w:b/>
          <w:bCs/>
        </w:rPr>
      </w:pPr>
      <w:bookmarkStart w:id="40" w:name="_Toc109195972"/>
      <w:r w:rsidRPr="1E8607B9">
        <w:rPr>
          <w:b/>
          <w:bCs/>
        </w:rPr>
        <w:t>Eligibility</w:t>
      </w:r>
      <w:r w:rsidR="4D182B49" w:rsidRPr="1E8607B9">
        <w:rPr>
          <w:b/>
          <w:bCs/>
        </w:rPr>
        <w:t xml:space="preserve"> (State requirement)</w:t>
      </w:r>
      <w:bookmarkEnd w:id="40"/>
    </w:p>
    <w:p w14:paraId="639218F7" w14:textId="77777777" w:rsidR="009116DC" w:rsidRPr="0079354F" w:rsidRDefault="009116DC" w:rsidP="009116DC">
      <w:pPr>
        <w:autoSpaceDE w:val="0"/>
        <w:autoSpaceDN w:val="0"/>
      </w:pPr>
      <w:bookmarkStart w:id="41" w:name="_Hlk5255927"/>
      <w:r w:rsidRPr="0079354F">
        <w:t>ACLS requires that enrolled students:</w:t>
      </w:r>
    </w:p>
    <w:p w14:paraId="76D498DD" w14:textId="1DCC745F" w:rsidR="009116DC" w:rsidRPr="0079354F" w:rsidRDefault="009A6211" w:rsidP="00FC65BD">
      <w:pPr>
        <w:pStyle w:val="ListParagraph"/>
        <w:numPr>
          <w:ilvl w:val="0"/>
          <w:numId w:val="36"/>
        </w:numPr>
        <w:autoSpaceDE w:val="0"/>
        <w:autoSpaceDN w:val="0"/>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at least 16 years of age</w:t>
      </w:r>
      <w:r w:rsidR="00130A37" w:rsidRPr="0079354F">
        <w:rPr>
          <w:rFonts w:ascii="Times New Roman" w:hAnsi="Times New Roman" w:cs="Times New Roman"/>
          <w:sz w:val="24"/>
          <w:szCs w:val="24"/>
        </w:rPr>
        <w:t>;</w:t>
      </w:r>
    </w:p>
    <w:p w14:paraId="54F94E05" w14:textId="59162642" w:rsidR="008249D4" w:rsidRPr="0079354F" w:rsidRDefault="009A6211" w:rsidP="00FC65BD">
      <w:pPr>
        <w:pStyle w:val="ListParagraph"/>
        <w:numPr>
          <w:ilvl w:val="0"/>
          <w:numId w:val="36"/>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not enrolled or required to be enrolled in secondary school under state law; and</w:t>
      </w:r>
    </w:p>
    <w:p w14:paraId="7B32F9D8" w14:textId="16B82E5C" w:rsidR="009116DC" w:rsidRPr="0079354F" w:rsidRDefault="6D1C71A0" w:rsidP="00FC65BD">
      <w:pPr>
        <w:pStyle w:val="ListParagraph"/>
        <w:numPr>
          <w:ilvl w:val="0"/>
          <w:numId w:val="36"/>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D</w:t>
      </w:r>
      <w:r w:rsidR="342DC469" w:rsidRPr="0079354F">
        <w:rPr>
          <w:rFonts w:ascii="Times New Roman" w:hAnsi="Times New Roman" w:cs="Times New Roman"/>
          <w:sz w:val="24"/>
          <w:szCs w:val="24"/>
        </w:rPr>
        <w:t xml:space="preserve">o not have a secondary school diploma or its recognized equivalent and have not achieved an equivalent level of education; </w:t>
      </w:r>
      <w:r w:rsidR="647524D4" w:rsidRPr="0079354F">
        <w:rPr>
          <w:rFonts w:ascii="Times New Roman" w:hAnsi="Times New Roman" w:cs="Times New Roman"/>
          <w:sz w:val="24"/>
          <w:szCs w:val="24"/>
        </w:rPr>
        <w:t xml:space="preserve">or </w:t>
      </w:r>
      <w:r w:rsidR="342DC469" w:rsidRPr="0079354F">
        <w:rPr>
          <w:rFonts w:ascii="Times New Roman" w:hAnsi="Times New Roman" w:cs="Times New Roman"/>
          <w:sz w:val="24"/>
          <w:szCs w:val="24"/>
        </w:rPr>
        <w:t>are basic skills deficient; or</w:t>
      </w:r>
      <w:r w:rsidR="0AE313F6" w:rsidRPr="0079354F">
        <w:rPr>
          <w:rFonts w:ascii="Times New Roman" w:hAnsi="Times New Roman" w:cs="Times New Roman"/>
          <w:sz w:val="24"/>
          <w:szCs w:val="24"/>
        </w:rPr>
        <w:t xml:space="preserve"> </w:t>
      </w:r>
      <w:r w:rsidR="342DC469" w:rsidRPr="0079354F">
        <w:rPr>
          <w:rFonts w:ascii="Times New Roman" w:hAnsi="Times New Roman" w:cs="Times New Roman"/>
          <w:sz w:val="24"/>
          <w:szCs w:val="24"/>
        </w:rPr>
        <w:t>are English language learners.</w:t>
      </w:r>
      <w:bookmarkEnd w:id="41"/>
    </w:p>
    <w:p w14:paraId="0FAB2807" w14:textId="77777777" w:rsidR="00E114C5" w:rsidRPr="0079354F" w:rsidRDefault="00E114C5" w:rsidP="008116FD">
      <w:pPr>
        <w:widowControl w:val="0"/>
        <w:autoSpaceDE w:val="0"/>
        <w:autoSpaceDN w:val="0"/>
        <w:adjustRightInd w:val="0"/>
      </w:pPr>
    </w:p>
    <w:p w14:paraId="6DA7C01D" w14:textId="7837CC72" w:rsidR="008116FD" w:rsidRPr="0079354F" w:rsidRDefault="008116FD" w:rsidP="008116FD">
      <w:pPr>
        <w:widowControl w:val="0"/>
        <w:autoSpaceDE w:val="0"/>
        <w:autoSpaceDN w:val="0"/>
        <w:adjustRightInd w:val="0"/>
      </w:pPr>
      <w:r w:rsidRPr="0079354F">
        <w:t>Students under 18 must provide a letter of withdrawal from the local school district in order to enroll in the program. Students who are home schooled must provide a letter from the local school district stating that they are not enrolled.</w:t>
      </w:r>
    </w:p>
    <w:p w14:paraId="50CD9D42" w14:textId="77777777" w:rsidR="00700B4E" w:rsidRPr="0079354F" w:rsidRDefault="00700B4E" w:rsidP="0047675C">
      <w:pPr>
        <w:pStyle w:val="Default"/>
      </w:pPr>
    </w:p>
    <w:p w14:paraId="7B16D952" w14:textId="77777777" w:rsidR="008B2BD9" w:rsidRPr="005C26E3" w:rsidRDefault="008B2BD9" w:rsidP="00A36A19">
      <w:pPr>
        <w:pStyle w:val="Heading3"/>
        <w:rPr>
          <w:b/>
          <w:bCs/>
        </w:rPr>
      </w:pPr>
      <w:bookmarkStart w:id="42" w:name="_Toc109195973"/>
      <w:r w:rsidRPr="1E8607B9">
        <w:rPr>
          <w:b/>
          <w:bCs/>
        </w:rPr>
        <w:t>Waitlist</w:t>
      </w:r>
      <w:r w:rsidR="00AE618D" w:rsidRPr="1E8607B9">
        <w:rPr>
          <w:b/>
          <w:bCs/>
        </w:rPr>
        <w:t xml:space="preserve"> (State requirement)</w:t>
      </w:r>
      <w:bookmarkEnd w:id="42"/>
    </w:p>
    <w:p w14:paraId="369C11A8" w14:textId="77777777" w:rsidR="009E1856" w:rsidRPr="0079354F" w:rsidRDefault="008B2BD9" w:rsidP="0047675C">
      <w:r w:rsidRPr="0079354F">
        <w:t xml:space="preserve">ACLS requires </w:t>
      </w:r>
      <w:r w:rsidR="009E1856" w:rsidRPr="0079354F">
        <w:t>that</w:t>
      </w:r>
      <w:r w:rsidR="00AD611D" w:rsidRPr="0079354F">
        <w:t xml:space="preserve"> </w:t>
      </w:r>
      <w:r w:rsidR="00AE618D" w:rsidRPr="0079354F">
        <w:t>program</w:t>
      </w:r>
      <w:r w:rsidR="00F1715D" w:rsidRPr="0079354F">
        <w:t>s</w:t>
      </w:r>
      <w:r w:rsidR="009E1856" w:rsidRPr="0079354F">
        <w:t>:</w:t>
      </w:r>
    </w:p>
    <w:p w14:paraId="1C5E1F0B" w14:textId="2E410F25" w:rsidR="009E1856" w:rsidRPr="0079354F" w:rsidRDefault="00036BAF" w:rsidP="00FC65BD">
      <w:pPr>
        <w:pStyle w:val="ListParagraph"/>
        <w:numPr>
          <w:ilvl w:val="0"/>
          <w:numId w:val="8"/>
        </w:numPr>
        <w:spacing w:after="0" w:line="240" w:lineRule="auto"/>
        <w:rPr>
          <w:rFonts w:ascii="Times New Roman" w:hAnsi="Times New Roman" w:cs="Times New Roman"/>
          <w:sz w:val="24"/>
          <w:szCs w:val="24"/>
        </w:rPr>
      </w:pPr>
      <w:r w:rsidRPr="0ADF2C45">
        <w:rPr>
          <w:rFonts w:ascii="Times New Roman" w:hAnsi="Times New Roman" w:cs="Times New Roman"/>
          <w:sz w:val="24"/>
          <w:szCs w:val="24"/>
        </w:rPr>
        <w:t>M</w:t>
      </w:r>
      <w:r w:rsidR="008B2BD9" w:rsidRPr="0ADF2C45">
        <w:rPr>
          <w:rFonts w:ascii="Times New Roman" w:hAnsi="Times New Roman" w:cs="Times New Roman"/>
          <w:sz w:val="24"/>
          <w:szCs w:val="24"/>
        </w:rPr>
        <w:t xml:space="preserve">aintain an active waitlist </w:t>
      </w:r>
      <w:r w:rsidR="00F420F9" w:rsidRPr="0ADF2C45">
        <w:rPr>
          <w:rFonts w:ascii="Times New Roman" w:hAnsi="Times New Roman" w:cs="Times New Roman"/>
          <w:sz w:val="24"/>
          <w:szCs w:val="24"/>
        </w:rPr>
        <w:t xml:space="preserve">in LACES </w:t>
      </w:r>
      <w:r w:rsidR="008B2BD9" w:rsidRPr="0ADF2C45">
        <w:rPr>
          <w:rFonts w:ascii="Times New Roman" w:hAnsi="Times New Roman" w:cs="Times New Roman"/>
          <w:sz w:val="24"/>
          <w:szCs w:val="24"/>
        </w:rPr>
        <w:t>for applicants who are unable to enroll in instructional classes due to capacity constrain</w:t>
      </w:r>
      <w:r w:rsidR="009E1856" w:rsidRPr="0ADF2C45">
        <w:rPr>
          <w:rFonts w:ascii="Times New Roman" w:hAnsi="Times New Roman" w:cs="Times New Roman"/>
          <w:sz w:val="24"/>
          <w:szCs w:val="24"/>
        </w:rPr>
        <w:t>ts;</w:t>
      </w:r>
    </w:p>
    <w:p w14:paraId="61D9A7A2" w14:textId="16218386" w:rsidR="00A4724D" w:rsidRPr="0079354F" w:rsidRDefault="05CC2E90" w:rsidP="00FC65BD">
      <w:pPr>
        <w:pStyle w:val="ListParagraph"/>
        <w:numPr>
          <w:ilvl w:val="0"/>
          <w:numId w:val="8"/>
        </w:numPr>
        <w:spacing w:after="0" w:line="240" w:lineRule="auto"/>
        <w:rPr>
          <w:rFonts w:ascii="Times New Roman" w:hAnsi="Times New Roman" w:cs="Times New Roman"/>
          <w:sz w:val="24"/>
          <w:szCs w:val="24"/>
        </w:rPr>
      </w:pPr>
      <w:r w:rsidRPr="675C1F61">
        <w:rPr>
          <w:rFonts w:ascii="Times New Roman" w:hAnsi="Times New Roman" w:cs="Times New Roman"/>
          <w:sz w:val="24"/>
          <w:szCs w:val="24"/>
        </w:rPr>
        <w:t>C</w:t>
      </w:r>
      <w:r w:rsidR="1570FA71" w:rsidRPr="675C1F61">
        <w:rPr>
          <w:rFonts w:ascii="Times New Roman" w:hAnsi="Times New Roman" w:cs="Times New Roman"/>
          <w:sz w:val="24"/>
          <w:szCs w:val="24"/>
        </w:rPr>
        <w:t>ontact</w:t>
      </w:r>
      <w:r w:rsidR="2679BBF7" w:rsidRPr="675C1F61">
        <w:rPr>
          <w:rFonts w:ascii="Times New Roman" w:hAnsi="Times New Roman" w:cs="Times New Roman"/>
          <w:sz w:val="24"/>
          <w:szCs w:val="24"/>
        </w:rPr>
        <w:t xml:space="preserve"> </w:t>
      </w:r>
      <w:r w:rsidR="1570FA71" w:rsidRPr="675C1F61">
        <w:rPr>
          <w:rFonts w:ascii="Times New Roman" w:hAnsi="Times New Roman" w:cs="Times New Roman"/>
          <w:sz w:val="24"/>
          <w:szCs w:val="24"/>
        </w:rPr>
        <w:t xml:space="preserve">students placed on the waitlist </w:t>
      </w:r>
      <w:r w:rsidR="2679BBF7" w:rsidRPr="675C1F61">
        <w:rPr>
          <w:rFonts w:ascii="Times New Roman" w:hAnsi="Times New Roman" w:cs="Times New Roman"/>
          <w:sz w:val="24"/>
          <w:szCs w:val="24"/>
        </w:rPr>
        <w:t>at least annually to determine whether they ar</w:t>
      </w:r>
      <w:r w:rsidR="4F88294A" w:rsidRPr="675C1F61">
        <w:rPr>
          <w:rFonts w:ascii="Times New Roman" w:hAnsi="Times New Roman" w:cs="Times New Roman"/>
          <w:sz w:val="24"/>
          <w:szCs w:val="24"/>
        </w:rPr>
        <w:t>e still interested in services;</w:t>
      </w:r>
      <w:r w:rsidR="7BAACD4B" w:rsidRPr="675C1F61">
        <w:rPr>
          <w:rFonts w:ascii="Times New Roman" w:hAnsi="Times New Roman" w:cs="Times New Roman"/>
          <w:sz w:val="24"/>
          <w:szCs w:val="24"/>
        </w:rPr>
        <w:t xml:space="preserve"> </w:t>
      </w:r>
    </w:p>
    <w:p w14:paraId="7600EC5B" w14:textId="635C57DE" w:rsidR="009E1856" w:rsidRPr="0079354F" w:rsidRDefault="1A8C486E" w:rsidP="00FC65BD">
      <w:pPr>
        <w:pStyle w:val="ListParagraph"/>
        <w:numPr>
          <w:ilvl w:val="0"/>
          <w:numId w:val="8"/>
        </w:numPr>
        <w:spacing w:after="0" w:line="240" w:lineRule="auto"/>
        <w:rPr>
          <w:rFonts w:ascii="Times New Roman" w:hAnsi="Times New Roman" w:cs="Times New Roman"/>
          <w:sz w:val="24"/>
          <w:szCs w:val="24"/>
        </w:rPr>
      </w:pPr>
      <w:r w:rsidRPr="675C1F61">
        <w:rPr>
          <w:rFonts w:ascii="Times New Roman" w:hAnsi="Times New Roman" w:cs="Times New Roman"/>
          <w:sz w:val="24"/>
          <w:szCs w:val="24"/>
        </w:rPr>
        <w:t xml:space="preserve">Annually, remove </w:t>
      </w:r>
      <w:r w:rsidR="7BAACD4B" w:rsidRPr="675C1F61">
        <w:rPr>
          <w:rFonts w:ascii="Times New Roman" w:hAnsi="Times New Roman" w:cs="Times New Roman"/>
          <w:sz w:val="24"/>
          <w:szCs w:val="24"/>
        </w:rPr>
        <w:t xml:space="preserve">the </w:t>
      </w:r>
      <w:r w:rsidR="4F88294A" w:rsidRPr="675C1F61">
        <w:rPr>
          <w:rFonts w:ascii="Times New Roman" w:hAnsi="Times New Roman" w:cs="Times New Roman"/>
          <w:sz w:val="24"/>
          <w:szCs w:val="24"/>
        </w:rPr>
        <w:t xml:space="preserve">names of </w:t>
      </w:r>
      <w:r w:rsidR="342A4C7B" w:rsidRPr="675C1F61">
        <w:rPr>
          <w:rFonts w:ascii="Times New Roman" w:hAnsi="Times New Roman" w:cs="Times New Roman"/>
          <w:sz w:val="24"/>
          <w:szCs w:val="24"/>
        </w:rPr>
        <w:t>individuals</w:t>
      </w:r>
      <w:r w:rsidR="4F88294A" w:rsidRPr="675C1F61">
        <w:rPr>
          <w:rFonts w:ascii="Times New Roman" w:hAnsi="Times New Roman" w:cs="Times New Roman"/>
          <w:sz w:val="24"/>
          <w:szCs w:val="24"/>
        </w:rPr>
        <w:t xml:space="preserve"> </w:t>
      </w:r>
      <w:r w:rsidR="1570FA71" w:rsidRPr="675C1F61">
        <w:rPr>
          <w:rFonts w:ascii="Times New Roman" w:hAnsi="Times New Roman" w:cs="Times New Roman"/>
          <w:sz w:val="24"/>
          <w:szCs w:val="24"/>
        </w:rPr>
        <w:t xml:space="preserve">who cannot be contacted or are </w:t>
      </w:r>
      <w:r w:rsidR="4F88294A" w:rsidRPr="675C1F61">
        <w:rPr>
          <w:rFonts w:ascii="Times New Roman" w:hAnsi="Times New Roman" w:cs="Times New Roman"/>
          <w:sz w:val="24"/>
          <w:szCs w:val="24"/>
        </w:rPr>
        <w:t xml:space="preserve">no longer interested </w:t>
      </w:r>
      <w:r w:rsidR="342A4C7B" w:rsidRPr="675C1F61">
        <w:rPr>
          <w:rFonts w:ascii="Times New Roman" w:hAnsi="Times New Roman" w:cs="Times New Roman"/>
          <w:sz w:val="24"/>
          <w:szCs w:val="24"/>
        </w:rPr>
        <w:t>in servic</w:t>
      </w:r>
      <w:r w:rsidR="1570FA71" w:rsidRPr="675C1F61">
        <w:rPr>
          <w:rFonts w:ascii="Times New Roman" w:hAnsi="Times New Roman" w:cs="Times New Roman"/>
          <w:sz w:val="24"/>
          <w:szCs w:val="24"/>
        </w:rPr>
        <w:t>es</w:t>
      </w:r>
      <w:r w:rsidRPr="675C1F61">
        <w:rPr>
          <w:rFonts w:ascii="Times New Roman" w:hAnsi="Times New Roman" w:cs="Times New Roman"/>
          <w:sz w:val="24"/>
          <w:szCs w:val="24"/>
        </w:rPr>
        <w:t xml:space="preserve">; </w:t>
      </w:r>
    </w:p>
    <w:p w14:paraId="25023E5F" w14:textId="73F2A739" w:rsidR="675C1F61" w:rsidRDefault="675C1F61" w:rsidP="00FC65BD">
      <w:pPr>
        <w:pStyle w:val="ListParagraph"/>
        <w:numPr>
          <w:ilvl w:val="0"/>
          <w:numId w:val="8"/>
        </w:numPr>
        <w:spacing w:after="0" w:line="240" w:lineRule="auto"/>
        <w:rPr>
          <w:sz w:val="24"/>
          <w:szCs w:val="24"/>
        </w:rPr>
      </w:pPr>
      <w:r w:rsidRPr="675C1F61">
        <w:rPr>
          <w:rFonts w:ascii="Times New Roman" w:eastAsia="Arial" w:hAnsi="Times New Roman" w:cs="Times New Roman"/>
          <w:sz w:val="24"/>
          <w:szCs w:val="24"/>
        </w:rPr>
        <w:t xml:space="preserve">Students who have been contacted two years </w:t>
      </w:r>
      <w:r w:rsidR="00491624">
        <w:rPr>
          <w:rFonts w:ascii="Times New Roman" w:eastAsia="Arial" w:hAnsi="Times New Roman" w:cs="Times New Roman"/>
          <w:sz w:val="24"/>
          <w:szCs w:val="24"/>
        </w:rPr>
        <w:t xml:space="preserve">in </w:t>
      </w:r>
      <w:r w:rsidRPr="675C1F61">
        <w:rPr>
          <w:rFonts w:ascii="Times New Roman" w:eastAsia="Arial" w:hAnsi="Times New Roman" w:cs="Times New Roman"/>
          <w:sz w:val="24"/>
          <w:szCs w:val="24"/>
        </w:rPr>
        <w:t xml:space="preserve">a row but are still unable to attend classes should be referred to </w:t>
      </w:r>
      <w:r w:rsidR="006E1D43" w:rsidRPr="675C1F61">
        <w:rPr>
          <w:rFonts w:ascii="Times New Roman" w:eastAsia="Arial" w:hAnsi="Times New Roman" w:cs="Times New Roman"/>
          <w:sz w:val="24"/>
          <w:szCs w:val="24"/>
        </w:rPr>
        <w:t>Mass Links</w:t>
      </w:r>
      <w:r w:rsidRPr="675C1F61">
        <w:rPr>
          <w:rFonts w:ascii="Times New Roman" w:eastAsia="Arial" w:hAnsi="Times New Roman" w:cs="Times New Roman"/>
          <w:sz w:val="24"/>
          <w:szCs w:val="24"/>
        </w:rPr>
        <w:t>; and</w:t>
      </w:r>
    </w:p>
    <w:p w14:paraId="7A46CDF9" w14:textId="687621D1" w:rsidR="675C1F61" w:rsidRPr="00A36A19" w:rsidRDefault="05CC2E90" w:rsidP="00FC65BD">
      <w:pPr>
        <w:pStyle w:val="ListParagraph"/>
        <w:numPr>
          <w:ilvl w:val="0"/>
          <w:numId w:val="8"/>
        </w:numPr>
        <w:spacing w:after="0" w:line="240" w:lineRule="auto"/>
      </w:pPr>
      <w:r w:rsidRPr="675C1F61">
        <w:rPr>
          <w:rFonts w:ascii="Times New Roman" w:hAnsi="Times New Roman" w:cs="Times New Roman"/>
          <w:sz w:val="24"/>
          <w:szCs w:val="24"/>
        </w:rPr>
        <w:t>V</w:t>
      </w:r>
      <w:r w:rsidR="1A8C486E" w:rsidRPr="675C1F61">
        <w:rPr>
          <w:rFonts w:ascii="Times New Roman" w:hAnsi="Times New Roman" w:cs="Times New Roman"/>
          <w:sz w:val="24"/>
          <w:szCs w:val="24"/>
        </w:rPr>
        <w:t xml:space="preserve">erify in the annual Data Quality Checklist (DQC) that the waitlist is accurate and </w:t>
      </w:r>
      <w:r w:rsidR="4C56AA57" w:rsidRPr="675C1F61">
        <w:rPr>
          <w:rFonts w:ascii="Times New Roman" w:hAnsi="Times New Roman" w:cs="Times New Roman"/>
          <w:sz w:val="24"/>
          <w:szCs w:val="24"/>
        </w:rPr>
        <w:t>up</w:t>
      </w:r>
      <w:r w:rsidR="456CB39C" w:rsidRPr="675C1F61">
        <w:rPr>
          <w:rFonts w:ascii="Times New Roman" w:hAnsi="Times New Roman" w:cs="Times New Roman"/>
          <w:sz w:val="24"/>
          <w:szCs w:val="24"/>
        </w:rPr>
        <w:t>-</w:t>
      </w:r>
      <w:r w:rsidR="4C56AA57" w:rsidRPr="675C1F61">
        <w:rPr>
          <w:rFonts w:ascii="Times New Roman" w:hAnsi="Times New Roman" w:cs="Times New Roman"/>
          <w:sz w:val="24"/>
          <w:szCs w:val="24"/>
        </w:rPr>
        <w:t>to</w:t>
      </w:r>
      <w:r w:rsidR="456CB39C" w:rsidRPr="675C1F61">
        <w:rPr>
          <w:rFonts w:ascii="Times New Roman" w:hAnsi="Times New Roman" w:cs="Times New Roman"/>
          <w:sz w:val="24"/>
          <w:szCs w:val="24"/>
        </w:rPr>
        <w:t>-d</w:t>
      </w:r>
      <w:r w:rsidR="4C56AA57" w:rsidRPr="675C1F61">
        <w:rPr>
          <w:rFonts w:ascii="Times New Roman" w:hAnsi="Times New Roman" w:cs="Times New Roman"/>
          <w:sz w:val="24"/>
          <w:szCs w:val="24"/>
        </w:rPr>
        <w:t>ate</w:t>
      </w:r>
      <w:r w:rsidR="1A8C486E" w:rsidRPr="675C1F61">
        <w:rPr>
          <w:rFonts w:ascii="Times New Roman" w:hAnsi="Times New Roman" w:cs="Times New Roman"/>
          <w:sz w:val="24"/>
          <w:szCs w:val="24"/>
        </w:rPr>
        <w:t xml:space="preserve">. The DQC </w:t>
      </w:r>
      <w:r w:rsidR="4811DEC2" w:rsidRPr="675C1F61">
        <w:rPr>
          <w:rFonts w:ascii="Times New Roman" w:hAnsi="Times New Roman" w:cs="Times New Roman"/>
          <w:sz w:val="24"/>
          <w:szCs w:val="24"/>
        </w:rPr>
        <w:t>is</w:t>
      </w:r>
      <w:r w:rsidR="1A8C486E" w:rsidRPr="675C1F61">
        <w:rPr>
          <w:rFonts w:ascii="Times New Roman" w:hAnsi="Times New Roman" w:cs="Times New Roman"/>
          <w:sz w:val="24"/>
          <w:szCs w:val="24"/>
        </w:rPr>
        <w:t xml:space="preserve"> required as part of the </w:t>
      </w:r>
      <w:r w:rsidR="4811DEC2" w:rsidRPr="675C1F61">
        <w:rPr>
          <w:rFonts w:ascii="Times New Roman" w:hAnsi="Times New Roman" w:cs="Times New Roman"/>
          <w:sz w:val="24"/>
          <w:szCs w:val="24"/>
        </w:rPr>
        <w:t xml:space="preserve">annual </w:t>
      </w:r>
      <w:r w:rsidR="1A8C486E" w:rsidRPr="675C1F61">
        <w:rPr>
          <w:rFonts w:ascii="Times New Roman" w:hAnsi="Times New Roman" w:cs="Times New Roman"/>
          <w:sz w:val="24"/>
          <w:szCs w:val="24"/>
        </w:rPr>
        <w:t>continuation application.</w:t>
      </w:r>
    </w:p>
    <w:p w14:paraId="4CAFBF40" w14:textId="4EFCA976" w:rsidR="006E55BF" w:rsidRPr="0079354F" w:rsidRDefault="006E55BF" w:rsidP="006E55BF"/>
    <w:p w14:paraId="4DFE0190" w14:textId="11C2886F" w:rsidR="006E55BF" w:rsidRPr="0079354F" w:rsidRDefault="006E55BF" w:rsidP="006E55BF">
      <w:r w:rsidRPr="0079354F">
        <w:t>For more information on waitlists, see the Fiscal and Data Accountability chapter.</w:t>
      </w:r>
    </w:p>
    <w:p w14:paraId="4A10E984" w14:textId="77777777" w:rsidR="007049B6" w:rsidRPr="0079354F" w:rsidRDefault="007049B6" w:rsidP="00A36A19">
      <w:pPr>
        <w:pStyle w:val="Heading3"/>
      </w:pPr>
    </w:p>
    <w:p w14:paraId="50D18053" w14:textId="11176881" w:rsidR="001201AD" w:rsidRPr="005C26E3" w:rsidRDefault="25F6DC9B" w:rsidP="00A36A19">
      <w:pPr>
        <w:pStyle w:val="Heading3"/>
        <w:rPr>
          <w:b/>
          <w:bCs/>
        </w:rPr>
      </w:pPr>
      <w:bookmarkStart w:id="43" w:name="_Toc109195974"/>
      <w:r w:rsidRPr="1E8607B9">
        <w:rPr>
          <w:b/>
          <w:bCs/>
        </w:rPr>
        <w:t>Intake and Orientation</w:t>
      </w:r>
      <w:bookmarkEnd w:id="43"/>
    </w:p>
    <w:p w14:paraId="1034D635" w14:textId="77777777" w:rsidR="003C6A56" w:rsidRPr="0079354F" w:rsidRDefault="00B50E20" w:rsidP="0047675C">
      <w:r w:rsidRPr="0079354F">
        <w:rPr>
          <w:bCs/>
        </w:rPr>
        <w:t>WIOA require</w:t>
      </w:r>
      <w:r w:rsidR="003C6A56" w:rsidRPr="0079354F">
        <w:rPr>
          <w:bCs/>
        </w:rPr>
        <w:t>s</w:t>
      </w:r>
      <w:r w:rsidRPr="0079354F">
        <w:rPr>
          <w:bCs/>
        </w:rPr>
        <w:t xml:space="preserve"> that programs</w:t>
      </w:r>
      <w:r w:rsidRPr="0079354F">
        <w:t xml:space="preserve"> identify those adults who, in addition to being eligible for services, face one or more </w:t>
      </w:r>
      <w:r w:rsidR="003C6A56" w:rsidRPr="0079354F">
        <w:t>barriers to employment.</w:t>
      </w:r>
      <w:r w:rsidRPr="0079354F">
        <w:t xml:space="preserve"> This requirement is intended to shed light on how well students with barriers are being served by the workforce </w:t>
      </w:r>
      <w:r w:rsidR="000E210E" w:rsidRPr="0079354F">
        <w:t>system</w:t>
      </w:r>
      <w:r w:rsidRPr="0079354F">
        <w:t xml:space="preserve">. Programs may use whatever </w:t>
      </w:r>
      <w:r w:rsidR="00320E1A" w:rsidRPr="0079354F">
        <w:t xml:space="preserve">intake </w:t>
      </w:r>
      <w:r w:rsidRPr="0079354F">
        <w:t>form</w:t>
      </w:r>
      <w:r w:rsidR="00320E1A" w:rsidRPr="0079354F">
        <w:t>s</w:t>
      </w:r>
      <w:r w:rsidRPr="0079354F">
        <w:t xml:space="preserve"> they wish</w:t>
      </w:r>
      <w:r w:rsidR="002F6028" w:rsidRPr="0079354F">
        <w:t xml:space="preserve"> as long as th</w:t>
      </w:r>
      <w:r w:rsidRPr="0079354F">
        <w:t xml:space="preserve">e </w:t>
      </w:r>
      <w:r w:rsidR="00320E1A" w:rsidRPr="0079354F">
        <w:t>forms</w:t>
      </w:r>
      <w:r w:rsidRPr="0079354F">
        <w:t xml:space="preserve"> solicit and collect all the information </w:t>
      </w:r>
      <w:r w:rsidR="00FA09F8" w:rsidRPr="0079354F">
        <w:t>needed to do data entry in</w:t>
      </w:r>
      <w:r w:rsidR="009C3205" w:rsidRPr="0079354F">
        <w:t xml:space="preserve"> </w:t>
      </w:r>
      <w:hyperlink r:id="rId56" w:history="1">
        <w:r w:rsidR="006C3BDC" w:rsidRPr="0079354F">
          <w:rPr>
            <w:rStyle w:val="Hyperlink"/>
          </w:rPr>
          <w:t>LACES</w:t>
        </w:r>
      </w:hyperlink>
      <w:r w:rsidR="009813F4" w:rsidRPr="0079354F">
        <w:t>.</w:t>
      </w:r>
    </w:p>
    <w:p w14:paraId="472C5772" w14:textId="77777777" w:rsidR="007049B6" w:rsidRPr="0079354F" w:rsidRDefault="007049B6" w:rsidP="00375D04"/>
    <w:p w14:paraId="560A71DD" w14:textId="05DB3FD4" w:rsidR="00CE7427" w:rsidRPr="0079354F" w:rsidRDefault="00CE7427" w:rsidP="00375D04">
      <w:pPr>
        <w:rPr>
          <w:sz w:val="22"/>
          <w:szCs w:val="22"/>
        </w:rPr>
      </w:pPr>
      <w:r w:rsidRPr="0079354F">
        <w:t xml:space="preserve">Programs enrolling students in HSE preparation classes (i.e., pre-ASE and ASE levels) must enter student information in </w:t>
      </w:r>
      <w:hyperlink r:id="rId57" w:history="1">
        <w:r w:rsidR="00E14CC1" w:rsidRPr="0079354F">
          <w:rPr>
            <w:rStyle w:val="Hyperlink"/>
          </w:rPr>
          <w:t>LACES</w:t>
        </w:r>
      </w:hyperlink>
      <w:r w:rsidR="00E14CC1" w:rsidRPr="0079354F">
        <w:t xml:space="preserve"> </w:t>
      </w:r>
      <w:r w:rsidRPr="0079354F">
        <w:t>(i.e., student name and DOB) as it appears on the</w:t>
      </w:r>
      <w:r w:rsidR="005B1843" w:rsidRPr="0079354F">
        <w:t xml:space="preserve"> </w:t>
      </w:r>
      <w:r w:rsidRPr="0079354F">
        <w:t xml:space="preserve">government issued picture ID the student </w:t>
      </w:r>
      <w:r w:rsidR="005B1843" w:rsidRPr="0079354F">
        <w:t>will be using</w:t>
      </w:r>
      <w:r w:rsidRPr="0079354F">
        <w:t xml:space="preserve"> to register for the HiSET</w:t>
      </w:r>
      <w:r w:rsidRPr="0079354F">
        <w:rPr>
          <w:color w:val="545454"/>
          <w:shd w:val="clear" w:color="auto" w:fill="FFFFFF"/>
          <w:vertAlign w:val="superscript"/>
        </w:rPr>
        <w:t>®</w:t>
      </w:r>
      <w:r w:rsidRPr="0079354F">
        <w:t xml:space="preserve"> and/or GED</w:t>
      </w:r>
      <w:r w:rsidRPr="0079354F">
        <w:rPr>
          <w:color w:val="545454"/>
          <w:shd w:val="clear" w:color="auto" w:fill="FFFFFF"/>
          <w:vertAlign w:val="superscript"/>
        </w:rPr>
        <w:t>®</w:t>
      </w:r>
      <w:r w:rsidRPr="0079354F">
        <w:rPr>
          <w:vertAlign w:val="superscript"/>
        </w:rPr>
        <w:t xml:space="preserve"> </w:t>
      </w:r>
      <w:r w:rsidRPr="0079354F">
        <w:t>exam. This policy is to ensure proper data matching with HiSET</w:t>
      </w:r>
      <w:r w:rsidR="003D5430" w:rsidRPr="0079354F">
        <w:rPr>
          <w:color w:val="545454"/>
          <w:shd w:val="clear" w:color="auto" w:fill="FFFFFF"/>
          <w:vertAlign w:val="superscript"/>
        </w:rPr>
        <w:t>®</w:t>
      </w:r>
      <w:r w:rsidRPr="0079354F">
        <w:t xml:space="preserve"> and GED</w:t>
      </w:r>
      <w:r w:rsidR="003D5430" w:rsidRPr="0079354F">
        <w:rPr>
          <w:color w:val="545454"/>
          <w:shd w:val="clear" w:color="auto" w:fill="FFFFFF"/>
          <w:vertAlign w:val="superscript"/>
        </w:rPr>
        <w:t>®</w:t>
      </w:r>
      <w:r w:rsidRPr="0079354F">
        <w:t xml:space="preserve"> records. </w:t>
      </w:r>
      <w:r w:rsidR="00C904ED" w:rsidRPr="0079354F">
        <w:t xml:space="preserve">Programs may wish to </w:t>
      </w:r>
      <w:r w:rsidR="003D5430" w:rsidRPr="0079354F">
        <w:t xml:space="preserve">keep a photocopy of the ID on file or scanned into </w:t>
      </w:r>
      <w:hyperlink r:id="rId58" w:history="1">
        <w:r w:rsidR="00E14CC1" w:rsidRPr="0079354F">
          <w:rPr>
            <w:rStyle w:val="Hyperlink"/>
          </w:rPr>
          <w:t>LACES</w:t>
        </w:r>
      </w:hyperlink>
      <w:r w:rsidR="003D5430" w:rsidRPr="0079354F">
        <w:t xml:space="preserve">. </w:t>
      </w:r>
    </w:p>
    <w:p w14:paraId="6D5C12B5" w14:textId="77777777" w:rsidR="007049B6" w:rsidRPr="0079354F" w:rsidRDefault="007049B6" w:rsidP="0047675C"/>
    <w:p w14:paraId="62F4AE9C" w14:textId="0DEC3B00" w:rsidR="003A08F4" w:rsidRPr="0079354F" w:rsidRDefault="003C6A56" w:rsidP="003A08F4">
      <w:pPr>
        <w:rPr>
          <w:rFonts w:eastAsia="Batang"/>
        </w:rPr>
      </w:pPr>
      <w:r w:rsidRPr="0079354F">
        <w:t>A</w:t>
      </w:r>
      <w:r w:rsidR="00B50E20" w:rsidRPr="0079354F">
        <w:t>t the beginning of ea</w:t>
      </w:r>
      <w:r w:rsidRPr="0079354F">
        <w:t>ch fiscal year</w:t>
      </w:r>
      <w:r w:rsidR="00B50E20" w:rsidRPr="0079354F">
        <w:t>, prog</w:t>
      </w:r>
      <w:r w:rsidR="00E93FFD" w:rsidRPr="0079354F">
        <w:t xml:space="preserve">rams are expected to complete </w:t>
      </w:r>
      <w:r w:rsidR="00B50E20" w:rsidRPr="0079354F">
        <w:t>new intake</w:t>
      </w:r>
      <w:r w:rsidR="00E93FFD" w:rsidRPr="0079354F">
        <w:t>s</w:t>
      </w:r>
      <w:r w:rsidR="00B50E20" w:rsidRPr="0079354F">
        <w:t xml:space="preserve"> for all students, including those who are continuing from the previous year. </w:t>
      </w:r>
      <w:r w:rsidR="003A08F4" w:rsidRPr="0079354F">
        <w:rPr>
          <w:rFonts w:eastAsia="Batang"/>
        </w:rPr>
        <w:t>Programs are encouraged to give students program information, including program completion requirements, so that they can make an informed decision about whether they are able to pursue participation in the program.</w:t>
      </w:r>
    </w:p>
    <w:p w14:paraId="5FDB8A36" w14:textId="77777777" w:rsidR="00780C36" w:rsidRPr="0079354F" w:rsidRDefault="00780C36" w:rsidP="003A08F4"/>
    <w:p w14:paraId="045216E8" w14:textId="6282D307" w:rsidR="00780C36" w:rsidRPr="0079354F" w:rsidRDefault="5847BCF3" w:rsidP="003A08F4">
      <w:r w:rsidRPr="0079354F">
        <w:t xml:space="preserve">For the </w:t>
      </w:r>
      <w:r w:rsidR="0EF347E1" w:rsidRPr="0079354F">
        <w:t>s</w:t>
      </w:r>
      <w:r w:rsidRPr="0079354F">
        <w:t xml:space="preserve">tudent </w:t>
      </w:r>
      <w:r w:rsidR="0EF347E1" w:rsidRPr="0079354F">
        <w:t>i</w:t>
      </w:r>
      <w:r w:rsidRPr="0079354F">
        <w:t xml:space="preserve">ntake form, see </w:t>
      </w:r>
      <w:hyperlink r:id="rId59">
        <w:r w:rsidR="502AAF99" w:rsidRPr="0079354F">
          <w:rPr>
            <w:rStyle w:val="Hyperlink"/>
          </w:rPr>
          <w:t>http://www.doe.mass.edu/acls/laces/intake-form/</w:t>
        </w:r>
      </w:hyperlink>
      <w:r w:rsidRPr="0079354F">
        <w:t>.</w:t>
      </w:r>
    </w:p>
    <w:p w14:paraId="5C457B3A" w14:textId="77777777" w:rsidR="00700B4E" w:rsidRPr="0079354F" w:rsidRDefault="00700B4E" w:rsidP="0047675C"/>
    <w:p w14:paraId="70953BB4" w14:textId="2CE68C0E" w:rsidR="00C33CC5" w:rsidRPr="0079354F" w:rsidRDefault="023C856D" w:rsidP="43F4256D">
      <w:pPr>
        <w:pStyle w:val="Heading4"/>
        <w:spacing w:before="0"/>
        <w:rPr>
          <w:b/>
          <w:color w:val="E36C0A" w:themeColor="accent6" w:themeShade="BF"/>
        </w:rPr>
      </w:pPr>
      <w:r w:rsidRPr="00187183">
        <w:rPr>
          <w:b/>
          <w:color w:val="B85808"/>
        </w:rPr>
        <w:t>Confidentiality</w:t>
      </w:r>
      <w:r w:rsidR="68A79AF6" w:rsidRPr="00187183">
        <w:rPr>
          <w:b/>
          <w:color w:val="B85808"/>
        </w:rPr>
        <w:t xml:space="preserve"> (State requirement)</w:t>
      </w:r>
    </w:p>
    <w:p w14:paraId="28206E37" w14:textId="03F977F9" w:rsidR="002257F3" w:rsidRDefault="000E51C3" w:rsidP="00101BEE">
      <w:r w:rsidRPr="0079354F">
        <w:t>ACLS requires that c</w:t>
      </w:r>
      <w:r w:rsidR="00C33CC5" w:rsidRPr="0079354F">
        <w:t>onfidential student records be kept in locked files</w:t>
      </w:r>
      <w:r w:rsidR="00ED3D67" w:rsidRPr="0079354F">
        <w:t xml:space="preserve"> and</w:t>
      </w:r>
      <w:r w:rsidR="00081248" w:rsidRPr="0079354F">
        <w:t>/or</w:t>
      </w:r>
      <w:r w:rsidR="00ED3D67" w:rsidRPr="0079354F">
        <w:t xml:space="preserve"> in password protected databases</w:t>
      </w:r>
      <w:r w:rsidR="00C33CC5" w:rsidRPr="0079354F">
        <w:t xml:space="preserve">. </w:t>
      </w:r>
      <w:r w:rsidRPr="0079354F">
        <w:t>S</w:t>
      </w:r>
      <w:r w:rsidR="00C33CC5" w:rsidRPr="0079354F">
        <w:t xml:space="preserve">tudents’ education records, including </w:t>
      </w:r>
      <w:r w:rsidR="009C3205" w:rsidRPr="0079354F">
        <w:t xml:space="preserve">student data in </w:t>
      </w:r>
      <w:hyperlink r:id="rId60">
        <w:r w:rsidR="006C3BDC" w:rsidRPr="0079354F">
          <w:rPr>
            <w:rStyle w:val="Hyperlink"/>
          </w:rPr>
          <w:t>LACES</w:t>
        </w:r>
      </w:hyperlink>
      <w:r w:rsidR="009C3205" w:rsidRPr="0079354F">
        <w:t xml:space="preserve"> </w:t>
      </w:r>
      <w:r w:rsidR="00E31F96" w:rsidRPr="0079354F">
        <w:t>and</w:t>
      </w:r>
      <w:r w:rsidR="00551B36" w:rsidRPr="0079354F">
        <w:t xml:space="preserve"> records regarding students’ </w:t>
      </w:r>
      <w:r w:rsidR="00B612B7" w:rsidRPr="0079354F">
        <w:t>disabilities</w:t>
      </w:r>
      <w:r w:rsidR="00B951E5" w:rsidRPr="0079354F">
        <w:t xml:space="preserve">, </w:t>
      </w:r>
      <w:r w:rsidRPr="0079354F">
        <w:t>are to be treated with the same</w:t>
      </w:r>
      <w:r w:rsidR="00C33CC5" w:rsidRPr="0079354F">
        <w:t xml:space="preserve"> confi</w:t>
      </w:r>
      <w:r w:rsidR="00225D47" w:rsidRPr="0079354F">
        <w:t xml:space="preserve">dentiality as medical records. </w:t>
      </w:r>
      <w:r w:rsidRPr="0079354F">
        <w:t xml:space="preserve">ACLS requires that programs </w:t>
      </w:r>
      <w:r w:rsidR="002257F3" w:rsidRPr="0079354F">
        <w:t>protect the privacy of students’ education records and seek consent for any disclosure of personal</w:t>
      </w:r>
      <w:r w:rsidRPr="0079354F">
        <w:t>ly</w:t>
      </w:r>
      <w:r w:rsidR="002257F3" w:rsidRPr="0079354F">
        <w:t xml:space="preserve"> identifiable information</w:t>
      </w:r>
      <w:r w:rsidR="00693F49" w:rsidRPr="0079354F">
        <w:t xml:space="preserve"> (PII)</w:t>
      </w:r>
      <w:r w:rsidR="002257F3" w:rsidRPr="0079354F">
        <w:t xml:space="preserve"> </w:t>
      </w:r>
      <w:r w:rsidR="00FD070B" w:rsidRPr="0079354F">
        <w:t>in students’</w:t>
      </w:r>
      <w:r w:rsidR="002257F3" w:rsidRPr="0079354F">
        <w:t xml:space="preserve"> education records.</w:t>
      </w:r>
      <w:r w:rsidR="000F4F75" w:rsidRPr="0079354F">
        <w:t xml:space="preserve"> (Note: Students entrust programs with PII. Toward protecting </w:t>
      </w:r>
      <w:r w:rsidR="00693F49" w:rsidRPr="0079354F">
        <w:t>it</w:t>
      </w:r>
      <w:r w:rsidR="000F4F75" w:rsidRPr="0079354F">
        <w:t>, ACLS requires that all users of the state information management system (</w:t>
      </w:r>
      <w:hyperlink r:id="rId61">
        <w:r w:rsidR="000F4F75" w:rsidRPr="0079354F">
          <w:rPr>
            <w:rStyle w:val="Hyperlink"/>
          </w:rPr>
          <w:t>LACES</w:t>
        </w:r>
      </w:hyperlink>
      <w:r w:rsidR="000F4F75" w:rsidRPr="0079354F">
        <w:t xml:space="preserve">) have unique logon credentials. Programs </w:t>
      </w:r>
      <w:r w:rsidR="003824EA" w:rsidRPr="0079354F">
        <w:t>m</w:t>
      </w:r>
      <w:r w:rsidR="000F4F75" w:rsidRPr="0079354F">
        <w:t xml:space="preserve">ust immediately deactivate </w:t>
      </w:r>
      <w:hyperlink r:id="rId62">
        <w:r w:rsidR="000F4F75" w:rsidRPr="0079354F">
          <w:rPr>
            <w:rStyle w:val="Hyperlink"/>
          </w:rPr>
          <w:t>LACES</w:t>
        </w:r>
      </w:hyperlink>
      <w:r w:rsidR="000F4F75" w:rsidRPr="0079354F">
        <w:t xml:space="preserve"> accounts for users who leave the program.)</w:t>
      </w:r>
    </w:p>
    <w:p w14:paraId="197B6017" w14:textId="77777777" w:rsidR="00A36A19" w:rsidRDefault="00A36A19" w:rsidP="00A36A19"/>
    <w:p w14:paraId="4F82AD0A" w14:textId="0918DA4D" w:rsidR="00A36A19" w:rsidRPr="00A36A19" w:rsidRDefault="00A36A19" w:rsidP="00A36A19">
      <w:r w:rsidRPr="00F3624B">
        <w:rPr>
          <w:b/>
          <w:color w:val="B85808"/>
        </w:rPr>
        <w:t>Release of Information (ROI) (State requirement)</w:t>
      </w:r>
    </w:p>
    <w:p w14:paraId="6335322C" w14:textId="77777777" w:rsidR="00A36A19" w:rsidRPr="00F3624B" w:rsidRDefault="00A36A19" w:rsidP="00A36A19">
      <w:r w:rsidRPr="00F3624B">
        <w:t>ACLS requires that programs ask students to provide their social security numbers (SSN)</w:t>
      </w:r>
      <w:r w:rsidRPr="00F3624B">
        <w:rPr>
          <w:rStyle w:val="FootnoteReference"/>
        </w:rPr>
        <w:footnoteReference w:id="20"/>
      </w:r>
      <w:r w:rsidRPr="00F3624B">
        <w:t xml:space="preserve"> and sign an ROI form. The purpose of the ROI is twofold:</w:t>
      </w:r>
    </w:p>
    <w:p w14:paraId="0AD2A99D" w14:textId="77777777" w:rsidR="00A36A19" w:rsidRPr="00F3624B" w:rsidRDefault="00A36A19" w:rsidP="00FC65BD">
      <w:pPr>
        <w:pStyle w:val="ListParagraph"/>
        <w:numPr>
          <w:ilvl w:val="0"/>
          <w:numId w:val="61"/>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 xml:space="preserve">to inform students, in writing, that their </w:t>
      </w:r>
      <w:r w:rsidRPr="00F3624B">
        <w:rPr>
          <w:rFonts w:ascii="Times New Roman" w:eastAsia="Calibri" w:hAnsi="Times New Roman" w:cs="Times New Roman"/>
          <w:sz w:val="24"/>
          <w:szCs w:val="24"/>
        </w:rPr>
        <w:t xml:space="preserve">personally identifiable information (PII) </w:t>
      </w:r>
      <w:r w:rsidRPr="00F3624B">
        <w:rPr>
          <w:rFonts w:ascii="Times New Roman" w:hAnsi="Times New Roman" w:cs="Times New Roman"/>
          <w:sz w:val="24"/>
          <w:szCs w:val="24"/>
        </w:rPr>
        <w:t xml:space="preserve">will be matched </w:t>
      </w:r>
      <w:r w:rsidRPr="00F3624B">
        <w:rPr>
          <w:rFonts w:ascii="Times New Roman" w:eastAsia="Calibri" w:hAnsi="Times New Roman" w:cs="Times New Roman"/>
          <w:sz w:val="24"/>
          <w:szCs w:val="24"/>
        </w:rPr>
        <w:t>with data from:</w:t>
      </w:r>
    </w:p>
    <w:p w14:paraId="4EC1A787" w14:textId="77777777" w:rsidR="00A36A19" w:rsidRPr="00F3624B" w:rsidRDefault="00A36A19" w:rsidP="00FC65BD">
      <w:pPr>
        <w:pStyle w:val="ListParagraph"/>
        <w:numPr>
          <w:ilvl w:val="1"/>
          <w:numId w:val="61"/>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the Massachusetts Departments of Unemployment Assistance and Higher Education,</w:t>
      </w:r>
    </w:p>
    <w:p w14:paraId="7644C86C" w14:textId="77777777" w:rsidR="00A36A19" w:rsidRPr="00F3624B" w:rsidRDefault="00A36A19" w:rsidP="00FC65BD">
      <w:pPr>
        <w:pStyle w:val="ListParagraph"/>
        <w:numPr>
          <w:ilvl w:val="1"/>
          <w:numId w:val="61"/>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 xml:space="preserve">Pearson GED and ETS (HiSET), </w:t>
      </w:r>
    </w:p>
    <w:p w14:paraId="47C9C408" w14:textId="77777777" w:rsidR="00A36A19" w:rsidRPr="00F3624B" w:rsidRDefault="00A36A19" w:rsidP="00FC65BD">
      <w:pPr>
        <w:pStyle w:val="ListParagraph"/>
        <w:numPr>
          <w:ilvl w:val="1"/>
          <w:numId w:val="61"/>
        </w:numPr>
        <w:spacing w:after="0" w:line="240" w:lineRule="auto"/>
        <w:rPr>
          <w:rFonts w:ascii="Times New Roman" w:eastAsia="Calibri" w:hAnsi="Times New Roman" w:cs="Times New Roman"/>
          <w:sz w:val="24"/>
          <w:szCs w:val="24"/>
        </w:rPr>
      </w:pPr>
      <w:r w:rsidRPr="00F3624B">
        <w:rPr>
          <w:rFonts w:ascii="Times New Roman" w:eastAsia="Calibri" w:hAnsi="Times New Roman" w:cs="Times New Roman"/>
          <w:sz w:val="24"/>
          <w:szCs w:val="24"/>
        </w:rPr>
        <w:t>the National Student Clearing House; and</w:t>
      </w:r>
    </w:p>
    <w:p w14:paraId="227236DB" w14:textId="77777777" w:rsidR="00A36A19" w:rsidRPr="00F3624B" w:rsidRDefault="00A36A19" w:rsidP="00FC65BD">
      <w:pPr>
        <w:pStyle w:val="ListParagraph"/>
        <w:numPr>
          <w:ilvl w:val="0"/>
          <w:numId w:val="61"/>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to authorize the release of</w:t>
      </w:r>
      <w:r>
        <w:rPr>
          <w:rFonts w:ascii="Times New Roman" w:hAnsi="Times New Roman" w:cs="Times New Roman"/>
          <w:sz w:val="24"/>
          <w:szCs w:val="24"/>
        </w:rPr>
        <w:t xml:space="preserve"> data</w:t>
      </w:r>
      <w:r w:rsidRPr="00F3624B">
        <w:rPr>
          <w:rFonts w:ascii="Times New Roman" w:hAnsi="Times New Roman" w:cs="Times New Roman"/>
          <w:sz w:val="24"/>
          <w:szCs w:val="24"/>
        </w:rPr>
        <w:t xml:space="preserve"> matches to the program.</w:t>
      </w:r>
    </w:p>
    <w:p w14:paraId="12AF4222" w14:textId="77777777" w:rsidR="00A36A19" w:rsidRPr="00F3624B" w:rsidRDefault="00A36A19" w:rsidP="00A36A19">
      <w:r w:rsidRPr="00F3624B">
        <w:rPr>
          <w:rFonts w:eastAsia="Calibri"/>
        </w:rPr>
        <w:t>Data matched outcomes are stored securely at DESE and aggregated for federal reports.</w:t>
      </w:r>
    </w:p>
    <w:p w14:paraId="6888CC45" w14:textId="77777777" w:rsidR="00A36A19" w:rsidRPr="00F3624B" w:rsidRDefault="00A36A19" w:rsidP="00A36A19"/>
    <w:p w14:paraId="63115C90" w14:textId="6785E164" w:rsidR="00A36A19" w:rsidRDefault="00A36A19" w:rsidP="00A36A19">
      <w:r w:rsidRPr="00F3624B">
        <w:rPr>
          <w:rFonts w:eastAsia="Calibri"/>
        </w:rPr>
        <w:t>Students who sign the revised ROI form consent to have DESE update their LACES records with employment data, HSE test results, and postsecondary enrollment information obtained via data matching.</w:t>
      </w:r>
      <w:r>
        <w:rPr>
          <w:rFonts w:eastAsia="Calibri"/>
        </w:rPr>
        <w:t xml:space="preserve"> </w:t>
      </w:r>
      <w:r w:rsidRPr="00F3624B">
        <w:t>Declining to provide an SSN and/or sign an ROI will not impact students’ eligibility for services.</w:t>
      </w:r>
    </w:p>
    <w:p w14:paraId="1624B5DD" w14:textId="77777777" w:rsidR="00A36A19" w:rsidRPr="00F3624B" w:rsidRDefault="00A36A19" w:rsidP="00A36A19">
      <w:pPr>
        <w:rPr>
          <w:rFonts w:eastAsia="Calibri"/>
        </w:rPr>
      </w:pPr>
    </w:p>
    <w:p w14:paraId="10712996" w14:textId="16FC48E9" w:rsidR="00A36A19" w:rsidRPr="00A36A19" w:rsidRDefault="00A36A19" w:rsidP="00C17DD7">
      <w:pPr>
        <w:rPr>
          <w:strike/>
        </w:rPr>
      </w:pPr>
      <w:r w:rsidRPr="1E8607B9">
        <w:t xml:space="preserve">For the ROI form, translated into 30 languages, see </w:t>
      </w:r>
      <w:hyperlink r:id="rId63">
        <w:r w:rsidRPr="1E8607B9">
          <w:rPr>
            <w:rStyle w:val="Hyperlink"/>
          </w:rPr>
          <w:t>http://www.doe.mass.edu/acls/laces/release-form/</w:t>
        </w:r>
      </w:hyperlink>
      <w:r w:rsidRPr="1E8607B9">
        <w:rPr>
          <w:rStyle w:val="Hyperlink"/>
        </w:rPr>
        <w:t>.</w:t>
      </w:r>
    </w:p>
    <w:p w14:paraId="487ADB9B" w14:textId="77777777" w:rsidR="00A36A19" w:rsidRPr="00A36A19" w:rsidRDefault="00A36A19" w:rsidP="00A36A19"/>
    <w:p w14:paraId="30D09679" w14:textId="2D221AF6" w:rsidR="00D0119C" w:rsidRPr="005C26E3" w:rsidRDefault="00E242A3" w:rsidP="00A36A19">
      <w:pPr>
        <w:pStyle w:val="Heading3"/>
        <w:rPr>
          <w:b/>
          <w:bCs/>
        </w:rPr>
      </w:pPr>
      <w:bookmarkStart w:id="44" w:name="_Toc109195975"/>
      <w:r w:rsidRPr="1E8607B9">
        <w:rPr>
          <w:b/>
          <w:bCs/>
        </w:rPr>
        <w:t xml:space="preserve">The </w:t>
      </w:r>
      <w:r w:rsidR="00D0119C" w:rsidRPr="1E8607B9">
        <w:rPr>
          <w:b/>
          <w:bCs/>
        </w:rPr>
        <w:t>A</w:t>
      </w:r>
      <w:r w:rsidR="007A3406" w:rsidRPr="1E8607B9">
        <w:rPr>
          <w:b/>
          <w:bCs/>
        </w:rPr>
        <w:t xml:space="preserve">mericans with </w:t>
      </w:r>
      <w:r w:rsidR="00D0119C" w:rsidRPr="1E8607B9">
        <w:rPr>
          <w:b/>
          <w:bCs/>
        </w:rPr>
        <w:t>D</w:t>
      </w:r>
      <w:r w:rsidR="007A3406" w:rsidRPr="1E8607B9">
        <w:rPr>
          <w:b/>
          <w:bCs/>
        </w:rPr>
        <w:t xml:space="preserve">isabilities </w:t>
      </w:r>
      <w:r w:rsidR="00D0119C" w:rsidRPr="1E8607B9">
        <w:rPr>
          <w:b/>
          <w:bCs/>
        </w:rPr>
        <w:t>A</w:t>
      </w:r>
      <w:r w:rsidR="007A3406" w:rsidRPr="1E8607B9">
        <w:rPr>
          <w:b/>
          <w:bCs/>
        </w:rPr>
        <w:t>ct (ADA)</w:t>
      </w:r>
      <w:bookmarkEnd w:id="44"/>
    </w:p>
    <w:p w14:paraId="4D2978BF" w14:textId="3561BB36" w:rsidR="00E242A3" w:rsidRPr="00470D60" w:rsidRDefault="00E242A3" w:rsidP="0047675C">
      <w:r>
        <w:t xml:space="preserve">The </w:t>
      </w:r>
      <w:r w:rsidR="006160A5">
        <w:t>federal</w:t>
      </w:r>
      <w:r w:rsidR="006D1D0B">
        <w:t xml:space="preserve"> </w:t>
      </w:r>
      <w:r>
        <w:t xml:space="preserve">ADA places affirmative duties on public and private </w:t>
      </w:r>
      <w:r w:rsidR="00156CA3">
        <w:t>organizations</w:t>
      </w:r>
      <w:r>
        <w:t xml:space="preserve"> to ensure that individuals with disabilities can access and have equal opportunities to participate in </w:t>
      </w:r>
      <w:r w:rsidR="008F06A7">
        <w:t xml:space="preserve">public services provided by </w:t>
      </w:r>
      <w:r w:rsidR="0091404C">
        <w:t xml:space="preserve">AE </w:t>
      </w:r>
      <w:r>
        <w:t xml:space="preserve">programs. Programs signing the Statement of Assurances </w:t>
      </w:r>
      <w:r w:rsidR="008E03D7">
        <w:t xml:space="preserve">(SOA) </w:t>
      </w:r>
      <w:r>
        <w:t xml:space="preserve">as part of their grant applications are assuring </w:t>
      </w:r>
      <w:r w:rsidR="00180643">
        <w:t>ACLS</w:t>
      </w:r>
      <w:r>
        <w:t xml:space="preserve"> that they are aware of</w:t>
      </w:r>
      <w:r w:rsidR="00C053DC">
        <w:t xml:space="preserve"> and in compliance with</w:t>
      </w:r>
      <w:r w:rsidR="002B03C6">
        <w:t xml:space="preserve"> their ADA-related obligations.</w:t>
      </w:r>
    </w:p>
    <w:p w14:paraId="4B0A1A97" w14:textId="77777777" w:rsidR="00700B4E" w:rsidRPr="0079354F" w:rsidRDefault="00700B4E" w:rsidP="0047675C"/>
    <w:p w14:paraId="5DAAFF93" w14:textId="77777777" w:rsidR="00D0119C" w:rsidRPr="0079354F" w:rsidRDefault="00D0119C" w:rsidP="0047675C">
      <w:pPr>
        <w:pStyle w:val="Heading4"/>
        <w:spacing w:before="0"/>
        <w:rPr>
          <w:b/>
          <w:color w:val="E36C0A" w:themeColor="accent6" w:themeShade="BF"/>
        </w:rPr>
      </w:pPr>
      <w:r w:rsidRPr="00187183">
        <w:rPr>
          <w:b/>
          <w:color w:val="B85808"/>
        </w:rPr>
        <w:t>Accommodations</w:t>
      </w:r>
    </w:p>
    <w:p w14:paraId="041B99C0" w14:textId="77777777" w:rsidR="00881E8E" w:rsidRPr="0079354F" w:rsidRDefault="47085BE2" w:rsidP="0047675C">
      <w:r w:rsidRPr="0079354F">
        <w:t>The ADA requires that programs</w:t>
      </w:r>
      <w:r w:rsidR="4E043BC3" w:rsidRPr="0079354F">
        <w:t xml:space="preserve"> make reasonable </w:t>
      </w:r>
      <w:r w:rsidRPr="0079354F">
        <w:t>accommodations for students.</w:t>
      </w:r>
      <w:r w:rsidR="4E043BC3" w:rsidRPr="0079354F">
        <w:t xml:space="preserve"> To ensure that programs are responsive to learners with disabilities, the </w:t>
      </w:r>
      <w:r w:rsidR="4E043BC3" w:rsidRPr="0079354F">
        <w:rPr>
          <w:rFonts w:eastAsia="Batang"/>
        </w:rPr>
        <w:t>ADA</w:t>
      </w:r>
      <w:r w:rsidR="4E043BC3" w:rsidRPr="0079354F">
        <w:rPr>
          <w:color w:val="FF0000"/>
        </w:rPr>
        <w:t xml:space="preserve"> </w:t>
      </w:r>
      <w:r w:rsidR="0EA8DBF7" w:rsidRPr="0079354F">
        <w:t xml:space="preserve">requires, among other things, that programs </w:t>
      </w:r>
      <w:r w:rsidR="4E043BC3" w:rsidRPr="0079354F">
        <w:t xml:space="preserve">designate an ADA Coordinator whose primary role is to ensure that the program is </w:t>
      </w:r>
      <w:r w:rsidR="41A727CF" w:rsidRPr="0079354F">
        <w:t xml:space="preserve">accessible and </w:t>
      </w:r>
      <w:r w:rsidR="4E043BC3" w:rsidRPr="0079354F">
        <w:t xml:space="preserve">in compliance with </w:t>
      </w:r>
      <w:r w:rsidR="5B0F9A2C" w:rsidRPr="0079354F">
        <w:t xml:space="preserve">the </w:t>
      </w:r>
      <w:r w:rsidR="4E043BC3" w:rsidRPr="0079354F">
        <w:t>ADA.</w:t>
      </w:r>
    </w:p>
    <w:p w14:paraId="31E60B14" w14:textId="77777777" w:rsidR="00780C36" w:rsidRPr="0079354F" w:rsidRDefault="00780C36" w:rsidP="00F77333"/>
    <w:p w14:paraId="6143DE2C" w14:textId="1627887A" w:rsidR="00745D45" w:rsidRPr="0079354F" w:rsidRDefault="00881E8E" w:rsidP="00F77333">
      <w:r w:rsidRPr="0079354F">
        <w:t>For more information on accommodations, see the Massachusetts AE</w:t>
      </w:r>
      <w:r w:rsidR="00192532" w:rsidRPr="0079354F">
        <w:t xml:space="preserve"> a</w:t>
      </w:r>
      <w:r w:rsidRPr="0079354F">
        <w:t xml:space="preserve">ssessment </w:t>
      </w:r>
      <w:r w:rsidR="00192532" w:rsidRPr="0079354F">
        <w:t>p</w:t>
      </w:r>
      <w:r w:rsidRPr="0079354F">
        <w:t xml:space="preserve">olicies at </w:t>
      </w:r>
      <w:hyperlink r:id="rId64" w:history="1">
        <w:r w:rsidRPr="0079354F">
          <w:rPr>
            <w:rStyle w:val="Hyperlink"/>
          </w:rPr>
          <w:t>http://www.doe.mass.edu/acls/assessment/</w:t>
        </w:r>
      </w:hyperlink>
      <w:r w:rsidRPr="0079354F">
        <w:t>.</w:t>
      </w:r>
      <w:r w:rsidR="00780C36" w:rsidRPr="0079354F">
        <w:t xml:space="preserve"> </w:t>
      </w:r>
      <w:r w:rsidR="00745D45" w:rsidRPr="0079354F">
        <w:t xml:space="preserve">For more information on the ADA, see </w:t>
      </w:r>
      <w:hyperlink r:id="rId65" w:history="1">
        <w:r w:rsidR="00745D45" w:rsidRPr="0079354F">
          <w:rPr>
            <w:rStyle w:val="Hyperlink"/>
          </w:rPr>
          <w:t>http://www.doe.mass.edu/acls/disability/default.html</w:t>
        </w:r>
      </w:hyperlink>
      <w:r w:rsidR="00745D45" w:rsidRPr="0079354F">
        <w:t xml:space="preserve">, </w:t>
      </w:r>
      <w:hyperlink r:id="rId66" w:history="1">
        <w:r w:rsidR="00CD2B35" w:rsidRPr="0079354F">
          <w:rPr>
            <w:rStyle w:val="Hyperlink"/>
          </w:rPr>
          <w:t>https://www2.ed.gov/about/offices/list/ocr/index.html</w:t>
        </w:r>
      </w:hyperlink>
      <w:r w:rsidR="00745D45" w:rsidRPr="0079354F">
        <w:t xml:space="preserve">, </w:t>
      </w:r>
      <w:hyperlink r:id="rId67" w:history="1">
        <w:r w:rsidR="002B3F54" w:rsidRPr="0079354F">
          <w:rPr>
            <w:rStyle w:val="Hyperlink"/>
          </w:rPr>
          <w:t>ADA.gov</w:t>
        </w:r>
      </w:hyperlink>
      <w:r w:rsidR="005B5060" w:rsidRPr="0079354F">
        <w:t xml:space="preserve"> and </w:t>
      </w:r>
      <w:hyperlink r:id="rId68" w:history="1">
        <w:r w:rsidR="005B5060" w:rsidRPr="0079354F">
          <w:rPr>
            <w:rStyle w:val="Hyperlink"/>
          </w:rPr>
          <w:t>SABES</w:t>
        </w:r>
      </w:hyperlink>
      <w:r w:rsidR="005B5060" w:rsidRPr="0079354F">
        <w:t>.</w:t>
      </w:r>
    </w:p>
    <w:p w14:paraId="03AF2B02" w14:textId="77777777" w:rsidR="00BC70BB" w:rsidRPr="0079354F" w:rsidRDefault="00BC70BB" w:rsidP="00A36A19">
      <w:pPr>
        <w:pStyle w:val="Heading3"/>
      </w:pPr>
    </w:p>
    <w:p w14:paraId="7211AA37" w14:textId="77777777" w:rsidR="00F75E82" w:rsidRPr="0079354F" w:rsidRDefault="00F75E82" w:rsidP="00F75E82">
      <w:pPr>
        <w:pStyle w:val="Heading4"/>
        <w:spacing w:before="0"/>
        <w:rPr>
          <w:b/>
          <w:color w:val="E36C0A" w:themeColor="accent6" w:themeShade="BF"/>
        </w:rPr>
      </w:pPr>
      <w:r w:rsidRPr="00187183">
        <w:rPr>
          <w:b/>
          <w:color w:val="B85808"/>
        </w:rPr>
        <w:t>General Education Provisions Act (GEPA)</w:t>
      </w:r>
    </w:p>
    <w:p w14:paraId="2ABBEC8E" w14:textId="4A7BC8DF" w:rsidR="00B67067" w:rsidRPr="0079354F" w:rsidRDefault="00F75E82" w:rsidP="0047675C">
      <w:pPr>
        <w:rPr>
          <w:color w:val="000000"/>
        </w:rPr>
      </w:pPr>
      <w:r w:rsidRPr="0079354F">
        <w:rPr>
          <w:color w:val="000000" w:themeColor="text1"/>
        </w:rPr>
        <w:t xml:space="preserve">In order to meet the requirements of </w:t>
      </w:r>
      <w:hyperlink r:id="rId69">
        <w:r w:rsidRPr="0079354F">
          <w:rPr>
            <w:rStyle w:val="Hyperlink"/>
          </w:rPr>
          <w:t>Section 427 of the General Education Provisions Act</w:t>
        </w:r>
      </w:hyperlink>
      <w:r w:rsidRPr="0079354F">
        <w:rPr>
          <w:color w:val="000000" w:themeColor="text1"/>
        </w:rPr>
        <w:t xml:space="preserve">, all grantees must complete and submit a GEPA statement in order to receive funding. GEPA requires that all providers funded by the U.S. Department of </w:t>
      </w:r>
      <w:r w:rsidR="00BE6B88" w:rsidRPr="0079354F">
        <w:rPr>
          <w:color w:val="000000" w:themeColor="text1"/>
        </w:rPr>
        <w:t>Education,</w:t>
      </w:r>
      <w:r w:rsidRPr="0079354F">
        <w:rPr>
          <w:color w:val="000000" w:themeColor="text1"/>
        </w:rPr>
        <w:t xml:space="preserve"> or Massachusetts Department of Elementary and Secondary Education stipulate how they will ensure equitable participation in their programs. It is not meant to be a duplicate of the civil rights statement, but instead </w:t>
      </w:r>
      <w:r w:rsidR="004A2213" w:rsidRPr="0079354F">
        <w:rPr>
          <w:color w:val="000000" w:themeColor="text1"/>
        </w:rPr>
        <w:t>a description of</w:t>
      </w:r>
      <w:r w:rsidRPr="0079354F">
        <w:rPr>
          <w:color w:val="000000" w:themeColor="text1"/>
        </w:rPr>
        <w:t xml:space="preserve"> the efforts the provider will make to ensure that barriers to participation by students, teachers</w:t>
      </w:r>
      <w:r w:rsidR="00B36553" w:rsidRPr="0079354F">
        <w:rPr>
          <w:color w:val="000000" w:themeColor="text1"/>
        </w:rPr>
        <w:t>,</w:t>
      </w:r>
      <w:r w:rsidRPr="0079354F">
        <w:rPr>
          <w:color w:val="000000" w:themeColor="text1"/>
        </w:rPr>
        <w:t xml:space="preserve"> and others will be </w:t>
      </w:r>
      <w:r w:rsidR="00B67067" w:rsidRPr="0079354F">
        <w:rPr>
          <w:color w:val="000000" w:themeColor="text1"/>
        </w:rPr>
        <w:t>removed to allow participation.</w:t>
      </w:r>
    </w:p>
    <w:p w14:paraId="2E372434" w14:textId="1474A0C1" w:rsidR="00A36A19" w:rsidRDefault="00A36A19" w:rsidP="00101BEE">
      <w:pPr>
        <w:rPr>
          <w:color w:val="000000"/>
        </w:rPr>
      </w:pPr>
    </w:p>
    <w:p w14:paraId="5947D8FD" w14:textId="6BB1ACB8" w:rsidR="00A36A19" w:rsidRPr="009D11B9" w:rsidRDefault="00A36A19" w:rsidP="00A36A19">
      <w:pPr>
        <w:pStyle w:val="CommentText"/>
        <w:rPr>
          <w:color w:val="000000" w:themeColor="text1"/>
          <w:sz w:val="24"/>
          <w:szCs w:val="24"/>
        </w:rPr>
      </w:pPr>
      <w:r w:rsidRPr="009D11B9">
        <w:rPr>
          <w:color w:val="000000" w:themeColor="text1"/>
          <w:sz w:val="24"/>
          <w:szCs w:val="24"/>
        </w:rPr>
        <w:t>ACLS considers the GEPA statement</w:t>
      </w:r>
      <w:r w:rsidR="009D11B9">
        <w:rPr>
          <w:color w:val="000000" w:themeColor="text1"/>
          <w:sz w:val="24"/>
          <w:szCs w:val="24"/>
        </w:rPr>
        <w:t xml:space="preserve"> to be</w:t>
      </w:r>
      <w:r w:rsidRPr="009D11B9">
        <w:rPr>
          <w:color w:val="000000" w:themeColor="text1"/>
          <w:sz w:val="24"/>
          <w:szCs w:val="24"/>
        </w:rPr>
        <w:t xml:space="preserve"> a descriptive tool highlighting an agency’s continued commitment to anti-racism, diversity</w:t>
      </w:r>
      <w:r w:rsidR="009D11B9" w:rsidRPr="009D11B9">
        <w:rPr>
          <w:color w:val="000000" w:themeColor="text1"/>
          <w:sz w:val="24"/>
          <w:szCs w:val="24"/>
        </w:rPr>
        <w:t xml:space="preserve">, equity, </w:t>
      </w:r>
      <w:r w:rsidRPr="009D11B9">
        <w:rPr>
          <w:color w:val="000000" w:themeColor="text1"/>
          <w:sz w:val="24"/>
          <w:szCs w:val="24"/>
        </w:rPr>
        <w:t>and inclusion. GEPA statements can also describe the specific actions taken annually that ensure barriers to participation are being addressed.</w:t>
      </w:r>
    </w:p>
    <w:p w14:paraId="5383AE5E" w14:textId="77777777" w:rsidR="00A36A19" w:rsidRPr="0079354F" w:rsidRDefault="00A36A19" w:rsidP="00101BEE">
      <w:pPr>
        <w:rPr>
          <w:color w:val="000000"/>
        </w:rPr>
      </w:pPr>
    </w:p>
    <w:p w14:paraId="066EBEB5" w14:textId="58A90216" w:rsidR="00D1425C" w:rsidRPr="0079354F" w:rsidRDefault="00F75E82" w:rsidP="22CF907E">
      <w:pPr>
        <w:rPr>
          <w:color w:val="000000"/>
        </w:rPr>
      </w:pPr>
      <w:r w:rsidRPr="0079354F">
        <w:rPr>
          <w:color w:val="000000" w:themeColor="text1"/>
        </w:rPr>
        <w:t xml:space="preserve">Six statutory barriers are listed: gender, race, national origin, color, disability, or age. Based on local circumstances, programs should determine whether these or other barriers may prevent students, teachers, or others from such access or participation in the adult education program. The description of steps to be taken to overcome such barriers </w:t>
      </w:r>
      <w:r w:rsidR="00640F03" w:rsidRPr="0079354F">
        <w:rPr>
          <w:color w:val="000000" w:themeColor="text1"/>
        </w:rPr>
        <w:t xml:space="preserve">in the GEPA form </w:t>
      </w:r>
      <w:r w:rsidRPr="0079354F">
        <w:rPr>
          <w:color w:val="000000" w:themeColor="text1"/>
        </w:rPr>
        <w:t>need not be lengthy; programs may provide a clear and succinct description of how they plan to address the barriers that are applicable to their circumstances. In addition, the information may be provided in a single narrative.</w:t>
      </w:r>
      <w:r w:rsidR="00DD22B0" w:rsidRPr="0079354F">
        <w:rPr>
          <w:color w:val="000000" w:themeColor="text1"/>
        </w:rPr>
        <w:t xml:space="preserve"> </w:t>
      </w:r>
      <w:r w:rsidR="00100520" w:rsidRPr="0079354F">
        <w:rPr>
          <w:color w:val="000000" w:themeColor="text1"/>
        </w:rPr>
        <w:t xml:space="preserve">The U.S. Department of Education </w:t>
      </w:r>
      <w:r w:rsidR="00C03DD9" w:rsidRPr="0079354F">
        <w:rPr>
          <w:color w:val="000000" w:themeColor="text1"/>
        </w:rPr>
        <w:t xml:space="preserve">(US ED) </w:t>
      </w:r>
      <w:r w:rsidR="00100520" w:rsidRPr="0079354F">
        <w:rPr>
          <w:color w:val="000000" w:themeColor="text1"/>
        </w:rPr>
        <w:t>requires that programs submit a GEPA statement annually.</w:t>
      </w:r>
      <w:r w:rsidR="001F7B2D" w:rsidRPr="0079354F">
        <w:rPr>
          <w:color w:val="000000" w:themeColor="text1"/>
        </w:rPr>
        <w:t xml:space="preserve"> </w:t>
      </w:r>
      <w:r w:rsidR="0086045C" w:rsidRPr="0079354F">
        <w:t>ACLS requires programs submit their GEPA statement</w:t>
      </w:r>
      <w:r w:rsidR="00D1425C" w:rsidRPr="0079354F">
        <w:t>s</w:t>
      </w:r>
      <w:r w:rsidR="0086045C" w:rsidRPr="0079354F">
        <w:t xml:space="preserve"> during the annual refunding process.</w:t>
      </w:r>
    </w:p>
    <w:p w14:paraId="6196E54B" w14:textId="77777777" w:rsidR="00780C36" w:rsidRPr="0079354F" w:rsidRDefault="00780C36" w:rsidP="00101BEE"/>
    <w:p w14:paraId="74E74948" w14:textId="0B527194" w:rsidR="00F75E82" w:rsidRPr="0079354F" w:rsidRDefault="002E12D7" w:rsidP="00101BEE">
      <w:pPr>
        <w:rPr>
          <w:rFonts w:ascii="Georgia" w:hAnsi="Georgia"/>
          <w:color w:val="000000"/>
          <w:sz w:val="21"/>
          <w:szCs w:val="21"/>
        </w:rPr>
      </w:pPr>
      <w:r>
        <w:t xml:space="preserve">For examples of </w:t>
      </w:r>
      <w:r w:rsidR="00DB1071">
        <w:t xml:space="preserve">GEPA statements, see </w:t>
      </w:r>
      <w:hyperlink r:id="rId70">
        <w:r w:rsidR="00DB1071" w:rsidRPr="4F6FA14F">
          <w:rPr>
            <w:rStyle w:val="Hyperlink"/>
          </w:rPr>
          <w:t>Grant Experts: GEPA Examples</w:t>
        </w:r>
      </w:hyperlink>
      <w:r w:rsidR="00DB1071">
        <w:t xml:space="preserve"> </w:t>
      </w:r>
      <w:r w:rsidR="00DB1071" w:rsidRPr="4F6FA14F">
        <w:rPr>
          <w:color w:val="000000" w:themeColor="text1"/>
        </w:rPr>
        <w:t xml:space="preserve">and the </w:t>
      </w:r>
      <w:hyperlink r:id="rId71">
        <w:r w:rsidR="00DB1071" w:rsidRPr="4F6FA14F">
          <w:rPr>
            <w:rStyle w:val="Hyperlink"/>
          </w:rPr>
          <w:t xml:space="preserve">GEPA </w:t>
        </w:r>
        <w:r w:rsidR="002E65A5" w:rsidRPr="4F6FA14F">
          <w:rPr>
            <w:rStyle w:val="Hyperlink"/>
          </w:rPr>
          <w:t>N</w:t>
        </w:r>
        <w:r w:rsidR="00DB1071" w:rsidRPr="4F6FA14F">
          <w:rPr>
            <w:rStyle w:val="Hyperlink"/>
          </w:rPr>
          <w:t>otic</w:t>
        </w:r>
        <w:r w:rsidR="002E65A5" w:rsidRPr="4F6FA14F">
          <w:rPr>
            <w:rStyle w:val="Hyperlink"/>
          </w:rPr>
          <w:t>e to All Applicants</w:t>
        </w:r>
      </w:hyperlink>
      <w:r w:rsidR="00DB1071" w:rsidRPr="4F6FA14F">
        <w:rPr>
          <w:rFonts w:ascii="Georgia" w:hAnsi="Georgia"/>
          <w:color w:val="000000" w:themeColor="text1"/>
          <w:sz w:val="21"/>
          <w:szCs w:val="21"/>
        </w:rPr>
        <w:t>.</w:t>
      </w:r>
    </w:p>
    <w:p w14:paraId="67F34398" w14:textId="77777777" w:rsidR="00C507E0" w:rsidRPr="0079354F" w:rsidRDefault="00C507E0" w:rsidP="00101BEE"/>
    <w:p w14:paraId="7A75028B" w14:textId="77777777" w:rsidR="00C507E0" w:rsidRPr="005C26E3" w:rsidRDefault="00C507E0" w:rsidP="00A36A19">
      <w:pPr>
        <w:pStyle w:val="Heading3"/>
        <w:rPr>
          <w:b/>
          <w:bCs/>
        </w:rPr>
      </w:pPr>
      <w:bookmarkStart w:id="45" w:name="_Toc109195976"/>
      <w:r w:rsidRPr="1E8607B9">
        <w:rPr>
          <w:b/>
          <w:bCs/>
        </w:rPr>
        <w:t>Mandated Reporting (State requirement)</w:t>
      </w:r>
      <w:bookmarkEnd w:id="45"/>
    </w:p>
    <w:p w14:paraId="75EF9703" w14:textId="77777777" w:rsidR="00C507E0" w:rsidRPr="0079354F" w:rsidRDefault="00C507E0" w:rsidP="00C507E0">
      <w:pPr>
        <w:pStyle w:val="Bullet1"/>
        <w:tabs>
          <w:tab w:val="left" w:pos="720"/>
        </w:tabs>
        <w:spacing w:before="0"/>
        <w:jc w:val="left"/>
      </w:pPr>
      <w:r w:rsidRPr="0079354F">
        <w:t>Adult education staff are considered mandated reporters and are required by law to report cases of suspected abuse. Mandated reporters:</w:t>
      </w:r>
    </w:p>
    <w:p w14:paraId="03814C7F" w14:textId="4FA3B56A" w:rsidR="00C507E0" w:rsidRPr="0079354F" w:rsidRDefault="00036BAF" w:rsidP="00FC65BD">
      <w:pPr>
        <w:pStyle w:val="Bullet2"/>
        <w:numPr>
          <w:ilvl w:val="0"/>
          <w:numId w:val="10"/>
        </w:numPr>
        <w:spacing w:before="0"/>
        <w:ind w:left="720"/>
        <w:jc w:val="left"/>
      </w:pPr>
      <w:r w:rsidRPr="0079354F">
        <w:t>I</w:t>
      </w:r>
      <w:r w:rsidR="00C507E0" w:rsidRPr="0079354F">
        <w:t>nclude public and private school teachers, educational administrators, guidance or adjustment counselors, psychologists, attendance officers, social workers, day care providers, health care professionals, and court and public safety officials;</w:t>
      </w:r>
    </w:p>
    <w:p w14:paraId="1260681A" w14:textId="2865C7F4" w:rsidR="00C507E0" w:rsidRPr="0079354F" w:rsidRDefault="00036BAF" w:rsidP="00FC65BD">
      <w:pPr>
        <w:pStyle w:val="Bullet2"/>
        <w:numPr>
          <w:ilvl w:val="0"/>
          <w:numId w:val="10"/>
        </w:numPr>
        <w:spacing w:before="0"/>
        <w:ind w:left="720"/>
        <w:jc w:val="left"/>
      </w:pPr>
      <w:r w:rsidRPr="0079354F">
        <w:t>A</w:t>
      </w:r>
      <w:r w:rsidR="00C507E0" w:rsidRPr="0079354F">
        <w:t>re immune from civil or criminal liability as a result of making a report; non-mandated reporters are also protected providing the report was made in good faith;</w:t>
      </w:r>
    </w:p>
    <w:p w14:paraId="17865742" w14:textId="23952489" w:rsidR="00C507E0" w:rsidRPr="0079354F" w:rsidRDefault="00036BAF" w:rsidP="00FC65BD">
      <w:pPr>
        <w:pStyle w:val="Bullet2"/>
        <w:numPr>
          <w:ilvl w:val="0"/>
          <w:numId w:val="10"/>
        </w:numPr>
        <w:spacing w:before="0"/>
        <w:ind w:left="720"/>
        <w:jc w:val="left"/>
      </w:pPr>
      <w:r w:rsidRPr="0079354F">
        <w:t>A</w:t>
      </w:r>
      <w:r w:rsidR="00C507E0" w:rsidRPr="0079354F">
        <w:t>re protected from retaliation, and identities will be kept confidential; and</w:t>
      </w:r>
    </w:p>
    <w:p w14:paraId="17CE4018" w14:textId="4DC8A7D9" w:rsidR="00C507E0" w:rsidRPr="0079354F" w:rsidRDefault="00036BAF" w:rsidP="00FC65BD">
      <w:pPr>
        <w:pStyle w:val="Bullet2"/>
        <w:numPr>
          <w:ilvl w:val="0"/>
          <w:numId w:val="10"/>
        </w:numPr>
        <w:spacing w:before="0"/>
        <w:ind w:left="720"/>
        <w:jc w:val="left"/>
      </w:pPr>
      <w:r w:rsidRPr="0079354F">
        <w:t>W</w:t>
      </w:r>
      <w:r w:rsidR="00C507E0" w:rsidRPr="0079354F">
        <w:t>ho fail to file a report are subject to a fine of up to $1,000.</w:t>
      </w:r>
    </w:p>
    <w:p w14:paraId="1BCEA9E3" w14:textId="77777777" w:rsidR="002B4819" w:rsidRPr="0079354F" w:rsidRDefault="002B4819" w:rsidP="00C507E0">
      <w:pPr>
        <w:pStyle w:val="Bullet2"/>
        <w:spacing w:before="0"/>
        <w:jc w:val="left"/>
      </w:pPr>
    </w:p>
    <w:p w14:paraId="1095160E" w14:textId="25DC20C0" w:rsidR="00C507E0" w:rsidRPr="0079354F" w:rsidRDefault="00C507E0" w:rsidP="00991811">
      <w:pPr>
        <w:pStyle w:val="Bullet2"/>
        <w:spacing w:before="0"/>
        <w:ind w:left="180"/>
        <w:jc w:val="left"/>
      </w:pPr>
      <w:r w:rsidRPr="0079354F">
        <w:t xml:space="preserve">For more information on mandated reporting, see the </w:t>
      </w:r>
      <w:r w:rsidR="005D1906" w:rsidRPr="0079354F">
        <w:t xml:space="preserve">following </w:t>
      </w:r>
      <w:r w:rsidRPr="0079354F">
        <w:t>table.</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Caption w:val="Mandated Reprting Responsibilities"/>
        <w:tblDescription w:val="This table lists staff mandated reporting of suspected abuse responsibilities. Reporting of abuse of individuas 0-18 years old (i.e., children) must be made to the Department of Children and Families under statute 51A. Reporting of abuse of individuals 18-59 years old (i.e., disabled adults) must be made to the Disabled Persons Protection Commisison under statute 19C. Reporting of ause of individuals 60+ years old (i.e., elderly) must be made to the Executive Office of Elder Affairs under statute 19A."/>
      </w:tblPr>
      <w:tblGrid>
        <w:gridCol w:w="1577"/>
        <w:gridCol w:w="2553"/>
        <w:gridCol w:w="2555"/>
        <w:gridCol w:w="2547"/>
      </w:tblGrid>
      <w:tr w:rsidR="00C507E0" w:rsidRPr="0079354F" w14:paraId="1A910CEE" w14:textId="77777777" w:rsidTr="00693F49">
        <w:trPr>
          <w:trHeight w:val="288"/>
          <w:tblHeader/>
        </w:trPr>
        <w:tc>
          <w:tcPr>
            <w:tcW w:w="1584" w:type="dxa"/>
            <w:tcBorders>
              <w:top w:val="single" w:sz="8" w:space="0" w:color="auto"/>
              <w:bottom w:val="single" w:sz="6" w:space="0" w:color="auto"/>
            </w:tcBorders>
            <w:shd w:val="clear" w:color="auto" w:fill="FDE9D9" w:themeFill="accent6" w:themeFillTint="33"/>
            <w:vAlign w:val="center"/>
            <w:hideMark/>
          </w:tcPr>
          <w:p w14:paraId="427BDCC5" w14:textId="77777777" w:rsidR="00C507E0" w:rsidRPr="0079354F" w:rsidRDefault="00C507E0" w:rsidP="00440F4A">
            <w:pPr>
              <w:rPr>
                <w:b/>
              </w:rPr>
            </w:pPr>
            <w:r w:rsidRPr="0079354F">
              <w:rPr>
                <w:b/>
              </w:rPr>
              <w:t>Age</w:t>
            </w:r>
          </w:p>
        </w:tc>
        <w:tc>
          <w:tcPr>
            <w:tcW w:w="2592" w:type="dxa"/>
            <w:tcBorders>
              <w:top w:val="single" w:sz="8" w:space="0" w:color="auto"/>
              <w:bottom w:val="single" w:sz="6" w:space="0" w:color="auto"/>
            </w:tcBorders>
            <w:shd w:val="clear" w:color="auto" w:fill="FDE9D9" w:themeFill="accent6" w:themeFillTint="33"/>
            <w:vAlign w:val="center"/>
          </w:tcPr>
          <w:p w14:paraId="24D1488F" w14:textId="77777777" w:rsidR="00C507E0" w:rsidRPr="0079354F" w:rsidRDefault="00C507E0" w:rsidP="00440F4A">
            <w:r w:rsidRPr="0079354F">
              <w:t>0-18 years old</w:t>
            </w:r>
          </w:p>
        </w:tc>
        <w:tc>
          <w:tcPr>
            <w:tcW w:w="2592" w:type="dxa"/>
            <w:tcBorders>
              <w:top w:val="single" w:sz="8" w:space="0" w:color="auto"/>
              <w:bottom w:val="single" w:sz="6" w:space="0" w:color="auto"/>
            </w:tcBorders>
            <w:shd w:val="clear" w:color="auto" w:fill="FDE9D9" w:themeFill="accent6" w:themeFillTint="33"/>
            <w:vAlign w:val="center"/>
            <w:hideMark/>
          </w:tcPr>
          <w:p w14:paraId="0BD96B5F" w14:textId="77777777" w:rsidR="00C507E0" w:rsidRPr="0079354F" w:rsidRDefault="00C507E0" w:rsidP="00440F4A">
            <w:r w:rsidRPr="0079354F">
              <w:t>18-59 years old</w:t>
            </w:r>
          </w:p>
        </w:tc>
        <w:tc>
          <w:tcPr>
            <w:tcW w:w="2592" w:type="dxa"/>
            <w:tcBorders>
              <w:top w:val="single" w:sz="8" w:space="0" w:color="auto"/>
              <w:bottom w:val="single" w:sz="6" w:space="0" w:color="auto"/>
            </w:tcBorders>
            <w:shd w:val="clear" w:color="auto" w:fill="FDE9D9" w:themeFill="accent6" w:themeFillTint="33"/>
            <w:vAlign w:val="center"/>
            <w:hideMark/>
          </w:tcPr>
          <w:p w14:paraId="2EF8D1B0" w14:textId="77777777" w:rsidR="00C507E0" w:rsidRPr="0079354F" w:rsidRDefault="00C507E0" w:rsidP="00440F4A">
            <w:r w:rsidRPr="0079354F">
              <w:t>60+ years old</w:t>
            </w:r>
          </w:p>
        </w:tc>
      </w:tr>
      <w:tr w:rsidR="00C507E0" w:rsidRPr="0079354F" w14:paraId="5EA8D483" w14:textId="77777777" w:rsidTr="00693F49">
        <w:trPr>
          <w:trHeight w:val="288"/>
        </w:trPr>
        <w:tc>
          <w:tcPr>
            <w:tcW w:w="1584" w:type="dxa"/>
            <w:tcBorders>
              <w:top w:val="single" w:sz="6" w:space="0" w:color="auto"/>
            </w:tcBorders>
            <w:vAlign w:val="center"/>
          </w:tcPr>
          <w:p w14:paraId="49A9BE95" w14:textId="77777777" w:rsidR="00C507E0" w:rsidRPr="0079354F" w:rsidRDefault="00C507E0" w:rsidP="00440F4A">
            <w:pPr>
              <w:rPr>
                <w:b/>
              </w:rPr>
            </w:pPr>
            <w:r w:rsidRPr="0079354F">
              <w:rPr>
                <w:b/>
              </w:rPr>
              <w:t>Population</w:t>
            </w:r>
          </w:p>
        </w:tc>
        <w:tc>
          <w:tcPr>
            <w:tcW w:w="2592" w:type="dxa"/>
            <w:tcBorders>
              <w:top w:val="single" w:sz="6" w:space="0" w:color="auto"/>
            </w:tcBorders>
            <w:vAlign w:val="center"/>
          </w:tcPr>
          <w:p w14:paraId="100135D8" w14:textId="77777777" w:rsidR="00C507E0" w:rsidRPr="0079354F" w:rsidRDefault="00C507E0" w:rsidP="00440F4A">
            <w:r w:rsidRPr="0079354F">
              <w:t>Children</w:t>
            </w:r>
          </w:p>
        </w:tc>
        <w:tc>
          <w:tcPr>
            <w:tcW w:w="2592" w:type="dxa"/>
            <w:tcBorders>
              <w:top w:val="single" w:sz="6" w:space="0" w:color="auto"/>
            </w:tcBorders>
            <w:hideMark/>
          </w:tcPr>
          <w:p w14:paraId="197B5F89" w14:textId="77777777" w:rsidR="00C507E0" w:rsidRPr="0079354F" w:rsidRDefault="00C507E0" w:rsidP="00440F4A">
            <w:r w:rsidRPr="0079354F">
              <w:t>Disabled Adults</w:t>
            </w:r>
          </w:p>
        </w:tc>
        <w:tc>
          <w:tcPr>
            <w:tcW w:w="2592" w:type="dxa"/>
            <w:tcBorders>
              <w:top w:val="single" w:sz="6" w:space="0" w:color="auto"/>
            </w:tcBorders>
            <w:hideMark/>
          </w:tcPr>
          <w:p w14:paraId="2D0CC9DC" w14:textId="77777777" w:rsidR="00C507E0" w:rsidRPr="0079354F" w:rsidRDefault="00C507E0" w:rsidP="00440F4A">
            <w:r w:rsidRPr="0079354F">
              <w:t>Elderly</w:t>
            </w:r>
          </w:p>
        </w:tc>
      </w:tr>
      <w:tr w:rsidR="00C507E0" w:rsidRPr="0079354F" w14:paraId="7CF5E414" w14:textId="77777777" w:rsidTr="00C03DD9">
        <w:trPr>
          <w:trHeight w:val="288"/>
        </w:trPr>
        <w:tc>
          <w:tcPr>
            <w:tcW w:w="1584" w:type="dxa"/>
            <w:shd w:val="clear" w:color="auto" w:fill="FDE9D9" w:themeFill="accent6" w:themeFillTint="33"/>
          </w:tcPr>
          <w:p w14:paraId="0DED8C65" w14:textId="77777777" w:rsidR="00C507E0" w:rsidRPr="0079354F" w:rsidRDefault="00C507E0" w:rsidP="00440F4A">
            <w:pPr>
              <w:rPr>
                <w:b/>
              </w:rPr>
            </w:pPr>
            <w:r w:rsidRPr="0079354F">
              <w:rPr>
                <w:b/>
              </w:rPr>
              <w:t>Reporting Agency</w:t>
            </w:r>
          </w:p>
        </w:tc>
        <w:tc>
          <w:tcPr>
            <w:tcW w:w="2592" w:type="dxa"/>
            <w:shd w:val="clear" w:color="auto" w:fill="FDE9D9" w:themeFill="accent6" w:themeFillTint="33"/>
          </w:tcPr>
          <w:p w14:paraId="6D2FBA42" w14:textId="77777777" w:rsidR="00C507E0" w:rsidRPr="0079354F" w:rsidRDefault="00695FC4" w:rsidP="00440F4A">
            <w:hyperlink r:id="rId72" w:history="1">
              <w:r w:rsidR="00C507E0" w:rsidRPr="0079354F">
                <w:rPr>
                  <w:rStyle w:val="Hyperlink"/>
                  <w:rFonts w:eastAsia="Batang"/>
                </w:rPr>
                <w:t>Department of Children and Families</w:t>
              </w:r>
            </w:hyperlink>
          </w:p>
        </w:tc>
        <w:tc>
          <w:tcPr>
            <w:tcW w:w="2592" w:type="dxa"/>
            <w:shd w:val="clear" w:color="auto" w:fill="FDE9D9" w:themeFill="accent6" w:themeFillTint="33"/>
            <w:hideMark/>
          </w:tcPr>
          <w:p w14:paraId="5B095F53" w14:textId="77777777" w:rsidR="00C507E0" w:rsidRPr="0079354F" w:rsidRDefault="00695FC4" w:rsidP="00440F4A">
            <w:hyperlink r:id="rId73" w:history="1">
              <w:r w:rsidR="00C507E0" w:rsidRPr="0079354F">
                <w:rPr>
                  <w:rStyle w:val="Hyperlink"/>
                  <w:rFonts w:eastAsia="Batang"/>
                </w:rPr>
                <w:t>Disabled Persons Protection Commission</w:t>
              </w:r>
            </w:hyperlink>
          </w:p>
        </w:tc>
        <w:tc>
          <w:tcPr>
            <w:tcW w:w="2592" w:type="dxa"/>
            <w:shd w:val="clear" w:color="auto" w:fill="FDE9D9" w:themeFill="accent6" w:themeFillTint="33"/>
            <w:hideMark/>
          </w:tcPr>
          <w:p w14:paraId="119ADBFB" w14:textId="77777777" w:rsidR="00C507E0" w:rsidRPr="0079354F" w:rsidRDefault="00695FC4" w:rsidP="00440F4A">
            <w:hyperlink r:id="rId74" w:history="1">
              <w:r w:rsidR="00C507E0" w:rsidRPr="0079354F">
                <w:rPr>
                  <w:rStyle w:val="Hyperlink"/>
                  <w:rFonts w:eastAsia="Batang"/>
                </w:rPr>
                <w:t>Executive Office of Elder Affairs</w:t>
              </w:r>
            </w:hyperlink>
          </w:p>
        </w:tc>
      </w:tr>
      <w:tr w:rsidR="00C507E0" w:rsidRPr="0079354F" w14:paraId="401F0B5E" w14:textId="77777777" w:rsidTr="00C03DD9">
        <w:trPr>
          <w:trHeight w:val="288"/>
        </w:trPr>
        <w:tc>
          <w:tcPr>
            <w:tcW w:w="1584" w:type="dxa"/>
          </w:tcPr>
          <w:p w14:paraId="003BC071" w14:textId="77777777" w:rsidR="00C507E0" w:rsidRPr="0079354F" w:rsidRDefault="00C507E0" w:rsidP="00440F4A">
            <w:pPr>
              <w:rPr>
                <w:b/>
              </w:rPr>
            </w:pPr>
            <w:r w:rsidRPr="0079354F">
              <w:rPr>
                <w:b/>
              </w:rPr>
              <w:t>Statute</w:t>
            </w:r>
          </w:p>
        </w:tc>
        <w:tc>
          <w:tcPr>
            <w:tcW w:w="2592" w:type="dxa"/>
          </w:tcPr>
          <w:p w14:paraId="0F525531" w14:textId="77777777" w:rsidR="00C507E0" w:rsidRPr="0079354F" w:rsidRDefault="00C507E0" w:rsidP="00440F4A">
            <w:r w:rsidRPr="0079354F">
              <w:t>51A</w:t>
            </w:r>
          </w:p>
        </w:tc>
        <w:tc>
          <w:tcPr>
            <w:tcW w:w="2592" w:type="dxa"/>
            <w:hideMark/>
          </w:tcPr>
          <w:p w14:paraId="649AFDBC" w14:textId="77777777" w:rsidR="00C507E0" w:rsidRPr="0079354F" w:rsidRDefault="00C507E0" w:rsidP="00440F4A">
            <w:r w:rsidRPr="0079354F">
              <w:t>19C</w:t>
            </w:r>
          </w:p>
        </w:tc>
        <w:tc>
          <w:tcPr>
            <w:tcW w:w="2592" w:type="dxa"/>
            <w:hideMark/>
          </w:tcPr>
          <w:p w14:paraId="290501B3" w14:textId="77777777" w:rsidR="00C507E0" w:rsidRPr="0079354F" w:rsidRDefault="00C507E0" w:rsidP="00440F4A">
            <w:r w:rsidRPr="0079354F">
              <w:t>19A</w:t>
            </w:r>
          </w:p>
        </w:tc>
      </w:tr>
    </w:tbl>
    <w:p w14:paraId="0203D8BD" w14:textId="77777777" w:rsidR="00C507E0" w:rsidRPr="0079354F" w:rsidRDefault="00C507E0" w:rsidP="00101BEE">
      <w:pPr>
        <w:sectPr w:rsidR="00C507E0" w:rsidRPr="0079354F" w:rsidSect="00BD4638">
          <w:headerReference w:type="default" r:id="rId75"/>
          <w:pgSz w:w="12240" w:h="15840"/>
          <w:pgMar w:top="1008" w:right="1440" w:bottom="576" w:left="1440" w:header="720" w:footer="720" w:gutter="0"/>
          <w:cols w:space="720"/>
          <w:docGrid w:linePitch="360"/>
        </w:sectPr>
      </w:pPr>
    </w:p>
    <w:p w14:paraId="689E77FD" w14:textId="77777777" w:rsidR="00D12DB8" w:rsidRPr="0079354F" w:rsidRDefault="00F37A9D" w:rsidP="1E8607B9">
      <w:pPr>
        <w:pStyle w:val="Heading2"/>
        <w:spacing w:before="0"/>
        <w:rPr>
          <w:b/>
          <w:color w:val="E36C0A" w:themeColor="accent6" w:themeShade="BF"/>
        </w:rPr>
      </w:pPr>
      <w:bookmarkStart w:id="46" w:name="_Toc109195977"/>
      <w:r w:rsidRPr="1E8607B9">
        <w:rPr>
          <w:rStyle w:val="Hyperlink"/>
          <w:b/>
          <w:color w:val="E36C0A" w:themeColor="accent6" w:themeShade="BF"/>
          <w:u w:val="none"/>
        </w:rPr>
        <w:t>Chapter 3:</w:t>
      </w:r>
      <w:r w:rsidR="00DE4D5A" w:rsidRPr="1E8607B9">
        <w:rPr>
          <w:rStyle w:val="Hyperlink"/>
          <w:b/>
          <w:color w:val="E36C0A" w:themeColor="accent6" w:themeShade="BF"/>
          <w:u w:val="none"/>
        </w:rPr>
        <w:t xml:space="preserve"> </w:t>
      </w:r>
      <w:r w:rsidRPr="1E8607B9">
        <w:rPr>
          <w:rStyle w:val="Hyperlink"/>
          <w:b/>
          <w:color w:val="E36C0A" w:themeColor="accent6" w:themeShade="BF"/>
          <w:u w:val="none"/>
        </w:rPr>
        <w:t xml:space="preserve"> </w:t>
      </w:r>
      <w:hyperlink w:anchor="_Toc468698122">
        <w:r w:rsidR="00D12DB8" w:rsidRPr="1E8607B9">
          <w:rPr>
            <w:rStyle w:val="Hyperlink"/>
            <w:b/>
            <w:color w:val="E36C0A" w:themeColor="accent6" w:themeShade="BF"/>
            <w:u w:val="none"/>
          </w:rPr>
          <w:t>Indicator 3:</w:t>
        </w:r>
        <w:r w:rsidR="00DE4D5A" w:rsidRPr="1E8607B9">
          <w:rPr>
            <w:rStyle w:val="Hyperlink"/>
            <w:b/>
            <w:color w:val="E36C0A" w:themeColor="accent6" w:themeShade="BF"/>
            <w:u w:val="none"/>
          </w:rPr>
          <w:t xml:space="preserve"> </w:t>
        </w:r>
        <w:r w:rsidR="00D12DB8" w:rsidRPr="1E8607B9">
          <w:rPr>
            <w:rStyle w:val="Hyperlink"/>
            <w:b/>
            <w:color w:val="E36C0A" w:themeColor="accent6" w:themeShade="BF"/>
            <w:u w:val="none"/>
          </w:rPr>
          <w:t xml:space="preserve"> Career Pathways Collaboration</w:t>
        </w:r>
        <w:bookmarkEnd w:id="46"/>
      </w:hyperlink>
    </w:p>
    <w:p w14:paraId="73127C4D" w14:textId="77777777" w:rsidR="008A5EE6" w:rsidRPr="005C26E3" w:rsidRDefault="008A5EE6" w:rsidP="00A36A19">
      <w:pPr>
        <w:pStyle w:val="Heading3"/>
        <w:rPr>
          <w:b/>
          <w:bCs/>
        </w:rPr>
      </w:pPr>
      <w:bookmarkStart w:id="47" w:name="_Toc109195978"/>
      <w:r w:rsidRPr="1E8607B9">
        <w:rPr>
          <w:b/>
          <w:bCs/>
        </w:rPr>
        <w:t>Local MassHire Workforce Boards (MWBs) and Memoranda of Understanding (MOU)</w:t>
      </w:r>
      <w:bookmarkEnd w:id="47"/>
    </w:p>
    <w:p w14:paraId="27377CA0" w14:textId="77777777" w:rsidR="008A5EE6" w:rsidRPr="0079354F" w:rsidRDefault="008A5EE6" w:rsidP="008A5EE6">
      <w:pPr>
        <w:rPr>
          <w:rFonts w:eastAsiaTheme="minorEastAsia"/>
        </w:rPr>
      </w:pPr>
      <w:r w:rsidRPr="0079354F">
        <w:t xml:space="preserve">WIOA requires that programs collaborate with partners to enhance career pathways for students. This includes participation in planning with </w:t>
      </w:r>
      <w:hyperlink r:id="rId76" w:history="1">
        <w:r w:rsidRPr="0079354F">
          <w:rPr>
            <w:rStyle w:val="Hyperlink"/>
            <w:rFonts w:eastAsia="Batang" w:cstheme="minorBidi"/>
          </w:rPr>
          <w:t>MassHire Workforce Boards (MWBs</w:t>
        </w:r>
        <w:r w:rsidRPr="0079354F">
          <w:rPr>
            <w:rStyle w:val="Hyperlink"/>
            <w:rFonts w:eastAsia="Batang"/>
          </w:rPr>
          <w:t>)</w:t>
        </w:r>
      </w:hyperlink>
      <w:r w:rsidRPr="0079354F">
        <w:t>, development of Memoranda of Understanding (MOU), and provision of services for shared customers. It may also include continued participation in existing partnerships including, but not limited to, family literacy collaborations.</w:t>
      </w:r>
    </w:p>
    <w:p w14:paraId="16B4DA46" w14:textId="77777777" w:rsidR="008A5EE6" w:rsidRPr="0079354F" w:rsidRDefault="008A5EE6" w:rsidP="008A5EE6"/>
    <w:p w14:paraId="3326623B" w14:textId="2452BB31" w:rsidR="008A5EE6" w:rsidRPr="0079354F" w:rsidRDefault="008A5EE6" w:rsidP="687F89C0">
      <w:r>
        <w:t xml:space="preserve">The </w:t>
      </w:r>
      <w:hyperlink r:id="rId77">
        <w:r w:rsidR="4459AEDF" w:rsidRPr="23CFD7A5">
          <w:rPr>
            <w:rStyle w:val="Hyperlink"/>
          </w:rPr>
          <w:t xml:space="preserve">2020-2024 </w:t>
        </w:r>
        <w:r w:rsidR="00EA261A" w:rsidRPr="23CFD7A5">
          <w:rPr>
            <w:rStyle w:val="Hyperlink"/>
          </w:rPr>
          <w:t xml:space="preserve">Massachusetts WIOA </w:t>
        </w:r>
        <w:r w:rsidR="4459AEDF" w:rsidRPr="23CFD7A5">
          <w:rPr>
            <w:rStyle w:val="Hyperlink"/>
          </w:rPr>
          <w:t>C</w:t>
        </w:r>
        <w:r w:rsidR="628531F6" w:rsidRPr="23CFD7A5">
          <w:rPr>
            <w:rStyle w:val="Hyperlink"/>
          </w:rPr>
          <w:t>ombined State Plan</w:t>
        </w:r>
      </w:hyperlink>
      <w:r>
        <w:t xml:space="preserve"> and </w:t>
      </w:r>
      <w:hyperlink r:id="rId78">
        <w:r w:rsidRPr="23CFD7A5">
          <w:rPr>
            <w:rStyle w:val="Hyperlink"/>
            <w:rFonts w:eastAsia="Batang"/>
          </w:rPr>
          <w:t>Joint Partner Policy Communications</w:t>
        </w:r>
      </w:hyperlink>
      <w:r>
        <w:t xml:space="preserve"> guide the establishment of local area partnerships and local MOU. These requirements will specify how services can be connected, integrated, or enhanced by sharing staffing and/or other resources, or jointly designed to improve outcomes for shared customers (e.g., out-of-school youth, job seekers, and businesses). ACLS requires that programs in all 16 local workforce areas sign the local MOU with the exception of Boston where selected programs will sign the local MOU on behalf of all Boston-based adult education programs.</w:t>
      </w:r>
    </w:p>
    <w:p w14:paraId="6293511E" w14:textId="77777777" w:rsidR="008A5EE6" w:rsidRPr="0079354F" w:rsidRDefault="008A5EE6" w:rsidP="008A5EE6"/>
    <w:p w14:paraId="489BC404" w14:textId="266BA5DD" w:rsidR="008A5EE6" w:rsidRPr="0079354F" w:rsidRDefault="008A5EE6" w:rsidP="00C17DD7">
      <w:r w:rsidRPr="1E8607B9">
        <w:t>For more information on MOU, see</w:t>
      </w:r>
      <w:r>
        <w:t xml:space="preserve"> </w:t>
      </w:r>
      <w:hyperlink r:id="rId79">
        <w:r w:rsidRPr="1E8607B9">
          <w:rPr>
            <w:rStyle w:val="Hyperlink"/>
          </w:rPr>
          <w:t>http://www.doe.mass.edu/acls/wioa.html</w:t>
        </w:r>
      </w:hyperlink>
      <w:r>
        <w:t xml:space="preserve">, </w:t>
      </w:r>
      <w:hyperlink r:id="rId80">
        <w:r w:rsidR="23CFD7A5" w:rsidRPr="1E8607B9">
          <w:rPr>
            <w:rStyle w:val="Hyperlink"/>
          </w:rPr>
          <w:t>https://www.mass.gov/service-details/massworkforce-joint-partner-policy</w:t>
        </w:r>
      </w:hyperlink>
      <w:r w:rsidR="23CFD7A5">
        <w:t xml:space="preserve"> </w:t>
      </w:r>
      <w:r w:rsidR="23CFD7A5" w:rsidRPr="1E8607B9">
        <w:t>and</w:t>
      </w:r>
      <w:r w:rsidRPr="1E8607B9">
        <w:t xml:space="preserve"> </w:t>
      </w:r>
      <w:hyperlink r:id="rId81">
        <w:r w:rsidRPr="1E8607B9">
          <w:rPr>
            <w:rStyle w:val="Hyperlink"/>
          </w:rPr>
          <w:t>http://www.mass.gov/massworkforce/wioa/</w:t>
        </w:r>
      </w:hyperlink>
      <w:r>
        <w:t>.</w:t>
      </w:r>
    </w:p>
    <w:p w14:paraId="1ABB984F" w14:textId="77777777" w:rsidR="008A5EE6" w:rsidRPr="0079354F" w:rsidRDefault="008A5EE6" w:rsidP="00A36A19">
      <w:pPr>
        <w:pStyle w:val="Heading3"/>
      </w:pPr>
    </w:p>
    <w:p w14:paraId="29CED3C9" w14:textId="77777777" w:rsidR="008A5EE6" w:rsidRPr="005C26E3" w:rsidRDefault="008A5EE6" w:rsidP="00A36A19">
      <w:pPr>
        <w:pStyle w:val="Heading3"/>
        <w:rPr>
          <w:b/>
          <w:bCs/>
        </w:rPr>
      </w:pPr>
      <w:bookmarkStart w:id="48" w:name="_Toc109195979"/>
      <w:r w:rsidRPr="1E8607B9">
        <w:rPr>
          <w:b/>
          <w:bCs/>
        </w:rPr>
        <w:t>Local Workforce Development Plan Packages</w:t>
      </w:r>
      <w:bookmarkEnd w:id="48"/>
    </w:p>
    <w:p w14:paraId="7E9F8BA0" w14:textId="3B8920CB" w:rsidR="008A5EE6" w:rsidRPr="0079354F" w:rsidRDefault="008A5EE6" w:rsidP="008A5EE6">
      <w:pPr>
        <w:autoSpaceDE w:val="0"/>
        <w:autoSpaceDN w:val="0"/>
        <w:rPr>
          <w:rFonts w:eastAsiaTheme="minorEastAsia"/>
        </w:rPr>
      </w:pPr>
      <w:r w:rsidRPr="0079354F">
        <w:t xml:space="preserve">Each local MWB will develop a workforce development </w:t>
      </w:r>
      <w:hyperlink r:id="rId82" w:history="1">
        <w:r w:rsidRPr="00D517BE">
          <w:rPr>
            <w:rStyle w:val="Hyperlink"/>
            <w:rFonts w:eastAsia="Batang"/>
          </w:rPr>
          <w:t>local plan package</w:t>
        </w:r>
      </w:hyperlink>
      <w:r w:rsidRPr="0079354F">
        <w:t>. WIOA requires that CALC and AECI proposals be reviewed for alignment with the regional workforce priorities described in the local plan packages. Local MWB representatives assess all proposals for funding alignment during the proposal review process. (Note: This requirement does not apply to applications submitted by the Massachusetts Department of Corrections.)</w:t>
      </w:r>
    </w:p>
    <w:p w14:paraId="49BC6F83" w14:textId="77777777" w:rsidR="008A5EE6" w:rsidRPr="0079354F" w:rsidRDefault="008A5EE6" w:rsidP="00A36A19">
      <w:pPr>
        <w:pStyle w:val="Heading3"/>
      </w:pPr>
    </w:p>
    <w:p w14:paraId="5D0ECE21" w14:textId="77777777" w:rsidR="008A5EE6" w:rsidRPr="005C26E3" w:rsidRDefault="008A5EE6" w:rsidP="00A36A19">
      <w:pPr>
        <w:pStyle w:val="Heading3"/>
        <w:rPr>
          <w:b/>
          <w:bCs/>
        </w:rPr>
      </w:pPr>
      <w:bookmarkStart w:id="49" w:name="_Toc109195980"/>
      <w:r w:rsidRPr="1E8607B9">
        <w:rPr>
          <w:b/>
          <w:bCs/>
        </w:rPr>
        <w:t>Outstationing</w:t>
      </w:r>
      <w:bookmarkEnd w:id="49"/>
    </w:p>
    <w:p w14:paraId="1C06A427" w14:textId="36D2440A" w:rsidR="008A5EE6" w:rsidRPr="0079354F" w:rsidRDefault="008A5EE6" w:rsidP="008A5EE6">
      <w:r>
        <w:t xml:space="preserve">ACLS will fund one outstationed staff person in each of the </w:t>
      </w:r>
      <w:hyperlink r:id="rId83">
        <w:r w:rsidRPr="23CFD7A5">
          <w:rPr>
            <w:rStyle w:val="Hyperlink"/>
            <w:rFonts w:eastAsia="Batang"/>
          </w:rPr>
          <w:t>16 local workforce areas</w:t>
        </w:r>
      </w:hyperlink>
      <w:r>
        <w:t>.</w:t>
      </w:r>
      <w:r w:rsidRPr="23CFD7A5">
        <w:rPr>
          <w:color w:val="1F497D" w:themeColor="text2"/>
        </w:rPr>
        <w:t xml:space="preserve"> </w:t>
      </w:r>
      <w:r>
        <w:t xml:space="preserve">Outstationing is the practice of assigning an adult education staff person (usually the education and career advisor) to a MassHire Career Center (MCC) for a set number of hours each week. The adult education staff person, or </w:t>
      </w:r>
      <w:r w:rsidRPr="23CFD7A5">
        <w:rPr>
          <w:rStyle w:val="em"/>
        </w:rPr>
        <w:t>outstationed coordinator, a</w:t>
      </w:r>
      <w:r>
        <w:t xml:space="preserve">cts as a liaison between adult education </w:t>
      </w:r>
      <w:r w:rsidRPr="23CFD7A5">
        <w:rPr>
          <w:rFonts w:cstheme="minorBidi"/>
        </w:rPr>
        <w:t xml:space="preserve">programs in the </w:t>
      </w:r>
      <w:hyperlink r:id="rId84">
        <w:r w:rsidRPr="23CFD7A5">
          <w:rPr>
            <w:rStyle w:val="Hyperlink"/>
            <w:rFonts w:eastAsia="Batang" w:cstheme="minorBidi"/>
          </w:rPr>
          <w:t>local workforce area</w:t>
        </w:r>
      </w:hyperlink>
      <w:r>
        <w:t xml:space="preserve"> and the MCC. </w:t>
      </w:r>
      <w:r w:rsidRPr="23CFD7A5">
        <w:rPr>
          <w:color w:val="000000" w:themeColor="text1"/>
        </w:rPr>
        <w:t>The primary role of the outstationed coordinator is to help current and potential adult education students access services by assisting MCC staff with intake, assessments, and referrals to local adult education programs, and help current adult education students access MCC services.</w:t>
      </w:r>
      <w:r w:rsidRPr="23CFD7A5">
        <w:rPr>
          <w:color w:val="1F497D" w:themeColor="text2"/>
        </w:rPr>
        <w:t xml:space="preserve"> </w:t>
      </w:r>
      <w:r>
        <w:t>The outstationed coordinator may also plan and supervise adult education class field trips to MCCs and make presentations about MCC services to students in adult education classes.</w:t>
      </w:r>
    </w:p>
    <w:p w14:paraId="45D42FAE" w14:textId="77777777" w:rsidR="008A5EE6" w:rsidRPr="0079354F" w:rsidRDefault="008A5EE6" w:rsidP="008A5EE6"/>
    <w:p w14:paraId="7835F2EF" w14:textId="77777777" w:rsidR="008A5EE6" w:rsidRPr="0079354F" w:rsidRDefault="008A5EE6" w:rsidP="008A5EE6">
      <w:pPr>
        <w:rPr>
          <w:rFonts w:eastAsiaTheme="minorHAnsi"/>
        </w:rPr>
      </w:pPr>
      <w:r w:rsidRPr="0079354F">
        <w:t xml:space="preserve">For more information on outstationing, see </w:t>
      </w:r>
      <w:hyperlink r:id="rId85" w:history="1">
        <w:r w:rsidRPr="0079354F">
          <w:rPr>
            <w:rStyle w:val="Hyperlink"/>
            <w:rFonts w:eastAsia="Batang"/>
          </w:rPr>
          <w:t>http://www.doe.mass.edu/acls/OutstationingPolicy.html</w:t>
        </w:r>
      </w:hyperlink>
      <w:r w:rsidRPr="0079354F">
        <w:t>.</w:t>
      </w:r>
    </w:p>
    <w:p w14:paraId="48B5BB07" w14:textId="77777777" w:rsidR="008A5EE6" w:rsidRPr="0079354F" w:rsidRDefault="008A5EE6" w:rsidP="008A5EE6"/>
    <w:p w14:paraId="7ED4CD49" w14:textId="77777777" w:rsidR="008A5EE6" w:rsidRPr="005C26E3" w:rsidRDefault="008A5EE6" w:rsidP="00A36A19">
      <w:pPr>
        <w:pStyle w:val="Heading3"/>
        <w:rPr>
          <w:b/>
          <w:bCs/>
        </w:rPr>
      </w:pPr>
      <w:bookmarkStart w:id="50" w:name="_Toc109195981"/>
      <w:r w:rsidRPr="1E8607B9">
        <w:rPr>
          <w:b/>
          <w:bCs/>
        </w:rPr>
        <w:t>Shared Customers</w:t>
      </w:r>
      <w:bookmarkEnd w:id="50"/>
    </w:p>
    <w:p w14:paraId="44D4703E" w14:textId="77777777" w:rsidR="008A5EE6" w:rsidRPr="0079354F" w:rsidRDefault="008A5EE6" w:rsidP="008A5EE6">
      <w:r w:rsidRPr="0079354F">
        <w:t>WIOA is designed to create a system of comprehensive services for students/customers to advance them on a career pathway regardless of the partner program in which they originally enroll. WIOA requires core partners to align, connect, and integrate services by sharing resources and jointly designing services in ways that improve outcomes for shared customers (e.g., youth, job seekers, and businesses) and prioritize serving individuals with barriers to employment (e.g., undereducated and limited English proficient adults). Core partners will work together to redesign the MCC customer flow and service practices across partner agencies including mapping regional career pathways and the accessibility and availability of services to shared customers.</w:t>
      </w:r>
    </w:p>
    <w:p w14:paraId="24E2C4C8" w14:textId="77777777" w:rsidR="008A5EE6" w:rsidRPr="0079354F" w:rsidRDefault="008A5EE6" w:rsidP="008A5EE6"/>
    <w:p w14:paraId="2AA3E05C" w14:textId="77777777" w:rsidR="008A5EE6" w:rsidRPr="0079354F" w:rsidRDefault="2F97AA05" w:rsidP="008A5EE6">
      <w:r w:rsidRPr="0079354F">
        <w:t xml:space="preserve">A shared customer is a student enrolled in more than one core partner program at any time during a fiscal year (i.e., co-enrolled or sequentially enrolled). Examples of shared customers include, but are not limited to, the following: </w:t>
      </w:r>
    </w:p>
    <w:p w14:paraId="6BE2E9A2" w14:textId="216AA247" w:rsidR="008A5EE6" w:rsidRPr="0079354F" w:rsidRDefault="3C57D009" w:rsidP="00FC65BD">
      <w:pPr>
        <w:numPr>
          <w:ilvl w:val="0"/>
          <w:numId w:val="51"/>
        </w:numPr>
      </w:pPr>
      <w:r w:rsidRPr="0079354F">
        <w:t>ABE/ESOL students also enrolled in a MassHire Career Center (MCC) and receiving services leading to employment</w:t>
      </w:r>
      <w:r w:rsidR="5EDC9CAA" w:rsidRPr="0079354F">
        <w:t>;</w:t>
      </w:r>
      <w:r w:rsidRPr="0079354F">
        <w:t xml:space="preserve"> </w:t>
      </w:r>
    </w:p>
    <w:p w14:paraId="7B29DF3D" w14:textId="3BA9E7AC" w:rsidR="008A5EE6" w:rsidRPr="0079354F" w:rsidRDefault="3C57D009" w:rsidP="00FC65BD">
      <w:pPr>
        <w:numPr>
          <w:ilvl w:val="0"/>
          <w:numId w:val="51"/>
        </w:numPr>
      </w:pPr>
      <w:r w:rsidRPr="0079354F">
        <w:t>ABE/ESOL students ages 16-24 also enrolled in WIOA - Title I out-of-school youth programs</w:t>
      </w:r>
      <w:r w:rsidR="630AA201" w:rsidRPr="0079354F">
        <w:t>;</w:t>
      </w:r>
    </w:p>
    <w:p w14:paraId="10661CE0" w14:textId="2A1F1B96" w:rsidR="008A5EE6" w:rsidRPr="0079354F" w:rsidRDefault="3C57D009" w:rsidP="00FC65BD">
      <w:pPr>
        <w:numPr>
          <w:ilvl w:val="0"/>
          <w:numId w:val="51"/>
        </w:numPr>
      </w:pPr>
      <w:r w:rsidRPr="0079354F">
        <w:t>ABE/ESOL students who also receive services from the Department of Transitional Assistance (DTA) and/or the Massachusetts Rehabilitation Commission (MRC)</w:t>
      </w:r>
      <w:r w:rsidR="539D91BF" w:rsidRPr="0079354F">
        <w:t>; and</w:t>
      </w:r>
    </w:p>
    <w:p w14:paraId="386E7EA3" w14:textId="06C2CF90" w:rsidR="008A5EE6" w:rsidRPr="0079354F" w:rsidRDefault="3C57D009" w:rsidP="00FC65BD">
      <w:pPr>
        <w:numPr>
          <w:ilvl w:val="0"/>
          <w:numId w:val="51"/>
        </w:numPr>
      </w:pPr>
      <w:r w:rsidRPr="0079354F">
        <w:t>ABE/ESOL students who exit AE services and then enroll in a training program funded by a core partner.</w:t>
      </w:r>
    </w:p>
    <w:p w14:paraId="01FD1513" w14:textId="77777777" w:rsidR="008A5EE6" w:rsidRPr="0079354F" w:rsidRDefault="008A5EE6" w:rsidP="008A5EE6"/>
    <w:p w14:paraId="651E35EB" w14:textId="77777777" w:rsidR="008A5EE6" w:rsidRPr="0079354F" w:rsidRDefault="2F97AA05" w:rsidP="43F4256D">
      <w:pPr>
        <w:rPr>
          <w:rFonts w:eastAsiaTheme="minorEastAsia"/>
        </w:rPr>
      </w:pPr>
      <w:r w:rsidRPr="0079354F">
        <w:t xml:space="preserve">For more information on shared customers, see </w:t>
      </w:r>
      <w:hyperlink r:id="rId86">
        <w:r w:rsidRPr="0079354F">
          <w:rPr>
            <w:rStyle w:val="Hyperlink"/>
            <w:rFonts w:eastAsia="Batang"/>
          </w:rPr>
          <w:t>http://www.doe.mass.edu/acls/wioa.html</w:t>
        </w:r>
      </w:hyperlink>
      <w:r w:rsidRPr="0079354F">
        <w:t>.</w:t>
      </w:r>
    </w:p>
    <w:p w14:paraId="0FD810BC" w14:textId="77777777" w:rsidR="00977605" w:rsidRPr="0079354F" w:rsidRDefault="00977605" w:rsidP="0047675C">
      <w:pPr>
        <w:sectPr w:rsidR="00977605" w:rsidRPr="0079354F" w:rsidSect="00BD4638">
          <w:headerReference w:type="default" r:id="rId87"/>
          <w:pgSz w:w="12240" w:h="15840"/>
          <w:pgMar w:top="1008" w:right="1440" w:bottom="576" w:left="1440" w:header="720" w:footer="720" w:gutter="0"/>
          <w:cols w:space="720"/>
          <w:docGrid w:linePitch="360"/>
        </w:sectPr>
      </w:pPr>
    </w:p>
    <w:p w14:paraId="6F06C0DB" w14:textId="5C72677E" w:rsidR="00D0119C" w:rsidRPr="0079354F" w:rsidRDefault="00F37A9D" w:rsidP="1E8607B9">
      <w:pPr>
        <w:pStyle w:val="Heading2"/>
        <w:spacing w:before="0"/>
        <w:rPr>
          <w:b/>
          <w:color w:val="E36C0A" w:themeColor="accent6" w:themeShade="BF"/>
        </w:rPr>
      </w:pPr>
      <w:bookmarkStart w:id="51" w:name="_Toc109195982"/>
      <w:r w:rsidRPr="1E8607B9">
        <w:rPr>
          <w:rStyle w:val="Hyperlink"/>
          <w:rFonts w:eastAsia="Batang"/>
          <w:b/>
          <w:color w:val="E36C0A" w:themeColor="accent6" w:themeShade="BF"/>
          <w:u w:val="none"/>
        </w:rPr>
        <w:t>Chapter 4:</w:t>
      </w:r>
      <w:r w:rsidR="005D19AC" w:rsidRPr="1E8607B9">
        <w:rPr>
          <w:rStyle w:val="Hyperlink"/>
          <w:rFonts w:eastAsia="Batang"/>
          <w:b/>
          <w:color w:val="E36C0A" w:themeColor="accent6" w:themeShade="BF"/>
          <w:u w:val="none"/>
        </w:rPr>
        <w:t xml:space="preserve"> </w:t>
      </w:r>
      <w:r w:rsidRPr="1E8607B9">
        <w:rPr>
          <w:rStyle w:val="Hyperlink"/>
          <w:rFonts w:eastAsia="Batang"/>
          <w:b/>
          <w:color w:val="E36C0A" w:themeColor="accent6" w:themeShade="BF"/>
          <w:u w:val="none"/>
        </w:rPr>
        <w:t xml:space="preserve"> </w:t>
      </w:r>
      <w:hyperlink w:anchor="_Toc468698123">
        <w:r w:rsidR="009E185E" w:rsidRPr="1E8607B9">
          <w:rPr>
            <w:rStyle w:val="Hyperlink"/>
            <w:rFonts w:eastAsia="Batang"/>
            <w:b/>
            <w:color w:val="E36C0A" w:themeColor="accent6" w:themeShade="BF"/>
            <w:u w:val="none"/>
          </w:rPr>
          <w:t>Indicator</w:t>
        </w:r>
        <w:r w:rsidR="00FD0AB8" w:rsidRPr="1E8607B9">
          <w:rPr>
            <w:rStyle w:val="Hyperlink"/>
            <w:rFonts w:eastAsia="Batang"/>
            <w:b/>
            <w:color w:val="E36C0A" w:themeColor="accent6" w:themeShade="BF"/>
            <w:u w:val="none"/>
          </w:rPr>
          <w:t xml:space="preserve"> 4</w:t>
        </w:r>
        <w:r w:rsidR="00D0119C" w:rsidRPr="1E8607B9">
          <w:rPr>
            <w:rStyle w:val="Hyperlink"/>
            <w:rFonts w:eastAsia="Batang"/>
            <w:b/>
            <w:color w:val="E36C0A" w:themeColor="accent6" w:themeShade="BF"/>
            <w:u w:val="none"/>
          </w:rPr>
          <w:t>:  Curriculum</w:t>
        </w:r>
        <w:bookmarkEnd w:id="51"/>
      </w:hyperlink>
    </w:p>
    <w:p w14:paraId="69539B61" w14:textId="77777777" w:rsidR="00FE787F" w:rsidRPr="00AB2CC6" w:rsidRDefault="00FE787F" w:rsidP="00A36A19">
      <w:pPr>
        <w:pStyle w:val="Heading3"/>
        <w:rPr>
          <w:b/>
          <w:bCs/>
        </w:rPr>
      </w:pPr>
      <w:bookmarkStart w:id="52" w:name="_Toc109195983"/>
      <w:bookmarkStart w:id="53" w:name="_Toc474234611"/>
      <w:r w:rsidRPr="1E8607B9">
        <w:rPr>
          <w:b/>
          <w:bCs/>
        </w:rPr>
        <w:t>Standards-aligned Curriculum</w:t>
      </w:r>
      <w:bookmarkEnd w:id="52"/>
    </w:p>
    <w:p w14:paraId="51EEE96D" w14:textId="0458DCCB" w:rsidR="00FE787F" w:rsidRPr="0079354F" w:rsidRDefault="00FE787F" w:rsidP="009A0729">
      <w:pPr>
        <w:pStyle w:val="CommentText"/>
        <w:rPr>
          <w:rStyle w:val="bold1"/>
          <w:b w:val="0"/>
          <w:bCs w:val="0"/>
        </w:rPr>
      </w:pPr>
      <w:r w:rsidRPr="0079354F">
        <w:rPr>
          <w:sz w:val="24"/>
          <w:szCs w:val="24"/>
        </w:rPr>
        <w:t>Curriculum refers to the knowledge and skills students are expected to learn, which includes the </w:t>
      </w:r>
      <w:r w:rsidRPr="0079354F">
        <w:rPr>
          <w:rFonts w:eastAsia="Batang"/>
          <w:sz w:val="24"/>
          <w:szCs w:val="24"/>
        </w:rPr>
        <w:t>learning standards</w:t>
      </w:r>
      <w:r w:rsidRPr="0079354F">
        <w:rPr>
          <w:sz w:val="24"/>
          <w:szCs w:val="24"/>
        </w:rPr>
        <w:t xml:space="preserve"> they are expected to meet; the units and lessons that teachers teach; the assignments and projects given to students; the books, materials, videos, presentations, and readings used in a course; and the tests, </w:t>
      </w:r>
      <w:r w:rsidRPr="0079354F">
        <w:rPr>
          <w:rFonts w:eastAsia="Batang"/>
          <w:sz w:val="24"/>
          <w:szCs w:val="24"/>
        </w:rPr>
        <w:t>assessments</w:t>
      </w:r>
      <w:r w:rsidRPr="0079354F">
        <w:rPr>
          <w:sz w:val="24"/>
          <w:szCs w:val="24"/>
        </w:rPr>
        <w:t>, and other methods used to evaluate student learning.</w:t>
      </w:r>
      <w:r w:rsidRPr="0079354F">
        <w:rPr>
          <w:rStyle w:val="FootnoteReference"/>
          <w:sz w:val="24"/>
          <w:szCs w:val="24"/>
        </w:rPr>
        <w:footnoteReference w:id="21"/>
      </w:r>
      <w:r w:rsidRPr="0079354F">
        <w:rPr>
          <w:sz w:val="24"/>
          <w:szCs w:val="24"/>
        </w:rPr>
        <w:t xml:space="preserve"> The Massachusett</w:t>
      </w:r>
      <w:r w:rsidR="009A0729" w:rsidRPr="0079354F">
        <w:rPr>
          <w:sz w:val="24"/>
          <w:szCs w:val="24"/>
        </w:rPr>
        <w:t>s AE</w:t>
      </w:r>
      <w:r w:rsidRPr="0079354F">
        <w:rPr>
          <w:sz w:val="24"/>
          <w:szCs w:val="24"/>
        </w:rPr>
        <w:t xml:space="preserve"> system is built on learning standards to which curriculum, instruction, and assessment are required to be aligned. </w:t>
      </w:r>
      <w:r w:rsidRPr="0079354F">
        <w:rPr>
          <w:rStyle w:val="bold1"/>
          <w:b w:val="0"/>
          <w:bCs w:val="0"/>
          <w:sz w:val="24"/>
          <w:szCs w:val="24"/>
        </w:rPr>
        <w:t>The standards provide clear expectations for students, teachers, and other stakeholders. They also provide a focus for educator growth leading to improved teaching. Building on a foundation of clear expectations and educator effectiveness, standards support higher and deeper levels of learning for students.</w:t>
      </w:r>
      <w:r w:rsidRPr="0079354F">
        <w:rPr>
          <w:rStyle w:val="FootnoteReference"/>
          <w:sz w:val="24"/>
          <w:szCs w:val="24"/>
        </w:rPr>
        <w:footnoteReference w:id="22"/>
      </w:r>
      <w:r w:rsidR="009A0729" w:rsidRPr="0079354F">
        <w:rPr>
          <w:rStyle w:val="bold1"/>
          <w:b w:val="0"/>
          <w:bCs w:val="0"/>
          <w:sz w:val="24"/>
          <w:szCs w:val="24"/>
        </w:rPr>
        <w:t xml:space="preserve"> </w:t>
      </w:r>
      <w:r w:rsidRPr="0079354F">
        <w:rPr>
          <w:rStyle w:val="bold1"/>
          <w:b w:val="0"/>
          <w:bCs w:val="0"/>
          <w:sz w:val="24"/>
          <w:szCs w:val="24"/>
        </w:rPr>
        <w:t xml:space="preserve">A curriculum often includes </w:t>
      </w:r>
      <w:r w:rsidR="009A0729" w:rsidRPr="0079354F">
        <w:rPr>
          <w:rStyle w:val="bold1"/>
          <w:b w:val="0"/>
          <w:bCs w:val="0"/>
          <w:sz w:val="24"/>
          <w:szCs w:val="24"/>
        </w:rPr>
        <w:t>components such as the</w:t>
      </w:r>
      <w:r w:rsidRPr="0079354F">
        <w:rPr>
          <w:rStyle w:val="bold1"/>
          <w:b w:val="0"/>
          <w:bCs w:val="0"/>
          <w:sz w:val="24"/>
          <w:szCs w:val="24"/>
        </w:rPr>
        <w:t xml:space="preserve"> following:</w:t>
      </w:r>
    </w:p>
    <w:p w14:paraId="557DD3B0" w14:textId="77777777" w:rsidR="00FE787F" w:rsidRPr="0079354F" w:rsidRDefault="00FE787F" w:rsidP="00FC65BD">
      <w:pPr>
        <w:numPr>
          <w:ilvl w:val="0"/>
          <w:numId w:val="56"/>
        </w:numPr>
        <w:shd w:val="clear" w:color="auto" w:fill="FFFFFF"/>
        <w:rPr>
          <w:rStyle w:val="bold1"/>
          <w:b w:val="0"/>
          <w:bCs w:val="0"/>
        </w:rPr>
      </w:pPr>
      <w:r w:rsidRPr="0079354F">
        <w:rPr>
          <w:rStyle w:val="bold1"/>
          <w:b w:val="0"/>
          <w:bCs w:val="0"/>
        </w:rPr>
        <w:t>Guidance for teachers using the curriculum</w:t>
      </w:r>
    </w:p>
    <w:p w14:paraId="572EDFA7" w14:textId="2D466803" w:rsidR="00FE787F" w:rsidRPr="0079354F" w:rsidRDefault="00FE787F" w:rsidP="00FC65BD">
      <w:pPr>
        <w:numPr>
          <w:ilvl w:val="0"/>
          <w:numId w:val="56"/>
        </w:numPr>
        <w:shd w:val="clear" w:color="auto" w:fill="FFFFFF"/>
      </w:pPr>
      <w:r w:rsidRPr="0079354F">
        <w:t>A</w:t>
      </w:r>
      <w:r w:rsidR="00BD2AE3">
        <w:t xml:space="preserve"> </w:t>
      </w:r>
      <w:r w:rsidRPr="0079354F">
        <w:t>scope and sequenc</w:t>
      </w:r>
      <w:r w:rsidR="00BD2AE3">
        <w:t xml:space="preserve">e </w:t>
      </w:r>
      <w:r w:rsidRPr="0079354F">
        <w:t>for each level that provides a big picture view of the curriculum and describes the instructional units to be taught</w:t>
      </w:r>
    </w:p>
    <w:p w14:paraId="3C46E5E8" w14:textId="029FB6B6" w:rsidR="00FE787F" w:rsidRPr="0079354F" w:rsidRDefault="00FE787F" w:rsidP="00FC65BD">
      <w:pPr>
        <w:numPr>
          <w:ilvl w:val="0"/>
          <w:numId w:val="56"/>
        </w:numPr>
        <w:shd w:val="clear" w:color="auto" w:fill="FFFFFF"/>
      </w:pPr>
      <w:r w:rsidRPr="0079354F">
        <w:t>A series of</w:t>
      </w:r>
      <w:r w:rsidR="00BD2AE3">
        <w:t xml:space="preserve"> </w:t>
      </w:r>
      <w:r w:rsidRPr="0079354F">
        <w:t>instructional units that delve into more detail than the big picture overview in the scope and sequence</w:t>
      </w:r>
    </w:p>
    <w:p w14:paraId="06EEBFC4" w14:textId="508448AD" w:rsidR="00FE787F" w:rsidRPr="0079354F" w:rsidRDefault="00FE787F" w:rsidP="00FC65BD">
      <w:pPr>
        <w:numPr>
          <w:ilvl w:val="0"/>
          <w:numId w:val="56"/>
        </w:numPr>
        <w:shd w:val="clear" w:color="auto" w:fill="FFFFFF"/>
      </w:pPr>
      <w:r w:rsidRPr="0079354F">
        <w:t>Sequenced and coordinated</w:t>
      </w:r>
      <w:r w:rsidR="00BD2AE3">
        <w:t xml:space="preserve"> </w:t>
      </w:r>
      <w:r w:rsidRPr="0079354F">
        <w:t>lesson plans</w:t>
      </w:r>
      <w:r w:rsidR="00BD2AE3">
        <w:t xml:space="preserve"> </w:t>
      </w:r>
      <w:r w:rsidRPr="0079354F">
        <w:t>that make up the instructional units</w:t>
      </w:r>
    </w:p>
    <w:p w14:paraId="103F6473" w14:textId="77777777" w:rsidR="00FE787F" w:rsidRPr="0079354F" w:rsidRDefault="00FE787F" w:rsidP="00FE787F">
      <w:pPr>
        <w:shd w:val="clear" w:color="auto" w:fill="FFFFFF"/>
      </w:pPr>
    </w:p>
    <w:p w14:paraId="6AFD43A0" w14:textId="2DD03E38" w:rsidR="00FE787F" w:rsidRPr="0079354F" w:rsidRDefault="58AB5288" w:rsidP="00FE787F">
      <w:pPr>
        <w:pStyle w:val="CommentText"/>
        <w:rPr>
          <w:rStyle w:val="bold1"/>
          <w:sz w:val="24"/>
          <w:szCs w:val="24"/>
        </w:rPr>
      </w:pPr>
      <w:r w:rsidRPr="0079354F">
        <w:rPr>
          <w:rStyle w:val="bold1"/>
          <w:b w:val="0"/>
          <w:bCs w:val="0"/>
          <w:sz w:val="24"/>
          <w:szCs w:val="24"/>
        </w:rPr>
        <w:t xml:space="preserve">For </w:t>
      </w:r>
      <w:r w:rsidR="446277BD" w:rsidRPr="0079354F">
        <w:rPr>
          <w:rStyle w:val="bold1"/>
          <w:b w:val="0"/>
          <w:bCs w:val="0"/>
          <w:sz w:val="24"/>
          <w:szCs w:val="24"/>
        </w:rPr>
        <w:t>scope and sequence, unit plan, and lesson plan templates and curriculum examples and models</w:t>
      </w:r>
      <w:r w:rsidR="338B5D6F" w:rsidRPr="0079354F">
        <w:rPr>
          <w:rStyle w:val="bold1"/>
          <w:b w:val="0"/>
          <w:bCs w:val="0"/>
          <w:sz w:val="24"/>
          <w:szCs w:val="24"/>
        </w:rPr>
        <w:t xml:space="preserve">, see </w:t>
      </w:r>
      <w:hyperlink r:id="rId88">
        <w:r w:rsidR="338B5D6F" w:rsidRPr="0079354F">
          <w:rPr>
            <w:rStyle w:val="Hyperlink"/>
            <w:sz w:val="24"/>
            <w:szCs w:val="24"/>
          </w:rPr>
          <w:t>https://www.doe.mass.edu/acls/frameworks/components.html</w:t>
        </w:r>
      </w:hyperlink>
      <w:r w:rsidR="338B5D6F" w:rsidRPr="0079354F">
        <w:rPr>
          <w:rStyle w:val="bold1"/>
          <w:b w:val="0"/>
          <w:bCs w:val="0"/>
          <w:sz w:val="24"/>
          <w:szCs w:val="24"/>
        </w:rPr>
        <w:t xml:space="preserve">. </w:t>
      </w:r>
    </w:p>
    <w:p w14:paraId="111845A4" w14:textId="77777777" w:rsidR="00FE787F" w:rsidRPr="0079354F" w:rsidRDefault="00FE787F" w:rsidP="00FE787F">
      <w:pPr>
        <w:pStyle w:val="CommentText"/>
        <w:rPr>
          <w:rStyle w:val="bold1"/>
          <w:b w:val="0"/>
          <w:sz w:val="24"/>
          <w:szCs w:val="24"/>
        </w:rPr>
      </w:pPr>
    </w:p>
    <w:p w14:paraId="6B34696F" w14:textId="77777777" w:rsidR="00FE787F" w:rsidRPr="00AB2CC6" w:rsidRDefault="00FE787F" w:rsidP="00A36A19">
      <w:pPr>
        <w:pStyle w:val="Heading3"/>
        <w:rPr>
          <w:b/>
          <w:bCs/>
        </w:rPr>
      </w:pPr>
      <w:bookmarkStart w:id="54" w:name="_Toc109195984"/>
      <w:r w:rsidRPr="1E8607B9">
        <w:rPr>
          <w:b/>
          <w:bCs/>
        </w:rPr>
        <w:t>College and Career Readiness (State requirement)</w:t>
      </w:r>
      <w:bookmarkEnd w:id="54"/>
    </w:p>
    <w:p w14:paraId="2707860E" w14:textId="77777777" w:rsidR="009A0729" w:rsidRPr="0079354F" w:rsidRDefault="00FE787F" w:rsidP="00FE787F">
      <w:r w:rsidRPr="0079354F">
        <w:t xml:space="preserve">The </w:t>
      </w:r>
      <w:hyperlink r:id="rId89" w:tooltip="External Link" w:history="1">
        <w:r w:rsidRPr="0079354F">
          <w:rPr>
            <w:rStyle w:val="Hyperlink"/>
            <w:i/>
          </w:rPr>
          <w:t>College and Career Readiness Standards for Adult Education</w:t>
        </w:r>
      </w:hyperlink>
      <w:r w:rsidRPr="0079354F">
        <w:t xml:space="preserve"> (</w:t>
      </w:r>
      <w:hyperlink r:id="rId90" w:history="1">
        <w:r w:rsidRPr="0079354F">
          <w:rPr>
            <w:rStyle w:val="Hyperlink"/>
            <w:i/>
          </w:rPr>
          <w:t>CCRSAE</w:t>
        </w:r>
      </w:hyperlink>
      <w:r w:rsidRPr="0079354F">
        <w:t xml:space="preserve">) are a verbatim subset of the </w:t>
      </w:r>
      <w:hyperlink r:id="rId91" w:history="1">
        <w:r w:rsidRPr="0079354F">
          <w:rPr>
            <w:rStyle w:val="Hyperlink"/>
            <w:i/>
          </w:rPr>
          <w:t>Common Core State Standards</w:t>
        </w:r>
      </w:hyperlink>
      <w:r w:rsidRPr="0079354F">
        <w:t xml:space="preserve">. The </w:t>
      </w:r>
      <w:hyperlink r:id="rId92" w:history="1">
        <w:r w:rsidRPr="0079354F">
          <w:rPr>
            <w:rStyle w:val="Hyperlink"/>
            <w:i/>
          </w:rPr>
          <w:t>CCRSAE</w:t>
        </w:r>
      </w:hyperlink>
      <w:r w:rsidRPr="0079354F">
        <w:t xml:space="preserve"> respond to the critical need of ensuring adult students are able to access family-sustaining employment</w:t>
      </w:r>
      <w:r w:rsidRPr="0079354F">
        <w:rPr>
          <w:rStyle w:val="FootnoteReference"/>
        </w:rPr>
        <w:footnoteReference w:id="23"/>
      </w:r>
      <w:r w:rsidRPr="0079354F">
        <w:t xml:space="preserve"> via postsecondary education and/or training.</w:t>
      </w:r>
    </w:p>
    <w:p w14:paraId="25EAA46F" w14:textId="57555CFA" w:rsidR="009A0729" w:rsidRPr="0079354F" w:rsidRDefault="009A0729" w:rsidP="00FC65BD">
      <w:pPr>
        <w:pStyle w:val="ListParagraph"/>
        <w:numPr>
          <w:ilvl w:val="0"/>
          <w:numId w:val="57"/>
        </w:numPr>
        <w:rPr>
          <w:rFonts w:ascii="Times New Roman" w:hAnsi="Times New Roman" w:cs="Times New Roman"/>
          <w:sz w:val="24"/>
          <w:szCs w:val="24"/>
        </w:rPr>
      </w:pPr>
      <w:r w:rsidRPr="0079354F">
        <w:rPr>
          <w:rFonts w:ascii="Times New Roman" w:hAnsi="Times New Roman" w:cs="Times New Roman"/>
          <w:sz w:val="24"/>
          <w:szCs w:val="24"/>
        </w:rPr>
        <w:t xml:space="preserve">In </w:t>
      </w:r>
      <w:r w:rsidR="00FE787F" w:rsidRPr="0079354F">
        <w:rPr>
          <w:rFonts w:ascii="Times New Roman" w:hAnsi="Times New Roman" w:cs="Times New Roman"/>
          <w:sz w:val="24"/>
          <w:szCs w:val="24"/>
        </w:rPr>
        <w:t xml:space="preserve">2013, Massachusetts </w:t>
      </w:r>
      <w:r w:rsidRPr="0079354F">
        <w:rPr>
          <w:rFonts w:ascii="Times New Roman" w:hAnsi="Times New Roman" w:cs="Times New Roman"/>
          <w:sz w:val="24"/>
          <w:szCs w:val="24"/>
        </w:rPr>
        <w:t>adopted</w:t>
      </w:r>
      <w:r w:rsidR="00FE787F" w:rsidRPr="0079354F">
        <w:rPr>
          <w:rFonts w:ascii="Times New Roman" w:hAnsi="Times New Roman" w:cs="Times New Roman"/>
          <w:sz w:val="24"/>
          <w:szCs w:val="24"/>
        </w:rPr>
        <w:t xml:space="preserve"> the </w:t>
      </w:r>
      <w:hyperlink r:id="rId93" w:history="1">
        <w:r w:rsidR="00FE787F" w:rsidRPr="0079354F">
          <w:rPr>
            <w:rStyle w:val="Hyperlink"/>
            <w:rFonts w:ascii="Times New Roman" w:hAnsi="Times New Roman" w:cs="Times New Roman"/>
            <w:i/>
            <w:sz w:val="24"/>
            <w:szCs w:val="24"/>
          </w:rPr>
          <w:t>CCRSAE</w:t>
        </w:r>
      </w:hyperlink>
      <w:r w:rsidR="00FE787F" w:rsidRPr="0079354F">
        <w:rPr>
          <w:rFonts w:ascii="Times New Roman" w:hAnsi="Times New Roman" w:cs="Times New Roman"/>
          <w:sz w:val="24"/>
          <w:szCs w:val="24"/>
        </w:rPr>
        <w:t xml:space="preserve"> as the standards describing what all Massachusetts </w:t>
      </w:r>
      <w:r w:rsidRPr="0079354F">
        <w:rPr>
          <w:rFonts w:ascii="Times New Roman" w:hAnsi="Times New Roman" w:cs="Times New Roman"/>
          <w:sz w:val="24"/>
          <w:szCs w:val="24"/>
        </w:rPr>
        <w:t>ABE</w:t>
      </w:r>
      <w:r w:rsidR="00FE787F" w:rsidRPr="0079354F">
        <w:rPr>
          <w:rFonts w:ascii="Times New Roman" w:hAnsi="Times New Roman" w:cs="Times New Roman"/>
          <w:sz w:val="24"/>
          <w:szCs w:val="24"/>
        </w:rPr>
        <w:t xml:space="preserve"> students should know and be able to do</w:t>
      </w:r>
      <w:r w:rsidRPr="0079354F">
        <w:rPr>
          <w:rFonts w:ascii="Times New Roman" w:hAnsi="Times New Roman" w:cs="Times New Roman"/>
          <w:sz w:val="24"/>
          <w:szCs w:val="24"/>
        </w:rPr>
        <w:t xml:space="preserve"> and required ABE curriculum be aligned to these standards</w:t>
      </w:r>
      <w:r w:rsidR="00FE787F" w:rsidRPr="0079354F">
        <w:rPr>
          <w:rFonts w:ascii="Times New Roman" w:hAnsi="Times New Roman" w:cs="Times New Roman"/>
          <w:sz w:val="24"/>
          <w:szCs w:val="24"/>
        </w:rPr>
        <w:t>.</w:t>
      </w:r>
    </w:p>
    <w:p w14:paraId="54BDC4C1" w14:textId="7DE501F1" w:rsidR="00FE787F" w:rsidRPr="0079354F" w:rsidRDefault="00FE787F" w:rsidP="00FC65BD">
      <w:pPr>
        <w:pStyle w:val="ListParagraph"/>
        <w:numPr>
          <w:ilvl w:val="0"/>
          <w:numId w:val="57"/>
        </w:numPr>
        <w:rPr>
          <w:rFonts w:ascii="Times New Roman" w:hAnsi="Times New Roman" w:cs="Times New Roman"/>
          <w:sz w:val="24"/>
          <w:szCs w:val="24"/>
        </w:rPr>
      </w:pPr>
      <w:r w:rsidRPr="0079354F">
        <w:rPr>
          <w:rFonts w:ascii="Times New Roman" w:hAnsi="Times New Roman" w:cs="Times New Roman"/>
          <w:sz w:val="24"/>
          <w:szCs w:val="24"/>
        </w:rPr>
        <w:t xml:space="preserve">In 2019, Massachusetts developed and adopted the </w:t>
      </w:r>
      <w:hyperlink r:id="rId94" w:history="1">
        <w:r w:rsidRPr="0079354F">
          <w:rPr>
            <w:rStyle w:val="Hyperlink"/>
            <w:rFonts w:ascii="Times New Roman" w:hAnsi="Times New Roman" w:cs="Times New Roman"/>
            <w:i/>
            <w:iCs/>
            <w:sz w:val="24"/>
            <w:szCs w:val="24"/>
          </w:rPr>
          <w:t>Massachusetts English Language Proficiency Standards for Adult Education</w:t>
        </w:r>
      </w:hyperlink>
      <w:r w:rsidR="00A43DD9" w:rsidRPr="0079354F">
        <w:rPr>
          <w:rStyle w:val="Hyperlink"/>
          <w:rFonts w:ascii="Times New Roman" w:hAnsi="Times New Roman" w:cs="Times New Roman"/>
          <w:i/>
          <w:iCs/>
          <w:color w:val="auto"/>
          <w:sz w:val="24"/>
          <w:szCs w:val="24"/>
          <w:u w:val="none"/>
        </w:rPr>
        <w:t xml:space="preserve"> </w:t>
      </w:r>
      <w:r w:rsidR="00A43DD9" w:rsidRPr="0079354F">
        <w:rPr>
          <w:rStyle w:val="Hyperlink"/>
          <w:rFonts w:ascii="Times New Roman" w:hAnsi="Times New Roman" w:cs="Times New Roman"/>
          <w:color w:val="auto"/>
          <w:sz w:val="24"/>
          <w:szCs w:val="24"/>
          <w:u w:val="none"/>
        </w:rPr>
        <w:t>(</w:t>
      </w:r>
      <w:hyperlink r:id="rId95" w:history="1">
        <w:r w:rsidR="00A43DD9" w:rsidRPr="0079354F">
          <w:rPr>
            <w:rStyle w:val="Hyperlink"/>
            <w:rFonts w:ascii="Times New Roman" w:hAnsi="Times New Roman" w:cs="Times New Roman"/>
            <w:i/>
            <w:iCs/>
            <w:sz w:val="24"/>
            <w:szCs w:val="24"/>
          </w:rPr>
          <w:t>MA ELPS</w:t>
        </w:r>
      </w:hyperlink>
      <w:r w:rsidR="00A43DD9" w:rsidRPr="0079354F">
        <w:rPr>
          <w:rStyle w:val="Hyperlink"/>
          <w:rFonts w:ascii="Times New Roman" w:hAnsi="Times New Roman" w:cs="Times New Roman"/>
          <w:color w:val="auto"/>
          <w:sz w:val="24"/>
          <w:szCs w:val="24"/>
          <w:u w:val="none"/>
        </w:rPr>
        <w:t>)</w:t>
      </w:r>
      <w:r w:rsidRPr="0079354F">
        <w:rPr>
          <w:rStyle w:val="FootnoteReference"/>
          <w:rFonts w:ascii="Times New Roman" w:hAnsi="Times New Roman" w:cs="Times New Roman"/>
          <w:i/>
          <w:iCs/>
          <w:sz w:val="24"/>
          <w:szCs w:val="24"/>
        </w:rPr>
        <w:footnoteReference w:id="24"/>
      </w:r>
      <w:r w:rsidRPr="0079354F">
        <w:rPr>
          <w:rStyle w:val="Hyperlink"/>
          <w:rFonts w:ascii="Times New Roman" w:hAnsi="Times New Roman" w:cs="Times New Roman"/>
          <w:iCs/>
          <w:sz w:val="24"/>
          <w:szCs w:val="24"/>
          <w:u w:val="none"/>
        </w:rPr>
        <w:t xml:space="preserve"> </w:t>
      </w:r>
      <w:r w:rsidR="009A0729" w:rsidRPr="0079354F">
        <w:rPr>
          <w:rStyle w:val="Hyperlink"/>
          <w:rFonts w:ascii="Times New Roman" w:hAnsi="Times New Roman" w:cs="Times New Roman"/>
          <w:iCs/>
          <w:color w:val="auto"/>
          <w:sz w:val="24"/>
          <w:szCs w:val="24"/>
          <w:u w:val="none"/>
        </w:rPr>
        <w:t xml:space="preserve">as the standards describing what all ESOL students should know and be able to do and required ESOL curriculum </w:t>
      </w:r>
      <w:r w:rsidR="009A0729" w:rsidRPr="0079354F">
        <w:rPr>
          <w:rFonts w:ascii="Times New Roman" w:hAnsi="Times New Roman" w:cs="Times New Roman"/>
          <w:sz w:val="24"/>
          <w:szCs w:val="24"/>
        </w:rPr>
        <w:t xml:space="preserve">be aligned to these standards. (Note: The </w:t>
      </w:r>
      <w:hyperlink r:id="rId96" w:history="1">
        <w:r w:rsidR="009A0729" w:rsidRPr="0079354F">
          <w:rPr>
            <w:rStyle w:val="Hyperlink"/>
            <w:rFonts w:ascii="Times New Roman" w:hAnsi="Times New Roman" w:cs="Times New Roman"/>
            <w:i/>
            <w:iCs/>
            <w:sz w:val="24"/>
            <w:szCs w:val="24"/>
          </w:rPr>
          <w:t>MA ELPS</w:t>
        </w:r>
      </w:hyperlink>
      <w:r w:rsidR="009A0729" w:rsidRPr="0079354F">
        <w:rPr>
          <w:rStyle w:val="Hyperlink"/>
          <w:rFonts w:ascii="Times New Roman" w:hAnsi="Times New Roman" w:cs="Times New Roman"/>
          <w:i/>
          <w:iCs/>
          <w:sz w:val="24"/>
          <w:szCs w:val="24"/>
        </w:rPr>
        <w:t xml:space="preserve"> </w:t>
      </w:r>
      <w:r w:rsidRPr="0079354F">
        <w:rPr>
          <w:rFonts w:ascii="Times New Roman" w:hAnsi="Times New Roman" w:cs="Times New Roman"/>
          <w:sz w:val="24"/>
          <w:szCs w:val="24"/>
        </w:rPr>
        <w:t>combine college and career readiness skills and language skills into a single set of standards for English learners.</w:t>
      </w:r>
      <w:r w:rsidR="009A0729" w:rsidRPr="0079354F">
        <w:rPr>
          <w:rFonts w:ascii="Times New Roman" w:hAnsi="Times New Roman" w:cs="Times New Roman"/>
          <w:sz w:val="24"/>
          <w:szCs w:val="24"/>
        </w:rPr>
        <w:t>)</w:t>
      </w:r>
    </w:p>
    <w:p w14:paraId="0BB652A9" w14:textId="77777777" w:rsidR="00FE787F" w:rsidRPr="00AB2CC6" w:rsidRDefault="00FE787F" w:rsidP="00A36A19">
      <w:pPr>
        <w:pStyle w:val="Heading3"/>
        <w:rPr>
          <w:b/>
          <w:bCs/>
        </w:rPr>
      </w:pPr>
      <w:bookmarkStart w:id="55" w:name="_Toc109195985"/>
      <w:r w:rsidRPr="00AB2CC6">
        <w:rPr>
          <w:b/>
          <w:bCs/>
        </w:rPr>
        <w:t>Curriculum Requirements for ABE</w:t>
      </w:r>
      <w:r w:rsidRPr="00377E95">
        <w:rPr>
          <w:b/>
          <w:bCs/>
          <w:vertAlign w:val="superscript"/>
        </w:rPr>
        <w:footnoteReference w:id="25"/>
      </w:r>
      <w:r w:rsidRPr="00AB2CC6">
        <w:rPr>
          <w:b/>
          <w:bCs/>
        </w:rPr>
        <w:t xml:space="preserve"> (State requirement)</w:t>
      </w:r>
      <w:bookmarkEnd w:id="55"/>
    </w:p>
    <w:p w14:paraId="2978DBBE" w14:textId="5588665F" w:rsidR="004C31ED" w:rsidRPr="0079354F" w:rsidRDefault="004C31ED" w:rsidP="004C31ED">
      <w:pPr>
        <w:textAlignment w:val="baseline"/>
        <w:rPr>
          <w:color w:val="000000"/>
        </w:rPr>
      </w:pPr>
      <w:r w:rsidRPr="0079354F">
        <w:rPr>
          <w:color w:val="000000"/>
        </w:rPr>
        <w:t>Programs offering ABE instruction in mathematics and English Language Arts/Literacy (ELA), including ACLS-approved forms of distance education (</w:t>
      </w:r>
      <w:r w:rsidR="001C4077" w:rsidRPr="0079354F">
        <w:rPr>
          <w:color w:val="000000"/>
        </w:rPr>
        <w:t>S</w:t>
      </w:r>
      <w:r w:rsidRPr="0079354F">
        <w:rPr>
          <w:color w:val="000000"/>
        </w:rPr>
        <w:t xml:space="preserve">ee </w:t>
      </w:r>
      <w:r w:rsidR="001C4077" w:rsidRPr="0079354F">
        <w:rPr>
          <w:color w:val="000000"/>
        </w:rPr>
        <w:t>A</w:t>
      </w:r>
      <w:r w:rsidRPr="0079354F">
        <w:rPr>
          <w:color w:val="000000"/>
        </w:rPr>
        <w:t>ppendix</w:t>
      </w:r>
      <w:r w:rsidR="001C4077" w:rsidRPr="0079354F">
        <w:rPr>
          <w:color w:val="000000"/>
        </w:rPr>
        <w:t xml:space="preserve"> C.)</w:t>
      </w:r>
      <w:r w:rsidRPr="0079354F">
        <w:rPr>
          <w:color w:val="000000"/>
        </w:rPr>
        <w:t>, are required to implement curriculum aligned to the </w:t>
      </w:r>
      <w:hyperlink r:id="rId97" w:tgtFrame="_blank" w:history="1">
        <w:r w:rsidRPr="0079354F">
          <w:rPr>
            <w:i/>
            <w:iCs/>
            <w:color w:val="0000FF"/>
            <w:u w:val="single"/>
          </w:rPr>
          <w:t>CCRSAE</w:t>
        </w:r>
      </w:hyperlink>
      <w:r w:rsidRPr="0079354F">
        <w:rPr>
          <w:color w:val="0000FF"/>
          <w:u w:val="single"/>
        </w:rPr>
        <w:t>.</w:t>
      </w:r>
      <w:r w:rsidRPr="0079354F">
        <w:rPr>
          <w:color w:val="000000"/>
        </w:rPr>
        <w:t> ABE curriculum and instruction are required to reflect the instructional shifts and align at all levels with the </w:t>
      </w:r>
      <w:hyperlink r:id="rId98" w:tgtFrame="_blank" w:history="1">
        <w:r w:rsidRPr="0079354F">
          <w:rPr>
            <w:i/>
            <w:iCs/>
            <w:color w:val="0000FF"/>
            <w:u w:val="single"/>
          </w:rPr>
          <w:t>CCRSAE</w:t>
        </w:r>
      </w:hyperlink>
      <w:r w:rsidRPr="0079354F">
        <w:rPr>
          <w:color w:val="000000"/>
        </w:rPr>
        <w:t> levels A through D-E.</w:t>
      </w:r>
    </w:p>
    <w:p w14:paraId="32C6AF62" w14:textId="6CCC3309" w:rsidR="004C31ED" w:rsidRPr="0079354F" w:rsidRDefault="004C31ED" w:rsidP="004C31ED">
      <w:pPr>
        <w:textAlignment w:val="baseline"/>
        <w:rPr>
          <w:color w:val="000000"/>
        </w:rPr>
      </w:pPr>
    </w:p>
    <w:p w14:paraId="0B430C09"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ABE distance education may use a variety of resources (including online products such as Aztec, Newsela, and KET Fast Forward) that enable students to access high quality, rigorous instruction and that best fit their academic needs. ACLS does not mandate or approve use of individual online products. The choice of online products is left to the discretion of local programs.</w:t>
      </w:r>
    </w:p>
    <w:p w14:paraId="2868F487" w14:textId="77777777" w:rsidR="00FE787F" w:rsidRPr="0079354F" w:rsidRDefault="00FE787F" w:rsidP="00A36A19">
      <w:pPr>
        <w:pStyle w:val="Heading3"/>
      </w:pPr>
    </w:p>
    <w:p w14:paraId="5D79B6A2" w14:textId="427AF868" w:rsidR="00FE787F" w:rsidRPr="00AB2CC6" w:rsidRDefault="004C31ED" w:rsidP="00A36A19">
      <w:pPr>
        <w:pStyle w:val="Heading3"/>
        <w:rPr>
          <w:b/>
          <w:bCs/>
        </w:rPr>
      </w:pPr>
      <w:bookmarkStart w:id="56" w:name="_Toc109195986"/>
      <w:r w:rsidRPr="1E8607B9">
        <w:rPr>
          <w:b/>
          <w:bCs/>
        </w:rPr>
        <w:t xml:space="preserve">Essential </w:t>
      </w:r>
      <w:r w:rsidR="00FE787F" w:rsidRPr="1E8607B9">
        <w:rPr>
          <w:b/>
          <w:bCs/>
        </w:rPr>
        <w:t xml:space="preserve">Components of Reading and </w:t>
      </w:r>
      <w:bookmarkStart w:id="57" w:name="_Hlk31956176"/>
      <w:r w:rsidR="00FE787F" w:rsidRPr="1E8607B9">
        <w:rPr>
          <w:b/>
          <w:bCs/>
        </w:rPr>
        <w:t>Evidence-Based Reading Instruction (EBRI)</w:t>
      </w:r>
      <w:bookmarkEnd w:id="56"/>
      <w:bookmarkEnd w:id="57"/>
    </w:p>
    <w:p w14:paraId="21604BA8" w14:textId="77777777" w:rsidR="00FE787F" w:rsidRPr="0079354F" w:rsidRDefault="00FE787F" w:rsidP="00FE787F">
      <w:pPr>
        <w:shd w:val="clear" w:color="auto" w:fill="FFFFFF"/>
        <w:rPr>
          <w:rFonts w:eastAsia="Arial Unicode MS" w:cs="Arial Unicode MS"/>
        </w:rPr>
      </w:pPr>
      <w:r w:rsidRPr="0079354F">
        <w:rPr>
          <w:rFonts w:eastAsia="Arial Unicode MS" w:cs="Arial Unicode MS"/>
        </w:rPr>
        <w:t xml:space="preserve">Reading is a complex system of making meaning from print. Proficient readers must: </w:t>
      </w:r>
    </w:p>
    <w:p w14:paraId="0643279A" w14:textId="4688E0F6" w:rsidR="00FE787F" w:rsidRPr="0079354F" w:rsidRDefault="00036BAF" w:rsidP="00FC65BD">
      <w:pPr>
        <w:pStyle w:val="NormalWeb"/>
        <w:numPr>
          <w:ilvl w:val="0"/>
          <w:numId w:val="32"/>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U</w:t>
      </w:r>
      <w:r w:rsidR="00FE787F" w:rsidRPr="0079354F">
        <w:rPr>
          <w:rFonts w:ascii="Times New Roman" w:hAnsi="Times New Roman"/>
          <w:sz w:val="24"/>
          <w:szCs w:val="24"/>
        </w:rPr>
        <w:t xml:space="preserve">nderstand how phonemes, or speech sounds, are connected to print and be able to decode unfamiliar words (Alphabetics is the process readers use to identify words.); </w:t>
      </w:r>
    </w:p>
    <w:p w14:paraId="595301EE" w14:textId="79EAFEB9" w:rsidR="00FE787F" w:rsidRPr="0079354F" w:rsidRDefault="00036BAF" w:rsidP="00FC65BD">
      <w:pPr>
        <w:pStyle w:val="NormalWeb"/>
        <w:numPr>
          <w:ilvl w:val="0"/>
          <w:numId w:val="32"/>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R</w:t>
      </w:r>
      <w:r w:rsidR="00FE787F" w:rsidRPr="0079354F">
        <w:rPr>
          <w:rFonts w:ascii="Times New Roman" w:hAnsi="Times New Roman"/>
          <w:sz w:val="24"/>
          <w:szCs w:val="24"/>
        </w:rPr>
        <w:t xml:space="preserve">ead fluently (Fluency is the ability to read accurately, at an appropriate rate, and with prosody. Reading fluently includes oral reading skills.); </w:t>
      </w:r>
    </w:p>
    <w:p w14:paraId="607DF022" w14:textId="3F2B5C75" w:rsidR="00FE787F" w:rsidRPr="0079354F" w:rsidRDefault="00036BAF" w:rsidP="00FC65BD">
      <w:pPr>
        <w:pStyle w:val="NormalWeb"/>
        <w:numPr>
          <w:ilvl w:val="0"/>
          <w:numId w:val="32"/>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P</w:t>
      </w:r>
      <w:r w:rsidR="00FE787F" w:rsidRPr="0079354F">
        <w:rPr>
          <w:rFonts w:ascii="Times New Roman" w:hAnsi="Times New Roman"/>
          <w:sz w:val="24"/>
          <w:szCs w:val="24"/>
        </w:rPr>
        <w:t xml:space="preserve">ossess sufficient background knowledge and vocabulary to foster reading comprehension (Vocabulary is the body of words whose meanings a person knows and understands.); and </w:t>
      </w:r>
    </w:p>
    <w:p w14:paraId="5A723F09" w14:textId="38C92A94" w:rsidR="00FE787F" w:rsidRPr="0079354F" w:rsidRDefault="00036BAF" w:rsidP="00FC65BD">
      <w:pPr>
        <w:pStyle w:val="NormalWeb"/>
        <w:numPr>
          <w:ilvl w:val="0"/>
          <w:numId w:val="32"/>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D</w:t>
      </w:r>
      <w:r w:rsidR="00FE787F" w:rsidRPr="0079354F">
        <w:rPr>
          <w:rFonts w:ascii="Times New Roman" w:hAnsi="Times New Roman"/>
          <w:sz w:val="24"/>
          <w:szCs w:val="24"/>
        </w:rPr>
        <w:t>evelop active strategies to construct meaning from print (Reading comprehension is the process and product of understanding text and requires a high level of metacognitive engagement with the text.).</w:t>
      </w:r>
    </w:p>
    <w:p w14:paraId="6BE931AE" w14:textId="77777777" w:rsidR="00FE787F" w:rsidRPr="0079354F" w:rsidRDefault="00FE787F" w:rsidP="00FE787F">
      <w:pPr>
        <w:pStyle w:val="NormalWeb"/>
        <w:shd w:val="clear" w:color="auto" w:fill="FFFFFF"/>
        <w:spacing w:before="0" w:beforeAutospacing="0" w:after="0" w:afterAutospacing="0"/>
        <w:rPr>
          <w:rFonts w:ascii="Times New Roman" w:hAnsi="Times New Roman"/>
          <w:sz w:val="24"/>
          <w:szCs w:val="24"/>
        </w:rPr>
      </w:pPr>
    </w:p>
    <w:p w14:paraId="6C23D240" w14:textId="70CEC904" w:rsidR="00FE787F" w:rsidRPr="0079354F" w:rsidRDefault="00FE787F" w:rsidP="00FE787F">
      <w:pPr>
        <w:pStyle w:val="NormalWeb"/>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 xml:space="preserve">Alphabetics, fluency, vocabulary, and comprehension are known as the essential components of reading. WIOA requires that ABE curriculum and instruction provide explicit and systematic instruction on the essential components of reading </w:t>
      </w:r>
      <w:r w:rsidR="00A804C4">
        <w:rPr>
          <w:rFonts w:ascii="Times New Roman" w:hAnsi="Times New Roman"/>
          <w:sz w:val="24"/>
          <w:szCs w:val="24"/>
        </w:rPr>
        <w:t xml:space="preserve">instruction </w:t>
      </w:r>
      <w:r w:rsidRPr="0079354F">
        <w:rPr>
          <w:rFonts w:ascii="Times New Roman" w:hAnsi="Times New Roman"/>
          <w:sz w:val="24"/>
          <w:szCs w:val="24"/>
        </w:rPr>
        <w:t>to adult learners at all levels.</w:t>
      </w:r>
    </w:p>
    <w:p w14:paraId="505413D7" w14:textId="4489F233" w:rsidR="004C31ED" w:rsidRPr="0079354F" w:rsidRDefault="004C31ED" w:rsidP="00FE787F">
      <w:pPr>
        <w:pStyle w:val="NormalWeb"/>
        <w:shd w:val="clear" w:color="auto" w:fill="FFFFFF"/>
        <w:spacing w:before="0" w:beforeAutospacing="0" w:after="0" w:afterAutospacing="0"/>
        <w:rPr>
          <w:rFonts w:ascii="Times New Roman" w:hAnsi="Times New Roman"/>
          <w:sz w:val="24"/>
          <w:szCs w:val="24"/>
        </w:rPr>
      </w:pPr>
    </w:p>
    <w:p w14:paraId="7B1D7939" w14:textId="54DF48BF" w:rsidR="004C31ED" w:rsidRPr="0079354F" w:rsidRDefault="004C31ED" w:rsidP="004C31ED">
      <w:pPr>
        <w:pStyle w:val="Default"/>
      </w:pPr>
      <w:r>
        <w:t xml:space="preserve">For more information on the essential components of reading instruction, see </w:t>
      </w:r>
      <w:hyperlink r:id="rId99">
        <w:r w:rsidRPr="23CFD7A5">
          <w:rPr>
            <w:rStyle w:val="Hyperlink"/>
          </w:rPr>
          <w:t>Essential Components of Reading</w:t>
        </w:r>
      </w:hyperlink>
      <w:r>
        <w:t>.</w:t>
      </w:r>
    </w:p>
    <w:p w14:paraId="3545CCC6" w14:textId="77777777" w:rsidR="00FE787F" w:rsidRPr="0079354F" w:rsidRDefault="00FE787F" w:rsidP="00FE787F">
      <w:pPr>
        <w:shd w:val="clear" w:color="auto" w:fill="FFFFFF"/>
      </w:pPr>
    </w:p>
    <w:p w14:paraId="51CD9495" w14:textId="48029C42" w:rsidR="00FE787F" w:rsidRPr="0079354F" w:rsidRDefault="00FE787F" w:rsidP="00FE787F">
      <w:pPr>
        <w:shd w:val="clear" w:color="auto" w:fill="FFFFFF"/>
      </w:pPr>
      <w:r w:rsidRPr="0079354F">
        <w:t>EBRI refers to instructional practices that have been proven by systematic, objective, valid, and peer-reviewed research to lead to predictable gains in reading achievement. The research produced findings that together are the foundation of evidence-based reading practices. Among them are:</w:t>
      </w:r>
    </w:p>
    <w:p w14:paraId="56C9EB00" w14:textId="273168EB"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essential components of reading are alphabetics (i.e., phonemic awareness, phonics, decoding), fluency, vocabulary, and comprehension.</w:t>
      </w:r>
    </w:p>
    <w:p w14:paraId="1B4934CC" w14:textId="2D92CA27"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Learners’ strengths and weaknesses are diagnostically assessed in each of the four components.</w:t>
      </w:r>
    </w:p>
    <w:p w14:paraId="627B28C2" w14:textId="7361F848"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Instruction is differentiated (e.g., student groups) based on the results of the diagnostic assessments of reading.</w:t>
      </w:r>
    </w:p>
    <w:p w14:paraId="29D79297" w14:textId="77777777"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Instruction is systematic, sequenced, direct, and explicit. Explicit instruction includes teacher explanation, teacher modeling, guided practice, and application. </w:t>
      </w:r>
    </w:p>
    <w:p w14:paraId="4E1F64D9" w14:textId="77777777"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Instruction and materials are engaging and relevant to learners’ needs. </w:t>
      </w:r>
    </w:p>
    <w:p w14:paraId="256CC94D" w14:textId="2BF928C9" w:rsidR="00FE787F" w:rsidRPr="0079354F" w:rsidRDefault="00FE787F" w:rsidP="00FC65BD">
      <w:pPr>
        <w:pStyle w:val="ListParagraph"/>
        <w:numPr>
          <w:ilvl w:val="0"/>
          <w:numId w:val="33"/>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Instruction is continuously monitored, by teachers and learners, to gauge its effectiveness.</w:t>
      </w:r>
    </w:p>
    <w:p w14:paraId="59735B19" w14:textId="77777777" w:rsidR="00FE787F" w:rsidRPr="0079354F" w:rsidRDefault="00FE787F" w:rsidP="00FE787F">
      <w:pPr>
        <w:shd w:val="clear" w:color="auto" w:fill="FFFFFF"/>
      </w:pPr>
    </w:p>
    <w:p w14:paraId="34ADB632" w14:textId="228BEB4C" w:rsidR="00FE787F" w:rsidRPr="0079354F" w:rsidRDefault="00FE787F" w:rsidP="00FB14ED">
      <w:pPr>
        <w:shd w:val="clear" w:color="auto" w:fill="FFFFFF" w:themeFill="background1"/>
        <w:ind w:left="180"/>
      </w:pPr>
      <w:r w:rsidRPr="0079354F">
        <w:t>EBRI practices for primary focus differ according to students’ EFL as indicated in the following table.</w:t>
      </w:r>
    </w:p>
    <w:tbl>
      <w:tblPr>
        <w:tblStyle w:val="TableGrid"/>
        <w:tblW w:w="0" w:type="auto"/>
        <w:tblInd w:w="108" w:type="dxa"/>
        <w:tblLook w:val="04A0" w:firstRow="1" w:lastRow="0" w:firstColumn="1" w:lastColumn="0" w:noHBand="0" w:noVBand="1"/>
        <w:tblCaption w:val="Primary Focus of Evidence-based Reading Instruction"/>
        <w:tblDescription w:val="This table lists the primary instructional focus for students at different student grade level equivalents (GLEs). At beginner level (GLE 0-3), the focus is on print-based skills (i.e., alphabetics and fluency). At intermediate level (GLE 4-8), the focus is on print-based skills (i.e., alphaetics, fluemcy) and meaning-based skills (i.e., vocabulary, comprehension) or both. At advanced level (GLE 9-12), the focus is on meaning-based skills (i.e., vocabulary, comprehension)."/>
      </w:tblPr>
      <w:tblGrid>
        <w:gridCol w:w="3307"/>
        <w:gridCol w:w="5935"/>
      </w:tblGrid>
      <w:tr w:rsidR="00FE787F" w:rsidRPr="0079354F" w14:paraId="3A72E9B0" w14:textId="77777777" w:rsidTr="000214A6">
        <w:trPr>
          <w:trHeight w:val="413"/>
          <w:tblHeader/>
        </w:trPr>
        <w:tc>
          <w:tcPr>
            <w:tcW w:w="3307" w:type="dxa"/>
            <w:shd w:val="clear" w:color="auto" w:fill="FDE9D9" w:themeFill="accent6" w:themeFillTint="33"/>
            <w:vAlign w:val="center"/>
          </w:tcPr>
          <w:p w14:paraId="0733728F" w14:textId="77777777" w:rsidR="00FE787F" w:rsidRPr="0079354F" w:rsidRDefault="00FE787F" w:rsidP="000214A6">
            <w:pPr>
              <w:pStyle w:val="NormalWeb"/>
              <w:spacing w:before="0" w:beforeAutospacing="0" w:after="0" w:afterAutospacing="0"/>
              <w:ind w:left="162"/>
              <w:rPr>
                <w:rFonts w:ascii="Times New Roman" w:hAnsi="Times New Roman"/>
                <w:b/>
                <w:sz w:val="24"/>
                <w:szCs w:val="24"/>
              </w:rPr>
            </w:pPr>
            <w:r w:rsidRPr="0079354F">
              <w:rPr>
                <w:rFonts w:ascii="Times New Roman" w:hAnsi="Times New Roman"/>
                <w:b/>
                <w:sz w:val="24"/>
                <w:szCs w:val="24"/>
              </w:rPr>
              <w:t>Student EFL Level</w:t>
            </w:r>
          </w:p>
        </w:tc>
        <w:tc>
          <w:tcPr>
            <w:tcW w:w="5935" w:type="dxa"/>
            <w:shd w:val="clear" w:color="auto" w:fill="FDE9D9" w:themeFill="accent6" w:themeFillTint="33"/>
            <w:vAlign w:val="center"/>
          </w:tcPr>
          <w:p w14:paraId="5BBE9BFC" w14:textId="77777777" w:rsidR="00FE787F" w:rsidRPr="0079354F" w:rsidRDefault="00FE787F" w:rsidP="000214A6">
            <w:pPr>
              <w:pStyle w:val="NormalWeb"/>
              <w:spacing w:before="0" w:beforeAutospacing="0" w:after="0" w:afterAutospacing="0"/>
              <w:rPr>
                <w:rFonts w:ascii="Times New Roman" w:hAnsi="Times New Roman"/>
                <w:b/>
                <w:sz w:val="24"/>
                <w:szCs w:val="24"/>
              </w:rPr>
            </w:pPr>
            <w:r w:rsidRPr="0079354F">
              <w:rPr>
                <w:rFonts w:ascii="Times New Roman" w:hAnsi="Times New Roman"/>
                <w:b/>
                <w:sz w:val="24"/>
                <w:szCs w:val="24"/>
              </w:rPr>
              <w:t>Primary Focus of Instruction</w:t>
            </w:r>
          </w:p>
        </w:tc>
      </w:tr>
      <w:tr w:rsidR="00FE787F" w:rsidRPr="0079354F" w14:paraId="45F6EA3C" w14:textId="77777777" w:rsidTr="000214A6">
        <w:trPr>
          <w:trHeight w:val="395"/>
        </w:trPr>
        <w:tc>
          <w:tcPr>
            <w:tcW w:w="3307" w:type="dxa"/>
            <w:vAlign w:val="center"/>
          </w:tcPr>
          <w:p w14:paraId="657BE84A"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Beginner</w:t>
            </w:r>
            <w:r w:rsidRPr="0079354F">
              <w:rPr>
                <w:rFonts w:ascii="Times New Roman" w:hAnsi="Times New Roman"/>
                <w:sz w:val="24"/>
                <w:szCs w:val="24"/>
              </w:rPr>
              <w:t xml:space="preserve"> (Beginning Literacy and Beginning Basic Education Levels)</w:t>
            </w:r>
          </w:p>
        </w:tc>
        <w:tc>
          <w:tcPr>
            <w:tcW w:w="5935" w:type="dxa"/>
            <w:vAlign w:val="center"/>
          </w:tcPr>
          <w:p w14:paraId="5D8B598A"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Print-based skills (i.e., alphabetics, fluency)</w:t>
            </w:r>
          </w:p>
        </w:tc>
      </w:tr>
      <w:tr w:rsidR="00FE787F" w:rsidRPr="0079354F" w14:paraId="25A0885B" w14:textId="77777777" w:rsidTr="000214A6">
        <w:tc>
          <w:tcPr>
            <w:tcW w:w="3307" w:type="dxa"/>
            <w:tcBorders>
              <w:bottom w:val="single" w:sz="4" w:space="0" w:color="auto"/>
            </w:tcBorders>
            <w:shd w:val="clear" w:color="auto" w:fill="FDE9D9" w:themeFill="accent6" w:themeFillTint="33"/>
            <w:vAlign w:val="center"/>
          </w:tcPr>
          <w:p w14:paraId="2C84D73D"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Intermediate</w:t>
            </w:r>
            <w:r w:rsidRPr="0079354F">
              <w:rPr>
                <w:rFonts w:ascii="Times New Roman" w:hAnsi="Times New Roman"/>
                <w:sz w:val="24"/>
                <w:szCs w:val="24"/>
              </w:rPr>
              <w:t xml:space="preserve"> (Low Intermediate Basic Education and High Intermediate Basic Education Levels)</w:t>
            </w:r>
          </w:p>
        </w:tc>
        <w:tc>
          <w:tcPr>
            <w:tcW w:w="5935" w:type="dxa"/>
            <w:tcBorders>
              <w:bottom w:val="single" w:sz="4" w:space="0" w:color="auto"/>
            </w:tcBorders>
            <w:shd w:val="clear" w:color="auto" w:fill="FDE9D9" w:themeFill="accent6" w:themeFillTint="33"/>
            <w:vAlign w:val="center"/>
          </w:tcPr>
          <w:p w14:paraId="7F421806"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Print-based skills (i.e., alphabetics, fluency), meaning-based skills (i.e., vocabulary, comprehension), or both</w:t>
            </w:r>
          </w:p>
        </w:tc>
      </w:tr>
      <w:tr w:rsidR="00FE787F" w:rsidRPr="0079354F" w14:paraId="557531CA" w14:textId="77777777" w:rsidTr="000214A6">
        <w:trPr>
          <w:trHeight w:val="413"/>
        </w:trPr>
        <w:tc>
          <w:tcPr>
            <w:tcW w:w="3307" w:type="dxa"/>
            <w:tcBorders>
              <w:bottom w:val="single" w:sz="4" w:space="0" w:color="auto"/>
            </w:tcBorders>
            <w:vAlign w:val="center"/>
          </w:tcPr>
          <w:p w14:paraId="1A9BCD5F"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Advanced</w:t>
            </w:r>
            <w:r w:rsidRPr="0079354F">
              <w:rPr>
                <w:rFonts w:ascii="Times New Roman" w:hAnsi="Times New Roman"/>
                <w:sz w:val="24"/>
                <w:szCs w:val="24"/>
              </w:rPr>
              <w:t xml:space="preserve"> (Low Adult Secondary Education and High Adult Secondary Education Levels)</w:t>
            </w:r>
          </w:p>
        </w:tc>
        <w:tc>
          <w:tcPr>
            <w:tcW w:w="5935" w:type="dxa"/>
            <w:tcBorders>
              <w:bottom w:val="single" w:sz="4" w:space="0" w:color="auto"/>
            </w:tcBorders>
            <w:vAlign w:val="center"/>
          </w:tcPr>
          <w:p w14:paraId="662285D5"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Meaning-based (i.e., vocabulary, comprehension)</w:t>
            </w:r>
          </w:p>
        </w:tc>
      </w:tr>
    </w:tbl>
    <w:p w14:paraId="0C04046D"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112A8E9C"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 xml:space="preserve">For more information on how to assess students’ reading strengths and needs, and how to teach to these needs, see the </w:t>
      </w:r>
      <w:hyperlink r:id="rId100" w:history="1">
        <w:r w:rsidRPr="0079354F">
          <w:rPr>
            <w:rStyle w:val="Hyperlink"/>
            <w:rFonts w:ascii="Times New Roman" w:hAnsi="Times New Roman" w:cs="Times New Roman"/>
            <w:sz w:val="24"/>
            <w:szCs w:val="24"/>
          </w:rPr>
          <w:t>SABES English Language Arts Curriculum and Instruction PD Center</w:t>
        </w:r>
      </w:hyperlink>
      <w:r w:rsidRPr="0079354F">
        <w:rPr>
          <w:rFonts w:ascii="Times New Roman" w:hAnsi="Times New Roman" w:cs="Times New Roman"/>
          <w:sz w:val="24"/>
          <w:szCs w:val="24"/>
        </w:rPr>
        <w:t xml:space="preserve"> website and PD </w:t>
      </w:r>
      <w:hyperlink r:id="rId101" w:history="1">
        <w:r w:rsidRPr="0079354F">
          <w:rPr>
            <w:rStyle w:val="Hyperlink"/>
            <w:rFonts w:ascii="Times New Roman" w:hAnsi="Times New Roman" w:cs="Times New Roman"/>
            <w:sz w:val="24"/>
            <w:szCs w:val="24"/>
          </w:rPr>
          <w:t>calendar</w:t>
        </w:r>
      </w:hyperlink>
      <w:r w:rsidRPr="0079354F">
        <w:rPr>
          <w:rFonts w:ascii="Times New Roman" w:hAnsi="Times New Roman" w:cs="Times New Roman"/>
          <w:sz w:val="24"/>
          <w:szCs w:val="24"/>
        </w:rPr>
        <w:t>.</w:t>
      </w:r>
    </w:p>
    <w:p w14:paraId="28ADB550" w14:textId="77777777" w:rsidR="00FE787F" w:rsidRPr="0079354F" w:rsidRDefault="00FE787F" w:rsidP="00FE787F">
      <w:pPr>
        <w:shd w:val="clear" w:color="auto" w:fill="FFFFFF"/>
      </w:pPr>
    </w:p>
    <w:p w14:paraId="2B119235" w14:textId="3E46B719" w:rsidR="00FE787F" w:rsidRPr="0079354F" w:rsidRDefault="00FE787F" w:rsidP="00FE787F">
      <w:pPr>
        <w:shd w:val="clear" w:color="auto" w:fill="FFFFFF"/>
        <w:rPr>
          <w:b/>
          <w:bCs/>
          <w:color w:val="E36C0A" w:themeColor="accent6" w:themeShade="BF"/>
        </w:rPr>
      </w:pPr>
      <w:r w:rsidRPr="00187183">
        <w:rPr>
          <w:b/>
          <w:bCs/>
          <w:color w:val="B85808"/>
        </w:rPr>
        <w:t>Student Achievement in Reading (STAR)</w:t>
      </w:r>
      <w:r w:rsidRPr="00187183">
        <w:rPr>
          <w:rStyle w:val="FootnoteReference"/>
          <w:b/>
          <w:bCs/>
          <w:color w:val="B85808"/>
        </w:rPr>
        <w:footnoteReference w:id="26"/>
      </w:r>
    </w:p>
    <w:p w14:paraId="5C22D46B" w14:textId="77777777" w:rsidR="00FE787F" w:rsidRPr="0079354F" w:rsidRDefault="00FE787F" w:rsidP="00FE787F">
      <w:pPr>
        <w:shd w:val="clear" w:color="auto" w:fill="FFFFFF" w:themeFill="background1"/>
      </w:pPr>
      <w:r w:rsidRPr="0079354F">
        <w:t>STAR is an evidence-based reading instruction program that specifically targets the needs of intermediate-level readers (i.e., Low Intermediate Basic Education and High Intermediate Basic Education Levels). STAR is supported by years of research in reading methodology. The research found that intermediate level adult learners struggle with one or more reading components: alphabetics, fluency, vocabulary, and/or comprehension. An EBRI approach requires teachers to use diagnostic assessments to identify learners' individual strengths and weaknesses and target reading instruction accordingly.</w:t>
      </w:r>
    </w:p>
    <w:p w14:paraId="3F3BEC8E"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78EEDBB3"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 xml:space="preserve">The </w:t>
      </w:r>
      <w:hyperlink r:id="rId102" w:tooltip="External Link" w:history="1">
        <w:r w:rsidRPr="0079354F">
          <w:rPr>
            <w:rStyle w:val="Hyperlink"/>
            <w:rFonts w:ascii="Times New Roman" w:eastAsia="Batang" w:hAnsi="Times New Roman" w:cs="Times New Roman"/>
            <w:sz w:val="24"/>
            <w:szCs w:val="24"/>
          </w:rPr>
          <w:t>Office for Career, Technical, and Adult Education</w:t>
        </w:r>
      </w:hyperlink>
      <w:r w:rsidRPr="0079354F">
        <w:rPr>
          <w:rFonts w:ascii="Times New Roman" w:hAnsi="Times New Roman" w:cs="Times New Roman"/>
          <w:sz w:val="24"/>
          <w:szCs w:val="24"/>
        </w:rPr>
        <w:t xml:space="preserve"> (OCTAE) of US ED developed and promotes the use of STAR. Programs opting to use the STAR model must participate in the STAR training and complete all training components in order to maintain fidelity to the evidence base and to be a certified STAR teacher.</w:t>
      </w:r>
    </w:p>
    <w:p w14:paraId="7E6F533E"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0FD95D0C" w14:textId="4224F1C4" w:rsidR="00FE787F" w:rsidRPr="0079354F" w:rsidRDefault="00FE787F" w:rsidP="23CFD7A5">
      <w:pPr>
        <w:pStyle w:val="NormalWeb"/>
        <w:spacing w:before="0" w:beforeAutospacing="0" w:after="0" w:afterAutospacing="0"/>
        <w:rPr>
          <w:rFonts w:ascii="Times New Roman" w:hAnsi="Times New Roman" w:cs="Times New Roman"/>
          <w:sz w:val="24"/>
          <w:szCs w:val="24"/>
        </w:rPr>
      </w:pPr>
      <w:r w:rsidRPr="23CFD7A5">
        <w:rPr>
          <w:rFonts w:ascii="Times New Roman" w:hAnsi="Times New Roman" w:cs="Times New Roman"/>
          <w:sz w:val="24"/>
          <w:szCs w:val="24"/>
        </w:rPr>
        <w:t xml:space="preserve">For more information on the components of reading, EBRI, and STAR, see </w:t>
      </w:r>
      <w:hyperlink r:id="rId103">
        <w:r w:rsidRPr="23CFD7A5">
          <w:rPr>
            <w:rStyle w:val="Hyperlink"/>
            <w:rFonts w:ascii="Times New Roman" w:hAnsi="Times New Roman" w:cs="Times New Roman"/>
            <w:sz w:val="24"/>
            <w:szCs w:val="24"/>
          </w:rPr>
          <w:t>Essential Components of Reading</w:t>
        </w:r>
      </w:hyperlink>
      <w:r w:rsidRPr="23CFD7A5">
        <w:rPr>
          <w:rFonts w:ascii="Times New Roman" w:hAnsi="Times New Roman" w:cs="Times New Roman"/>
          <w:sz w:val="24"/>
          <w:szCs w:val="24"/>
        </w:rPr>
        <w:t xml:space="preserve">, </w:t>
      </w:r>
      <w:hyperlink r:id="rId104">
        <w:r w:rsidRPr="23CFD7A5">
          <w:rPr>
            <w:rStyle w:val="Hyperlink"/>
            <w:rFonts w:ascii="Times New Roman" w:hAnsi="Times New Roman" w:cs="Times New Roman"/>
            <w:sz w:val="24"/>
            <w:szCs w:val="24"/>
          </w:rPr>
          <w:t>ACLS EBRI and STAR information</w:t>
        </w:r>
      </w:hyperlink>
      <w:r w:rsidRPr="23CFD7A5">
        <w:rPr>
          <w:rFonts w:ascii="Times New Roman" w:hAnsi="Times New Roman" w:cs="Times New Roman"/>
          <w:sz w:val="24"/>
          <w:szCs w:val="24"/>
        </w:rPr>
        <w:t xml:space="preserve">, and SABES ELA Curriculum and Instruction PD Center’s </w:t>
      </w:r>
      <w:hyperlink r:id="rId105">
        <w:r w:rsidRPr="23CFD7A5">
          <w:rPr>
            <w:rStyle w:val="Hyperlink"/>
            <w:rFonts w:ascii="Times New Roman" w:hAnsi="Times New Roman" w:cs="Times New Roman"/>
            <w:sz w:val="24"/>
            <w:szCs w:val="24"/>
          </w:rPr>
          <w:t>EBRI</w:t>
        </w:r>
      </w:hyperlink>
      <w:r w:rsidRPr="23CFD7A5">
        <w:rPr>
          <w:rFonts w:ascii="Times New Roman" w:hAnsi="Times New Roman" w:cs="Times New Roman"/>
          <w:sz w:val="24"/>
          <w:szCs w:val="24"/>
        </w:rPr>
        <w:t xml:space="preserve"> and </w:t>
      </w:r>
      <w:hyperlink r:id="rId106">
        <w:r w:rsidRPr="23CFD7A5">
          <w:rPr>
            <w:rStyle w:val="Hyperlink"/>
            <w:rFonts w:ascii="Times New Roman" w:hAnsi="Times New Roman" w:cs="Times New Roman"/>
            <w:sz w:val="24"/>
            <w:szCs w:val="24"/>
          </w:rPr>
          <w:t>STAR</w:t>
        </w:r>
      </w:hyperlink>
      <w:r w:rsidRPr="23CFD7A5">
        <w:rPr>
          <w:rFonts w:ascii="Times New Roman" w:hAnsi="Times New Roman" w:cs="Times New Roman"/>
          <w:sz w:val="24"/>
          <w:szCs w:val="24"/>
        </w:rPr>
        <w:t xml:space="preserve"> webpages.</w:t>
      </w:r>
    </w:p>
    <w:p w14:paraId="20D36203" w14:textId="77777777" w:rsidR="00FE787F" w:rsidRPr="0079354F" w:rsidRDefault="00FE787F" w:rsidP="00A36A19">
      <w:pPr>
        <w:pStyle w:val="Heading3"/>
      </w:pPr>
    </w:p>
    <w:p w14:paraId="6863DFF5" w14:textId="77777777" w:rsidR="00FE787F" w:rsidRPr="00AB2CC6" w:rsidRDefault="00FE787F" w:rsidP="00A36A19">
      <w:pPr>
        <w:pStyle w:val="Heading3"/>
        <w:rPr>
          <w:b/>
          <w:bCs/>
        </w:rPr>
      </w:pPr>
      <w:bookmarkStart w:id="58" w:name="_Toc109195987"/>
      <w:r w:rsidRPr="1E8607B9">
        <w:rPr>
          <w:b/>
          <w:bCs/>
        </w:rPr>
        <w:t>Curriculum Requirements for ESOL (State requirement)</w:t>
      </w:r>
      <w:bookmarkEnd w:id="58"/>
    </w:p>
    <w:p w14:paraId="43580A64" w14:textId="1C9F8E61" w:rsidR="004C31ED" w:rsidRPr="0079354F" w:rsidRDefault="004C31ED" w:rsidP="004C31ED">
      <w:pPr>
        <w:textAlignment w:val="baseline"/>
      </w:pPr>
      <w:bookmarkStart w:id="59" w:name="_Toc474234609"/>
      <w:r w:rsidRPr="0079354F">
        <w:t xml:space="preserve">Programs offering ESOL instruction, </w:t>
      </w:r>
      <w:r w:rsidRPr="0079354F">
        <w:rPr>
          <w:color w:val="000000"/>
        </w:rPr>
        <w:t>including ACLS-approved forms of distance education (</w:t>
      </w:r>
      <w:r w:rsidR="001C4077" w:rsidRPr="0079354F">
        <w:rPr>
          <w:color w:val="000000"/>
        </w:rPr>
        <w:t>S</w:t>
      </w:r>
      <w:r w:rsidRPr="0079354F">
        <w:rPr>
          <w:color w:val="000000"/>
        </w:rPr>
        <w:t xml:space="preserve">ee </w:t>
      </w:r>
      <w:r w:rsidR="001C4077" w:rsidRPr="0079354F">
        <w:rPr>
          <w:color w:val="000000"/>
        </w:rPr>
        <w:t>A</w:t>
      </w:r>
      <w:r w:rsidRPr="0079354F">
        <w:rPr>
          <w:color w:val="000000"/>
        </w:rPr>
        <w:t>ppendix</w:t>
      </w:r>
      <w:r w:rsidR="001C4077" w:rsidRPr="0079354F">
        <w:rPr>
          <w:color w:val="000000"/>
        </w:rPr>
        <w:t xml:space="preserve"> C.)</w:t>
      </w:r>
      <w:r w:rsidRPr="0079354F">
        <w:rPr>
          <w:color w:val="000000"/>
        </w:rPr>
        <w:t xml:space="preserve">, </w:t>
      </w:r>
      <w:r w:rsidRPr="0079354F">
        <w:t>are required to implement curriculum aligned to the</w:t>
      </w:r>
      <w:r w:rsidR="00976600">
        <w:t xml:space="preserve"> </w:t>
      </w:r>
      <w:hyperlink r:id="rId107" w:tgtFrame="_blank" w:history="1">
        <w:r w:rsidRPr="0079354F">
          <w:rPr>
            <w:i/>
            <w:iCs/>
            <w:color w:val="0000FF"/>
            <w:u w:val="single"/>
          </w:rPr>
          <w:t>Massachusetts English Language Proficiency Standards for Adult Education</w:t>
        </w:r>
      </w:hyperlink>
      <w:r w:rsidRPr="0079354F">
        <w:rPr>
          <w:i/>
          <w:iCs/>
          <w:color w:val="0000FF"/>
        </w:rPr>
        <w:t> (</w:t>
      </w:r>
      <w:hyperlink r:id="rId108" w:history="1">
        <w:r w:rsidRPr="0079354F">
          <w:rPr>
            <w:rStyle w:val="Hyperlink"/>
            <w:i/>
            <w:iCs/>
          </w:rPr>
          <w:t>MA ELPS</w:t>
        </w:r>
      </w:hyperlink>
      <w:r w:rsidRPr="0079354F">
        <w:rPr>
          <w:i/>
          <w:iCs/>
          <w:color w:val="0000FF"/>
        </w:rPr>
        <w:t>)</w:t>
      </w:r>
      <w:r w:rsidRPr="0079354F">
        <w:t>. These standards incorporate the</w:t>
      </w:r>
      <w:r w:rsidR="00976600">
        <w:t xml:space="preserve"> </w:t>
      </w:r>
      <w:hyperlink r:id="rId109" w:tgtFrame="_blank" w:history="1">
        <w:r w:rsidRPr="0079354F">
          <w:rPr>
            <w:i/>
            <w:iCs/>
            <w:color w:val="0000FF"/>
            <w:u w:val="single"/>
          </w:rPr>
          <w:t>CCRSAE</w:t>
        </w:r>
      </w:hyperlink>
      <w:r w:rsidR="00976600">
        <w:t xml:space="preserve"> </w:t>
      </w:r>
      <w:r w:rsidRPr="0079354F">
        <w:t>for ELA/Literacy and the instructional shifts for ELA and context them within the lens of English language learning. ACLS also requires that ESOL programs integrate civics education at all levels.</w:t>
      </w:r>
    </w:p>
    <w:p w14:paraId="23938714" w14:textId="547179FD" w:rsidR="004C31ED" w:rsidRPr="0079354F" w:rsidRDefault="004C31ED" w:rsidP="004C31ED">
      <w:pPr>
        <w:textAlignment w:val="baseline"/>
      </w:pPr>
    </w:p>
    <w:p w14:paraId="6DB1E18E" w14:textId="44E760CC" w:rsidR="004C31ED" w:rsidRPr="0079354F" w:rsidRDefault="004C31ED" w:rsidP="004C31ED">
      <w:pPr>
        <w:textAlignment w:val="baseline"/>
      </w:pPr>
      <w:r w:rsidRPr="0079354F">
        <w:t>The </w:t>
      </w:r>
      <w:hyperlink r:id="rId110" w:tgtFrame="_blank" w:history="1">
        <w:r w:rsidRPr="0079354F">
          <w:rPr>
            <w:i/>
            <w:iCs/>
            <w:color w:val="0000FF"/>
            <w:u w:val="single"/>
          </w:rPr>
          <w:t>MA ELPS</w:t>
        </w:r>
      </w:hyperlink>
      <w:r w:rsidR="00976600">
        <w:t xml:space="preserve"> </w:t>
      </w:r>
      <w:r w:rsidRPr="0079354F">
        <w:t>are the standards to use for English language acquisition. Programs providing mathematics instruction to English learners should align instruction to the</w:t>
      </w:r>
      <w:r w:rsidR="00976600">
        <w:t xml:space="preserve"> </w:t>
      </w:r>
      <w:hyperlink r:id="rId111" w:tgtFrame="_blank" w:history="1">
        <w:r w:rsidRPr="0079354F">
          <w:rPr>
            <w:i/>
            <w:iCs/>
            <w:color w:val="0000FF"/>
            <w:u w:val="single"/>
          </w:rPr>
          <w:t>CCRSAE</w:t>
        </w:r>
      </w:hyperlink>
      <w:r w:rsidR="00976600">
        <w:t xml:space="preserve"> </w:t>
      </w:r>
      <w:r w:rsidRPr="0079354F">
        <w:t>for mathematics and the Standards for Mathematical Practice, so that instruction is reflective of the</w:t>
      </w:r>
      <w:r w:rsidR="00976600">
        <w:t xml:space="preserve"> </w:t>
      </w:r>
      <w:hyperlink r:id="rId112" w:tgtFrame="_blank" w:history="1">
        <w:r w:rsidRPr="0079354F">
          <w:rPr>
            <w:i/>
            <w:iCs/>
            <w:color w:val="0000FF"/>
            <w:u w:val="single"/>
          </w:rPr>
          <w:t>CCRSAE</w:t>
        </w:r>
      </w:hyperlink>
      <w:r w:rsidR="00976600">
        <w:t xml:space="preserve"> </w:t>
      </w:r>
      <w:r w:rsidRPr="0079354F">
        <w:t>for mathematics instructional shifts. </w:t>
      </w:r>
    </w:p>
    <w:p w14:paraId="5C26F5E0"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p>
    <w:p w14:paraId="5DB384CA"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ESOL distance education may use a variety of resources (including online products such as Voxy and Newsela) that enable students to access high quality, rigorous instruction and that best fit their academic needs. ACLS does not mandate or approve use of individual online products. The choice of online products is left to the discretion of local programs.</w:t>
      </w:r>
    </w:p>
    <w:p w14:paraId="78D9CB31" w14:textId="77777777" w:rsidR="004C31ED" w:rsidRPr="0079354F" w:rsidRDefault="004C31ED" w:rsidP="004C31ED">
      <w:pPr>
        <w:textAlignment w:val="baseline"/>
      </w:pPr>
    </w:p>
    <w:p w14:paraId="5655132E" w14:textId="7B794B7F" w:rsidR="004C31ED" w:rsidRPr="00976600" w:rsidRDefault="004C31ED" w:rsidP="004C31ED">
      <w:pPr>
        <w:textAlignment w:val="baseline"/>
        <w:rPr>
          <w:rFonts w:ascii="Segoe UI" w:hAnsi="Segoe UI" w:cs="Segoe UI"/>
        </w:rPr>
      </w:pPr>
      <w:r w:rsidRPr="00976600">
        <w:t>For more information on English language acquisition, see the </w:t>
      </w:r>
      <w:hyperlink r:id="rId113" w:tgtFrame="_blank" w:history="1">
        <w:r w:rsidRPr="00976600">
          <w:rPr>
            <w:color w:val="0000FF"/>
            <w:u w:val="single"/>
          </w:rPr>
          <w:t>SABES ESOL Curriculum and Instruction PD Center website</w:t>
        </w:r>
      </w:hyperlink>
      <w:r w:rsidRPr="00976600">
        <w:t> and the </w:t>
      </w:r>
      <w:hyperlink r:id="rId114" w:tgtFrame="_blank" w:history="1">
        <w:r w:rsidRPr="00976600">
          <w:rPr>
            <w:color w:val="0000FF"/>
            <w:u w:val="single"/>
          </w:rPr>
          <w:t>WIOA Brief on English Language Acquisition</w:t>
        </w:r>
      </w:hyperlink>
      <w:r w:rsidRPr="00976600">
        <w:t>.</w:t>
      </w:r>
    </w:p>
    <w:p w14:paraId="62989103" w14:textId="77777777" w:rsidR="00FE787F" w:rsidRPr="0079354F" w:rsidRDefault="00FE787F" w:rsidP="00A36A19">
      <w:pPr>
        <w:pStyle w:val="Heading3"/>
      </w:pPr>
    </w:p>
    <w:p w14:paraId="4977E334" w14:textId="25EC6C07" w:rsidR="004C31ED" w:rsidRPr="00AB2CC6" w:rsidRDefault="004C31ED" w:rsidP="00A36A19">
      <w:pPr>
        <w:pStyle w:val="Heading3"/>
        <w:rPr>
          <w:b/>
          <w:bCs/>
        </w:rPr>
      </w:pPr>
      <w:bookmarkStart w:id="60" w:name="_Toc109195988"/>
      <w:r w:rsidRPr="1E8607B9">
        <w:rPr>
          <w:b/>
          <w:bCs/>
        </w:rPr>
        <w:t>Curriculum Requirement</w:t>
      </w:r>
      <w:r w:rsidR="000C12E7" w:rsidRPr="1E8607B9">
        <w:rPr>
          <w:b/>
          <w:bCs/>
        </w:rPr>
        <w:t>s</w:t>
      </w:r>
      <w:r w:rsidRPr="1E8607B9">
        <w:rPr>
          <w:b/>
          <w:bCs/>
        </w:rPr>
        <w:t xml:space="preserve"> for Distance Education</w:t>
      </w:r>
      <w:bookmarkEnd w:id="60"/>
    </w:p>
    <w:p w14:paraId="2DEE38D4" w14:textId="394F975D"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ACLS-approved forms of distance education (</w:t>
      </w:r>
      <w:r w:rsidR="001C4077" w:rsidRPr="0079354F">
        <w:rPr>
          <w:rFonts w:ascii="Times New Roman" w:hAnsi="Times New Roman" w:cs="Times New Roman"/>
          <w:sz w:val="24"/>
          <w:szCs w:val="24"/>
        </w:rPr>
        <w:t>S</w:t>
      </w:r>
      <w:r w:rsidRPr="0079354F">
        <w:rPr>
          <w:rFonts w:ascii="Times New Roman" w:hAnsi="Times New Roman" w:cs="Times New Roman"/>
          <w:sz w:val="24"/>
          <w:szCs w:val="24"/>
        </w:rPr>
        <w:t>ee Appendix</w:t>
      </w:r>
      <w:r w:rsidR="001C4077" w:rsidRPr="0079354F">
        <w:rPr>
          <w:rFonts w:ascii="Times New Roman" w:hAnsi="Times New Roman" w:cs="Times New Roman"/>
          <w:sz w:val="24"/>
          <w:szCs w:val="24"/>
        </w:rPr>
        <w:t xml:space="preserve"> C.</w:t>
      </w:r>
      <w:r w:rsidRPr="0079354F">
        <w:rPr>
          <w:rFonts w:ascii="Times New Roman" w:hAnsi="Times New Roman" w:cs="Times New Roman"/>
          <w:sz w:val="24"/>
          <w:szCs w:val="24"/>
        </w:rPr>
        <w:t xml:space="preserve">) are required to align their curriculum and instruction to the CCRSAE and/or </w:t>
      </w:r>
      <w:hyperlink r:id="rId115" w:history="1">
        <w:r w:rsidRPr="0079354F">
          <w:rPr>
            <w:rStyle w:val="Hyperlink"/>
            <w:rFonts w:ascii="Times New Roman" w:hAnsi="Times New Roman" w:cs="Times New Roman"/>
            <w:i/>
            <w:iCs/>
            <w:sz w:val="24"/>
            <w:szCs w:val="24"/>
          </w:rPr>
          <w:t>MA ELPS</w:t>
        </w:r>
      </w:hyperlink>
      <w:r w:rsidRPr="0079354F">
        <w:rPr>
          <w:rFonts w:ascii="Times New Roman" w:hAnsi="Times New Roman" w:cs="Times New Roman"/>
          <w:sz w:val="24"/>
          <w:szCs w:val="24"/>
        </w:rPr>
        <w:t xml:space="preserve"> depending on the type of service offered. Programs may use a variety of resources including online products (e.g., Aztec, Newsela, KET Fast Forward, and Voxy) and must provide high quality, rigorous instruction. ACLS does not mandate or approve use of individual online products. The choice of online products is left to the discretion of local programs.</w:t>
      </w:r>
    </w:p>
    <w:p w14:paraId="7BE022D7" w14:textId="77777777" w:rsidR="004C31ED" w:rsidRPr="0079354F" w:rsidRDefault="004C31ED" w:rsidP="004C31ED"/>
    <w:p w14:paraId="275A0C26" w14:textId="2706E03A" w:rsidR="00FE787F" w:rsidRPr="00AB2CC6" w:rsidRDefault="00FE787F" w:rsidP="00A36A19">
      <w:pPr>
        <w:pStyle w:val="Heading3"/>
        <w:rPr>
          <w:b/>
          <w:bCs/>
        </w:rPr>
      </w:pPr>
      <w:bookmarkStart w:id="61" w:name="_Toc109195989"/>
      <w:r w:rsidRPr="1E8607B9">
        <w:rPr>
          <w:b/>
          <w:bCs/>
        </w:rPr>
        <w:t>Curriculum Requirement</w:t>
      </w:r>
      <w:r w:rsidR="00A46360" w:rsidRPr="1E8607B9">
        <w:rPr>
          <w:b/>
          <w:bCs/>
        </w:rPr>
        <w:t>s</w:t>
      </w:r>
      <w:r w:rsidRPr="1E8607B9">
        <w:rPr>
          <w:b/>
          <w:bCs/>
        </w:rPr>
        <w:t xml:space="preserve"> for All Programs</w:t>
      </w:r>
      <w:bookmarkEnd w:id="61"/>
    </w:p>
    <w:p w14:paraId="4490CB79" w14:textId="7E7608FE" w:rsidR="00FE787F" w:rsidRPr="0079354F" w:rsidRDefault="00FE787F" w:rsidP="00FE787F">
      <w:pPr>
        <w:rPr>
          <w:b/>
          <w:bCs/>
          <w:color w:val="0000FF"/>
        </w:rPr>
      </w:pPr>
      <w:r w:rsidRPr="0079354F">
        <w:rPr>
          <w:b/>
          <w:bCs/>
          <w:color w:val="0000FF"/>
        </w:rPr>
        <w:t>Workforce Preparation</w:t>
      </w:r>
      <w:r w:rsidR="00C97F0D" w:rsidRPr="0079354F">
        <w:rPr>
          <w:b/>
          <w:bCs/>
          <w:color w:val="0000FF"/>
        </w:rPr>
        <w:t xml:space="preserve"> Activities</w:t>
      </w:r>
    </w:p>
    <w:p w14:paraId="01DAA73E" w14:textId="77777777" w:rsidR="00FE787F" w:rsidRPr="0079354F" w:rsidRDefault="00FE787F" w:rsidP="00FE787F">
      <w:r w:rsidRPr="0079354F">
        <w:t>WIOA requires all programs to integrate workforce preparation activities in curriculum and instruction at all levels in order to teach employability skills and prepare students for college and career pathways. The term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r w:rsidRPr="0079354F">
        <w:rPr>
          <w:rStyle w:val="FootnoteReference"/>
        </w:rPr>
        <w:footnoteReference w:id="27"/>
      </w:r>
      <w:r w:rsidRPr="0079354F">
        <w:t xml:space="preserve"> </w:t>
      </w:r>
    </w:p>
    <w:p w14:paraId="3C4EB789" w14:textId="77777777" w:rsidR="00FE787F" w:rsidRPr="0079354F" w:rsidRDefault="00FE787F" w:rsidP="00FE787F"/>
    <w:p w14:paraId="32E3DD96" w14:textId="17617576" w:rsidR="00FE787F" w:rsidRPr="0079354F" w:rsidRDefault="00FE787F" w:rsidP="00471F60">
      <w:pPr>
        <w:rPr>
          <w:b/>
          <w:bCs/>
          <w:color w:val="0000FF"/>
        </w:rPr>
      </w:pPr>
      <w:r w:rsidRPr="0079354F">
        <w:rPr>
          <w:b/>
          <w:bCs/>
          <w:color w:val="0000FF"/>
        </w:rPr>
        <w:t xml:space="preserve">Digital Literacy </w:t>
      </w:r>
      <w:bookmarkEnd w:id="59"/>
      <w:r w:rsidR="00685591" w:rsidRPr="0079354F">
        <w:rPr>
          <w:b/>
          <w:bCs/>
          <w:color w:val="0000FF"/>
        </w:rPr>
        <w:t>Development</w:t>
      </w:r>
    </w:p>
    <w:p w14:paraId="6AB893AA" w14:textId="77777777" w:rsidR="00FE787F" w:rsidRPr="0079354F" w:rsidRDefault="00FE787F" w:rsidP="00FE787F">
      <w:pPr>
        <w:pStyle w:val="BodyText"/>
        <w:spacing w:before="0"/>
        <w:jc w:val="left"/>
      </w:pPr>
      <w:r w:rsidRPr="0079354F">
        <w:t>WIOA requires all programs to support the digital literacy development of students at every level. Digital literacy can be defined as the skills associated with using technology to enable users to find, evaluate, organize, create, and communicate information. The integration of digital literacy into curriculum and instruction is required in order to provide opportunities for students to explore, experiment, and develop expertise using real world applications for digital literacy while building their academic skills. Programs are expected to incorporate a variety of tools and technologies into the classroom to support learning.</w:t>
      </w:r>
    </w:p>
    <w:p w14:paraId="4605C83C" w14:textId="77777777" w:rsidR="00FE787F" w:rsidRPr="0079354F" w:rsidRDefault="00FE787F" w:rsidP="00FE787F">
      <w:pPr>
        <w:pStyle w:val="BodyText"/>
        <w:spacing w:before="0"/>
        <w:jc w:val="left"/>
      </w:pPr>
    </w:p>
    <w:p w14:paraId="282F1206" w14:textId="5671E3DA" w:rsidR="005817A5" w:rsidRPr="0079354F" w:rsidRDefault="005817A5" w:rsidP="00FE787F">
      <w:pPr>
        <w:pStyle w:val="BodyText"/>
        <w:spacing w:before="0"/>
        <w:jc w:val="left"/>
      </w:pPr>
      <w:bookmarkStart w:id="62" w:name="_Hlk72847040"/>
      <w:r w:rsidRPr="0079354F">
        <w:rPr>
          <w:color w:val="000000"/>
        </w:rPr>
        <w:t xml:space="preserve">For more information on workforce preparation activities, see </w:t>
      </w:r>
      <w:r w:rsidRPr="0079354F">
        <w:t xml:space="preserve">the ACES Transitions Integration Framework at </w:t>
      </w:r>
      <w:hyperlink r:id="rId116" w:history="1">
        <w:r w:rsidRPr="0079354F">
          <w:rPr>
            <w:rStyle w:val="Hyperlink"/>
            <w:rFonts w:eastAsia="Batang"/>
          </w:rPr>
          <w:t>https://atlasabe.org/key-activities/aces/</w:t>
        </w:r>
      </w:hyperlink>
      <w:r w:rsidRPr="0079354F">
        <w:t xml:space="preserve"> and the Perkins Collaborative Resource Network’s Employability Skills Framework at </w:t>
      </w:r>
      <w:hyperlink r:id="rId117" w:history="1">
        <w:r w:rsidRPr="0079354F">
          <w:rPr>
            <w:rStyle w:val="Hyperlink"/>
            <w:rFonts w:eastAsia="Batang"/>
          </w:rPr>
          <w:t>http://cte.ed.gov/initiatives/employability-skills-framework</w:t>
        </w:r>
      </w:hyperlink>
      <w:r w:rsidRPr="0079354F">
        <w:t>.</w:t>
      </w:r>
    </w:p>
    <w:p w14:paraId="3216B2A8" w14:textId="77777777" w:rsidR="005817A5" w:rsidRPr="0079354F" w:rsidRDefault="005817A5" w:rsidP="00FE787F">
      <w:pPr>
        <w:pStyle w:val="BodyText"/>
        <w:spacing w:before="0"/>
        <w:jc w:val="left"/>
      </w:pPr>
    </w:p>
    <w:p w14:paraId="74E43450" w14:textId="39EB1D83" w:rsidR="005F5B18" w:rsidRPr="0079354F" w:rsidRDefault="00FE787F" w:rsidP="00A804C4">
      <w:pPr>
        <w:pStyle w:val="BodyText"/>
        <w:spacing w:before="0"/>
        <w:jc w:val="left"/>
        <w:sectPr w:rsidR="005F5B18" w:rsidRPr="0079354F" w:rsidSect="00BD4638">
          <w:headerReference w:type="default" r:id="rId118"/>
          <w:pgSz w:w="12240" w:h="15840"/>
          <w:pgMar w:top="1008" w:right="1440" w:bottom="576" w:left="1440" w:header="720" w:footer="720" w:gutter="0"/>
          <w:cols w:space="720"/>
          <w:docGrid w:linePitch="360"/>
        </w:sectPr>
      </w:pPr>
      <w:r w:rsidRPr="0079354F">
        <w:rPr>
          <w:color w:val="000000"/>
        </w:rPr>
        <w:t>For more information on digital literacy</w:t>
      </w:r>
      <w:r w:rsidR="004354B9" w:rsidRPr="0079354F">
        <w:rPr>
          <w:color w:val="000000"/>
        </w:rPr>
        <w:t xml:space="preserve"> development</w:t>
      </w:r>
      <w:r w:rsidRPr="0079354F">
        <w:rPr>
          <w:color w:val="000000"/>
        </w:rPr>
        <w:t>,</w:t>
      </w:r>
      <w:r w:rsidR="005817A5" w:rsidRPr="0079354F">
        <w:rPr>
          <w:color w:val="000000"/>
        </w:rPr>
        <w:t xml:space="preserve"> </w:t>
      </w:r>
      <w:r w:rsidR="005817A5" w:rsidRPr="0079354F">
        <w:t xml:space="preserve">see the </w:t>
      </w:r>
      <w:r w:rsidR="005817A5" w:rsidRPr="00A804C4">
        <w:rPr>
          <w:i/>
          <w:iCs/>
        </w:rPr>
        <w:t>IDEAL Distance Education and Blended Learning Handbook</w:t>
      </w:r>
      <w:r w:rsidR="005817A5" w:rsidRPr="0079354F">
        <w:t xml:space="preserve"> at </w:t>
      </w:r>
      <w:hyperlink r:id="rId119">
        <w:r w:rsidR="005817A5" w:rsidRPr="0079354F">
          <w:rPr>
            <w:rStyle w:val="Hyperlink"/>
          </w:rPr>
          <w:t>https://edtechbooks.org/ideal_dl_handbook</w:t>
        </w:r>
      </w:hyperlink>
      <w:r w:rsidR="005817A5" w:rsidRPr="0079354F">
        <w:rPr>
          <w:rStyle w:val="Hyperlink"/>
          <w:color w:val="auto"/>
          <w:u w:val="none"/>
        </w:rPr>
        <w:t xml:space="preserve"> and </w:t>
      </w:r>
      <w:r w:rsidR="005817A5" w:rsidRPr="00A804C4">
        <w:rPr>
          <w:rStyle w:val="Hyperlink"/>
          <w:i/>
          <w:iCs/>
          <w:color w:val="auto"/>
          <w:u w:val="none"/>
        </w:rPr>
        <w:t>Digital Literacy: A Guide for Adult Education Programs</w:t>
      </w:r>
      <w:r w:rsidR="005817A5" w:rsidRPr="0079354F">
        <w:rPr>
          <w:rStyle w:val="Hyperlink"/>
          <w:color w:val="auto"/>
          <w:u w:val="none"/>
        </w:rPr>
        <w:t xml:space="preserve"> at </w:t>
      </w:r>
      <w:hyperlink r:id="rId120" w:history="1">
        <w:r w:rsidR="005817A5" w:rsidRPr="0079354F">
          <w:rPr>
            <w:rStyle w:val="Hyperlink"/>
          </w:rPr>
          <w:t>http://www.doe.mass.edu/acls/frameworks/DigitalLiteracy.html</w:t>
        </w:r>
      </w:hyperlink>
      <w:r w:rsidRPr="0079354F">
        <w:t>.</w:t>
      </w:r>
      <w:bookmarkEnd w:id="62"/>
    </w:p>
    <w:p w14:paraId="1FD1BDE7" w14:textId="73D2ADDF" w:rsidR="005F5B18" w:rsidRPr="0079354F" w:rsidRDefault="005F5B18" w:rsidP="1E8607B9">
      <w:pPr>
        <w:pStyle w:val="Heading2"/>
        <w:spacing w:before="0"/>
        <w:rPr>
          <w:rStyle w:val="Hyperlink"/>
          <w:rFonts w:eastAsia="Batang"/>
          <w:b/>
          <w:color w:val="E36C0A" w:themeColor="accent6" w:themeShade="BF"/>
          <w:u w:val="none"/>
        </w:rPr>
      </w:pPr>
      <w:bookmarkStart w:id="63" w:name="_Toc109195990"/>
      <w:r w:rsidRPr="1E8607B9">
        <w:rPr>
          <w:rStyle w:val="Hyperlink"/>
          <w:rFonts w:eastAsia="Batang"/>
          <w:b/>
          <w:color w:val="E36C0A" w:themeColor="accent6" w:themeShade="BF"/>
          <w:u w:val="none"/>
        </w:rPr>
        <w:t xml:space="preserve">Chapter 5:  </w:t>
      </w:r>
      <w:hyperlink w:anchor="_Toc468698123">
        <w:r w:rsidRPr="1E8607B9">
          <w:rPr>
            <w:rStyle w:val="Hyperlink"/>
            <w:rFonts w:eastAsia="Batang"/>
            <w:b/>
            <w:color w:val="E36C0A" w:themeColor="accent6" w:themeShade="BF"/>
            <w:u w:val="none"/>
          </w:rPr>
          <w:t>Indicator 5:  Instruction and Assessment</w:t>
        </w:r>
        <w:bookmarkEnd w:id="63"/>
      </w:hyperlink>
    </w:p>
    <w:p w14:paraId="72B9E7B5" w14:textId="77777777" w:rsidR="00FE787F" w:rsidRPr="00AB2CC6" w:rsidRDefault="00FE787F" w:rsidP="00A36A19">
      <w:pPr>
        <w:pStyle w:val="Heading3"/>
        <w:rPr>
          <w:b/>
          <w:bCs/>
        </w:rPr>
      </w:pPr>
      <w:bookmarkStart w:id="64" w:name="_Toc109195991"/>
      <w:bookmarkEnd w:id="53"/>
      <w:r w:rsidRPr="1E8607B9">
        <w:rPr>
          <w:b/>
          <w:bCs/>
        </w:rPr>
        <w:t>Alignment to Standards (State requirement)</w:t>
      </w:r>
      <w:bookmarkEnd w:id="64"/>
    </w:p>
    <w:p w14:paraId="73A26A9C" w14:textId="15E41845" w:rsidR="00737A7F" w:rsidRPr="0079354F" w:rsidRDefault="00737A7F" w:rsidP="00FE787F">
      <w:pPr>
        <w:pStyle w:val="Default"/>
        <w:rPr>
          <w:color w:val="auto"/>
        </w:rPr>
      </w:pPr>
      <w:r w:rsidRPr="0079354F">
        <w:rPr>
          <w:color w:val="auto"/>
        </w:rPr>
        <w:t>ACLS requires curriculum and instruction be aligned to standards and key instructional shifts as follows:</w:t>
      </w:r>
    </w:p>
    <w:p w14:paraId="1369E9CB" w14:textId="4B3F99E0" w:rsidR="00737A7F" w:rsidRPr="0079354F" w:rsidRDefault="00FE787F" w:rsidP="00FC65BD">
      <w:pPr>
        <w:pStyle w:val="Default"/>
        <w:numPr>
          <w:ilvl w:val="0"/>
          <w:numId w:val="60"/>
        </w:numPr>
        <w:rPr>
          <w:color w:val="auto"/>
        </w:rPr>
      </w:pPr>
      <w:r w:rsidRPr="0079354F">
        <w:rPr>
          <w:color w:val="auto"/>
        </w:rPr>
        <w:t xml:space="preserve">the </w:t>
      </w:r>
      <w:hyperlink r:id="rId121" w:history="1">
        <w:r w:rsidRPr="0079354F">
          <w:rPr>
            <w:rStyle w:val="Hyperlink"/>
            <w:i/>
            <w:iCs/>
          </w:rPr>
          <w:t>CCRSAE</w:t>
        </w:r>
      </w:hyperlink>
      <w:r w:rsidRPr="0079354F">
        <w:t xml:space="preserve"> </w:t>
      </w:r>
      <w:r w:rsidRPr="0079354F">
        <w:rPr>
          <w:color w:val="auto"/>
        </w:rPr>
        <w:t xml:space="preserve">for ELA and </w:t>
      </w:r>
      <w:r w:rsidR="00737A7F" w:rsidRPr="0079354F">
        <w:rPr>
          <w:color w:val="auto"/>
        </w:rPr>
        <w:t>M</w:t>
      </w:r>
      <w:r w:rsidRPr="0079354F">
        <w:rPr>
          <w:color w:val="auto"/>
        </w:rPr>
        <w:t xml:space="preserve">athematics </w:t>
      </w:r>
      <w:r w:rsidR="00737A7F" w:rsidRPr="0079354F">
        <w:rPr>
          <w:color w:val="auto"/>
        </w:rPr>
        <w:t>for ABE instruction</w:t>
      </w:r>
    </w:p>
    <w:p w14:paraId="60FB11EC" w14:textId="146A755B" w:rsidR="00FE787F" w:rsidRPr="0079354F" w:rsidRDefault="00FE787F" w:rsidP="00FC65BD">
      <w:pPr>
        <w:pStyle w:val="Default"/>
        <w:numPr>
          <w:ilvl w:val="0"/>
          <w:numId w:val="60"/>
        </w:numPr>
        <w:rPr>
          <w:color w:val="auto"/>
        </w:rPr>
      </w:pPr>
      <w:r w:rsidRPr="0079354F">
        <w:rPr>
          <w:color w:val="auto"/>
        </w:rPr>
        <w:t xml:space="preserve">the </w:t>
      </w:r>
      <w:hyperlink r:id="rId122" w:history="1">
        <w:r w:rsidRPr="0079354F">
          <w:rPr>
            <w:rStyle w:val="Hyperlink"/>
            <w:i/>
            <w:iCs/>
          </w:rPr>
          <w:t>MA ELPS</w:t>
        </w:r>
      </w:hyperlink>
      <w:r w:rsidRPr="0079354F">
        <w:rPr>
          <w:color w:val="auto"/>
        </w:rPr>
        <w:t xml:space="preserve"> for English language acquisition </w:t>
      </w:r>
      <w:r w:rsidR="00737A7F" w:rsidRPr="0079354F">
        <w:rPr>
          <w:color w:val="auto"/>
        </w:rPr>
        <w:t xml:space="preserve">and the </w:t>
      </w:r>
      <w:hyperlink r:id="rId123" w:history="1">
        <w:r w:rsidR="00737A7F" w:rsidRPr="0079354F">
          <w:rPr>
            <w:rStyle w:val="Hyperlink"/>
            <w:i/>
            <w:iCs/>
          </w:rPr>
          <w:t>CCRSAE</w:t>
        </w:r>
      </w:hyperlink>
      <w:r w:rsidR="00737A7F" w:rsidRPr="0079354F">
        <w:rPr>
          <w:color w:val="auto"/>
        </w:rPr>
        <w:t xml:space="preserve"> for Mathematics</w:t>
      </w:r>
      <w:r w:rsidR="00C0176D" w:rsidRPr="0079354F">
        <w:rPr>
          <w:color w:val="auto"/>
        </w:rPr>
        <w:t xml:space="preserve"> </w:t>
      </w:r>
      <w:r w:rsidR="00737A7F" w:rsidRPr="0079354F">
        <w:rPr>
          <w:color w:val="auto"/>
        </w:rPr>
        <w:t>for instruction in ESOL</w:t>
      </w:r>
      <w:r w:rsidR="00C0176D" w:rsidRPr="0079354F">
        <w:rPr>
          <w:rStyle w:val="FootnoteReference"/>
          <w:color w:val="auto"/>
        </w:rPr>
        <w:footnoteReference w:id="28"/>
      </w:r>
    </w:p>
    <w:p w14:paraId="1AEB7EA7" w14:textId="77777777" w:rsidR="00FE787F" w:rsidRPr="0079354F" w:rsidRDefault="00FE787F" w:rsidP="00FE787F">
      <w:pPr>
        <w:pStyle w:val="Default"/>
        <w:rPr>
          <w:color w:val="auto"/>
        </w:rPr>
      </w:pPr>
    </w:p>
    <w:p w14:paraId="57668011" w14:textId="77777777" w:rsidR="00FE787F" w:rsidRPr="0079354F" w:rsidRDefault="00FE787F" w:rsidP="00FE787F">
      <w:pPr>
        <w:pStyle w:val="Default"/>
        <w:rPr>
          <w:color w:val="auto"/>
        </w:rPr>
      </w:pPr>
      <w:r w:rsidRPr="0079354F">
        <w:t>The shifts in standards-based ELA</w:t>
      </w:r>
      <w:r w:rsidRPr="0079354F">
        <w:rPr>
          <w:rStyle w:val="FootnoteReference"/>
        </w:rPr>
        <w:footnoteReference w:id="29"/>
      </w:r>
      <w:r w:rsidRPr="0079354F">
        <w:t xml:space="preserve"> teaching sharpen the focus of instruction on the close connection between comprehension of text and acquisition of knowledge:</w:t>
      </w:r>
    </w:p>
    <w:p w14:paraId="124BFD3F" w14:textId="77777777" w:rsidR="00FE787F" w:rsidRPr="0079354F" w:rsidRDefault="00FE787F" w:rsidP="00FC65BD">
      <w:pPr>
        <w:pStyle w:val="Default"/>
        <w:numPr>
          <w:ilvl w:val="0"/>
          <w:numId w:val="11"/>
        </w:numPr>
        <w:tabs>
          <w:tab w:val="left" w:pos="720"/>
        </w:tabs>
        <w:ind w:left="720"/>
        <w:rPr>
          <w:color w:val="auto"/>
        </w:rPr>
      </w:pPr>
      <w:r w:rsidRPr="0079354F">
        <w:rPr>
          <w:color w:val="auto"/>
        </w:rPr>
        <w:t>Complexity (i.e., regular practice with complex text and its academic language);</w:t>
      </w:r>
    </w:p>
    <w:p w14:paraId="083F110A" w14:textId="77777777" w:rsidR="00FE787F" w:rsidRPr="0079354F" w:rsidRDefault="00FE787F" w:rsidP="00FC65BD">
      <w:pPr>
        <w:pStyle w:val="Default"/>
        <w:numPr>
          <w:ilvl w:val="0"/>
          <w:numId w:val="11"/>
        </w:numPr>
        <w:tabs>
          <w:tab w:val="left" w:pos="720"/>
        </w:tabs>
        <w:ind w:left="720"/>
        <w:rPr>
          <w:color w:val="auto"/>
        </w:rPr>
      </w:pPr>
      <w:r w:rsidRPr="0079354F">
        <w:rPr>
          <w:color w:val="auto"/>
        </w:rPr>
        <w:t>Evidence (i.e., reading, writing, and speaking grounded in evidence from text, both literary and informational); and</w:t>
      </w:r>
    </w:p>
    <w:p w14:paraId="767D541E" w14:textId="77777777" w:rsidR="00FE787F" w:rsidRPr="0079354F" w:rsidRDefault="00FE787F" w:rsidP="00FC65BD">
      <w:pPr>
        <w:pStyle w:val="Default"/>
        <w:numPr>
          <w:ilvl w:val="0"/>
          <w:numId w:val="11"/>
        </w:numPr>
        <w:tabs>
          <w:tab w:val="left" w:pos="720"/>
        </w:tabs>
        <w:ind w:left="720"/>
        <w:rPr>
          <w:color w:val="auto"/>
        </w:rPr>
      </w:pPr>
      <w:r w:rsidRPr="0079354F">
        <w:rPr>
          <w:color w:val="auto"/>
        </w:rPr>
        <w:t>Knowledge (i.e., building knowledge through content-rich nonfiction).</w:t>
      </w:r>
    </w:p>
    <w:p w14:paraId="4110F889" w14:textId="77777777" w:rsidR="00FE787F" w:rsidRPr="0079354F" w:rsidRDefault="00FE787F" w:rsidP="00FE787F">
      <w:pPr>
        <w:pStyle w:val="Default"/>
        <w:rPr>
          <w:color w:val="auto"/>
        </w:rPr>
      </w:pPr>
    </w:p>
    <w:p w14:paraId="431B8081" w14:textId="77777777" w:rsidR="00FE787F" w:rsidRPr="0079354F" w:rsidRDefault="00FE787F" w:rsidP="00FE787F">
      <w:pPr>
        <w:pStyle w:val="Default"/>
        <w:rPr>
          <w:color w:val="auto"/>
        </w:rPr>
      </w:pPr>
      <w:r w:rsidRPr="0079354F">
        <w:rPr>
          <w:color w:val="auto"/>
        </w:rPr>
        <w:t>The shifts in standards-based mathematics</w:t>
      </w:r>
      <w:r w:rsidRPr="0079354F">
        <w:rPr>
          <w:rStyle w:val="FootnoteReference"/>
          <w:color w:val="auto"/>
        </w:rPr>
        <w:footnoteReference w:id="30"/>
      </w:r>
      <w:r w:rsidRPr="0079354F">
        <w:rPr>
          <w:color w:val="auto"/>
        </w:rPr>
        <w:t xml:space="preserve"> teaching center on the knowledge and skills students need to master to be adept at understanding and applying mathematical ideas:</w:t>
      </w:r>
    </w:p>
    <w:p w14:paraId="111D9B73" w14:textId="77777777" w:rsidR="00FE787F" w:rsidRPr="0079354F" w:rsidRDefault="00FE787F" w:rsidP="00FC65BD">
      <w:pPr>
        <w:pStyle w:val="Default"/>
        <w:numPr>
          <w:ilvl w:val="0"/>
          <w:numId w:val="12"/>
        </w:numPr>
        <w:ind w:left="720"/>
        <w:rPr>
          <w:color w:val="auto"/>
        </w:rPr>
      </w:pPr>
      <w:r w:rsidRPr="0079354F">
        <w:rPr>
          <w:color w:val="auto"/>
        </w:rPr>
        <w:t>Focus (i.e., focusing strongly where the standards focus);</w:t>
      </w:r>
    </w:p>
    <w:p w14:paraId="37E1424D" w14:textId="77777777" w:rsidR="00FE787F" w:rsidRPr="0079354F" w:rsidRDefault="00FE787F" w:rsidP="00FC65BD">
      <w:pPr>
        <w:pStyle w:val="Default"/>
        <w:numPr>
          <w:ilvl w:val="0"/>
          <w:numId w:val="12"/>
        </w:numPr>
        <w:ind w:left="720"/>
        <w:rPr>
          <w:color w:val="auto"/>
        </w:rPr>
      </w:pPr>
      <w:r w:rsidRPr="0079354F">
        <w:rPr>
          <w:color w:val="auto"/>
        </w:rPr>
        <w:t>Coherence (i.e., designing learning around coherent progressions from level to level); and</w:t>
      </w:r>
    </w:p>
    <w:p w14:paraId="57B94E4D" w14:textId="77777777" w:rsidR="00FE787F" w:rsidRPr="0079354F" w:rsidRDefault="00FE787F" w:rsidP="00FC65BD">
      <w:pPr>
        <w:pStyle w:val="Default"/>
        <w:numPr>
          <w:ilvl w:val="0"/>
          <w:numId w:val="12"/>
        </w:numPr>
        <w:ind w:left="720"/>
        <w:rPr>
          <w:color w:val="auto"/>
        </w:rPr>
      </w:pPr>
      <w:r w:rsidRPr="0079354F">
        <w:rPr>
          <w:color w:val="auto"/>
        </w:rPr>
        <w:t>Rigor (i.e., pursuing conceptual understanding, procedural skill and fluency, and application with equal intensity).</w:t>
      </w:r>
    </w:p>
    <w:p w14:paraId="7AFDC100" w14:textId="77777777" w:rsidR="00FE787F" w:rsidRPr="0079354F" w:rsidRDefault="00FE787F" w:rsidP="00FE787F"/>
    <w:p w14:paraId="73E225D1" w14:textId="77777777" w:rsidR="00FE787F" w:rsidRPr="0079354F" w:rsidRDefault="00FE787F" w:rsidP="00FE787F">
      <w:r w:rsidRPr="0079354F">
        <w:t>Equally important, the Standards for Mathematical Practice</w:t>
      </w:r>
      <w:r w:rsidRPr="0079354F">
        <w:rPr>
          <w:rStyle w:val="FootnoteReference"/>
        </w:rPr>
        <w:footnoteReference w:id="31"/>
      </w:r>
      <w:r w:rsidRPr="0079354F">
        <w:t xml:space="preserve"> “describe the ways students are to engage with the subject matter as they grow in mathematical maturity and expertise across the </w:t>
      </w:r>
      <w:hyperlink r:id="rId124" w:history="1">
        <w:r w:rsidRPr="0079354F">
          <w:rPr>
            <w:rStyle w:val="Hyperlink"/>
            <w:rFonts w:eastAsia="Batang"/>
            <w:i/>
            <w:iCs/>
          </w:rPr>
          <w:t>CCRSAE</w:t>
        </w:r>
      </w:hyperlink>
      <w:r w:rsidRPr="0079354F">
        <w:t xml:space="preserve"> levels.” The practices and habits of mind that all mathematics students need to develop, are:</w:t>
      </w:r>
    </w:p>
    <w:p w14:paraId="45D1B6D7"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MP.1: Make sense of problems and persevere in solving them;</w:t>
      </w:r>
    </w:p>
    <w:p w14:paraId="19602FF2"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MP.2: Reason abstractly and quantitatively;</w:t>
      </w:r>
    </w:p>
    <w:p w14:paraId="1A1C2897"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MP.3: Construct viable arguments and critique the reasoning of others;</w:t>
      </w:r>
    </w:p>
    <w:p w14:paraId="454DDBE2"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MP.4: Model with mathematics;</w:t>
      </w:r>
    </w:p>
    <w:p w14:paraId="56F93B53"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MP.5: Use appropriate tools strategically;</w:t>
      </w:r>
    </w:p>
    <w:p w14:paraId="3265D145" w14:textId="77777777" w:rsidR="00FE787F" w:rsidRPr="0079354F" w:rsidRDefault="00FE787F" w:rsidP="00FC65BD">
      <w:pPr>
        <w:pStyle w:val="ListParagraph"/>
        <w:numPr>
          <w:ilvl w:val="0"/>
          <w:numId w:val="13"/>
        </w:numPr>
        <w:spacing w:line="240" w:lineRule="auto"/>
        <w:rPr>
          <w:rFonts w:ascii="Times New Roman" w:hAnsi="Times New Roman" w:cs="Times New Roman"/>
          <w:sz w:val="24"/>
          <w:szCs w:val="24"/>
        </w:rPr>
      </w:pPr>
      <w:r w:rsidRPr="0079354F">
        <w:rPr>
          <w:rFonts w:ascii="Times New Roman" w:hAnsi="Times New Roman" w:cs="Times New Roman"/>
          <w:sz w:val="24"/>
          <w:szCs w:val="24"/>
        </w:rPr>
        <w:t>MP.6: Attend to precision;</w:t>
      </w:r>
    </w:p>
    <w:p w14:paraId="071A100C" w14:textId="77777777" w:rsidR="00FE787F" w:rsidRPr="0079354F" w:rsidRDefault="00FE787F" w:rsidP="00FC65BD">
      <w:pPr>
        <w:pStyle w:val="ListParagraph"/>
        <w:numPr>
          <w:ilvl w:val="0"/>
          <w:numId w:val="1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MP.7: Look for and make use of structure; and</w:t>
      </w:r>
    </w:p>
    <w:p w14:paraId="0DE656E2" w14:textId="77777777" w:rsidR="00FE787F" w:rsidRPr="0079354F" w:rsidRDefault="00FE787F" w:rsidP="00FC65BD">
      <w:pPr>
        <w:pStyle w:val="ListParagraph"/>
        <w:numPr>
          <w:ilvl w:val="0"/>
          <w:numId w:val="1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MP.8: Look for and express regularity in repeated reasoning.</w:t>
      </w:r>
    </w:p>
    <w:p w14:paraId="589FCA42" w14:textId="77777777" w:rsidR="00FE787F" w:rsidRPr="0079354F" w:rsidRDefault="00FE787F" w:rsidP="00FE787F"/>
    <w:p w14:paraId="051F1BA0" w14:textId="4566FCAA" w:rsidR="00FE787F" w:rsidRPr="00AB2CC6" w:rsidRDefault="00FE787F" w:rsidP="00A36A19">
      <w:pPr>
        <w:pStyle w:val="Heading3"/>
        <w:rPr>
          <w:b/>
          <w:bCs/>
        </w:rPr>
      </w:pPr>
      <w:bookmarkStart w:id="65" w:name="_Toc109195992"/>
      <w:r w:rsidRPr="1E8607B9">
        <w:rPr>
          <w:b/>
          <w:bCs/>
        </w:rPr>
        <w:t xml:space="preserve">Integration of Workforce Preparation </w:t>
      </w:r>
      <w:r w:rsidR="003E00BC" w:rsidRPr="1E8607B9">
        <w:rPr>
          <w:b/>
          <w:bCs/>
        </w:rPr>
        <w:t xml:space="preserve">Activities </w:t>
      </w:r>
      <w:r w:rsidRPr="1E8607B9">
        <w:rPr>
          <w:b/>
          <w:bCs/>
        </w:rPr>
        <w:t xml:space="preserve">and Digital Literacy </w:t>
      </w:r>
      <w:r w:rsidR="003E00BC" w:rsidRPr="1E8607B9">
        <w:rPr>
          <w:b/>
          <w:bCs/>
        </w:rPr>
        <w:t>Development</w:t>
      </w:r>
      <w:bookmarkEnd w:id="65"/>
    </w:p>
    <w:p w14:paraId="04FD136E" w14:textId="5A108ABC" w:rsidR="00471F60" w:rsidRPr="0079354F" w:rsidRDefault="00FE787F" w:rsidP="00FE787F">
      <w:r w:rsidRPr="0079354F">
        <w:t>WIOA requires that programs integrate workforce preparation and digital literacy at all levels of ABE and ESOL instruction so that students obtain the skills necessary for transitioning to college and careers and obtain and advance in employment leading to family-sustaining wages.</w:t>
      </w:r>
    </w:p>
    <w:p w14:paraId="364A70EF" w14:textId="77777777" w:rsidR="00471F60" w:rsidRPr="0079354F" w:rsidRDefault="00471F60" w:rsidP="00FE787F"/>
    <w:p w14:paraId="0887D84E" w14:textId="109E82F6" w:rsidR="00012E65" w:rsidRPr="0079354F" w:rsidRDefault="00012E65" w:rsidP="00012E65">
      <w:r w:rsidRPr="0079354F">
        <w:t>For definition</w:t>
      </w:r>
      <w:r w:rsidR="0012650B" w:rsidRPr="0079354F">
        <w:t>s</w:t>
      </w:r>
      <w:r w:rsidRPr="0079354F">
        <w:t xml:space="preserve"> of workforce preparation activities and digital literacy, see the Curriculum chapter.</w:t>
      </w:r>
    </w:p>
    <w:p w14:paraId="6C317B44" w14:textId="77777777" w:rsidR="00F77FFB" w:rsidRPr="0079354F" w:rsidRDefault="00F77FFB" w:rsidP="00012E65"/>
    <w:p w14:paraId="0849AB19" w14:textId="493E4DCA" w:rsidR="00FE787F" w:rsidRPr="0079354F" w:rsidRDefault="00012E65" w:rsidP="00FE787F">
      <w:bookmarkStart w:id="66" w:name="_Hlk74740406"/>
      <w:r w:rsidRPr="0079354F">
        <w:t xml:space="preserve">The following at-a-glance chart summarizes </w:t>
      </w:r>
      <w:r w:rsidR="00F77FFB" w:rsidRPr="0079354F">
        <w:t>Massachusetts</w:t>
      </w:r>
      <w:r w:rsidRPr="0079354F">
        <w:t xml:space="preserve"> </w:t>
      </w:r>
      <w:r w:rsidR="0012650B" w:rsidRPr="0079354F">
        <w:t>instruction</w:t>
      </w:r>
      <w:r w:rsidRPr="0079354F">
        <w:t xml:space="preserve"> requirements.</w:t>
      </w:r>
    </w:p>
    <w:tbl>
      <w:tblPr>
        <w:tblStyle w:val="TableGrid"/>
        <w:tblW w:w="0" w:type="auto"/>
        <w:tblLook w:val="04A0" w:firstRow="1" w:lastRow="0" w:firstColumn="1" w:lastColumn="0" w:noHBand="0" w:noVBand="1"/>
        <w:tblCaption w:val="At-A-Glance Adult Education Instruction Requirements"/>
        <w:tblDescription w:val="This chart shows a summary of adult education instruction requirements. ABE instruction must be aligned to the College and Career Readiness Standards for Adult Education and integrate the Components of Reading, Workforce Preparation, and Digital Literacy. ESOL instruction must be aligned to the Massachusetts English Language Proficiency Standards and integrate Workforce Preparation and Digital Literacy."/>
      </w:tblPr>
      <w:tblGrid>
        <w:gridCol w:w="3116"/>
        <w:gridCol w:w="3117"/>
        <w:gridCol w:w="3117"/>
      </w:tblGrid>
      <w:tr w:rsidR="00FE787F" w:rsidRPr="0079354F" w14:paraId="1CC1EB02" w14:textId="77777777" w:rsidTr="00012E65">
        <w:tc>
          <w:tcPr>
            <w:tcW w:w="3116" w:type="dxa"/>
            <w:shd w:val="clear" w:color="auto" w:fill="FDE9D9" w:themeFill="accent6" w:themeFillTint="33"/>
          </w:tcPr>
          <w:p w14:paraId="0D359755" w14:textId="77777777" w:rsidR="00FE787F" w:rsidRPr="0079354F" w:rsidRDefault="00FE787F" w:rsidP="000214A6"/>
        </w:tc>
        <w:tc>
          <w:tcPr>
            <w:tcW w:w="3117" w:type="dxa"/>
            <w:shd w:val="clear" w:color="auto" w:fill="FDE9D9" w:themeFill="accent6" w:themeFillTint="33"/>
          </w:tcPr>
          <w:p w14:paraId="5BFB42A9" w14:textId="77777777" w:rsidR="00FE787F" w:rsidRPr="0079354F" w:rsidRDefault="00FE787F" w:rsidP="000214A6">
            <w:pPr>
              <w:jc w:val="center"/>
              <w:rPr>
                <w:b/>
                <w:bCs/>
              </w:rPr>
            </w:pPr>
            <w:r w:rsidRPr="0079354F">
              <w:rPr>
                <w:b/>
                <w:bCs/>
              </w:rPr>
              <w:t>ABE Instruction</w:t>
            </w:r>
          </w:p>
        </w:tc>
        <w:tc>
          <w:tcPr>
            <w:tcW w:w="3117" w:type="dxa"/>
            <w:shd w:val="clear" w:color="auto" w:fill="FDE9D9" w:themeFill="accent6" w:themeFillTint="33"/>
          </w:tcPr>
          <w:p w14:paraId="513942BB" w14:textId="77777777" w:rsidR="00FE787F" w:rsidRPr="0079354F" w:rsidRDefault="00FE787F" w:rsidP="000214A6">
            <w:pPr>
              <w:jc w:val="center"/>
              <w:rPr>
                <w:b/>
                <w:bCs/>
              </w:rPr>
            </w:pPr>
            <w:r w:rsidRPr="0079354F">
              <w:rPr>
                <w:b/>
                <w:bCs/>
              </w:rPr>
              <w:t>ESOL Instruction</w:t>
            </w:r>
          </w:p>
        </w:tc>
      </w:tr>
      <w:tr w:rsidR="00FE787F" w:rsidRPr="0079354F" w14:paraId="3977425E" w14:textId="77777777" w:rsidTr="00012E65">
        <w:tc>
          <w:tcPr>
            <w:tcW w:w="3116" w:type="dxa"/>
            <w:shd w:val="clear" w:color="auto" w:fill="auto"/>
          </w:tcPr>
          <w:p w14:paraId="566174DB" w14:textId="6ADBB2D9" w:rsidR="00FE787F" w:rsidRPr="0079354F" w:rsidRDefault="006F65DA" w:rsidP="000214A6">
            <w:r w:rsidRPr="0079354F">
              <w:t xml:space="preserve">Aligned to </w:t>
            </w:r>
            <w:r w:rsidR="00FE787F" w:rsidRPr="0079354F">
              <w:t>CCRSAE</w:t>
            </w:r>
          </w:p>
        </w:tc>
        <w:tc>
          <w:tcPr>
            <w:tcW w:w="3117" w:type="dxa"/>
            <w:shd w:val="clear" w:color="auto" w:fill="auto"/>
          </w:tcPr>
          <w:p w14:paraId="73CCDA2F" w14:textId="77777777" w:rsidR="00FE787F" w:rsidRPr="0079354F" w:rsidRDefault="00FE787F" w:rsidP="000214A6">
            <w:pPr>
              <w:jc w:val="center"/>
            </w:pPr>
            <w:r w:rsidRPr="0079354F">
              <w:t>X</w:t>
            </w:r>
          </w:p>
        </w:tc>
        <w:tc>
          <w:tcPr>
            <w:tcW w:w="3117" w:type="dxa"/>
            <w:shd w:val="clear" w:color="auto" w:fill="auto"/>
          </w:tcPr>
          <w:p w14:paraId="14DB3B1B" w14:textId="77777777" w:rsidR="00FE787F" w:rsidRPr="0079354F" w:rsidRDefault="00FE787F" w:rsidP="000214A6">
            <w:pPr>
              <w:jc w:val="center"/>
            </w:pPr>
          </w:p>
        </w:tc>
      </w:tr>
      <w:tr w:rsidR="00FE787F" w:rsidRPr="0079354F" w14:paraId="3441EE30" w14:textId="77777777" w:rsidTr="00012E65">
        <w:tc>
          <w:tcPr>
            <w:tcW w:w="3116" w:type="dxa"/>
            <w:shd w:val="clear" w:color="auto" w:fill="FDE9D9" w:themeFill="accent6" w:themeFillTint="33"/>
          </w:tcPr>
          <w:p w14:paraId="2F39D589" w14:textId="5B9CB8F8" w:rsidR="00FE787F" w:rsidRPr="0079354F" w:rsidRDefault="006F65DA" w:rsidP="000214A6">
            <w:r w:rsidRPr="0079354F">
              <w:t xml:space="preserve">Aligned to </w:t>
            </w:r>
            <w:r w:rsidR="00FE787F" w:rsidRPr="0079354F">
              <w:t>MA ELPS</w:t>
            </w:r>
          </w:p>
        </w:tc>
        <w:tc>
          <w:tcPr>
            <w:tcW w:w="3117" w:type="dxa"/>
            <w:shd w:val="clear" w:color="auto" w:fill="FDE9D9" w:themeFill="accent6" w:themeFillTint="33"/>
          </w:tcPr>
          <w:p w14:paraId="58C1A3E3" w14:textId="77777777" w:rsidR="00FE787F" w:rsidRPr="0079354F" w:rsidRDefault="00FE787F" w:rsidP="000214A6">
            <w:pPr>
              <w:jc w:val="center"/>
            </w:pPr>
          </w:p>
        </w:tc>
        <w:tc>
          <w:tcPr>
            <w:tcW w:w="3117" w:type="dxa"/>
            <w:shd w:val="clear" w:color="auto" w:fill="FDE9D9" w:themeFill="accent6" w:themeFillTint="33"/>
          </w:tcPr>
          <w:p w14:paraId="17B9215F" w14:textId="77777777" w:rsidR="00FE787F" w:rsidRPr="0079354F" w:rsidRDefault="00FE787F" w:rsidP="000214A6">
            <w:pPr>
              <w:jc w:val="center"/>
            </w:pPr>
            <w:r w:rsidRPr="0079354F">
              <w:t>X</w:t>
            </w:r>
          </w:p>
        </w:tc>
      </w:tr>
      <w:tr w:rsidR="00FE787F" w:rsidRPr="0079354F" w14:paraId="10AE0A28" w14:textId="77777777" w:rsidTr="00012E65">
        <w:tc>
          <w:tcPr>
            <w:tcW w:w="3116" w:type="dxa"/>
            <w:shd w:val="clear" w:color="auto" w:fill="auto"/>
          </w:tcPr>
          <w:p w14:paraId="605B7583" w14:textId="77777777" w:rsidR="00FE787F" w:rsidRPr="0079354F" w:rsidRDefault="00FE787F" w:rsidP="000214A6">
            <w:r w:rsidRPr="0079354F">
              <w:t>Components of Reading</w:t>
            </w:r>
          </w:p>
        </w:tc>
        <w:tc>
          <w:tcPr>
            <w:tcW w:w="3117" w:type="dxa"/>
            <w:shd w:val="clear" w:color="auto" w:fill="auto"/>
          </w:tcPr>
          <w:p w14:paraId="2FB806C5" w14:textId="77777777" w:rsidR="00FE787F" w:rsidRPr="0079354F" w:rsidRDefault="00FE787F" w:rsidP="000214A6">
            <w:pPr>
              <w:jc w:val="center"/>
            </w:pPr>
            <w:r w:rsidRPr="0079354F">
              <w:t>X</w:t>
            </w:r>
          </w:p>
        </w:tc>
        <w:tc>
          <w:tcPr>
            <w:tcW w:w="3117" w:type="dxa"/>
            <w:shd w:val="clear" w:color="auto" w:fill="auto"/>
          </w:tcPr>
          <w:p w14:paraId="41E887C9" w14:textId="77777777" w:rsidR="00FE787F" w:rsidRPr="0079354F" w:rsidRDefault="00FE787F" w:rsidP="000214A6">
            <w:pPr>
              <w:jc w:val="center"/>
            </w:pPr>
          </w:p>
        </w:tc>
      </w:tr>
      <w:tr w:rsidR="00471F60" w:rsidRPr="0079354F" w14:paraId="7DC768EC" w14:textId="77777777" w:rsidTr="00012E65">
        <w:tc>
          <w:tcPr>
            <w:tcW w:w="3116" w:type="dxa"/>
            <w:tcBorders>
              <w:bottom w:val="single" w:sz="4" w:space="0" w:color="auto"/>
            </w:tcBorders>
            <w:shd w:val="clear" w:color="auto" w:fill="FDE9D9" w:themeFill="accent6" w:themeFillTint="33"/>
          </w:tcPr>
          <w:p w14:paraId="72C2C1DA" w14:textId="0110B222" w:rsidR="00471F60" w:rsidRPr="0079354F" w:rsidRDefault="00471F60" w:rsidP="00471F60">
            <w:r w:rsidRPr="0079354F">
              <w:t>Workforce Preparation</w:t>
            </w:r>
          </w:p>
        </w:tc>
        <w:tc>
          <w:tcPr>
            <w:tcW w:w="3117" w:type="dxa"/>
            <w:tcBorders>
              <w:bottom w:val="single" w:sz="4" w:space="0" w:color="auto"/>
            </w:tcBorders>
            <w:shd w:val="clear" w:color="auto" w:fill="FDE9D9" w:themeFill="accent6" w:themeFillTint="33"/>
          </w:tcPr>
          <w:p w14:paraId="3493CC72" w14:textId="788E7F1E" w:rsidR="00471F60" w:rsidRPr="0079354F" w:rsidRDefault="00471F60" w:rsidP="00471F60">
            <w:pPr>
              <w:jc w:val="center"/>
            </w:pPr>
            <w:r w:rsidRPr="0079354F">
              <w:t>X</w:t>
            </w:r>
          </w:p>
        </w:tc>
        <w:tc>
          <w:tcPr>
            <w:tcW w:w="3117" w:type="dxa"/>
            <w:tcBorders>
              <w:bottom w:val="single" w:sz="4" w:space="0" w:color="auto"/>
            </w:tcBorders>
            <w:shd w:val="clear" w:color="auto" w:fill="FDE9D9" w:themeFill="accent6" w:themeFillTint="33"/>
          </w:tcPr>
          <w:p w14:paraId="2516FBD2" w14:textId="0DAF87A8" w:rsidR="00471F60" w:rsidRPr="0079354F" w:rsidRDefault="00471F60" w:rsidP="00471F60">
            <w:pPr>
              <w:jc w:val="center"/>
            </w:pPr>
            <w:r w:rsidRPr="0079354F">
              <w:t>X</w:t>
            </w:r>
          </w:p>
        </w:tc>
      </w:tr>
      <w:tr w:rsidR="00471F60" w:rsidRPr="0079354F" w14:paraId="783C842C" w14:textId="77777777" w:rsidTr="00012E65">
        <w:tc>
          <w:tcPr>
            <w:tcW w:w="3116" w:type="dxa"/>
            <w:tcBorders>
              <w:bottom w:val="single" w:sz="4" w:space="0" w:color="auto"/>
            </w:tcBorders>
            <w:shd w:val="clear" w:color="auto" w:fill="auto"/>
          </w:tcPr>
          <w:p w14:paraId="7FC855BA" w14:textId="77777777" w:rsidR="00471F60" w:rsidRPr="0079354F" w:rsidRDefault="00471F60" w:rsidP="00471F60">
            <w:r w:rsidRPr="0079354F">
              <w:t>Digital Literacy</w:t>
            </w:r>
          </w:p>
        </w:tc>
        <w:tc>
          <w:tcPr>
            <w:tcW w:w="3117" w:type="dxa"/>
            <w:tcBorders>
              <w:bottom w:val="single" w:sz="4" w:space="0" w:color="auto"/>
            </w:tcBorders>
            <w:shd w:val="clear" w:color="auto" w:fill="auto"/>
          </w:tcPr>
          <w:p w14:paraId="438DBF6D" w14:textId="77777777" w:rsidR="00471F60" w:rsidRPr="0079354F" w:rsidRDefault="00471F60" w:rsidP="00471F60">
            <w:pPr>
              <w:jc w:val="center"/>
            </w:pPr>
            <w:r w:rsidRPr="0079354F">
              <w:t>X</w:t>
            </w:r>
          </w:p>
        </w:tc>
        <w:tc>
          <w:tcPr>
            <w:tcW w:w="3117" w:type="dxa"/>
            <w:tcBorders>
              <w:bottom w:val="single" w:sz="4" w:space="0" w:color="auto"/>
            </w:tcBorders>
            <w:shd w:val="clear" w:color="auto" w:fill="auto"/>
          </w:tcPr>
          <w:p w14:paraId="2FF58001" w14:textId="77777777" w:rsidR="00471F60" w:rsidRPr="0079354F" w:rsidRDefault="00471F60" w:rsidP="00471F60">
            <w:pPr>
              <w:jc w:val="center"/>
            </w:pPr>
            <w:r w:rsidRPr="0079354F">
              <w:t>X</w:t>
            </w:r>
          </w:p>
        </w:tc>
      </w:tr>
      <w:bookmarkEnd w:id="66"/>
    </w:tbl>
    <w:p w14:paraId="39E1D8C5" w14:textId="77777777" w:rsidR="00012E65" w:rsidRPr="0079354F" w:rsidRDefault="00012E65" w:rsidP="00FE787F"/>
    <w:p w14:paraId="1ED66CE2" w14:textId="2C12C5F9" w:rsidR="00FE787F" w:rsidRPr="00AB2CC6" w:rsidRDefault="00FE787F" w:rsidP="00A36A19">
      <w:pPr>
        <w:pStyle w:val="Heading3"/>
        <w:rPr>
          <w:b/>
          <w:bCs/>
        </w:rPr>
      </w:pPr>
      <w:bookmarkStart w:id="67" w:name="_Toc109195993"/>
      <w:r w:rsidRPr="1E8607B9">
        <w:rPr>
          <w:b/>
          <w:bCs/>
        </w:rPr>
        <w:t>High</w:t>
      </w:r>
      <w:r w:rsidR="00C81F82" w:rsidRPr="1E8607B9">
        <w:rPr>
          <w:b/>
          <w:bCs/>
        </w:rPr>
        <w:t xml:space="preserve"> </w:t>
      </w:r>
      <w:r w:rsidRPr="1E8607B9">
        <w:rPr>
          <w:b/>
          <w:bCs/>
        </w:rPr>
        <w:t>Quality Resources for Instruction</w:t>
      </w:r>
      <w:bookmarkEnd w:id="67"/>
    </w:p>
    <w:p w14:paraId="231BCD94" w14:textId="437CD872" w:rsidR="00FE787F" w:rsidRPr="0079354F" w:rsidRDefault="00FE787F" w:rsidP="00FE787F">
      <w:r w:rsidRPr="0079354F">
        <w:t>A lack of mathematics skills can be a significant barrier for adult learners in achieving a high school equivalency or gaining access to postsecondary education. Programs looking for mathematics curriculum resources may be interested in the Curriculum for Adults Learning Math (CALM). CALM is a high</w:t>
      </w:r>
      <w:r w:rsidR="008B1BBD" w:rsidRPr="0079354F">
        <w:t xml:space="preserve"> </w:t>
      </w:r>
      <w:r w:rsidRPr="0079354F">
        <w:t xml:space="preserve">quality, CCRSAE-aligned mathematics curriculum for all adult education levels. CALM instructional units include complete lesson plans, formative assessments for each lesson, and a performance-based assessment. CALM aligns to the </w:t>
      </w:r>
      <w:hyperlink r:id="rId125" w:history="1">
        <w:r w:rsidRPr="0079354F">
          <w:rPr>
            <w:rStyle w:val="Hyperlink"/>
            <w:rFonts w:eastAsia="Batang"/>
            <w:i/>
          </w:rPr>
          <w:t>CCRSAE</w:t>
        </w:r>
      </w:hyperlink>
      <w:r w:rsidRPr="0079354F">
        <w:t xml:space="preserve"> and the Standards for Mathematical Practice and reflects the </w:t>
      </w:r>
      <w:hyperlink r:id="rId126" w:history="1">
        <w:r w:rsidRPr="0079354F">
          <w:rPr>
            <w:rStyle w:val="Hyperlink"/>
            <w:rFonts w:eastAsia="Batang"/>
            <w:i/>
          </w:rPr>
          <w:t>CCRSAE</w:t>
        </w:r>
      </w:hyperlink>
      <w:r w:rsidRPr="0079354F">
        <w:t xml:space="preserve"> instructional shifts. CALM prepares students for earning a high school equivalency credential and lays the foundation for college and career readiness.</w:t>
      </w:r>
    </w:p>
    <w:p w14:paraId="2AEBFE42" w14:textId="77777777" w:rsidR="00036BAF" w:rsidRPr="0079354F" w:rsidRDefault="00036BAF" w:rsidP="00036BAF"/>
    <w:p w14:paraId="372B6F8C" w14:textId="1FC0D74A" w:rsidR="00036BAF" w:rsidRPr="0079354F" w:rsidRDefault="00036BAF" w:rsidP="00036BAF">
      <w:r w:rsidRPr="0079354F">
        <w:t xml:space="preserve">For more information on CALM and other math resources, see the </w:t>
      </w:r>
      <w:hyperlink r:id="rId127" w:history="1">
        <w:r w:rsidRPr="0079354F">
          <w:rPr>
            <w:rStyle w:val="Hyperlink"/>
          </w:rPr>
          <w:t>SABES Mathematics Curriculum and Instruction PD Center website</w:t>
        </w:r>
      </w:hyperlink>
      <w:r w:rsidRPr="0079354F">
        <w:t xml:space="preserve">. For ELA and ESOL curriculum and instruction resources, see the SABES Curriculum and Instruction </w:t>
      </w:r>
      <w:hyperlink r:id="rId128" w:history="1">
        <w:r w:rsidRPr="0079354F">
          <w:rPr>
            <w:rStyle w:val="Hyperlink"/>
          </w:rPr>
          <w:t>ELA</w:t>
        </w:r>
      </w:hyperlink>
      <w:r w:rsidRPr="0079354F">
        <w:t xml:space="preserve"> and </w:t>
      </w:r>
      <w:hyperlink r:id="rId129" w:history="1">
        <w:r w:rsidRPr="0079354F">
          <w:rPr>
            <w:rStyle w:val="Hyperlink"/>
          </w:rPr>
          <w:t>ESOL</w:t>
        </w:r>
      </w:hyperlink>
      <w:r w:rsidRPr="0079354F">
        <w:t xml:space="preserve"> Center websites.</w:t>
      </w:r>
    </w:p>
    <w:p w14:paraId="54498DEA" w14:textId="77777777" w:rsidR="00FE787F" w:rsidRPr="0079354F" w:rsidRDefault="00FE787F" w:rsidP="00FE787F"/>
    <w:p w14:paraId="33F1DFFF" w14:textId="283365B5" w:rsidR="00036BAF" w:rsidRPr="0079354F" w:rsidRDefault="00FE787F" w:rsidP="00FE787F">
      <w:pPr>
        <w:rPr>
          <w:shd w:val="clear" w:color="auto" w:fill="FFFFFF"/>
        </w:rPr>
      </w:pPr>
      <w:r w:rsidRPr="0079354F">
        <w:rPr>
          <w:shd w:val="clear" w:color="auto" w:fill="FFFFFF"/>
        </w:rPr>
        <w:t>The Teaching the Skills That Matter in Adult Education project (TSTM), a project from the American Institute for Research (AIR) and OCTAE</w:t>
      </w:r>
      <w:r w:rsidR="00491624">
        <w:rPr>
          <w:shd w:val="clear" w:color="auto" w:fill="FFFFFF"/>
        </w:rPr>
        <w:t>,</w:t>
      </w:r>
      <w:r w:rsidRPr="0079354F">
        <w:rPr>
          <w:shd w:val="clear" w:color="auto" w:fill="FFFFFF"/>
        </w:rPr>
        <w:t xml:space="preserve"> trains teachers to integrate the </w:t>
      </w:r>
      <w:r w:rsidRPr="0079354F">
        <w:rPr>
          <w:rStyle w:val="Strong"/>
          <w:b w:val="0"/>
          <w:bCs/>
          <w:shd w:val="clear" w:color="auto" w:fill="FFFFFF"/>
        </w:rPr>
        <w:t>skills</w:t>
      </w:r>
      <w:r w:rsidRPr="0079354F">
        <w:rPr>
          <w:shd w:val="clear" w:color="auto" w:fill="FFFFFF"/>
        </w:rPr>
        <w:t> that matter to adult students using </w:t>
      </w:r>
      <w:r w:rsidRPr="0079354F">
        <w:rPr>
          <w:rStyle w:val="Strong"/>
          <w:b w:val="0"/>
          <w:bCs/>
          <w:shd w:val="clear" w:color="auto" w:fill="FFFFFF"/>
        </w:rPr>
        <w:t>approaches</w:t>
      </w:r>
      <w:r w:rsidRPr="0079354F">
        <w:rPr>
          <w:shd w:val="clear" w:color="auto" w:fill="FFFFFF"/>
        </w:rPr>
        <w:t> that work across critical </w:t>
      </w:r>
      <w:r w:rsidRPr="0079354F">
        <w:rPr>
          <w:rStyle w:val="Strong"/>
          <w:b w:val="0"/>
          <w:bCs/>
          <w:shd w:val="clear" w:color="auto" w:fill="FFFFFF"/>
        </w:rPr>
        <w:t>topics</w:t>
      </w:r>
      <w:r w:rsidRPr="0079354F">
        <w:rPr>
          <w:shd w:val="clear" w:color="auto" w:fill="FFFFFF"/>
        </w:rPr>
        <w:t xml:space="preserve">. Using the project's tools and training, </w:t>
      </w:r>
      <w:r w:rsidR="00471F60" w:rsidRPr="0079354F">
        <w:rPr>
          <w:shd w:val="clear" w:color="auto" w:fill="FFFFFF"/>
        </w:rPr>
        <w:t>AE</w:t>
      </w:r>
      <w:r w:rsidRPr="0079354F">
        <w:rPr>
          <w:shd w:val="clear" w:color="auto" w:fill="FFFFFF"/>
        </w:rPr>
        <w:t xml:space="preserve"> teachers can teach the transferable skills students need in these critical contexts.</w:t>
      </w:r>
    </w:p>
    <w:p w14:paraId="3A6452E2" w14:textId="77777777" w:rsidR="00036BAF" w:rsidRPr="0079354F" w:rsidRDefault="00036BAF" w:rsidP="00FE787F">
      <w:pPr>
        <w:rPr>
          <w:shd w:val="clear" w:color="auto" w:fill="FFFFFF"/>
        </w:rPr>
      </w:pPr>
    </w:p>
    <w:p w14:paraId="24D6317C" w14:textId="440FF58B" w:rsidR="00FE787F" w:rsidRPr="0079354F" w:rsidRDefault="00036BAF" w:rsidP="00FE787F">
      <w:pPr>
        <w:rPr>
          <w:shd w:val="clear" w:color="auto" w:fill="FFFFFF"/>
        </w:rPr>
      </w:pPr>
      <w:r w:rsidRPr="0079354F">
        <w:rPr>
          <w:shd w:val="clear" w:color="auto" w:fill="FFFFFF"/>
        </w:rPr>
        <w:t>For more information on TSTM including t</w:t>
      </w:r>
      <w:r w:rsidR="00FE787F" w:rsidRPr="0079354F">
        <w:rPr>
          <w:shd w:val="clear" w:color="auto" w:fill="FFFFFF"/>
        </w:rPr>
        <w:t>he TSTM toolkit and other resources</w:t>
      </w:r>
      <w:r w:rsidRPr="0079354F">
        <w:rPr>
          <w:shd w:val="clear" w:color="auto" w:fill="FFFFFF"/>
        </w:rPr>
        <w:t xml:space="preserve">, </w:t>
      </w:r>
      <w:r w:rsidR="00FB3045" w:rsidRPr="0079354F">
        <w:rPr>
          <w:shd w:val="clear" w:color="auto" w:fill="FFFFFF"/>
        </w:rPr>
        <w:t xml:space="preserve">see </w:t>
      </w:r>
      <w:hyperlink r:id="rId130" w:history="1">
        <w:r w:rsidR="00FB3045" w:rsidRPr="0079354F">
          <w:rPr>
            <w:rStyle w:val="Hyperlink"/>
            <w:shd w:val="clear" w:color="auto" w:fill="FFFFFF"/>
          </w:rPr>
          <w:t>https://www.sabes.org/content/teaching-skills-matter-massachusetts-adult-education</w:t>
        </w:r>
      </w:hyperlink>
      <w:r w:rsidR="00FE787F" w:rsidRPr="0079354F">
        <w:rPr>
          <w:shd w:val="clear" w:color="auto" w:fill="FFFFFF"/>
        </w:rPr>
        <w:t>.</w:t>
      </w:r>
    </w:p>
    <w:p w14:paraId="3C642F5B" w14:textId="77777777" w:rsidR="00FE787F" w:rsidRPr="0079354F" w:rsidRDefault="00FE787F" w:rsidP="00FE787F"/>
    <w:p w14:paraId="518CFF04" w14:textId="63502B28" w:rsidR="00FE787F" w:rsidRPr="00AB2CC6" w:rsidRDefault="00FE787F" w:rsidP="00A36A19">
      <w:pPr>
        <w:pStyle w:val="Heading3"/>
        <w:rPr>
          <w:b/>
          <w:bCs/>
        </w:rPr>
      </w:pPr>
      <w:bookmarkStart w:id="68" w:name="_Toc109195994"/>
      <w:r w:rsidRPr="1E8607B9">
        <w:rPr>
          <w:b/>
          <w:bCs/>
        </w:rPr>
        <w:t>Assessment</w:t>
      </w:r>
      <w:bookmarkEnd w:id="68"/>
    </w:p>
    <w:p w14:paraId="292011E0" w14:textId="698B05C1" w:rsidR="00FE787F" w:rsidRPr="0079354F" w:rsidRDefault="00FE787F" w:rsidP="00FE787F">
      <w:r w:rsidRPr="0079354F">
        <w:t>Assessment refers to a wide variety of methods and tools used by educators to evaluate, measure, and document the academic readiness, learning progress, skill acquisition, and educational needs of students.</w:t>
      </w:r>
      <w:r w:rsidR="00CE1698" w:rsidRPr="0079354F">
        <w:rPr>
          <w:rStyle w:val="FootnoteReference"/>
        </w:rPr>
        <w:footnoteReference w:id="32"/>
      </w:r>
    </w:p>
    <w:p w14:paraId="4E5A748C" w14:textId="77777777" w:rsidR="00FE787F" w:rsidRPr="0079354F" w:rsidRDefault="00FE787F" w:rsidP="00FE787F"/>
    <w:p w14:paraId="7F360535" w14:textId="334BB029" w:rsidR="00FE787F" w:rsidRPr="0079354F" w:rsidRDefault="00FE787F" w:rsidP="00FE787F">
      <w:r w:rsidRPr="0079354F">
        <w:t>Effective teachers use assessment data to inform lesson planning, check for understanding regularly throughout the lesson, create and administer tests that measure students’ academic learning and progress towards goals, provide students with actionable and timely feedback, make progress visible to students, and use assessment data to modify instruction to better meet students’ needs.</w:t>
      </w:r>
    </w:p>
    <w:p w14:paraId="5672C71A" w14:textId="77777777" w:rsidR="00FE787F" w:rsidRPr="0079354F" w:rsidRDefault="00FE787F" w:rsidP="00FE787F"/>
    <w:p w14:paraId="0C4D0C3C" w14:textId="79B1E67D" w:rsidR="00FE787F" w:rsidRPr="0079354F" w:rsidRDefault="00FE787F" w:rsidP="00BF5ADB">
      <w:pPr>
        <w:rPr>
          <w:color w:val="030A13"/>
          <w:shd w:val="clear" w:color="auto" w:fill="FFFFFF"/>
        </w:rPr>
      </w:pPr>
      <w:r w:rsidRPr="0079354F">
        <w:rPr>
          <w:color w:val="030A13"/>
          <w:shd w:val="clear" w:color="auto" w:fill="FFFFFF"/>
        </w:rPr>
        <w:t>Indeed, “done well and thoughtfully, assessments are tools for learning and promoting equity. They provide necessary information for educators, families, the public, and students themselves to measure progress and improve outcomes for all learners. Done poorly, in excess, or without clear purpose, they take valuable time away from teaching and learning, draining creative approaches from our classrooms. In the vital effort to ensure that all students in America are achieving at high levels, it is essential to ensure that tests are fair, are of high quality, take up the minimum necessary time, and reflect the expectation that students will be prepared for success in college and careers.”</w:t>
      </w:r>
      <w:r w:rsidRPr="0079354F">
        <w:rPr>
          <w:rStyle w:val="FootnoteReference"/>
          <w:color w:val="030A13"/>
          <w:shd w:val="clear" w:color="auto" w:fill="FFFFFF"/>
        </w:rPr>
        <w:footnoteReference w:id="33"/>
      </w:r>
    </w:p>
    <w:p w14:paraId="02DB20D5" w14:textId="77777777" w:rsidR="00FE787F" w:rsidRPr="00BF5ADB" w:rsidRDefault="00FE787F" w:rsidP="00BF5ADB">
      <w:pPr>
        <w:pStyle w:val="NormalWeb"/>
        <w:shd w:val="clear" w:color="auto" w:fill="FFFFFF"/>
        <w:spacing w:before="0" w:beforeAutospacing="0" w:after="0" w:afterAutospacing="0"/>
        <w:textAlignment w:val="baseline"/>
        <w:rPr>
          <w:rFonts w:ascii="Times New Roman" w:hAnsi="Times New Roman" w:cs="Times New Roman"/>
          <w:sz w:val="24"/>
          <w:szCs w:val="24"/>
        </w:rPr>
      </w:pPr>
    </w:p>
    <w:p w14:paraId="2B874659" w14:textId="7AC4C188" w:rsidR="00FE787F" w:rsidRPr="00AB2CC6" w:rsidRDefault="00FE787F" w:rsidP="00BF5ADB">
      <w:pPr>
        <w:pStyle w:val="Heading3"/>
        <w:rPr>
          <w:b/>
          <w:bCs/>
        </w:rPr>
      </w:pPr>
      <w:bookmarkStart w:id="69" w:name="_Toc109195995"/>
      <w:r w:rsidRPr="1E8607B9">
        <w:rPr>
          <w:b/>
          <w:bCs/>
        </w:rPr>
        <w:t>Formative Assessment</w:t>
      </w:r>
      <w:bookmarkEnd w:id="69"/>
    </w:p>
    <w:p w14:paraId="7FA29C4C" w14:textId="11A168A9" w:rsidR="00FE787F" w:rsidRPr="0079354F" w:rsidRDefault="00FE787F" w:rsidP="00BF5ADB">
      <w:r w:rsidRPr="0079354F">
        <w:rPr>
          <w:color w:val="000000"/>
        </w:rPr>
        <w:t>Formative assessment methods and tools measure specific elements of learning (e.g., the level of knowledge a student already has about the concept or skill the teacher is planning to teach or the ability to comprehend and analyze different types of texts and readings). Formative assessment is also used to identify individual student weaknesses and strengths so that educators can provide differentiated academic support.</w:t>
      </w:r>
      <w:r w:rsidR="00CE1698" w:rsidRPr="0079354F">
        <w:rPr>
          <w:rStyle w:val="FootnoteReference"/>
          <w:color w:val="000000"/>
        </w:rPr>
        <w:footnoteReference w:id="34"/>
      </w:r>
    </w:p>
    <w:p w14:paraId="1C5309E5" w14:textId="77777777" w:rsidR="00FE787F" w:rsidRPr="0079354F" w:rsidRDefault="00FE787F" w:rsidP="00FE787F">
      <w:pPr>
        <w:pStyle w:val="NormalWeb"/>
        <w:shd w:val="clear" w:color="auto" w:fill="FFFFFF"/>
        <w:spacing w:before="0" w:beforeAutospacing="0" w:after="0" w:afterAutospacing="0"/>
        <w:textAlignment w:val="baseline"/>
        <w:rPr>
          <w:rFonts w:ascii="Times New Roman" w:hAnsi="Times New Roman" w:cs="Times New Roman"/>
          <w:color w:val="000000"/>
          <w:sz w:val="24"/>
          <w:szCs w:val="24"/>
        </w:rPr>
      </w:pPr>
    </w:p>
    <w:p w14:paraId="38AF5A74" w14:textId="393AD34A" w:rsidR="00FE787F" w:rsidRPr="0079354F" w:rsidRDefault="00FE787F" w:rsidP="00FE787F">
      <w:pPr>
        <w:pStyle w:val="NormalWeb"/>
        <w:shd w:val="clear" w:color="auto" w:fill="FFFFFF"/>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color w:val="000000"/>
          <w:sz w:val="24"/>
          <w:szCs w:val="24"/>
        </w:rPr>
        <w:t>ACLS does not require that programs use formative assessment to measure student learning, but high</w:t>
      </w:r>
      <w:r w:rsidR="008B1BBD" w:rsidRPr="0079354F">
        <w:rPr>
          <w:rFonts w:ascii="Times New Roman" w:hAnsi="Times New Roman" w:cs="Times New Roman"/>
          <w:color w:val="000000"/>
          <w:sz w:val="24"/>
          <w:szCs w:val="24"/>
        </w:rPr>
        <w:t xml:space="preserve"> </w:t>
      </w:r>
      <w:r w:rsidRPr="0079354F">
        <w:rPr>
          <w:rFonts w:ascii="Times New Roman" w:hAnsi="Times New Roman" w:cs="Times New Roman"/>
          <w:color w:val="000000"/>
          <w:sz w:val="24"/>
          <w:szCs w:val="24"/>
        </w:rPr>
        <w:t>quality programs use diverse assessment methods and tools to monitor learning and adapt instruction</w:t>
      </w:r>
      <w:r w:rsidR="00A804C4">
        <w:rPr>
          <w:rFonts w:ascii="Times New Roman" w:hAnsi="Times New Roman" w:cs="Times New Roman"/>
          <w:color w:val="000000"/>
          <w:sz w:val="24"/>
          <w:szCs w:val="24"/>
        </w:rPr>
        <w:t xml:space="preserve"> including formative assessment</w:t>
      </w:r>
      <w:r w:rsidRPr="0079354F">
        <w:rPr>
          <w:rFonts w:ascii="Times New Roman" w:hAnsi="Times New Roman" w:cs="Times New Roman"/>
          <w:color w:val="000000"/>
          <w:sz w:val="24"/>
          <w:szCs w:val="24"/>
        </w:rPr>
        <w:t>.</w:t>
      </w:r>
    </w:p>
    <w:p w14:paraId="3A2DD9D3" w14:textId="77777777" w:rsidR="00FE787F" w:rsidRPr="0079354F" w:rsidRDefault="00FE787F" w:rsidP="00FE787F"/>
    <w:p w14:paraId="0C0A4AA6" w14:textId="38E44232" w:rsidR="00FE787F" w:rsidRPr="0079354F" w:rsidRDefault="00FE787F" w:rsidP="00FE787F">
      <w:r w:rsidRPr="0079354F">
        <w:t xml:space="preserve">For more information </w:t>
      </w:r>
      <w:r w:rsidR="00471F60" w:rsidRPr="0079354F">
        <w:t>on</w:t>
      </w:r>
      <w:r w:rsidRPr="0079354F">
        <w:t xml:space="preserve"> formative assessment, see the </w:t>
      </w:r>
      <w:hyperlink r:id="rId131" w:history="1">
        <w:r w:rsidRPr="0079354F">
          <w:rPr>
            <w:rStyle w:val="Hyperlink"/>
          </w:rPr>
          <w:t>resource library</w:t>
        </w:r>
      </w:hyperlink>
      <w:r w:rsidRPr="0079354F">
        <w:t xml:space="preserve"> on the SABES website.</w:t>
      </w:r>
    </w:p>
    <w:p w14:paraId="01DE715D" w14:textId="77777777" w:rsidR="00FE787F" w:rsidRPr="0079354F" w:rsidRDefault="00FE787F" w:rsidP="00FE787F"/>
    <w:p w14:paraId="4DAFB2F5" w14:textId="77777777" w:rsidR="00FE787F" w:rsidRPr="00AB2CC6" w:rsidRDefault="00FE787F" w:rsidP="00A36A19">
      <w:pPr>
        <w:pStyle w:val="Heading3"/>
        <w:rPr>
          <w:b/>
          <w:bCs/>
        </w:rPr>
      </w:pPr>
      <w:bookmarkStart w:id="70" w:name="_Toc109195996"/>
      <w:r w:rsidRPr="1E8607B9">
        <w:rPr>
          <w:b/>
          <w:bCs/>
        </w:rPr>
        <w:t>Summative Assessment</w:t>
      </w:r>
      <w:bookmarkEnd w:id="70"/>
    </w:p>
    <w:p w14:paraId="6871475B" w14:textId="63534EF7" w:rsidR="00FE787F" w:rsidRPr="0079354F" w:rsidRDefault="00FE787F" w:rsidP="00FE787F">
      <w:pPr>
        <w:rPr>
          <w:rStyle w:val="blast"/>
          <w:color w:val="2C2E35"/>
          <w:bdr w:val="none" w:sz="0" w:space="0" w:color="auto" w:frame="1"/>
          <w:shd w:val="clear" w:color="auto" w:fill="FFFFFF"/>
        </w:rPr>
      </w:pPr>
      <w:r w:rsidRPr="0079354F">
        <w:rPr>
          <w:rStyle w:val="blast"/>
          <w:color w:val="2C2E35"/>
          <w:bdr w:val="none" w:sz="0" w:space="0" w:color="auto" w:frame="1"/>
          <w:shd w:val="clear" w:color="auto" w:fill="FFFFFF"/>
        </w:rPr>
        <w:t>Summative</w:t>
      </w:r>
      <w:r w:rsidR="00BF5ADB">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assessments</w:t>
      </w:r>
      <w:r w:rsidR="00BF5ADB">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are used to evaluate student learning, skill acquisition, and academic achievement at the conclusion of a defined instructional period—typically at the end of a project, unit, semester, program, or school year</w:t>
      </w:r>
      <w:r w:rsidR="00CE1698" w:rsidRPr="0079354F">
        <w:rPr>
          <w:rStyle w:val="blast"/>
          <w:color w:val="2C2E35"/>
          <w:bdr w:val="none" w:sz="0" w:space="0" w:color="auto" w:frame="1"/>
          <w:shd w:val="clear" w:color="auto" w:fill="FFFFFF"/>
        </w:rPr>
        <w:t>.</w:t>
      </w:r>
      <w:r w:rsidR="00CE1698" w:rsidRPr="0079354F">
        <w:rPr>
          <w:rStyle w:val="FootnoteReference"/>
          <w:color w:val="2C2E35"/>
          <w:bdr w:val="none" w:sz="0" w:space="0" w:color="auto" w:frame="1"/>
          <w:shd w:val="clear" w:color="auto" w:fill="FFFFFF"/>
        </w:rPr>
        <w:footnoteReference w:id="35"/>
      </w:r>
      <w:r w:rsidR="00166ACA" w:rsidRPr="0079354F">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Examples of summative assessments include</w:t>
      </w:r>
      <w:r w:rsidR="00471F60" w:rsidRPr="0079354F">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 xml:space="preserve">tests, performance tasks, portfolios, final exams, </w:t>
      </w:r>
      <w:r w:rsidR="00471F60" w:rsidRPr="0079354F">
        <w:rPr>
          <w:rStyle w:val="blast"/>
          <w:color w:val="2C2E35"/>
          <w:bdr w:val="none" w:sz="0" w:space="0" w:color="auto" w:frame="1"/>
          <w:shd w:val="clear" w:color="auto" w:fill="FFFFFF"/>
        </w:rPr>
        <w:t xml:space="preserve">and </w:t>
      </w:r>
      <w:r w:rsidRPr="0079354F">
        <w:rPr>
          <w:rStyle w:val="blast"/>
          <w:color w:val="2C2E35"/>
          <w:bdr w:val="none" w:sz="0" w:space="0" w:color="auto" w:frame="1"/>
          <w:shd w:val="clear" w:color="auto" w:fill="FFFFFF"/>
        </w:rPr>
        <w:t xml:space="preserve">standardized </w:t>
      </w:r>
      <w:r w:rsidR="00471F60" w:rsidRPr="0079354F">
        <w:rPr>
          <w:rStyle w:val="blast"/>
          <w:color w:val="2C2E35"/>
          <w:bdr w:val="none" w:sz="0" w:space="0" w:color="auto" w:frame="1"/>
          <w:shd w:val="clear" w:color="auto" w:fill="FFFFFF"/>
        </w:rPr>
        <w:t>assessments</w:t>
      </w:r>
      <w:r w:rsidRPr="0079354F">
        <w:rPr>
          <w:rStyle w:val="blast"/>
          <w:color w:val="2C2E35"/>
          <w:bdr w:val="none" w:sz="0" w:space="0" w:color="auto" w:frame="1"/>
          <w:shd w:val="clear" w:color="auto" w:fill="FFFFFF"/>
        </w:rPr>
        <w:t>.</w:t>
      </w:r>
    </w:p>
    <w:p w14:paraId="5CCB638B" w14:textId="77777777" w:rsidR="00FE787F" w:rsidRPr="0079354F" w:rsidRDefault="00FE787F" w:rsidP="00FE787F">
      <w:pPr>
        <w:rPr>
          <w:b/>
          <w:bCs/>
        </w:rPr>
      </w:pPr>
    </w:p>
    <w:p w14:paraId="01B6C482" w14:textId="0D76803A" w:rsidR="00FE787F" w:rsidRPr="0079354F" w:rsidRDefault="00166ACA" w:rsidP="00FE787F">
      <w:pPr>
        <w:rPr>
          <w:rStyle w:val="blast"/>
        </w:rPr>
      </w:pPr>
      <w:r w:rsidRPr="0079354F">
        <w:t>ACLS requires that programs use Massachusetts-approved s</w:t>
      </w:r>
      <w:r w:rsidR="00FE787F" w:rsidRPr="0079354F">
        <w:t xml:space="preserve">tandardized assessment </w:t>
      </w:r>
      <w:r w:rsidRPr="0079354F">
        <w:t xml:space="preserve">(i.e., </w:t>
      </w:r>
      <w:r w:rsidR="00FE787F" w:rsidRPr="0079354F">
        <w:t>required NRS tests that states receiving federal AE funding must use</w:t>
      </w:r>
      <w:r w:rsidRPr="0079354F">
        <w:t>)</w:t>
      </w:r>
      <w:r w:rsidR="00FE787F" w:rsidRPr="0079354F">
        <w:t xml:space="preserve"> to report educational gain. According to the NRS, the primary purpose of educational gain is to measure improvement in the basic literacy skills of participants in the AE program. It is a condition of funding that AE programs provide summative assessment for their students.</w:t>
      </w:r>
    </w:p>
    <w:p w14:paraId="5B9D701D" w14:textId="77777777" w:rsidR="00FE787F" w:rsidRPr="0079354F" w:rsidRDefault="00FE787F" w:rsidP="00FE787F"/>
    <w:p w14:paraId="617FB037" w14:textId="77787949" w:rsidR="0012650B" w:rsidRPr="00976600" w:rsidRDefault="0012650B" w:rsidP="0012650B">
      <w:pPr>
        <w:textAlignment w:val="baseline"/>
        <w:rPr>
          <w:rFonts w:ascii="Segoe UI" w:hAnsi="Segoe UI" w:cs="Segoe UI"/>
        </w:rPr>
      </w:pPr>
      <w:r w:rsidRPr="00976600">
        <w:t>For more information on</w:t>
      </w:r>
      <w:r w:rsidR="00BF5ADB" w:rsidRPr="00976600">
        <w:t xml:space="preserve"> </w:t>
      </w:r>
      <w:r w:rsidRPr="00976600">
        <w:t>standardized</w:t>
      </w:r>
      <w:r w:rsidR="00BF5ADB" w:rsidRPr="00976600">
        <w:t xml:space="preserve"> </w:t>
      </w:r>
      <w:r w:rsidRPr="00976600">
        <w:t xml:space="preserve">assessment requirements, including assessment of </w:t>
      </w:r>
      <w:r w:rsidR="00C81F82" w:rsidRPr="00976600">
        <w:t>DE</w:t>
      </w:r>
      <w:r w:rsidRPr="00976600">
        <w:t xml:space="preserve"> learners, see the Student Progress chapter, the </w:t>
      </w:r>
      <w:hyperlink r:id="rId132" w:history="1">
        <w:r w:rsidRPr="00976600">
          <w:rPr>
            <w:rStyle w:val="Hyperlink"/>
          </w:rPr>
          <w:t>ACLS Assessment Policies Manual</w:t>
        </w:r>
      </w:hyperlink>
      <w:r w:rsidRPr="00976600">
        <w:t>, and the</w:t>
      </w:r>
      <w:r w:rsidR="00976600" w:rsidRPr="00976600">
        <w:t xml:space="preserve"> </w:t>
      </w:r>
      <w:hyperlink r:id="rId133" w:tgtFrame="_blank" w:history="1">
        <w:r w:rsidRPr="00976600">
          <w:rPr>
            <w:color w:val="0000FF"/>
            <w:u w:val="single"/>
          </w:rPr>
          <w:t>ACLS Test Help blog</w:t>
        </w:r>
      </w:hyperlink>
      <w:r w:rsidRPr="00976600">
        <w:t>.</w:t>
      </w:r>
    </w:p>
    <w:p w14:paraId="47850BCB" w14:textId="77777777" w:rsidR="00412F79" w:rsidRPr="0079354F" w:rsidRDefault="00412F79" w:rsidP="0047675C"/>
    <w:p w14:paraId="56224170" w14:textId="77777777" w:rsidR="00412F79" w:rsidRPr="0079354F" w:rsidRDefault="00412F79" w:rsidP="0047675C">
      <w:pPr>
        <w:sectPr w:rsidR="00412F79" w:rsidRPr="0079354F" w:rsidSect="00BD4638">
          <w:pgSz w:w="12240" w:h="15840"/>
          <w:pgMar w:top="1008" w:right="1440" w:bottom="576" w:left="1440" w:header="720" w:footer="720" w:gutter="0"/>
          <w:cols w:space="720"/>
          <w:docGrid w:linePitch="360"/>
        </w:sectPr>
      </w:pPr>
    </w:p>
    <w:p w14:paraId="7B354598" w14:textId="177D10AC" w:rsidR="00D0119C" w:rsidRPr="0079354F" w:rsidRDefault="008244B3" w:rsidP="1E8607B9">
      <w:pPr>
        <w:pStyle w:val="Heading2"/>
        <w:spacing w:before="0"/>
        <w:rPr>
          <w:b/>
          <w:color w:val="E36C0A" w:themeColor="accent6" w:themeShade="BF"/>
        </w:rPr>
      </w:pPr>
      <w:bookmarkStart w:id="71" w:name="_Toc109195997"/>
      <w:bookmarkStart w:id="72" w:name="_Hlk68771537"/>
      <w:r w:rsidRPr="1E8607B9">
        <w:rPr>
          <w:rStyle w:val="Hyperlink"/>
          <w:rFonts w:eastAsia="Batang"/>
          <w:b/>
          <w:color w:val="E36C0A" w:themeColor="accent6" w:themeShade="BF"/>
          <w:u w:val="none"/>
        </w:rPr>
        <w:t xml:space="preserve">Chapter </w:t>
      </w:r>
      <w:r w:rsidR="00070C06" w:rsidRPr="1E8607B9">
        <w:rPr>
          <w:rStyle w:val="Hyperlink"/>
          <w:rFonts w:eastAsia="Batang"/>
          <w:b/>
          <w:color w:val="E36C0A" w:themeColor="accent6" w:themeShade="BF"/>
          <w:u w:val="none"/>
        </w:rPr>
        <w:t>6</w:t>
      </w:r>
      <w:r w:rsidRPr="1E8607B9">
        <w:rPr>
          <w:rStyle w:val="Hyperlink"/>
          <w:rFonts w:eastAsia="Batang"/>
          <w:b/>
          <w:color w:val="E36C0A" w:themeColor="accent6" w:themeShade="BF"/>
          <w:u w:val="none"/>
        </w:rPr>
        <w:t xml:space="preserve">:  </w:t>
      </w:r>
      <w:hyperlink w:anchor="_Toc468698124">
        <w:r w:rsidR="009E185E" w:rsidRPr="1E8607B9">
          <w:rPr>
            <w:rStyle w:val="Hyperlink"/>
            <w:rFonts w:eastAsia="Batang"/>
            <w:b/>
            <w:color w:val="E36C0A" w:themeColor="accent6" w:themeShade="BF"/>
            <w:u w:val="none"/>
          </w:rPr>
          <w:t>Indicator</w:t>
        </w:r>
        <w:r w:rsidR="00D0119C" w:rsidRPr="1E8607B9">
          <w:rPr>
            <w:rStyle w:val="Hyperlink"/>
            <w:rFonts w:eastAsia="Batang"/>
            <w:b/>
            <w:color w:val="E36C0A" w:themeColor="accent6" w:themeShade="BF"/>
            <w:u w:val="none"/>
          </w:rPr>
          <w:t xml:space="preserve"> </w:t>
        </w:r>
        <w:r w:rsidR="00070C06" w:rsidRPr="1E8607B9">
          <w:rPr>
            <w:rStyle w:val="Hyperlink"/>
            <w:rFonts w:eastAsia="Batang"/>
            <w:b/>
            <w:color w:val="E36C0A" w:themeColor="accent6" w:themeShade="BF"/>
            <w:u w:val="none"/>
          </w:rPr>
          <w:t>6</w:t>
        </w:r>
        <w:r w:rsidR="00D0119C" w:rsidRPr="1E8607B9">
          <w:rPr>
            <w:rStyle w:val="Hyperlink"/>
            <w:rFonts w:eastAsia="Batang"/>
            <w:b/>
            <w:color w:val="E36C0A" w:themeColor="accent6" w:themeShade="BF"/>
            <w:u w:val="none"/>
          </w:rPr>
          <w:t>:  Student Progress</w:t>
        </w:r>
        <w:bookmarkEnd w:id="71"/>
      </w:hyperlink>
    </w:p>
    <w:p w14:paraId="45BBC53D" w14:textId="601B1004" w:rsidR="00854A18" w:rsidRPr="0079354F" w:rsidRDefault="00973EF9" w:rsidP="22CF907E">
      <w:r w:rsidRPr="0079354F">
        <w:t>To</w:t>
      </w:r>
      <w:r w:rsidR="00854A18" w:rsidRPr="0079354F">
        <w:t xml:space="preserve"> ensure that </w:t>
      </w:r>
      <w:r w:rsidR="005103F2" w:rsidRPr="0079354F">
        <w:t xml:space="preserve">adult </w:t>
      </w:r>
      <w:r w:rsidR="008B06F4" w:rsidRPr="0079354F">
        <w:t xml:space="preserve">education </w:t>
      </w:r>
      <w:r w:rsidR="005103F2" w:rsidRPr="0079354F">
        <w:t>students achieve and m</w:t>
      </w:r>
      <w:r w:rsidR="004C2EF2" w:rsidRPr="0079354F">
        <w:t xml:space="preserve">aintain family-sustaining wages, </w:t>
      </w:r>
      <w:r w:rsidR="005103F2" w:rsidRPr="0079354F">
        <w:t>it is paramount that programs help stude</w:t>
      </w:r>
      <w:r w:rsidR="00854A18" w:rsidRPr="0079354F">
        <w:t>nts achieve outcomes to that end</w:t>
      </w:r>
      <w:r w:rsidR="005103F2" w:rsidRPr="0079354F">
        <w:t xml:space="preserve">. </w:t>
      </w:r>
      <w:r w:rsidR="00854A18" w:rsidRPr="0079354F">
        <w:t>P</w:t>
      </w:r>
      <w:r w:rsidR="002919C6" w:rsidRPr="0079354F">
        <w:t xml:space="preserve">rograms </w:t>
      </w:r>
      <w:r w:rsidR="00854A18" w:rsidRPr="0079354F">
        <w:t xml:space="preserve">must </w:t>
      </w:r>
      <w:r w:rsidR="005103F2" w:rsidRPr="0079354F">
        <w:t>provide high</w:t>
      </w:r>
      <w:r w:rsidR="008B1BBD" w:rsidRPr="0079354F">
        <w:t xml:space="preserve"> </w:t>
      </w:r>
      <w:r w:rsidR="005103F2" w:rsidRPr="0079354F">
        <w:t xml:space="preserve">quality instruction </w:t>
      </w:r>
      <w:r w:rsidR="00537ACC" w:rsidRPr="0079354F">
        <w:t xml:space="preserve">that </w:t>
      </w:r>
      <w:r w:rsidR="00854A18" w:rsidRPr="0079354F">
        <w:t xml:space="preserve">helps </w:t>
      </w:r>
      <w:r w:rsidR="00537ACC" w:rsidRPr="0079354F">
        <w:t xml:space="preserve">students </w:t>
      </w:r>
      <w:r w:rsidR="00854A18" w:rsidRPr="0079354F">
        <w:t xml:space="preserve">complete </w:t>
      </w:r>
      <w:r w:rsidR="00537ACC" w:rsidRPr="0079354F">
        <w:t>educational functioning levels (E</w:t>
      </w:r>
      <w:r w:rsidR="005103F2" w:rsidRPr="0079354F">
        <w:t>FL</w:t>
      </w:r>
      <w:r w:rsidR="00537ACC" w:rsidRPr="0079354F">
        <w:t>)</w:t>
      </w:r>
      <w:r w:rsidR="00137685" w:rsidRPr="0079354F">
        <w:t xml:space="preserve">, </w:t>
      </w:r>
      <w:r w:rsidR="00854A18" w:rsidRPr="0079354F">
        <w:t>attain</w:t>
      </w:r>
      <w:r w:rsidR="0003288B" w:rsidRPr="0079354F">
        <w:t xml:space="preserve"> high school equivalency (H</w:t>
      </w:r>
      <w:r w:rsidR="005103F2" w:rsidRPr="0079354F">
        <w:t>SE</w:t>
      </w:r>
      <w:r w:rsidR="0003288B" w:rsidRPr="0079354F">
        <w:t>)</w:t>
      </w:r>
      <w:r w:rsidR="005103F2" w:rsidRPr="0079354F">
        <w:t xml:space="preserve"> credential</w:t>
      </w:r>
      <w:r w:rsidR="00854A18" w:rsidRPr="0079354F">
        <w:t>s</w:t>
      </w:r>
      <w:r w:rsidR="005103F2" w:rsidRPr="0079354F">
        <w:t>, enroll in postsecondary edu</w:t>
      </w:r>
      <w:r w:rsidR="004C2EF2" w:rsidRPr="0079354F">
        <w:t>cation and</w:t>
      </w:r>
      <w:r w:rsidR="00854A18" w:rsidRPr="0079354F">
        <w:t>/or</w:t>
      </w:r>
      <w:r w:rsidR="004C2EF2" w:rsidRPr="0079354F">
        <w:t xml:space="preserve"> training</w:t>
      </w:r>
      <w:r w:rsidR="00DE6745" w:rsidRPr="0079354F">
        <w:t xml:space="preserve"> (PSE/T)</w:t>
      </w:r>
      <w:r w:rsidR="004C2EF2" w:rsidRPr="0079354F">
        <w:t xml:space="preserve">, and have </w:t>
      </w:r>
      <w:r w:rsidR="005103F2" w:rsidRPr="0079354F">
        <w:t>viable career</w:t>
      </w:r>
      <w:r w:rsidR="004C2EF2" w:rsidRPr="0079354F">
        <w:t>s</w:t>
      </w:r>
      <w:r w:rsidR="00854A18" w:rsidRPr="0079354F">
        <w:t xml:space="preserve">. </w:t>
      </w:r>
      <w:r w:rsidR="00067154" w:rsidRPr="0079354F">
        <w:t xml:space="preserve">The </w:t>
      </w:r>
      <w:r w:rsidR="005103F2" w:rsidRPr="0079354F">
        <w:t xml:space="preserve">ACLS vision for adult education focuses on outcomes </w:t>
      </w:r>
      <w:r w:rsidR="00854A18" w:rsidRPr="0079354F">
        <w:t>in order for</w:t>
      </w:r>
      <w:r w:rsidR="005103F2" w:rsidRPr="0079354F">
        <w:t xml:space="preserve"> </w:t>
      </w:r>
      <w:r w:rsidR="00FE6C61" w:rsidRPr="0079354F">
        <w:t>programs</w:t>
      </w:r>
      <w:r w:rsidR="005103F2" w:rsidRPr="0079354F">
        <w:t xml:space="preserve"> </w:t>
      </w:r>
      <w:r w:rsidR="00854A18" w:rsidRPr="0079354F">
        <w:t xml:space="preserve">to continue to support students on their pathways </w:t>
      </w:r>
      <w:r w:rsidR="005103F2" w:rsidRPr="0079354F">
        <w:t>to</w:t>
      </w:r>
      <w:r w:rsidR="00FE6C61" w:rsidRPr="0079354F">
        <w:t xml:space="preserve"> </w:t>
      </w:r>
      <w:r w:rsidR="005103F2" w:rsidRPr="0079354F">
        <w:t>success.</w:t>
      </w:r>
      <w:r w:rsidR="00923785" w:rsidRPr="0079354F">
        <w:t xml:space="preserve"> </w:t>
      </w:r>
      <w:r w:rsidR="00854A18" w:rsidRPr="0079354F">
        <w:t>Moreover, WIOA ensures access to education and workforce services for individuals with barriers to employment through increased accountabi</w:t>
      </w:r>
      <w:r w:rsidR="00DE6745" w:rsidRPr="0079354F">
        <w:t xml:space="preserve">lity among states that receive </w:t>
      </w:r>
      <w:r w:rsidR="006160A5" w:rsidRPr="0079354F">
        <w:t>federal</w:t>
      </w:r>
      <w:r w:rsidR="00854A18" w:rsidRPr="0079354F">
        <w:t xml:space="preserve"> </w:t>
      </w:r>
      <w:r w:rsidR="00A46360" w:rsidRPr="0079354F">
        <w:t>AE</w:t>
      </w:r>
      <w:r w:rsidR="00854A18" w:rsidRPr="0079354F">
        <w:t xml:space="preserve"> funding.</w:t>
      </w:r>
    </w:p>
    <w:p w14:paraId="4F8A9A17" w14:textId="77777777" w:rsidR="001E614E" w:rsidRPr="0079354F" w:rsidRDefault="001E614E" w:rsidP="00A36A19">
      <w:pPr>
        <w:pStyle w:val="Heading3"/>
      </w:pPr>
    </w:p>
    <w:p w14:paraId="13463189" w14:textId="792C0969" w:rsidR="00D0119C" w:rsidRPr="00AB2CC6" w:rsidRDefault="00BF5ADB" w:rsidP="00A36A19">
      <w:pPr>
        <w:pStyle w:val="Heading3"/>
        <w:rPr>
          <w:b/>
          <w:bCs/>
        </w:rPr>
      </w:pPr>
      <w:bookmarkStart w:id="73" w:name="_Toc109195998"/>
      <w:r w:rsidRPr="1E8607B9">
        <w:rPr>
          <w:b/>
          <w:bCs/>
        </w:rPr>
        <w:t>Standardized</w:t>
      </w:r>
      <w:r w:rsidR="00D0119C" w:rsidRPr="1E8607B9">
        <w:rPr>
          <w:b/>
          <w:bCs/>
        </w:rPr>
        <w:t xml:space="preserve"> Assessment</w:t>
      </w:r>
      <w:bookmarkEnd w:id="73"/>
    </w:p>
    <w:p w14:paraId="06E70BB2" w14:textId="707723D0" w:rsidR="000A03A1" w:rsidRPr="0079354F" w:rsidRDefault="009C2A2B" w:rsidP="22CF907E">
      <w:r w:rsidRPr="0079354F">
        <w:t>S</w:t>
      </w:r>
      <w:r w:rsidR="0037346F" w:rsidRPr="0079354F">
        <w:t xml:space="preserve">tates that receive </w:t>
      </w:r>
      <w:r w:rsidR="006160A5" w:rsidRPr="0079354F">
        <w:t>federal</w:t>
      </w:r>
      <w:r w:rsidR="00CC6DC8" w:rsidRPr="0079354F">
        <w:t xml:space="preserve"> money to support adult education programs are </w:t>
      </w:r>
      <w:r w:rsidR="00581331" w:rsidRPr="0079354F">
        <w:t xml:space="preserve">required </w:t>
      </w:r>
      <w:r w:rsidR="00CC6DC8" w:rsidRPr="0079354F">
        <w:t xml:space="preserve">to report on the educational gain made by students. This data is submitted annually via the </w:t>
      </w:r>
      <w:hyperlink r:id="rId134" w:history="1">
        <w:r w:rsidR="00914D9C" w:rsidRPr="0079354F">
          <w:rPr>
            <w:rStyle w:val="Hyperlink"/>
            <w:rFonts w:eastAsia="Batang"/>
          </w:rPr>
          <w:t>National Reporting System</w:t>
        </w:r>
      </w:hyperlink>
      <w:r w:rsidR="00914D9C" w:rsidRPr="0079354F">
        <w:rPr>
          <w:rStyle w:val="Hyperlink"/>
          <w:rFonts w:eastAsia="Batang"/>
          <w:u w:val="none"/>
        </w:rPr>
        <w:t xml:space="preserve"> </w:t>
      </w:r>
      <w:r w:rsidR="00914D9C" w:rsidRPr="0079354F">
        <w:rPr>
          <w:rStyle w:val="Hyperlink"/>
          <w:rFonts w:eastAsia="Batang"/>
          <w:color w:val="auto"/>
          <w:u w:val="none"/>
        </w:rPr>
        <w:t>(</w:t>
      </w:r>
      <w:hyperlink r:id="rId135">
        <w:r w:rsidR="001915E6" w:rsidRPr="0079354F">
          <w:rPr>
            <w:rStyle w:val="Hyperlink"/>
            <w:rFonts w:eastAsia="Batang"/>
          </w:rPr>
          <w:t>NRS</w:t>
        </w:r>
      </w:hyperlink>
      <w:r w:rsidR="00914D9C" w:rsidRPr="0079354F">
        <w:rPr>
          <w:rStyle w:val="Hyperlink"/>
          <w:rFonts w:eastAsia="Batang"/>
          <w:color w:val="auto"/>
          <w:u w:val="none"/>
        </w:rPr>
        <w:t>)</w:t>
      </w:r>
      <w:r w:rsidR="00914D9C" w:rsidRPr="0079354F">
        <w:t>,</w:t>
      </w:r>
      <w:r w:rsidR="00CC6DC8" w:rsidRPr="0079354F">
        <w:t xml:space="preserve"> </w:t>
      </w:r>
      <w:r w:rsidR="00D0119C" w:rsidRPr="0079354F">
        <w:t xml:space="preserve">developed by the </w:t>
      </w:r>
      <w:hyperlink r:id="rId136">
        <w:r w:rsidR="00D0119C" w:rsidRPr="0079354F">
          <w:rPr>
            <w:rStyle w:val="Hyperlink"/>
            <w:rFonts w:eastAsia="Batang"/>
          </w:rPr>
          <w:t>Office for Career, Technical, and Adult Education</w:t>
        </w:r>
      </w:hyperlink>
      <w:r w:rsidR="00D0119C" w:rsidRPr="0079354F">
        <w:t xml:space="preserve"> (</w:t>
      </w:r>
      <w:hyperlink r:id="rId137" w:history="1">
        <w:r w:rsidR="00D0119C" w:rsidRPr="0079354F">
          <w:rPr>
            <w:rStyle w:val="Hyperlink"/>
          </w:rPr>
          <w:t>OCTAE</w:t>
        </w:r>
      </w:hyperlink>
      <w:r w:rsidR="00D0119C" w:rsidRPr="0079354F">
        <w:t>) of the U.S. Department of Education</w:t>
      </w:r>
      <w:r w:rsidR="002F12E8" w:rsidRPr="0079354F">
        <w:t xml:space="preserve"> (</w:t>
      </w:r>
      <w:r w:rsidR="00914D9C" w:rsidRPr="0079354F">
        <w:t xml:space="preserve">US </w:t>
      </w:r>
      <w:r w:rsidR="002F12E8" w:rsidRPr="0079354F">
        <w:t>ED)</w:t>
      </w:r>
      <w:r w:rsidR="00D0119C" w:rsidRPr="0079354F">
        <w:t xml:space="preserve">. According to the </w:t>
      </w:r>
      <w:hyperlink r:id="rId138">
        <w:r w:rsidR="001915E6" w:rsidRPr="0079354F">
          <w:rPr>
            <w:rStyle w:val="Hyperlink"/>
            <w:rFonts w:eastAsia="Batang"/>
          </w:rPr>
          <w:t>NRS</w:t>
        </w:r>
      </w:hyperlink>
      <w:r w:rsidR="00D0119C" w:rsidRPr="0079354F">
        <w:t>, the primary purpose of educational gain is to measure improvement in the basic literacy skills of participants in the adult education program. This goal is the reason that</w:t>
      </w:r>
      <w:r w:rsidR="0017604A" w:rsidRPr="0079354F">
        <w:t xml:space="preserve"> all</w:t>
      </w:r>
      <w:r w:rsidR="00D0119C" w:rsidRPr="0079354F">
        <w:t xml:space="preserve"> </w:t>
      </w:r>
      <w:r w:rsidR="00741DFE" w:rsidRPr="0079354F">
        <w:t>participants</w:t>
      </w:r>
      <w:r w:rsidR="00D0119C" w:rsidRPr="0079354F">
        <w:t xml:space="preserve"> </w:t>
      </w:r>
      <w:r w:rsidR="00BC0488" w:rsidRPr="0079354F">
        <w:t xml:space="preserve">in </w:t>
      </w:r>
      <w:hyperlink r:id="rId139">
        <w:r w:rsidR="00BC0488" w:rsidRPr="0079354F">
          <w:rPr>
            <w:rStyle w:val="Hyperlink"/>
          </w:rPr>
          <w:t>LACES</w:t>
        </w:r>
      </w:hyperlink>
      <w:r w:rsidR="00BC0488" w:rsidRPr="0079354F">
        <w:rPr>
          <w:rStyle w:val="Hyperlink"/>
          <w:u w:val="none"/>
        </w:rPr>
        <w:t xml:space="preserve"> </w:t>
      </w:r>
      <w:r w:rsidR="00D0119C" w:rsidRPr="0079354F">
        <w:t xml:space="preserve">are </w:t>
      </w:r>
      <w:r w:rsidR="0061492D" w:rsidRPr="0079354F">
        <w:t>included</w:t>
      </w:r>
      <w:r w:rsidR="00D0119C" w:rsidRPr="0079354F">
        <w:t xml:space="preserve"> in the</w:t>
      </w:r>
      <w:r w:rsidR="000A03A1" w:rsidRPr="0079354F">
        <w:t xml:space="preserve"> </w:t>
      </w:r>
      <w:hyperlink r:id="rId140">
        <w:r w:rsidR="00914D9C" w:rsidRPr="0079354F">
          <w:rPr>
            <w:rStyle w:val="Hyperlink"/>
            <w:rFonts w:eastAsia="Batang"/>
          </w:rPr>
          <w:t>NRS</w:t>
        </w:r>
      </w:hyperlink>
      <w:r w:rsidR="00914D9C" w:rsidRPr="0079354F">
        <w:rPr>
          <w:rStyle w:val="Hyperlink"/>
          <w:rFonts w:eastAsia="Batang"/>
          <w:u w:val="none"/>
        </w:rPr>
        <w:t xml:space="preserve"> </w:t>
      </w:r>
      <w:r w:rsidR="000A03A1" w:rsidRPr="0079354F">
        <w:t>educational gain measure.</w:t>
      </w:r>
    </w:p>
    <w:p w14:paraId="5494FE60" w14:textId="77777777" w:rsidR="00950C08" w:rsidRPr="0079354F" w:rsidRDefault="00950C08" w:rsidP="0047675C"/>
    <w:p w14:paraId="68B8649B" w14:textId="774687E3" w:rsidR="007D2E3D" w:rsidRPr="0079354F" w:rsidRDefault="00D0119C" w:rsidP="00087CC6">
      <w:r w:rsidRPr="0079354F">
        <w:t xml:space="preserve">The </w:t>
      </w:r>
      <w:hyperlink r:id="rId141">
        <w:r w:rsidR="00914D9C" w:rsidRPr="0079354F">
          <w:rPr>
            <w:rStyle w:val="Hyperlink"/>
            <w:rFonts w:eastAsia="Batang"/>
          </w:rPr>
          <w:t>NRS</w:t>
        </w:r>
      </w:hyperlink>
      <w:r w:rsidR="00914D9C" w:rsidRPr="0079354F">
        <w:rPr>
          <w:rStyle w:val="Hyperlink"/>
          <w:rFonts w:eastAsia="Batang"/>
          <w:u w:val="none"/>
        </w:rPr>
        <w:t xml:space="preserve"> </w:t>
      </w:r>
      <w:r w:rsidRPr="0079354F">
        <w:t>approach to measuring educational gain is to define a set of educational functioning levels (EFL) in which students are initially placed when they enter the program based on their abilities to perform literacy-related tasks in content areas. After a set period</w:t>
      </w:r>
      <w:r w:rsidR="0022634D" w:rsidRPr="0079354F">
        <w:t xml:space="preserve"> of time</w:t>
      </w:r>
      <w:r w:rsidRPr="0079354F">
        <w:t xml:space="preserve"> or number of instructional hours set by the </w:t>
      </w:r>
      <w:r w:rsidR="000447DB" w:rsidRPr="0079354F">
        <w:t>s</w:t>
      </w:r>
      <w:r w:rsidRPr="0079354F">
        <w:t xml:space="preserve">tate, students are again assessed to determine </w:t>
      </w:r>
      <w:r w:rsidR="00D55D68" w:rsidRPr="0079354F">
        <w:t>their skill levels. If students’</w:t>
      </w:r>
      <w:r w:rsidRPr="0079354F">
        <w:t xml:space="preserve"> skills have improved sufficiently to be placed </w:t>
      </w:r>
      <w:r w:rsidR="004C2C90" w:rsidRPr="0079354F">
        <w:t>in one or more higher levels, a</w:t>
      </w:r>
      <w:r w:rsidR="00673675" w:rsidRPr="0079354F">
        <w:t xml:space="preserve"> completion</w:t>
      </w:r>
      <w:r w:rsidR="00570F2C" w:rsidRPr="0079354F">
        <w:rPr>
          <w:rStyle w:val="FootnoteReference"/>
        </w:rPr>
        <w:footnoteReference w:id="36"/>
      </w:r>
      <w:r w:rsidRPr="0079354F">
        <w:t xml:space="preserve"> is recorded. This process occurs every fiscal ye</w:t>
      </w:r>
      <w:r w:rsidR="007D2E3D" w:rsidRPr="0079354F">
        <w:t>ar, between July 1 and June 30.</w:t>
      </w:r>
    </w:p>
    <w:p w14:paraId="04F89050" w14:textId="77777777" w:rsidR="00D97204" w:rsidRPr="0079354F" w:rsidRDefault="00D97204" w:rsidP="00087CC6"/>
    <w:p w14:paraId="4EC50628" w14:textId="0CEC68FB" w:rsidR="00D0119C" w:rsidRPr="0079354F" w:rsidRDefault="00D0119C" w:rsidP="00087CC6">
      <w:r>
        <w:t xml:space="preserve">For more information on the </w:t>
      </w:r>
      <w:hyperlink r:id="rId142">
        <w:r w:rsidR="00914D9C" w:rsidRPr="23CFD7A5">
          <w:rPr>
            <w:rStyle w:val="Hyperlink"/>
            <w:rFonts w:eastAsia="Batang"/>
          </w:rPr>
          <w:t>NRS</w:t>
        </w:r>
      </w:hyperlink>
      <w:r>
        <w:t xml:space="preserve"> and EFL test benchmarks, see</w:t>
      </w:r>
      <w:r w:rsidR="001915E6">
        <w:t xml:space="preserve"> </w:t>
      </w:r>
      <w:hyperlink r:id="rId143">
        <w:r w:rsidR="001915E6" w:rsidRPr="23CFD7A5">
          <w:rPr>
            <w:rStyle w:val="Hyperlink"/>
          </w:rPr>
          <w:t>https://nrsweb.org/</w:t>
        </w:r>
      </w:hyperlink>
      <w:r w:rsidR="003833A8">
        <w:t xml:space="preserve"> and </w:t>
      </w:r>
      <w:hyperlink r:id="rId144">
        <w:r w:rsidR="23CFD7A5" w:rsidRPr="23CFD7A5">
          <w:rPr>
            <w:rStyle w:val="Hyperlink"/>
          </w:rPr>
          <w:t>https://nrsweb.org/resources/test-benchmarks-nrs-educational-functioning-levels-efl-updated-august-2019</w:t>
        </w:r>
      </w:hyperlink>
      <w:r w:rsidR="003833A8">
        <w:t>.</w:t>
      </w:r>
    </w:p>
    <w:p w14:paraId="778A161A" w14:textId="77777777" w:rsidR="00166BCA" w:rsidRPr="0079354F" w:rsidRDefault="00166BCA" w:rsidP="0047675C">
      <w:pPr>
        <w:pStyle w:val="Heading4"/>
        <w:spacing w:before="0"/>
        <w:rPr>
          <w:color w:val="auto"/>
        </w:rPr>
      </w:pPr>
    </w:p>
    <w:p w14:paraId="077EE107" w14:textId="77777777" w:rsidR="00166BCA" w:rsidRPr="00AB2CC6" w:rsidRDefault="00E04277" w:rsidP="00A36A19">
      <w:pPr>
        <w:pStyle w:val="Heading3"/>
        <w:rPr>
          <w:b/>
          <w:bCs/>
        </w:rPr>
      </w:pPr>
      <w:bookmarkStart w:id="74" w:name="_Toc109195999"/>
      <w:r w:rsidRPr="1E8607B9">
        <w:rPr>
          <w:b/>
          <w:bCs/>
        </w:rPr>
        <w:t>Required</w:t>
      </w:r>
      <w:r w:rsidR="00166BCA" w:rsidRPr="1E8607B9">
        <w:rPr>
          <w:b/>
          <w:bCs/>
        </w:rPr>
        <w:t xml:space="preserve"> Assessments</w:t>
      </w:r>
      <w:r w:rsidR="003D1BFD" w:rsidRPr="1E8607B9">
        <w:rPr>
          <w:b/>
          <w:bCs/>
        </w:rPr>
        <w:t xml:space="preserve"> (State requirement)</w:t>
      </w:r>
      <w:bookmarkEnd w:id="74"/>
    </w:p>
    <w:p w14:paraId="49C67A4E" w14:textId="3EFF047F" w:rsidR="00291CA4" w:rsidRPr="0079354F" w:rsidRDefault="00291CA4" w:rsidP="00291CA4">
      <w:pPr>
        <w:pStyle w:val="Default"/>
      </w:pPr>
      <w:r w:rsidRPr="0079354F">
        <w:t xml:space="preserve">ACLS requires that programs comply with statewide assessment policies including policy changes as they are issued. Programs not in compliance with required policies will be required to develop a corrective action plan </w:t>
      </w:r>
      <w:r w:rsidR="00741DFE" w:rsidRPr="0079354F">
        <w:t xml:space="preserve">and </w:t>
      </w:r>
      <w:r w:rsidRPr="0079354F">
        <w:t>resolve areas of non-compliance.</w:t>
      </w:r>
    </w:p>
    <w:p w14:paraId="6A5198F9" w14:textId="77777777" w:rsidR="00890F70" w:rsidRPr="0079354F" w:rsidRDefault="00890F70" w:rsidP="00E255A7">
      <w:pPr>
        <w:pStyle w:val="Default"/>
      </w:pPr>
    </w:p>
    <w:p w14:paraId="04958619" w14:textId="10681EA3" w:rsidR="00C06134" w:rsidRPr="0079354F" w:rsidRDefault="00CC6B59" w:rsidP="22CF907E">
      <w:pPr>
        <w:pStyle w:val="Default"/>
      </w:pPr>
      <w:r w:rsidRPr="0079354F">
        <w:t>L</w:t>
      </w:r>
      <w:r w:rsidR="00291CA4" w:rsidRPr="0079354F">
        <w:t xml:space="preserve">ack of knowledge of current </w:t>
      </w:r>
      <w:r w:rsidRPr="0079354F">
        <w:t xml:space="preserve">assessment </w:t>
      </w:r>
      <w:r w:rsidR="00291CA4" w:rsidRPr="0079354F">
        <w:t>policies may result in missed opportunities to capture student outcomes. For example,</w:t>
      </w:r>
      <w:r w:rsidR="00A86985" w:rsidRPr="0079354F">
        <w:t xml:space="preserve"> programs should be aware that, while 65 hours (40 hours for students in correctional institutions) are required between pre- and post-tests, programs are allowed to post-test students at fewer than 65 hours as along as this decision is justified and documented.</w:t>
      </w:r>
    </w:p>
    <w:p w14:paraId="69C05E09" w14:textId="33F55CD8" w:rsidR="00D97204" w:rsidRPr="0079354F" w:rsidRDefault="00D97204" w:rsidP="0047675C"/>
    <w:p w14:paraId="71BDDDFF" w14:textId="11854189" w:rsidR="00607928" w:rsidRPr="0079354F" w:rsidRDefault="00741DFE" w:rsidP="00607928">
      <w:r w:rsidRPr="0079354F">
        <w:t xml:space="preserve">For more information on assessment policies, see </w:t>
      </w:r>
      <w:hyperlink r:id="rId145">
        <w:r w:rsidRPr="00A804C4">
          <w:rPr>
            <w:color w:val="0000FF"/>
            <w:u w:val="single"/>
          </w:rPr>
          <w:t>http://www.doe.mass.edu/acls/assessment/</w:t>
        </w:r>
      </w:hyperlink>
      <w:r w:rsidRPr="0079354F">
        <w:t xml:space="preserve">. </w:t>
      </w:r>
      <w:r w:rsidR="00607928" w:rsidRPr="0079354F">
        <w:t xml:space="preserve">For more information on standardized assessment, see the Student Progress chapter and the </w:t>
      </w:r>
      <w:hyperlink r:id="rId146" w:history="1">
        <w:r w:rsidR="00607928" w:rsidRPr="0079354F">
          <w:rPr>
            <w:rStyle w:val="Hyperlink"/>
          </w:rPr>
          <w:t>ACLS Test Help blog</w:t>
        </w:r>
      </w:hyperlink>
      <w:r w:rsidR="00607928" w:rsidRPr="0079354F">
        <w:t>.</w:t>
      </w:r>
    </w:p>
    <w:p w14:paraId="1BFA77AD" w14:textId="77777777" w:rsidR="00607928" w:rsidRPr="0079354F" w:rsidRDefault="00607928" w:rsidP="00607928"/>
    <w:p w14:paraId="77DB77F5" w14:textId="710FABAE" w:rsidR="00854A18" w:rsidRPr="00AB2CC6" w:rsidRDefault="00854A18" w:rsidP="00A36A19">
      <w:pPr>
        <w:pStyle w:val="Heading3"/>
        <w:rPr>
          <w:b/>
          <w:bCs/>
        </w:rPr>
      </w:pPr>
      <w:bookmarkStart w:id="75" w:name="_Toc109196000"/>
      <w:r w:rsidRPr="1E8607B9">
        <w:rPr>
          <w:b/>
          <w:bCs/>
        </w:rPr>
        <w:t>Measurable Skills Gain (MSG)</w:t>
      </w:r>
      <w:r w:rsidR="00206B73" w:rsidRPr="1E8607B9">
        <w:rPr>
          <w:b/>
          <w:bCs/>
        </w:rPr>
        <w:t xml:space="preserve"> and Performance Accountability</w:t>
      </w:r>
      <w:r w:rsidR="001E52DF" w:rsidRPr="1E8607B9">
        <w:rPr>
          <w:b/>
          <w:bCs/>
        </w:rPr>
        <w:t xml:space="preserve"> (State requirement)</w:t>
      </w:r>
      <w:bookmarkEnd w:id="75"/>
    </w:p>
    <w:p w14:paraId="757C9B61" w14:textId="3036855C" w:rsidR="00EA0E64" w:rsidRPr="0079354F" w:rsidRDefault="469A7B56" w:rsidP="7606ED26">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ACLS documents performance using a (performance) standard called Measurable Skills Gain (MSG). MSG includes three outcomes which must be achieved during the fiscal year</w:t>
      </w:r>
      <w:r w:rsidR="00741DFE" w:rsidRPr="0079354F">
        <w:rPr>
          <w:rFonts w:ascii="Times New Roman" w:hAnsi="Times New Roman" w:cs="Times New Roman"/>
          <w:sz w:val="24"/>
          <w:szCs w:val="24"/>
        </w:rPr>
        <w:t xml:space="preserve"> to receive credit</w:t>
      </w:r>
      <w:r w:rsidRPr="0079354F">
        <w:rPr>
          <w:rFonts w:ascii="Times New Roman" w:hAnsi="Times New Roman" w:cs="Times New Roman"/>
          <w:sz w:val="24"/>
          <w:szCs w:val="24"/>
        </w:rPr>
        <w:t xml:space="preserve">: Educational Functioning Level (EFL) completion, </w:t>
      </w:r>
      <w:hyperlink r:id="rId147">
        <w:r w:rsidRPr="0079354F">
          <w:rPr>
            <w:rFonts w:ascii="Times New Roman" w:hAnsi="Times New Roman" w:cs="Times New Roman"/>
            <w:sz w:val="24"/>
            <w:szCs w:val="24"/>
          </w:rPr>
          <w:t>High School Equivalency (HSE)</w:t>
        </w:r>
      </w:hyperlink>
      <w:r w:rsidRPr="0079354F">
        <w:rPr>
          <w:rFonts w:ascii="Times New Roman" w:hAnsi="Times New Roman" w:cs="Times New Roman"/>
          <w:sz w:val="24"/>
          <w:szCs w:val="24"/>
        </w:rPr>
        <w:t xml:space="preserve"> credential attainment, and Postsecondary Education or Training (PSE/T) enrollment. (Note: Postsecondary enrollment must start after a student exits from the adult education program.)</w:t>
      </w:r>
    </w:p>
    <w:p w14:paraId="436E7AF5" w14:textId="77777777" w:rsidR="00EA0E64" w:rsidRPr="0079354F" w:rsidRDefault="00EA0E64" w:rsidP="00EA0E64">
      <w:pPr>
        <w:pStyle w:val="NormalWeb"/>
        <w:spacing w:before="0" w:beforeAutospacing="0" w:after="0" w:afterAutospacing="0"/>
        <w:rPr>
          <w:rFonts w:ascii="Times New Roman" w:hAnsi="Times New Roman" w:cs="Times New Roman"/>
          <w:sz w:val="24"/>
          <w:szCs w:val="24"/>
        </w:rPr>
      </w:pPr>
    </w:p>
    <w:p w14:paraId="22E744F4" w14:textId="77777777" w:rsidR="00EA0E64" w:rsidRPr="0079354F" w:rsidRDefault="00EA0E64" w:rsidP="22CF907E">
      <w:r w:rsidRPr="0079354F">
        <w:t>Annually, programs are assigned separate ABE and ESOL targets using a formula that incorporates (i.e., is weighted on):</w:t>
      </w:r>
    </w:p>
    <w:p w14:paraId="1D4D07DB" w14:textId="08402145" w:rsidR="00EA0E64" w:rsidRPr="0079354F" w:rsidRDefault="00EA0E64" w:rsidP="00FC65BD">
      <w:pPr>
        <w:numPr>
          <w:ilvl w:val="0"/>
          <w:numId w:val="49"/>
        </w:numPr>
      </w:pPr>
      <w:r>
        <w:t xml:space="preserve">The number of students who pre-test into each </w:t>
      </w:r>
      <w:hyperlink r:id="rId148">
        <w:r w:rsidRPr="23CFD7A5">
          <w:rPr>
            <w:rStyle w:val="Hyperlink"/>
          </w:rPr>
          <w:t>NR</w:t>
        </w:r>
        <w:r w:rsidR="003833A8" w:rsidRPr="23CFD7A5">
          <w:rPr>
            <w:rStyle w:val="Hyperlink"/>
          </w:rPr>
          <w:t>S levels</w:t>
        </w:r>
      </w:hyperlink>
      <w:r>
        <w:t xml:space="preserve"> that the program serves, and</w:t>
      </w:r>
    </w:p>
    <w:p w14:paraId="777B2150" w14:textId="6995C77B" w:rsidR="00024670" w:rsidRPr="0079354F" w:rsidRDefault="00EA0E64" w:rsidP="00FC65BD">
      <w:pPr>
        <w:numPr>
          <w:ilvl w:val="0"/>
          <w:numId w:val="49"/>
        </w:numPr>
      </w:pPr>
      <w:r>
        <w:t xml:space="preserve">ACLS performance goals for each </w:t>
      </w:r>
      <w:hyperlink r:id="rId149">
        <w:r w:rsidRPr="23CFD7A5">
          <w:rPr>
            <w:rStyle w:val="Hyperlink"/>
          </w:rPr>
          <w:t>NRS level</w:t>
        </w:r>
      </w:hyperlink>
      <w:r>
        <w:t xml:space="preserve"> derived from the federal target assigned to Massachusetts and adjusted to account for our state’s system which awards partial credit (explained below) and the likelihood, based on past data, of meeting the federal target.</w:t>
      </w:r>
    </w:p>
    <w:p w14:paraId="60BFDA3B" w14:textId="77777777" w:rsidR="00EA0E64" w:rsidRPr="0079354F" w:rsidRDefault="00EA0E64" w:rsidP="22CF907E"/>
    <w:p w14:paraId="0F1E57FC" w14:textId="006FEC10" w:rsidR="00EA0E64" w:rsidRPr="0079354F" w:rsidRDefault="00EA0E64" w:rsidP="22CF907E">
      <w:r w:rsidRPr="0079354F">
        <w:t>Program performance is the program's actual MSG relative to its target. For example, an ESOL program with a target of 45% and an actual MSG of 50% has exceeded its target by 11%; its performance is 111% relative to target. The performance of another program with a target of 55% and an actual MSG of 50% is 91% relative to target.</w:t>
      </w:r>
    </w:p>
    <w:p w14:paraId="6F47FE38" w14:textId="77777777" w:rsidR="00EA0E64" w:rsidRPr="0079354F" w:rsidRDefault="00EA0E64" w:rsidP="00EA0E64"/>
    <w:p w14:paraId="1A221C11" w14:textId="3B240105" w:rsidR="00EA0E64" w:rsidRPr="0079354F" w:rsidRDefault="00EA0E64" w:rsidP="22CF907E">
      <w:r w:rsidRPr="0079354F">
        <w:t xml:space="preserve">Programs get an </w:t>
      </w:r>
      <w:r w:rsidRPr="0079354F">
        <w:rPr>
          <w:i/>
          <w:iCs/>
        </w:rPr>
        <w:t>initial</w:t>
      </w:r>
      <w:r w:rsidRPr="0079354F">
        <w:t xml:space="preserve"> credit (i.e., 1.0) for the first MSG outcome earned and </w:t>
      </w:r>
      <w:r w:rsidRPr="0079354F">
        <w:rPr>
          <w:i/>
          <w:iCs/>
        </w:rPr>
        <w:t>partial</w:t>
      </w:r>
      <w:r w:rsidRPr="0079354F">
        <w:t xml:space="preserve"> credit (i.e., 0.1) for each </w:t>
      </w:r>
      <w:r w:rsidRPr="0079354F">
        <w:rPr>
          <w:i/>
          <w:iCs/>
        </w:rPr>
        <w:t>additional outcome</w:t>
      </w:r>
      <w:r w:rsidRPr="0079354F">
        <w:t xml:space="preserve"> earned beyond the </w:t>
      </w:r>
      <w:r w:rsidRPr="0079354F">
        <w:rPr>
          <w:i/>
          <w:iCs/>
        </w:rPr>
        <w:t>initial</w:t>
      </w:r>
      <w:r w:rsidRPr="0079354F">
        <w:t>. If a student in a program achieves an initial outcome and two additional outcomes, then the program's credit for that student is 1.2. Only outcomes achieved during the fiscal year are included in MSG.</w:t>
      </w:r>
    </w:p>
    <w:p w14:paraId="299B7086" w14:textId="77777777" w:rsidR="00EA0E64" w:rsidRPr="0079354F" w:rsidRDefault="00EA0E64" w:rsidP="22CF907E">
      <w:r w:rsidRPr="0079354F">
        <w:t>MSG outcomes, both initial and additional (i.e., partial), can be any of the following:</w:t>
      </w:r>
    </w:p>
    <w:p w14:paraId="4B388EEF" w14:textId="1EDAFC7B" w:rsidR="00EA0E64" w:rsidRPr="0079354F" w:rsidRDefault="00EA0E64" w:rsidP="00FC65BD">
      <w:pPr>
        <w:numPr>
          <w:ilvl w:val="0"/>
          <w:numId w:val="50"/>
        </w:numPr>
      </w:pPr>
      <w:r w:rsidRPr="0079354F">
        <w:rPr>
          <w:iCs/>
        </w:rPr>
        <w:t>Educational Functioning Level (EFL) completion</w:t>
      </w:r>
    </w:p>
    <w:p w14:paraId="53D040E3" w14:textId="6BBF2428" w:rsidR="00EA0E64" w:rsidRPr="0079354F" w:rsidRDefault="00EA0E64" w:rsidP="00FC65BD">
      <w:pPr>
        <w:numPr>
          <w:ilvl w:val="0"/>
          <w:numId w:val="50"/>
        </w:numPr>
        <w:rPr>
          <w:rStyle w:val="Hyperlink"/>
        </w:rPr>
      </w:pPr>
      <w:r w:rsidRPr="0079354F">
        <w:rPr>
          <w:iCs/>
          <w:color w:val="2B579A"/>
          <w:shd w:val="clear" w:color="auto" w:fill="E6E6E6"/>
        </w:rPr>
        <w:fldChar w:fldCharType="begin"/>
      </w:r>
      <w:r w:rsidRPr="0079354F">
        <w:rPr>
          <w:iCs/>
        </w:rPr>
        <w:instrText xml:space="preserve"> HYPERLINK "http://www.doe.mass.edu/hse/" </w:instrText>
      </w:r>
      <w:r w:rsidRPr="0079354F">
        <w:rPr>
          <w:iCs/>
          <w:color w:val="2B579A"/>
          <w:shd w:val="clear" w:color="auto" w:fill="E6E6E6"/>
        </w:rPr>
        <w:fldChar w:fldCharType="separate"/>
      </w:r>
      <w:r w:rsidRPr="0079354F">
        <w:rPr>
          <w:rStyle w:val="Hyperlink"/>
          <w:iCs/>
        </w:rPr>
        <w:t>High School Equivalency (HSE) credential attainment</w:t>
      </w:r>
    </w:p>
    <w:p w14:paraId="77562B0A" w14:textId="77777777" w:rsidR="00EA0E64" w:rsidRPr="0079354F" w:rsidRDefault="00EA0E64" w:rsidP="00FC65BD">
      <w:pPr>
        <w:numPr>
          <w:ilvl w:val="0"/>
          <w:numId w:val="50"/>
        </w:numPr>
      </w:pPr>
      <w:r w:rsidRPr="0079354F">
        <w:rPr>
          <w:color w:val="2B579A"/>
          <w:shd w:val="clear" w:color="auto" w:fill="E6E6E6"/>
        </w:rPr>
        <w:fldChar w:fldCharType="end"/>
      </w:r>
      <w:r w:rsidRPr="0079354F">
        <w:t>Postsecondary Education or Training (PSE/T) enrollment after exit</w:t>
      </w:r>
    </w:p>
    <w:p w14:paraId="278F05D0" w14:textId="77777777" w:rsidR="00EA0E64" w:rsidRPr="0079354F" w:rsidRDefault="00EA0E64" w:rsidP="22CF907E"/>
    <w:p w14:paraId="078D6DC5" w14:textId="14308E00" w:rsidR="00700B4E" w:rsidRPr="0079354F" w:rsidRDefault="00EA0E64" w:rsidP="0003690C">
      <w:pPr>
        <w:ind w:left="90"/>
      </w:pPr>
      <w:r w:rsidRPr="0079354F">
        <w:t>These examples show how programs earn initial and partial credit for student outcomes.</w:t>
      </w:r>
    </w:p>
    <w:tbl>
      <w:tblPr>
        <w:tblStyle w:val="TableGrid"/>
        <w:tblW w:w="0" w:type="auto"/>
        <w:tblLook w:val="04A0" w:firstRow="1" w:lastRow="0" w:firstColumn="1" w:lastColumn="0" w:noHBand="0" w:noVBand="1"/>
        <w:tblCaption w:val="Examples of How Credit for Outcomes is Earned"/>
        <w:tblDescription w:val="This table shows how credit for outcomes is earned: Two EFL completions by a student equals 1.1 MSG; EFL completion in two subject areas equals 1.1 MSG; High school equivalency credential and two EFL completions equals 1.2 MSG; Two EFL in two subject areas plus enrollment in postsecondary education or training after exit equals 1.4 MSG."/>
      </w:tblPr>
      <w:tblGrid>
        <w:gridCol w:w="9350"/>
      </w:tblGrid>
      <w:tr w:rsidR="000157C6" w:rsidRPr="0079354F" w14:paraId="7A1ABA6F" w14:textId="77777777" w:rsidTr="3E522572">
        <w:tc>
          <w:tcPr>
            <w:tcW w:w="9350" w:type="dxa"/>
            <w:shd w:val="clear" w:color="auto" w:fill="FDE9D9" w:themeFill="accent6" w:themeFillTint="33"/>
          </w:tcPr>
          <w:p w14:paraId="762EBD22" w14:textId="02CB8F3D" w:rsidR="000157C6" w:rsidRPr="0079354F" w:rsidRDefault="31E12AF9" w:rsidP="22CF907E">
            <w:pPr>
              <w:jc w:val="center"/>
              <w:rPr>
                <w:b/>
                <w:bCs/>
              </w:rPr>
            </w:pPr>
            <w:r w:rsidRPr="0079354F">
              <w:rPr>
                <w:b/>
                <w:bCs/>
              </w:rPr>
              <w:t>Examples of How Credit for Outcomes is Earned</w:t>
            </w:r>
          </w:p>
        </w:tc>
      </w:tr>
      <w:tr w:rsidR="000157C6" w:rsidRPr="0079354F" w14:paraId="388D0FD4" w14:textId="77777777" w:rsidTr="3E522572">
        <w:tc>
          <w:tcPr>
            <w:tcW w:w="9350" w:type="dxa"/>
            <w:shd w:val="clear" w:color="auto" w:fill="auto"/>
          </w:tcPr>
          <w:p w14:paraId="6E6F228B" w14:textId="2EFFC9FC" w:rsidR="000157C6" w:rsidRPr="0079354F" w:rsidRDefault="7178C3E5" w:rsidP="00FC65BD">
            <w:pPr>
              <w:pStyle w:val="ListParagraph"/>
              <w:numPr>
                <w:ilvl w:val="0"/>
                <w:numId w:val="21"/>
              </w:numPr>
              <w:spacing w:after="0" w:line="240" w:lineRule="auto"/>
              <w:ind w:left="600"/>
              <w:contextualSpacing w:val="0"/>
              <w:rPr>
                <w:rFonts w:ascii="Times New Roman" w:hAnsi="Times New Roman" w:cs="Times New Roman"/>
                <w:sz w:val="24"/>
                <w:szCs w:val="24"/>
              </w:rPr>
            </w:pPr>
            <w:r w:rsidRPr="3E522572">
              <w:rPr>
                <w:rFonts w:ascii="Times New Roman" w:hAnsi="Times New Roman" w:cs="Times New Roman"/>
                <w:sz w:val="24"/>
                <w:szCs w:val="24"/>
              </w:rPr>
              <w:t>Two EFL completions (i.e., advancement in two NRS levels) by a student = 1.1</w:t>
            </w:r>
          </w:p>
        </w:tc>
      </w:tr>
      <w:tr w:rsidR="000157C6" w:rsidRPr="0079354F" w14:paraId="5565D355" w14:textId="77777777" w:rsidTr="3E522572">
        <w:tc>
          <w:tcPr>
            <w:tcW w:w="9350" w:type="dxa"/>
            <w:shd w:val="clear" w:color="auto" w:fill="FDE9D9" w:themeFill="accent6" w:themeFillTint="33"/>
          </w:tcPr>
          <w:p w14:paraId="16A5100F" w14:textId="23D8B72C" w:rsidR="000157C6" w:rsidRPr="0079354F" w:rsidRDefault="7178C3E5" w:rsidP="00FC65BD">
            <w:pPr>
              <w:pStyle w:val="ListParagraph"/>
              <w:numPr>
                <w:ilvl w:val="0"/>
                <w:numId w:val="21"/>
              </w:numPr>
              <w:spacing w:after="0" w:line="240" w:lineRule="auto"/>
              <w:ind w:left="600"/>
              <w:contextualSpacing w:val="0"/>
              <w:rPr>
                <w:rFonts w:ascii="Times New Roman" w:hAnsi="Times New Roman" w:cs="Times New Roman"/>
                <w:sz w:val="24"/>
                <w:szCs w:val="24"/>
              </w:rPr>
            </w:pPr>
            <w:r w:rsidRPr="3E522572">
              <w:rPr>
                <w:rFonts w:ascii="Times New Roman" w:hAnsi="Times New Roman" w:cs="Times New Roman"/>
                <w:sz w:val="24"/>
                <w:szCs w:val="24"/>
              </w:rPr>
              <w:t>EFL completion in two subject areas (e.g., reading, mathematics) = 1.1</w:t>
            </w:r>
          </w:p>
        </w:tc>
      </w:tr>
      <w:tr w:rsidR="000157C6" w:rsidRPr="0079354F" w14:paraId="69B32802" w14:textId="77777777" w:rsidTr="3E522572">
        <w:tc>
          <w:tcPr>
            <w:tcW w:w="9350" w:type="dxa"/>
            <w:shd w:val="clear" w:color="auto" w:fill="auto"/>
          </w:tcPr>
          <w:p w14:paraId="3E695373" w14:textId="5AF36C0C" w:rsidR="000157C6" w:rsidRPr="0079354F" w:rsidRDefault="31E12AF9" w:rsidP="00FC65BD">
            <w:pPr>
              <w:pStyle w:val="ListParagraph"/>
              <w:numPr>
                <w:ilvl w:val="0"/>
                <w:numId w:val="21"/>
              </w:numPr>
              <w:spacing w:after="0" w:line="240" w:lineRule="auto"/>
              <w:ind w:left="600"/>
              <w:contextualSpacing w:val="0"/>
              <w:rPr>
                <w:rFonts w:ascii="Times New Roman" w:hAnsi="Times New Roman" w:cs="Times New Roman"/>
                <w:sz w:val="24"/>
                <w:szCs w:val="24"/>
              </w:rPr>
            </w:pPr>
            <w:r w:rsidRPr="0079354F">
              <w:rPr>
                <w:rFonts w:ascii="Times New Roman" w:hAnsi="Times New Roman" w:cs="Times New Roman"/>
                <w:sz w:val="24"/>
                <w:szCs w:val="24"/>
              </w:rPr>
              <w:t>High school equivalency (HSE) credential attainment and two EFL completions = 1.2</w:t>
            </w:r>
          </w:p>
        </w:tc>
      </w:tr>
      <w:tr w:rsidR="000157C6" w:rsidRPr="0079354F" w14:paraId="018E0B00" w14:textId="77777777" w:rsidTr="3E522572">
        <w:tc>
          <w:tcPr>
            <w:tcW w:w="9350" w:type="dxa"/>
            <w:shd w:val="clear" w:color="auto" w:fill="FDE9D9" w:themeFill="accent6" w:themeFillTint="33"/>
          </w:tcPr>
          <w:p w14:paraId="1912CEA3" w14:textId="53B72F9A" w:rsidR="000157C6" w:rsidRPr="0079354F" w:rsidRDefault="7178C3E5" w:rsidP="00FC65BD">
            <w:pPr>
              <w:pStyle w:val="ListParagraph"/>
              <w:numPr>
                <w:ilvl w:val="0"/>
                <w:numId w:val="21"/>
              </w:numPr>
              <w:spacing w:after="0" w:line="240" w:lineRule="auto"/>
              <w:ind w:left="600"/>
              <w:contextualSpacing w:val="0"/>
              <w:rPr>
                <w:rFonts w:ascii="Times New Roman" w:hAnsi="Times New Roman" w:cs="Times New Roman"/>
                <w:sz w:val="24"/>
                <w:szCs w:val="24"/>
              </w:rPr>
            </w:pPr>
            <w:r w:rsidRPr="3E522572">
              <w:rPr>
                <w:rFonts w:ascii="Times New Roman" w:hAnsi="Times New Roman" w:cs="Times New Roman"/>
                <w:sz w:val="24"/>
                <w:szCs w:val="24"/>
              </w:rPr>
              <w:t>Two EFL completions in two subject areas plus enrollment in postsecondary education or training (PSE/T) after exit = 1.4</w:t>
            </w:r>
          </w:p>
        </w:tc>
      </w:tr>
    </w:tbl>
    <w:p w14:paraId="68B117DE" w14:textId="77777777" w:rsidR="00700B4E" w:rsidRPr="0079354F" w:rsidRDefault="00700B4E" w:rsidP="22CF907E">
      <w:pPr>
        <w:pStyle w:val="ListParagraph"/>
        <w:spacing w:after="0" w:line="240" w:lineRule="auto"/>
        <w:ind w:left="0"/>
        <w:contextualSpacing w:val="0"/>
        <w:rPr>
          <w:rFonts w:ascii="Times New Roman" w:hAnsi="Times New Roman" w:cs="Times New Roman"/>
          <w:sz w:val="24"/>
          <w:szCs w:val="24"/>
        </w:rPr>
      </w:pPr>
    </w:p>
    <w:p w14:paraId="7B2F9B54" w14:textId="53ACBF28" w:rsidR="003833A8" w:rsidRPr="0079354F" w:rsidRDefault="003833A8" w:rsidP="000C12E7">
      <w:pPr>
        <w:rPr>
          <w:b/>
          <w:bCs/>
        </w:rPr>
      </w:pPr>
      <w:r w:rsidRPr="0079354F">
        <w:t xml:space="preserve">For more information on MSG, see </w:t>
      </w:r>
      <w:hyperlink r:id="rId150" w:history="1">
        <w:r w:rsidRPr="0079354F">
          <w:rPr>
            <w:rStyle w:val="Hyperlink"/>
          </w:rPr>
          <w:t>https://www.doe.mass.edu/acls/accountability/outcomes/msg.html</w:t>
        </w:r>
      </w:hyperlink>
      <w:r w:rsidRPr="0079354F">
        <w:t>.</w:t>
      </w:r>
    </w:p>
    <w:p w14:paraId="21370200" w14:textId="77777777" w:rsidR="003833A8" w:rsidRPr="0079354F" w:rsidRDefault="003833A8" w:rsidP="00A36A19">
      <w:pPr>
        <w:pStyle w:val="Heading3"/>
      </w:pPr>
    </w:p>
    <w:p w14:paraId="6CED9E20" w14:textId="610F40D4" w:rsidR="00854A18" w:rsidRPr="00AB2CC6" w:rsidRDefault="00854A18" w:rsidP="00A36A19">
      <w:pPr>
        <w:pStyle w:val="Heading3"/>
        <w:rPr>
          <w:b/>
          <w:bCs/>
        </w:rPr>
      </w:pPr>
      <w:bookmarkStart w:id="76" w:name="_Toc109196001"/>
      <w:r w:rsidRPr="1E8607B9">
        <w:rPr>
          <w:b/>
          <w:bCs/>
        </w:rPr>
        <w:t>MSG Targets</w:t>
      </w:r>
      <w:r w:rsidR="00E01A03" w:rsidRPr="1E8607B9">
        <w:rPr>
          <w:b/>
          <w:bCs/>
        </w:rPr>
        <w:t xml:space="preserve"> (State requirement)</w:t>
      </w:r>
      <w:bookmarkEnd w:id="76"/>
    </w:p>
    <w:p w14:paraId="6780BF0E" w14:textId="14B2DA9D" w:rsidR="00EA0E64" w:rsidRPr="0079354F" w:rsidRDefault="00EA0E64" w:rsidP="22CF907E">
      <w:bookmarkStart w:id="77" w:name="_Hlk38522029"/>
      <w:r w:rsidRPr="0079354F">
        <w:t xml:space="preserve">ACLS posts preliminary ABE and ESOL program targets after summer and fall pre-tests have been entered into </w:t>
      </w:r>
      <w:hyperlink r:id="rId151">
        <w:r w:rsidR="001339B5" w:rsidRPr="0079354F">
          <w:rPr>
            <w:rStyle w:val="Hyperlink"/>
          </w:rPr>
          <w:t>LACES</w:t>
        </w:r>
      </w:hyperlink>
      <w:r w:rsidRPr="0079354F">
        <w:t xml:space="preserve">. Targets may change </w:t>
      </w:r>
      <w:r w:rsidRPr="0079354F">
        <w:rPr>
          <w:i/>
          <w:iCs/>
        </w:rPr>
        <w:t>slightly</w:t>
      </w:r>
      <w:r w:rsidRPr="0079354F">
        <w:t xml:space="preserve"> over the course of the year since one of two factors in an MSG target is the number of students who pre-test into each of the program's NRS levels and pre-testing continues throughout the year.</w:t>
      </w:r>
    </w:p>
    <w:bookmarkEnd w:id="77"/>
    <w:p w14:paraId="203AA88E" w14:textId="77777777" w:rsidR="006C08DF" w:rsidRPr="0079354F" w:rsidRDefault="006C08DF" w:rsidP="22CF907E"/>
    <w:p w14:paraId="7A489A3C" w14:textId="070F8D5A" w:rsidR="00A417DA" w:rsidRPr="0079354F" w:rsidRDefault="00A417DA" w:rsidP="23CFD7A5">
      <w:pPr>
        <w:rPr>
          <w:color w:val="1F497D" w:themeColor="text2"/>
        </w:rPr>
        <w:sectPr w:rsidR="00A417DA" w:rsidRPr="0079354F" w:rsidSect="009F7F19">
          <w:headerReference w:type="default" r:id="rId152"/>
          <w:pgSz w:w="12240" w:h="15840"/>
          <w:pgMar w:top="1008" w:right="1440" w:bottom="576" w:left="1440" w:header="720" w:footer="720" w:gutter="0"/>
          <w:cols w:space="720"/>
          <w:docGrid w:linePitch="360"/>
        </w:sectPr>
      </w:pPr>
      <w:r>
        <w:t xml:space="preserve">For more information on LACES, see </w:t>
      </w:r>
      <w:hyperlink r:id="rId153">
        <w:r w:rsidRPr="23CFD7A5">
          <w:rPr>
            <w:rStyle w:val="Hyperlink"/>
          </w:rPr>
          <w:t>http://www.doe.mass.edu/acls/laces/</w:t>
        </w:r>
      </w:hyperlink>
      <w:r>
        <w:t xml:space="preserve">. </w:t>
      </w:r>
      <w:r w:rsidR="00121A34">
        <w:t>For more information</w:t>
      </w:r>
      <w:r w:rsidR="00354EC3">
        <w:t xml:space="preserve"> on </w:t>
      </w:r>
      <w:r w:rsidR="002958C6">
        <w:t xml:space="preserve">the Massachusetts performance </w:t>
      </w:r>
      <w:r w:rsidR="00BE2A39">
        <w:t>accountability</w:t>
      </w:r>
      <w:r w:rsidR="002958C6">
        <w:t xml:space="preserve"> system</w:t>
      </w:r>
      <w:r w:rsidR="00121A34">
        <w:t>, see</w:t>
      </w:r>
      <w:r w:rsidR="00121A34" w:rsidRPr="23CFD7A5">
        <w:rPr>
          <w:color w:val="1F497D" w:themeColor="text2"/>
        </w:rPr>
        <w:t xml:space="preserve"> </w:t>
      </w:r>
      <w:hyperlink r:id="rId154">
        <w:r w:rsidR="23CFD7A5" w:rsidRPr="23CFD7A5">
          <w:rPr>
            <w:rStyle w:val="Hyperlink"/>
          </w:rPr>
          <w:t>https://www.doe.mass.edu/acls/accountability/</w:t>
        </w:r>
        <w:r w:rsidR="23CFD7A5" w:rsidRPr="23CFD7A5">
          <w:rPr>
            <w:rStyle w:val="Hyperlink"/>
            <w:color w:val="auto"/>
            <w:u w:val="none"/>
          </w:rPr>
          <w:t>.</w:t>
        </w:r>
      </w:hyperlink>
      <w:r w:rsidR="23CFD7A5">
        <w:t xml:space="preserve"> </w:t>
      </w:r>
      <w:bookmarkEnd w:id="72"/>
    </w:p>
    <w:p w14:paraId="4E51E044" w14:textId="2C87827F" w:rsidR="00D12DB8" w:rsidRPr="0079354F" w:rsidRDefault="00882510" w:rsidP="1E8607B9">
      <w:pPr>
        <w:pStyle w:val="Heading2"/>
        <w:spacing w:before="0"/>
        <w:rPr>
          <w:b/>
          <w:color w:val="E36C0A" w:themeColor="accent6" w:themeShade="BF"/>
        </w:rPr>
      </w:pPr>
      <w:bookmarkStart w:id="78" w:name="_Toc109196002"/>
      <w:bookmarkStart w:id="79" w:name="_Hlk2773251"/>
      <w:r w:rsidRPr="1E8607B9">
        <w:rPr>
          <w:rStyle w:val="Hyperlink"/>
          <w:b/>
          <w:color w:val="E36C0A" w:themeColor="accent6" w:themeShade="BF"/>
          <w:u w:val="none"/>
        </w:rPr>
        <w:t xml:space="preserve">Chapter </w:t>
      </w:r>
      <w:r w:rsidR="00070C06" w:rsidRPr="1E8607B9">
        <w:rPr>
          <w:rStyle w:val="Hyperlink"/>
          <w:b/>
          <w:color w:val="E36C0A" w:themeColor="accent6" w:themeShade="BF"/>
          <w:u w:val="none"/>
        </w:rPr>
        <w:t>7</w:t>
      </w:r>
      <w:r w:rsidRPr="1E8607B9">
        <w:rPr>
          <w:rStyle w:val="Hyperlink"/>
          <w:b/>
          <w:color w:val="E36C0A" w:themeColor="accent6" w:themeShade="BF"/>
          <w:u w:val="none"/>
        </w:rPr>
        <w:t xml:space="preserve">:  </w:t>
      </w:r>
      <w:hyperlink w:anchor="_Toc468698125">
        <w:r w:rsidR="00D12DB8" w:rsidRPr="1E8607B9">
          <w:rPr>
            <w:rStyle w:val="Hyperlink"/>
            <w:b/>
            <w:color w:val="E36C0A" w:themeColor="accent6" w:themeShade="BF"/>
            <w:u w:val="none"/>
          </w:rPr>
          <w:t xml:space="preserve">Indicator </w:t>
        </w:r>
        <w:r w:rsidR="00070C06" w:rsidRPr="1E8607B9">
          <w:rPr>
            <w:rStyle w:val="Hyperlink"/>
            <w:b/>
            <w:color w:val="E36C0A" w:themeColor="accent6" w:themeShade="BF"/>
            <w:u w:val="none"/>
          </w:rPr>
          <w:t>7</w:t>
        </w:r>
        <w:r w:rsidR="00D12DB8" w:rsidRPr="1E8607B9">
          <w:rPr>
            <w:rStyle w:val="Hyperlink"/>
            <w:b/>
            <w:color w:val="E36C0A" w:themeColor="accent6" w:themeShade="BF"/>
            <w:u w:val="none"/>
          </w:rPr>
          <w:t>:</w:t>
        </w:r>
        <w:r w:rsidRPr="1E8607B9">
          <w:rPr>
            <w:rStyle w:val="Hyperlink"/>
            <w:b/>
            <w:color w:val="E36C0A" w:themeColor="accent6" w:themeShade="BF"/>
            <w:u w:val="none"/>
          </w:rPr>
          <w:t xml:space="preserve"> </w:t>
        </w:r>
        <w:r w:rsidR="00D12DB8" w:rsidRPr="1E8607B9">
          <w:rPr>
            <w:rStyle w:val="Hyperlink"/>
            <w:b/>
            <w:color w:val="E36C0A" w:themeColor="accent6" w:themeShade="BF"/>
            <w:u w:val="none"/>
          </w:rPr>
          <w:t xml:space="preserve"> Advising and Student Support Services</w:t>
        </w:r>
        <w:bookmarkEnd w:id="78"/>
      </w:hyperlink>
    </w:p>
    <w:bookmarkEnd w:id="79"/>
    <w:p w14:paraId="760EC93D" w14:textId="77777777" w:rsidR="002B01FB" w:rsidRPr="0079354F" w:rsidRDefault="002B01FB" w:rsidP="002B01FB">
      <w:pPr>
        <w:rPr>
          <w:rFonts w:eastAsiaTheme="minorHAnsi"/>
          <w:b/>
          <w:bCs/>
          <w:i/>
          <w:iCs/>
        </w:rPr>
      </w:pPr>
      <w:r w:rsidRPr="0079354F">
        <w:t>The importance of advising should not be underestimated. DeSouza</w:t>
      </w:r>
      <w:r w:rsidRPr="0079354F">
        <w:rPr>
          <w:rStyle w:val="FootnoteReference"/>
        </w:rPr>
        <w:footnoteReference w:id="37"/>
      </w:r>
      <w:r w:rsidRPr="0079354F">
        <w:t xml:space="preserve"> states that “Academic advisors can play an integral role in promoting student success by assisting students in ways that encourage them to engage in the right kinds of activities, inside and outside the classroom.” Light</w:t>
      </w:r>
      <w:r w:rsidRPr="0079354F">
        <w:rPr>
          <w:rStyle w:val="FootnoteReference"/>
        </w:rPr>
        <w:footnoteReference w:id="38"/>
      </w:r>
      <w:r w:rsidRPr="0079354F">
        <w:t xml:space="preserve"> supports that notion, noting further that “Good advising may be the single most underestimated characteristic of a successful college experience.”</w:t>
      </w:r>
    </w:p>
    <w:p w14:paraId="304B1CA0" w14:textId="77777777" w:rsidR="002B01FB" w:rsidRPr="0079354F" w:rsidRDefault="002B01FB" w:rsidP="00A36A19">
      <w:pPr>
        <w:pStyle w:val="Heading3"/>
      </w:pPr>
    </w:p>
    <w:p w14:paraId="4C95FC84" w14:textId="77777777" w:rsidR="002B01FB" w:rsidRPr="00E07BD0" w:rsidRDefault="002B01FB" w:rsidP="00A36A19">
      <w:pPr>
        <w:pStyle w:val="Heading3"/>
        <w:rPr>
          <w:b/>
          <w:bCs/>
        </w:rPr>
      </w:pPr>
      <w:bookmarkStart w:id="80" w:name="_Toc109196003"/>
      <w:r w:rsidRPr="1E8607B9">
        <w:rPr>
          <w:b/>
          <w:bCs/>
        </w:rPr>
        <w:t>Advising (State requirement)</w:t>
      </w:r>
      <w:bookmarkEnd w:id="80"/>
    </w:p>
    <w:p w14:paraId="31053E5A" w14:textId="77777777" w:rsidR="002B01FB" w:rsidRPr="0079354F" w:rsidRDefault="002B01FB" w:rsidP="002B01FB">
      <w:r w:rsidRPr="0079354F">
        <w:t xml:space="preserve">ACLS requires that advising be available to all students. At a minimum, advising services must address: </w:t>
      </w:r>
    </w:p>
    <w:p w14:paraId="3135D9D7" w14:textId="11567323" w:rsidR="002B01FB" w:rsidRPr="0079354F" w:rsidRDefault="003D641E" w:rsidP="00FC65BD">
      <w:pPr>
        <w:pStyle w:val="ListParagraph"/>
        <w:numPr>
          <w:ilvl w:val="0"/>
          <w:numId w:val="34"/>
        </w:numPr>
        <w:spacing w:after="0" w:line="240" w:lineRule="auto"/>
        <w:rPr>
          <w:rFonts w:ascii="Times New Roman" w:hAnsi="Times New Roman" w:cs="Times New Roman"/>
          <w:sz w:val="24"/>
          <w:szCs w:val="24"/>
        </w:rPr>
      </w:pPr>
      <w:r w:rsidRPr="0079354F">
        <w:rPr>
          <w:rFonts w:ascii="Times New Roman" w:eastAsia="Times New Roman" w:hAnsi="Times New Roman" w:cs="Times New Roman"/>
          <w:sz w:val="24"/>
          <w:szCs w:val="24"/>
        </w:rPr>
        <w:t>D</w:t>
      </w:r>
      <w:r w:rsidR="002B01FB" w:rsidRPr="0079354F">
        <w:rPr>
          <w:rFonts w:ascii="Times New Roman" w:eastAsia="Times New Roman" w:hAnsi="Times New Roman" w:cs="Times New Roman"/>
          <w:sz w:val="24"/>
          <w:szCs w:val="24"/>
        </w:rPr>
        <w:t>evelopment of career pathways that allow students to make informed decisions regarding postsecondary education, training, and/or employment;</w:t>
      </w:r>
    </w:p>
    <w:p w14:paraId="79F2CA18" w14:textId="599F63B3" w:rsidR="002B01FB" w:rsidRPr="0079354F" w:rsidRDefault="003D641E" w:rsidP="00FC65BD">
      <w:pPr>
        <w:pStyle w:val="ListParagraph"/>
        <w:numPr>
          <w:ilvl w:val="0"/>
          <w:numId w:val="3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w:t>
      </w:r>
      <w:r w:rsidR="002B01FB" w:rsidRPr="0079354F">
        <w:rPr>
          <w:rFonts w:ascii="Times New Roman" w:hAnsi="Times New Roman" w:cs="Times New Roman"/>
          <w:sz w:val="24"/>
          <w:szCs w:val="24"/>
        </w:rPr>
        <w:t>arriers to participation by referring students to outside social service agencies; and</w:t>
      </w:r>
    </w:p>
    <w:p w14:paraId="723FF560" w14:textId="47ADFB88" w:rsidR="002B01FB" w:rsidRPr="0079354F" w:rsidRDefault="02829D25" w:rsidP="00FC65BD">
      <w:pPr>
        <w:pStyle w:val="ListParagraph"/>
        <w:numPr>
          <w:ilvl w:val="0"/>
          <w:numId w:val="3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w:t>
      </w:r>
      <w:r w:rsidR="44489801" w:rsidRPr="0079354F">
        <w:rPr>
          <w:rFonts w:ascii="Times New Roman" w:hAnsi="Times New Roman" w:cs="Times New Roman"/>
          <w:sz w:val="24"/>
          <w:szCs w:val="24"/>
        </w:rPr>
        <w:t>ollaboration among advisors and instructors to create a culture of student self-efficacy and persistence.</w:t>
      </w:r>
    </w:p>
    <w:p w14:paraId="1AB54B0E" w14:textId="77777777" w:rsidR="002B01FB" w:rsidRPr="0079354F" w:rsidRDefault="002B01FB" w:rsidP="002B01FB"/>
    <w:p w14:paraId="380D1035" w14:textId="47321293" w:rsidR="002B01FB" w:rsidRPr="0079354F" w:rsidRDefault="0515C082" w:rsidP="002B01FB">
      <w:r>
        <w:t xml:space="preserve">To assist agency directors, coordinators, advisors, and program staff with enhancing advising services, the SABES Program Support PD Center developed the </w:t>
      </w:r>
      <w:hyperlink r:id="rId155">
        <w:r w:rsidRPr="0ADF2C45">
          <w:rPr>
            <w:rStyle w:val="Hyperlink"/>
            <w:i/>
            <w:iCs/>
          </w:rPr>
          <w:t>Effective Practices Aligned with Indicator of Program Quality (IPQ)</w:t>
        </w:r>
        <w:r w:rsidR="00F26263" w:rsidRPr="0ADF2C45">
          <w:rPr>
            <w:rStyle w:val="Hyperlink"/>
            <w:i/>
            <w:iCs/>
          </w:rPr>
          <w:t xml:space="preserve"> #7 Guide</w:t>
        </w:r>
      </w:hyperlink>
      <w:r>
        <w:t xml:space="preserve">. The guide aligns with </w:t>
      </w:r>
      <w:r w:rsidR="39171968">
        <w:t>the A</w:t>
      </w:r>
      <w:r>
        <w:t xml:space="preserve">dvising and Support Services </w:t>
      </w:r>
      <w:hyperlink r:id="rId156">
        <w:r w:rsidR="45F5C073" w:rsidRPr="0ADF2C45">
          <w:rPr>
            <w:rStyle w:val="Hyperlink"/>
          </w:rPr>
          <w:t>I</w:t>
        </w:r>
        <w:r w:rsidR="39171968" w:rsidRPr="0ADF2C45">
          <w:rPr>
            <w:rStyle w:val="Hyperlink"/>
          </w:rPr>
          <w:t xml:space="preserve">ndicator of </w:t>
        </w:r>
        <w:r w:rsidR="45F5C073" w:rsidRPr="0ADF2C45">
          <w:rPr>
            <w:rStyle w:val="Hyperlink"/>
          </w:rPr>
          <w:t>P</w:t>
        </w:r>
        <w:r w:rsidR="39171968" w:rsidRPr="0ADF2C45">
          <w:rPr>
            <w:rStyle w:val="Hyperlink"/>
          </w:rPr>
          <w:t xml:space="preserve">rogram </w:t>
        </w:r>
        <w:r w:rsidR="45F5C073" w:rsidRPr="0ADF2C45">
          <w:rPr>
            <w:rStyle w:val="Hyperlink"/>
          </w:rPr>
          <w:t>Q</w:t>
        </w:r>
      </w:hyperlink>
      <w:r w:rsidR="39171968" w:rsidRPr="0ADF2C45">
        <w:rPr>
          <w:rStyle w:val="Hyperlink"/>
        </w:rPr>
        <w:t>uality</w:t>
      </w:r>
      <w:r w:rsidR="39171968" w:rsidRPr="0ADF2C45">
        <w:rPr>
          <w:rStyle w:val="Hyperlink"/>
          <w:u w:val="none"/>
        </w:rPr>
        <w:t xml:space="preserve"> </w:t>
      </w:r>
      <w:r w:rsidR="39171968" w:rsidRPr="0ADF2C45">
        <w:rPr>
          <w:rStyle w:val="Hyperlink"/>
          <w:color w:val="auto"/>
          <w:u w:val="none"/>
        </w:rPr>
        <w:t>(i.e., IPQ seven)</w:t>
      </w:r>
      <w:r>
        <w:t xml:space="preserve"> and includes examples of effective practices for each of the indicator's standards. ACLS encourages </w:t>
      </w:r>
      <w:r w:rsidR="45F5C073">
        <w:t>AE</w:t>
      </w:r>
      <w:r>
        <w:t xml:space="preserve"> </w:t>
      </w:r>
      <w:r w:rsidR="45F5C073">
        <w:t>programs</w:t>
      </w:r>
      <w:r>
        <w:t xml:space="preserve"> to use the guide to review and evaluate current advising and support services policies and practices.</w:t>
      </w:r>
    </w:p>
    <w:p w14:paraId="68339CF7" w14:textId="77777777" w:rsidR="002B01FB" w:rsidRPr="0079354F" w:rsidRDefault="002B01FB" w:rsidP="002B01FB"/>
    <w:p w14:paraId="1F199629" w14:textId="7A752831" w:rsidR="002B01FB" w:rsidRPr="00E07BD0" w:rsidRDefault="002B01FB" w:rsidP="00A36A19">
      <w:pPr>
        <w:pStyle w:val="Heading3"/>
        <w:rPr>
          <w:b/>
          <w:bCs/>
        </w:rPr>
      </w:pPr>
      <w:bookmarkStart w:id="81" w:name="_Toc109196004"/>
      <w:r w:rsidRPr="1E8607B9">
        <w:rPr>
          <w:b/>
          <w:bCs/>
        </w:rPr>
        <w:t>Advising for Out-of-School Youth</w:t>
      </w:r>
      <w:r w:rsidR="00E07BD0" w:rsidRPr="1E8607B9">
        <w:rPr>
          <w:b/>
          <w:bCs/>
        </w:rPr>
        <w:t xml:space="preserve"> and Parents or Family Members</w:t>
      </w:r>
      <w:bookmarkEnd w:id="81"/>
    </w:p>
    <w:p w14:paraId="33A261FC" w14:textId="13318B23" w:rsidR="002B01FB" w:rsidRPr="0079354F" w:rsidRDefault="0515C082" w:rsidP="002B01FB">
      <w:pPr>
        <w:pStyle w:val="PlainText"/>
        <w:rPr>
          <w:rFonts w:ascii="Times New Roman" w:hAnsi="Times New Roman" w:cs="Times New Roman"/>
          <w:sz w:val="24"/>
          <w:szCs w:val="24"/>
        </w:rPr>
      </w:pPr>
      <w:r w:rsidRPr="0079354F">
        <w:rPr>
          <w:rFonts w:ascii="Times New Roman" w:hAnsi="Times New Roman" w:cs="Times New Roman"/>
          <w:sz w:val="24"/>
          <w:szCs w:val="24"/>
        </w:rPr>
        <w:t xml:space="preserve">ACLS requires that adult education staff with advising responsibilities </w:t>
      </w:r>
      <w:r w:rsidR="002B01FB" w:rsidRPr="0079354F">
        <w:rPr>
          <w:rStyle w:val="FootnoteReference"/>
          <w:rFonts w:ascii="Times New Roman" w:hAnsi="Times New Roman" w:cs="Times New Roman"/>
        </w:rPr>
        <w:footnoteReference w:id="39"/>
      </w:r>
      <w:r w:rsidRPr="0079354F">
        <w:rPr>
          <w:rFonts w:ascii="Times New Roman" w:hAnsi="Times New Roman" w:cs="Times New Roman"/>
          <w:sz w:val="24"/>
          <w:szCs w:val="24"/>
        </w:rPr>
        <w:t xml:space="preserve"> to discuss the students’ educational options (i.e., adult education, return to K-12) prior to enrolling. In the event that a student wishes and is eligible to return to K-12, the advisor will work with the school to facilitate the student’s re-entry into the K-12 system.</w:t>
      </w:r>
    </w:p>
    <w:p w14:paraId="7795D823" w14:textId="77777777" w:rsidR="002B01FB" w:rsidRPr="0079354F" w:rsidRDefault="002B01FB" w:rsidP="002B01FB"/>
    <w:p w14:paraId="4A919D84" w14:textId="74E07AAA" w:rsidR="002B01FB" w:rsidRPr="0079354F" w:rsidRDefault="002B01FB" w:rsidP="002B01FB">
      <w:r w:rsidRPr="0079354F">
        <w:t xml:space="preserve">For students </w:t>
      </w:r>
      <w:r w:rsidR="00142391" w:rsidRPr="0079354F">
        <w:t>aged</w:t>
      </w:r>
      <w:r w:rsidRPr="0079354F">
        <w:t xml:space="preserve"> 16-24, the education and career advisor will provide students with up-to-date written information about the Title I youth programs and services offered by partners in the local area. In the event that a student expresses an interest, the advisor will work with the partner(s) to facilitate access to programs and services.</w:t>
      </w:r>
    </w:p>
    <w:p w14:paraId="4F54B2E2" w14:textId="77777777" w:rsidR="002B01FB" w:rsidRPr="0079354F" w:rsidRDefault="002B01FB" w:rsidP="002B01FB">
      <w:pPr>
        <w:rPr>
          <w:rFonts w:ascii="Calibri" w:hAnsi="Calibri" w:cs="Calibri"/>
        </w:rPr>
      </w:pPr>
    </w:p>
    <w:p w14:paraId="0B903175" w14:textId="42E07978" w:rsidR="002B01FB" w:rsidRPr="0079354F" w:rsidRDefault="0515C082" w:rsidP="675C1F61">
      <w:pPr>
        <w:pStyle w:val="Default"/>
        <w:rPr>
          <w:rFonts w:eastAsiaTheme="minorEastAsia"/>
        </w:rPr>
      </w:pPr>
      <w:r>
        <w:t>Programs may integrate family goals into advising materials and tools they are already using or provide separate materials and tools.</w:t>
      </w:r>
    </w:p>
    <w:p w14:paraId="35C5FF8A" w14:textId="77777777" w:rsidR="002B01FB" w:rsidRPr="0079354F" w:rsidRDefault="002B01FB" w:rsidP="002B01FB">
      <w:pPr>
        <w:pStyle w:val="Default"/>
      </w:pPr>
    </w:p>
    <w:p w14:paraId="07E92727" w14:textId="3CA2F693" w:rsidR="002B01FB" w:rsidRPr="0079354F" w:rsidRDefault="002B01FB" w:rsidP="002B01FB">
      <w:pPr>
        <w:pStyle w:val="Default"/>
      </w:pPr>
      <w:r w:rsidRPr="0079354F">
        <w:t>Students who choose not to set education and career goals may wish to develop a family education plan focused on their goals as parents or family members. These students must have the option to add education and career goals to their family education plans at any time.</w:t>
      </w:r>
    </w:p>
    <w:p w14:paraId="168FCABA" w14:textId="77777777" w:rsidR="002B01FB" w:rsidRPr="0079354F" w:rsidRDefault="002B01FB" w:rsidP="002B01FB">
      <w:pPr>
        <w:pStyle w:val="Default"/>
      </w:pPr>
    </w:p>
    <w:p w14:paraId="256106F5" w14:textId="77777777" w:rsidR="002B01FB" w:rsidRPr="0079354F" w:rsidRDefault="002B01FB" w:rsidP="002B01FB">
      <w:pPr>
        <w:pStyle w:val="PlainText"/>
      </w:pPr>
      <w:r w:rsidRPr="0079354F">
        <w:rPr>
          <w:rFonts w:ascii="Times New Roman" w:hAnsi="Times New Roman" w:cs="Times New Roman"/>
          <w:sz w:val="24"/>
          <w:szCs w:val="24"/>
        </w:rPr>
        <w:t xml:space="preserve">For more information on advising, see the </w:t>
      </w:r>
      <w:hyperlink r:id="rId157" w:history="1">
        <w:r w:rsidRPr="0079354F">
          <w:rPr>
            <w:rStyle w:val="Hyperlink"/>
            <w:rFonts w:ascii="Times New Roman" w:hAnsi="Times New Roman" w:cs="Times New Roman"/>
            <w:sz w:val="24"/>
            <w:szCs w:val="24"/>
          </w:rPr>
          <w:t>SABES Program Support PD Center</w:t>
        </w:r>
      </w:hyperlink>
      <w:r w:rsidRPr="0079354F">
        <w:rPr>
          <w:rFonts w:ascii="Times New Roman" w:hAnsi="Times New Roman" w:cs="Times New Roman"/>
          <w:sz w:val="24"/>
          <w:szCs w:val="24"/>
        </w:rPr>
        <w:t>.</w:t>
      </w:r>
    </w:p>
    <w:p w14:paraId="4C19AB3C" w14:textId="77777777" w:rsidR="007E752C" w:rsidRPr="0079354F" w:rsidRDefault="007E752C" w:rsidP="0047675C"/>
    <w:p w14:paraId="6B8F056F" w14:textId="2A1393CB" w:rsidR="007E752C" w:rsidRPr="0079354F" w:rsidRDefault="007E752C" w:rsidP="0047675C">
      <w:pPr>
        <w:sectPr w:rsidR="007E752C" w:rsidRPr="0079354F" w:rsidSect="00BD4638">
          <w:headerReference w:type="default" r:id="rId158"/>
          <w:pgSz w:w="12240" w:h="15840"/>
          <w:pgMar w:top="1008" w:right="1440" w:bottom="576" w:left="1440" w:header="720" w:footer="720" w:gutter="0"/>
          <w:cols w:space="720"/>
          <w:docGrid w:linePitch="360"/>
        </w:sectPr>
      </w:pPr>
    </w:p>
    <w:p w14:paraId="68D0698F" w14:textId="66FF5DE7" w:rsidR="00D0119C" w:rsidRPr="0079354F" w:rsidRDefault="005972B2" w:rsidP="1E8607B9">
      <w:pPr>
        <w:pStyle w:val="Heading2"/>
        <w:spacing w:before="0"/>
        <w:rPr>
          <w:b/>
          <w:color w:val="E36C0A" w:themeColor="accent6" w:themeShade="BF"/>
        </w:rPr>
      </w:pPr>
      <w:bookmarkStart w:id="82" w:name="_Toc109196005"/>
      <w:r w:rsidRPr="1E8607B9">
        <w:rPr>
          <w:rStyle w:val="Hyperlink"/>
          <w:rFonts w:eastAsia="Batang"/>
          <w:b/>
          <w:color w:val="E36C0A" w:themeColor="accent6" w:themeShade="BF"/>
          <w:u w:val="none"/>
        </w:rPr>
        <w:t xml:space="preserve">Chapter </w:t>
      </w:r>
      <w:r w:rsidR="00070C06" w:rsidRPr="1E8607B9">
        <w:rPr>
          <w:rStyle w:val="Hyperlink"/>
          <w:rFonts w:eastAsia="Batang"/>
          <w:b/>
          <w:color w:val="E36C0A" w:themeColor="accent6" w:themeShade="BF"/>
          <w:u w:val="none"/>
        </w:rPr>
        <w:t>8</w:t>
      </w:r>
      <w:r w:rsidRPr="1E8607B9">
        <w:rPr>
          <w:rStyle w:val="Hyperlink"/>
          <w:rFonts w:eastAsia="Batang"/>
          <w:b/>
          <w:color w:val="E36C0A" w:themeColor="accent6" w:themeShade="BF"/>
          <w:u w:val="none"/>
        </w:rPr>
        <w:t xml:space="preserve">:  </w:t>
      </w:r>
      <w:hyperlink w:anchor="_Toc468698126">
        <w:r w:rsidR="009E185E" w:rsidRPr="1E8607B9">
          <w:rPr>
            <w:rStyle w:val="Hyperlink"/>
            <w:rFonts w:eastAsia="Batang"/>
            <w:b/>
            <w:color w:val="E36C0A" w:themeColor="accent6" w:themeShade="BF"/>
            <w:u w:val="none"/>
          </w:rPr>
          <w:t>Indicator</w:t>
        </w:r>
        <w:r w:rsidR="00326CFA" w:rsidRPr="1E8607B9">
          <w:rPr>
            <w:rStyle w:val="Hyperlink"/>
            <w:rFonts w:eastAsia="Batang"/>
            <w:b/>
            <w:color w:val="E36C0A" w:themeColor="accent6" w:themeShade="BF"/>
            <w:u w:val="none"/>
          </w:rPr>
          <w:t xml:space="preserve"> </w:t>
        </w:r>
        <w:r w:rsidR="00070C06" w:rsidRPr="1E8607B9">
          <w:rPr>
            <w:rStyle w:val="Hyperlink"/>
            <w:rFonts w:eastAsia="Batang"/>
            <w:b/>
            <w:color w:val="E36C0A" w:themeColor="accent6" w:themeShade="BF"/>
            <w:u w:val="none"/>
          </w:rPr>
          <w:t>8</w:t>
        </w:r>
        <w:r w:rsidR="00D0119C" w:rsidRPr="1E8607B9">
          <w:rPr>
            <w:rStyle w:val="Hyperlink"/>
            <w:rFonts w:eastAsia="Batang"/>
            <w:b/>
            <w:color w:val="E36C0A" w:themeColor="accent6" w:themeShade="BF"/>
            <w:u w:val="none"/>
          </w:rPr>
          <w:t>:  Organizational Support</w:t>
        </w:r>
        <w:bookmarkEnd w:id="82"/>
      </w:hyperlink>
    </w:p>
    <w:p w14:paraId="1E6E8511" w14:textId="77777777" w:rsidR="00371DBF" w:rsidRPr="00E07BD0" w:rsidRDefault="00371DBF" w:rsidP="00A36A19">
      <w:pPr>
        <w:pStyle w:val="Heading3"/>
        <w:rPr>
          <w:b/>
          <w:bCs/>
        </w:rPr>
      </w:pPr>
      <w:bookmarkStart w:id="83" w:name="_Toc109196006"/>
      <w:r w:rsidRPr="1E8607B9">
        <w:rPr>
          <w:b/>
          <w:bCs/>
        </w:rPr>
        <w:t>Program Governance</w:t>
      </w:r>
      <w:r w:rsidR="003E09A8" w:rsidRPr="1E8607B9">
        <w:rPr>
          <w:b/>
          <w:bCs/>
        </w:rPr>
        <w:t xml:space="preserve"> (State requirement)</w:t>
      </w:r>
      <w:bookmarkEnd w:id="83"/>
    </w:p>
    <w:p w14:paraId="6EAD1E0C" w14:textId="3B7EF4DC" w:rsidR="00B83E47" w:rsidRPr="0079354F" w:rsidRDefault="00E71FC5">
      <w:r w:rsidRPr="0079354F">
        <w:t>ACLS requires that programs</w:t>
      </w:r>
      <w:r w:rsidR="00371DBF" w:rsidRPr="0079354F">
        <w:t xml:space="preserve"> provide accountability to an active governing board (</w:t>
      </w:r>
      <w:r w:rsidR="006D73F9" w:rsidRPr="0079354F">
        <w:t xml:space="preserve">i.e., </w:t>
      </w:r>
      <w:r w:rsidR="00371DBF" w:rsidRPr="0079354F">
        <w:t>Board) which has decision making authority including fiduciary responsibility for the organization and whose membership is different from and not related to the program’s operating staff.</w:t>
      </w:r>
      <w:r w:rsidR="00BD2485" w:rsidRPr="0079354F">
        <w:t xml:space="preserve"> </w:t>
      </w:r>
      <w:r w:rsidR="00371DBF" w:rsidRPr="0079354F">
        <w:t>In the case of public agencies, the Board and related protocol requirements are fulfilled by public oversight bodies (e.g., school committees).</w:t>
      </w:r>
    </w:p>
    <w:p w14:paraId="6E085C19" w14:textId="77777777" w:rsidR="00856BF2" w:rsidRPr="0079354F" w:rsidRDefault="00856BF2"/>
    <w:p w14:paraId="0266AD3F" w14:textId="45699B60" w:rsidR="00371DBF" w:rsidRPr="0079354F" w:rsidRDefault="00371DBF">
      <w:r w:rsidRPr="0079354F">
        <w:t xml:space="preserve">In the case of private, non-profit organizations, the Board must be significantly independent of the program director and ensure proper review and approval of the program’s expenditures. The Board must have documented protocols for hiring and evaluating the executive director and for checks and balances on the director’s policy and </w:t>
      </w:r>
      <w:r w:rsidR="00973EF9" w:rsidRPr="0079354F">
        <w:t>decision-making</w:t>
      </w:r>
      <w:r w:rsidRPr="0079354F">
        <w:t xml:space="preserve"> authority (e.g., procedures must specify the amount at which checks must be co-signed by a member of the Board).</w:t>
      </w:r>
    </w:p>
    <w:p w14:paraId="7F7A7FB9" w14:textId="1982D1D9" w:rsidR="00E71157" w:rsidRPr="0079354F" w:rsidRDefault="00E71157"/>
    <w:p w14:paraId="4AB92C33" w14:textId="22D92591" w:rsidR="00E71157" w:rsidRPr="0079354F" w:rsidRDefault="00E71157">
      <w:pPr>
        <w:rPr>
          <w:b/>
          <w:bCs/>
          <w:color w:val="0000FF"/>
        </w:rPr>
      </w:pPr>
      <w:r w:rsidRPr="0079354F">
        <w:rPr>
          <w:b/>
          <w:bCs/>
          <w:color w:val="0000FF"/>
        </w:rPr>
        <w:t>Lead Agencies</w:t>
      </w:r>
    </w:p>
    <w:p w14:paraId="3A5D261D" w14:textId="3E2C3FF9"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Organizations that accept a grant from DESE </w:t>
      </w:r>
      <w:r w:rsidR="00A7587A" w:rsidRPr="0079354F">
        <w:rPr>
          <w:rFonts w:ascii="Times New Roman" w:eastAsia="Times New Roman" w:hAnsi="Times New Roman" w:cs="Times New Roman"/>
          <w:sz w:val="24"/>
          <w:szCs w:val="24"/>
        </w:rPr>
        <w:t>will be held</w:t>
      </w:r>
      <w:r w:rsidRPr="0079354F">
        <w:rPr>
          <w:rFonts w:ascii="Times New Roman" w:eastAsia="Times New Roman" w:hAnsi="Times New Roman" w:cs="Times New Roman"/>
          <w:sz w:val="24"/>
          <w:szCs w:val="24"/>
        </w:rPr>
        <w:t xml:space="preserve"> accountable for communica</w:t>
      </w:r>
      <w:r w:rsidR="008C250C" w:rsidRPr="0079354F">
        <w:rPr>
          <w:rFonts w:ascii="Times New Roman" w:eastAsia="Times New Roman" w:hAnsi="Times New Roman" w:cs="Times New Roman"/>
          <w:sz w:val="24"/>
          <w:szCs w:val="24"/>
        </w:rPr>
        <w:t>ting</w:t>
      </w:r>
      <w:r w:rsidRPr="0079354F">
        <w:rPr>
          <w:rFonts w:ascii="Times New Roman" w:eastAsia="Times New Roman" w:hAnsi="Times New Roman" w:cs="Times New Roman"/>
          <w:sz w:val="24"/>
          <w:szCs w:val="24"/>
        </w:rPr>
        <w:t xml:space="preserve"> with</w:t>
      </w:r>
      <w:r w:rsidR="00166ACA"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w:t>
      </w:r>
      <w:r w:rsidR="008C250C" w:rsidRPr="0079354F">
        <w:rPr>
          <w:rFonts w:ascii="Times New Roman" w:eastAsia="Times New Roman" w:hAnsi="Times New Roman" w:cs="Times New Roman"/>
          <w:sz w:val="24"/>
          <w:szCs w:val="24"/>
        </w:rPr>
        <w:t xml:space="preserve">monitoring the </w:t>
      </w:r>
      <w:r w:rsidR="00BE1164" w:rsidRPr="0079354F">
        <w:rPr>
          <w:rFonts w:ascii="Times New Roman" w:eastAsia="Times New Roman" w:hAnsi="Times New Roman" w:cs="Times New Roman"/>
          <w:sz w:val="24"/>
          <w:szCs w:val="24"/>
        </w:rPr>
        <w:t xml:space="preserve">grant </w:t>
      </w:r>
      <w:r w:rsidRPr="0079354F">
        <w:rPr>
          <w:rFonts w:ascii="Times New Roman" w:eastAsia="Times New Roman" w:hAnsi="Times New Roman" w:cs="Times New Roman"/>
          <w:sz w:val="24"/>
          <w:szCs w:val="24"/>
        </w:rPr>
        <w:t>spending</w:t>
      </w:r>
      <w:r w:rsidR="008C250C" w:rsidRPr="0079354F">
        <w:rPr>
          <w:rFonts w:ascii="Times New Roman" w:eastAsia="Times New Roman" w:hAnsi="Times New Roman" w:cs="Times New Roman"/>
          <w:sz w:val="24"/>
          <w:szCs w:val="24"/>
        </w:rPr>
        <w:t xml:space="preserve"> and d</w:t>
      </w:r>
      <w:r w:rsidRPr="0079354F">
        <w:rPr>
          <w:rFonts w:ascii="Times New Roman" w:eastAsia="Times New Roman" w:hAnsi="Times New Roman" w:cs="Times New Roman"/>
          <w:sz w:val="24"/>
          <w:szCs w:val="24"/>
        </w:rPr>
        <w:t>ata reporting</w:t>
      </w:r>
      <w:r w:rsidR="00166ACA" w:rsidRPr="0079354F">
        <w:rPr>
          <w:rFonts w:ascii="Times New Roman" w:eastAsia="Times New Roman" w:hAnsi="Times New Roman" w:cs="Times New Roman"/>
          <w:sz w:val="24"/>
          <w:szCs w:val="24"/>
        </w:rPr>
        <w:t xml:space="preserve"> of</w:t>
      </w:r>
      <w:r w:rsidRPr="0079354F">
        <w:rPr>
          <w:rFonts w:ascii="Times New Roman" w:eastAsia="Times New Roman" w:hAnsi="Times New Roman" w:cs="Times New Roman"/>
          <w:sz w:val="24"/>
          <w:szCs w:val="24"/>
        </w:rPr>
        <w:t xml:space="preserve">, and </w:t>
      </w:r>
      <w:r w:rsidR="00166ACA" w:rsidRPr="0079354F">
        <w:rPr>
          <w:rFonts w:ascii="Times New Roman" w:eastAsia="Times New Roman" w:hAnsi="Times New Roman" w:cs="Times New Roman"/>
          <w:sz w:val="24"/>
          <w:szCs w:val="24"/>
        </w:rPr>
        <w:t>overseeing the grant activities of all sites and subgrantees</w:t>
      </w:r>
      <w:r w:rsidRPr="0079354F">
        <w:rPr>
          <w:rFonts w:ascii="Times New Roman" w:eastAsia="Times New Roman" w:hAnsi="Times New Roman" w:cs="Times New Roman"/>
          <w:sz w:val="24"/>
          <w:szCs w:val="24"/>
        </w:rPr>
        <w:t>. Grantees that fail to abide by federal and state fiscal and data policies</w:t>
      </w:r>
      <w:r w:rsidR="008C250C" w:rsidRPr="0079354F">
        <w:rPr>
          <w:rFonts w:ascii="Times New Roman" w:eastAsia="Times New Roman" w:hAnsi="Times New Roman" w:cs="Times New Roman"/>
          <w:sz w:val="24"/>
          <w:szCs w:val="24"/>
        </w:rPr>
        <w:t xml:space="preserve">, including sites and </w:t>
      </w:r>
      <w:r w:rsidR="00166ACA" w:rsidRPr="0079354F">
        <w:rPr>
          <w:rFonts w:ascii="Times New Roman" w:eastAsia="Times New Roman" w:hAnsi="Times New Roman" w:cs="Times New Roman"/>
          <w:sz w:val="24"/>
          <w:szCs w:val="24"/>
        </w:rPr>
        <w:t>subgrantees</w:t>
      </w:r>
      <w:r w:rsidR="008C250C"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will face consequences including but not limited to conditional funding, corrective action, withholding of funds, grant reduction, or grant termination.</w:t>
      </w:r>
    </w:p>
    <w:p w14:paraId="2E2F2A8D" w14:textId="62803BF0"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p>
    <w:p w14:paraId="6C88426C" w14:textId="13FD0CF0"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For more information on grantee responsibilities, see the Data and Fiscal Accountability chapter.</w:t>
      </w:r>
    </w:p>
    <w:p w14:paraId="3810F92B" w14:textId="77777777" w:rsidR="006A5F3F" w:rsidRPr="0079354F" w:rsidRDefault="006A5F3F"/>
    <w:p w14:paraId="7E33B1B3" w14:textId="0C859D26" w:rsidR="00B51430" w:rsidRPr="00E07BD0" w:rsidRDefault="00B51430" w:rsidP="00A36A19">
      <w:pPr>
        <w:pStyle w:val="Heading3"/>
        <w:rPr>
          <w:b/>
          <w:bCs/>
        </w:rPr>
      </w:pPr>
      <w:bookmarkStart w:id="84" w:name="_Toc109196007"/>
      <w:r w:rsidRPr="1E8607B9">
        <w:rPr>
          <w:b/>
          <w:bCs/>
        </w:rPr>
        <w:t>Facilities</w:t>
      </w:r>
      <w:r w:rsidR="00BD2485" w:rsidRPr="1E8607B9">
        <w:rPr>
          <w:b/>
          <w:bCs/>
        </w:rPr>
        <w:t xml:space="preserve"> (State requirement)</w:t>
      </w:r>
      <w:bookmarkEnd w:id="84"/>
    </w:p>
    <w:p w14:paraId="20351105" w14:textId="09D85198" w:rsidR="00A912E3" w:rsidRPr="0079354F" w:rsidRDefault="58063D93">
      <w:r w:rsidRPr="0079354F">
        <w:t xml:space="preserve">ACLS requires that grantees </w:t>
      </w:r>
      <w:r w:rsidR="06B73DCD" w:rsidRPr="0079354F">
        <w:t>operate</w:t>
      </w:r>
      <w:r w:rsidRPr="0079354F">
        <w:t xml:space="preserve"> </w:t>
      </w:r>
      <w:r w:rsidR="0F80BEDA" w:rsidRPr="0079354F">
        <w:t>AE</w:t>
      </w:r>
      <w:r w:rsidRPr="0079354F">
        <w:t xml:space="preserve"> programs at </w:t>
      </w:r>
      <w:r w:rsidR="06B73DCD" w:rsidRPr="0079354F">
        <w:t>site</w:t>
      </w:r>
      <w:r w:rsidRPr="0079354F">
        <w:t>s</w:t>
      </w:r>
      <w:r w:rsidR="06B73DCD" w:rsidRPr="0079354F">
        <w:t xml:space="preserve"> that </w:t>
      </w:r>
      <w:r w:rsidRPr="0079354F">
        <w:t>are</w:t>
      </w:r>
      <w:r w:rsidR="06B73DCD" w:rsidRPr="0079354F">
        <w:t xml:space="preserve"> safe, age-appropriate,</w:t>
      </w:r>
      <w:r w:rsidR="6B158E5E" w:rsidRPr="0079354F">
        <w:t xml:space="preserve"> </w:t>
      </w:r>
      <w:r w:rsidR="42DCB7FE" w:rsidRPr="0079354F">
        <w:t xml:space="preserve">conducive to learning, </w:t>
      </w:r>
      <w:r w:rsidR="06B73DCD" w:rsidRPr="0079354F">
        <w:t xml:space="preserve">and </w:t>
      </w:r>
      <w:r w:rsidR="3C786AC2" w:rsidRPr="0079354F">
        <w:t xml:space="preserve">that meet all city, state, and </w:t>
      </w:r>
      <w:r w:rsidR="627B66B1" w:rsidRPr="0079354F">
        <w:t>federal</w:t>
      </w:r>
      <w:r w:rsidR="06B73DCD" w:rsidRPr="0079354F">
        <w:t xml:space="preserve"> accessibility and safety requirements.</w:t>
      </w:r>
      <w:r w:rsidR="42DCB7FE" w:rsidRPr="0079354F">
        <w:t xml:space="preserve"> </w:t>
      </w:r>
      <w:r w:rsidRPr="0079354F">
        <w:t xml:space="preserve">Additionally, ACLS requires that </w:t>
      </w:r>
      <w:r w:rsidR="6D88D2DE" w:rsidRPr="0079354F">
        <w:t>programs</w:t>
      </w:r>
      <w:r w:rsidR="42DCB7FE" w:rsidRPr="0079354F">
        <w:t xml:space="preserve"> ensure </w:t>
      </w:r>
      <w:r w:rsidRPr="0079354F">
        <w:t xml:space="preserve">the privacy and security of </w:t>
      </w:r>
      <w:r w:rsidR="0F80BEDA" w:rsidRPr="0079354F">
        <w:t xml:space="preserve">PII and </w:t>
      </w:r>
      <w:r w:rsidRPr="0079354F">
        <w:t xml:space="preserve">advising spaces, </w:t>
      </w:r>
      <w:r w:rsidR="42DCB7FE" w:rsidRPr="0079354F">
        <w:t xml:space="preserve">and that </w:t>
      </w:r>
      <w:r w:rsidR="07CF99E6" w:rsidRPr="0079354F">
        <w:t xml:space="preserve">sufficient </w:t>
      </w:r>
      <w:r w:rsidR="42DCB7FE" w:rsidRPr="0079354F">
        <w:t>up</w:t>
      </w:r>
      <w:r w:rsidR="3C8A92CA" w:rsidRPr="0079354F">
        <w:t>-</w:t>
      </w:r>
      <w:r w:rsidR="42DCB7FE" w:rsidRPr="0079354F">
        <w:t>to</w:t>
      </w:r>
      <w:r w:rsidR="3C8A92CA" w:rsidRPr="0079354F">
        <w:t>-</w:t>
      </w:r>
      <w:r w:rsidR="42DCB7FE" w:rsidRPr="0079354F">
        <w:t>date technology is readily available for all staff.</w:t>
      </w:r>
    </w:p>
    <w:p w14:paraId="43775800" w14:textId="5477DFA0" w:rsidR="009B1040" w:rsidRPr="0079354F" w:rsidRDefault="009B1040"/>
    <w:p w14:paraId="15CADEFC" w14:textId="4345B357" w:rsidR="009B1040" w:rsidRPr="00E07BD0" w:rsidRDefault="009B1040" w:rsidP="00A36A19">
      <w:pPr>
        <w:pStyle w:val="Heading3"/>
        <w:rPr>
          <w:b/>
          <w:bCs/>
        </w:rPr>
      </w:pPr>
      <w:bookmarkStart w:id="85" w:name="_Toc109196008"/>
      <w:r w:rsidRPr="1E8607B9">
        <w:rPr>
          <w:b/>
          <w:bCs/>
        </w:rPr>
        <w:t>Technology</w:t>
      </w:r>
      <w:r w:rsidR="00BE1164" w:rsidRPr="1E8607B9">
        <w:rPr>
          <w:b/>
          <w:bCs/>
        </w:rPr>
        <w:t xml:space="preserve"> (State requirement)</w:t>
      </w:r>
      <w:bookmarkEnd w:id="85"/>
    </w:p>
    <w:p w14:paraId="0A19B442" w14:textId="489BB614" w:rsidR="009B1040" w:rsidRPr="0079354F" w:rsidRDefault="009B1040" w:rsidP="009B1040">
      <w:pPr>
        <w:pStyle w:val="BodyText"/>
        <w:spacing w:before="0"/>
        <w:jc w:val="left"/>
      </w:pPr>
      <w:r w:rsidRPr="0079354F">
        <w:t>WIOA requires</w:t>
      </w:r>
      <w:r w:rsidR="008C250C" w:rsidRPr="0079354F">
        <w:t xml:space="preserve"> that</w:t>
      </w:r>
      <w:r w:rsidRPr="0079354F">
        <w:t xml:space="preserve"> all programs support the digital literacy development of students at every level. Programs are expected to incorporate a variety of tools and technologies into the classroom to support learning</w:t>
      </w:r>
      <w:r w:rsidR="00BE1164" w:rsidRPr="0079354F">
        <w:t xml:space="preserve"> including remote learning. </w:t>
      </w:r>
      <w:r w:rsidR="00BD2485" w:rsidRPr="0079354F">
        <w:t xml:space="preserve">ACLS requires that </w:t>
      </w:r>
      <w:r w:rsidR="0049785A" w:rsidRPr="0079354F">
        <w:t xml:space="preserve">sufficient </w:t>
      </w:r>
      <w:r w:rsidR="00BD2485" w:rsidRPr="0079354F">
        <w:t xml:space="preserve">up-to-date technology </w:t>
      </w:r>
      <w:r w:rsidR="00142391" w:rsidRPr="0079354F">
        <w:t>be</w:t>
      </w:r>
      <w:r w:rsidR="00BD2485" w:rsidRPr="0079354F">
        <w:t xml:space="preserve"> readily available for all students.</w:t>
      </w:r>
    </w:p>
    <w:p w14:paraId="2EDAC35C" w14:textId="23E8D3AD" w:rsidR="006A5F3F" w:rsidRPr="0079354F" w:rsidRDefault="006A5F3F"/>
    <w:p w14:paraId="19857265" w14:textId="77777777" w:rsidR="00B51430" w:rsidRPr="00E07BD0" w:rsidRDefault="00A912E3" w:rsidP="00A36A19">
      <w:pPr>
        <w:pStyle w:val="Heading3"/>
        <w:rPr>
          <w:b/>
          <w:bCs/>
        </w:rPr>
      </w:pPr>
      <w:bookmarkStart w:id="86" w:name="_Toc109196009"/>
      <w:r w:rsidRPr="1E8607B9">
        <w:rPr>
          <w:b/>
          <w:bCs/>
        </w:rPr>
        <w:t xml:space="preserve">Salaries and </w:t>
      </w:r>
      <w:r w:rsidR="00B51430" w:rsidRPr="1E8607B9">
        <w:rPr>
          <w:b/>
          <w:bCs/>
        </w:rPr>
        <w:t>Benefits</w:t>
      </w:r>
      <w:r w:rsidR="00D412B4" w:rsidRPr="1E8607B9">
        <w:rPr>
          <w:b/>
          <w:bCs/>
        </w:rPr>
        <w:t xml:space="preserve"> (State requirement)</w:t>
      </w:r>
      <w:bookmarkEnd w:id="86"/>
    </w:p>
    <w:p w14:paraId="6711C3F3" w14:textId="0F55BDD7" w:rsidR="00F63ED9" w:rsidRPr="0079354F" w:rsidRDefault="00A912E3" w:rsidP="0ADF2C45">
      <w:r>
        <w:t xml:space="preserve">ACLS requires that programs compensate staff according to the </w:t>
      </w:r>
      <w:r w:rsidR="00EF7FEA">
        <w:t xml:space="preserve">following </w:t>
      </w:r>
      <w:r>
        <w:t>minimum salaries</w:t>
      </w:r>
      <w:r w:rsidR="00534F47">
        <w:t>:</w:t>
      </w:r>
    </w:p>
    <w:p w14:paraId="2C39119F" w14:textId="77777777" w:rsidR="00C64170" w:rsidRPr="0079354F" w:rsidRDefault="00C54CC3" w:rsidP="0ADF2C45">
      <w:pPr>
        <w:ind w:firstLine="360"/>
      </w:pPr>
      <w:r>
        <w:t>Administrator</w:t>
      </w:r>
    </w:p>
    <w:p w14:paraId="2465BEA8" w14:textId="6A15587F" w:rsidR="00C54CC3" w:rsidRPr="0079354F" w:rsidRDefault="412730E4" w:rsidP="00FC65BD">
      <w:pPr>
        <w:pStyle w:val="ListParagraph"/>
        <w:numPr>
          <w:ilvl w:val="0"/>
          <w:numId w:val="16"/>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 fringe: </w:t>
      </w:r>
      <w:r w:rsidR="121690F5" w:rsidRPr="0ADF2C45">
        <w:rPr>
          <w:rFonts w:ascii="Times New Roman" w:hAnsi="Times New Roman" w:cs="Times New Roman"/>
          <w:sz w:val="24"/>
          <w:szCs w:val="24"/>
        </w:rPr>
        <w:t>$30.00</w:t>
      </w:r>
    </w:p>
    <w:p w14:paraId="6E4FE7DA" w14:textId="77777777" w:rsidR="00C64170" w:rsidRPr="0079354F" w:rsidRDefault="00C64170" w:rsidP="00FC65BD">
      <w:pPr>
        <w:pStyle w:val="ListParagraph"/>
        <w:numPr>
          <w:ilvl w:val="0"/>
          <w:numId w:val="16"/>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Without fringe: </w:t>
      </w:r>
      <w:r w:rsidR="00C54CC3" w:rsidRPr="0ADF2C45">
        <w:rPr>
          <w:rFonts w:ascii="Times New Roman" w:hAnsi="Times New Roman" w:cs="Times New Roman"/>
          <w:sz w:val="24"/>
          <w:szCs w:val="24"/>
        </w:rPr>
        <w:t>$39.00</w:t>
      </w:r>
    </w:p>
    <w:p w14:paraId="0A7E9893" w14:textId="77777777" w:rsidR="00C64170" w:rsidRPr="0079354F" w:rsidRDefault="00C54CC3" w:rsidP="0ADF2C45">
      <w:pPr>
        <w:ind w:firstLine="360"/>
      </w:pPr>
      <w:r>
        <w:t>Professional</w:t>
      </w:r>
    </w:p>
    <w:p w14:paraId="35AFF4FA" w14:textId="77777777" w:rsidR="00C64170" w:rsidRPr="0079354F" w:rsidRDefault="00C64170" w:rsidP="00FC65BD">
      <w:pPr>
        <w:pStyle w:val="ListParagraph"/>
        <w:numPr>
          <w:ilvl w:val="0"/>
          <w:numId w:val="15"/>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 fringe: </w:t>
      </w:r>
      <w:r w:rsidR="00C54CC3" w:rsidRPr="0ADF2C45">
        <w:rPr>
          <w:rFonts w:ascii="Times New Roman" w:hAnsi="Times New Roman" w:cs="Times New Roman"/>
          <w:sz w:val="24"/>
          <w:szCs w:val="24"/>
        </w:rPr>
        <w:t>$22.00</w:t>
      </w:r>
    </w:p>
    <w:p w14:paraId="3A55EFCA" w14:textId="77777777" w:rsidR="00C64170" w:rsidRPr="0079354F" w:rsidRDefault="00C64170" w:rsidP="00FC65BD">
      <w:pPr>
        <w:pStyle w:val="ListParagraph"/>
        <w:numPr>
          <w:ilvl w:val="0"/>
          <w:numId w:val="15"/>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Without fringe: </w:t>
      </w:r>
      <w:r w:rsidR="00C54CC3" w:rsidRPr="0ADF2C45">
        <w:rPr>
          <w:rFonts w:ascii="Times New Roman" w:hAnsi="Times New Roman" w:cs="Times New Roman"/>
          <w:sz w:val="24"/>
          <w:szCs w:val="24"/>
        </w:rPr>
        <w:t>$28.00</w:t>
      </w:r>
    </w:p>
    <w:p w14:paraId="0DDCF17A" w14:textId="77777777" w:rsidR="00C64170" w:rsidRPr="0079354F" w:rsidRDefault="00C64170" w:rsidP="0ADF2C45">
      <w:pPr>
        <w:ind w:firstLine="360"/>
      </w:pPr>
      <w:r>
        <w:t>Support Staff</w:t>
      </w:r>
    </w:p>
    <w:p w14:paraId="702887AB" w14:textId="77777777" w:rsidR="00C64170" w:rsidRPr="0079354F" w:rsidRDefault="00C64170" w:rsidP="00FC65BD">
      <w:pPr>
        <w:pStyle w:val="ListParagraph"/>
        <w:numPr>
          <w:ilvl w:val="0"/>
          <w:numId w:val="14"/>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 fringe: </w:t>
      </w:r>
      <w:r w:rsidR="00C54CC3" w:rsidRPr="0ADF2C45">
        <w:rPr>
          <w:rFonts w:ascii="Times New Roman" w:hAnsi="Times New Roman" w:cs="Times New Roman"/>
          <w:sz w:val="24"/>
          <w:szCs w:val="24"/>
        </w:rPr>
        <w:t>$17.00</w:t>
      </w:r>
    </w:p>
    <w:p w14:paraId="38F765F6" w14:textId="1B28DEDB" w:rsidR="00BF160D" w:rsidRPr="0079354F" w:rsidRDefault="00C64170" w:rsidP="00FC65BD">
      <w:pPr>
        <w:pStyle w:val="ListParagraph"/>
        <w:numPr>
          <w:ilvl w:val="0"/>
          <w:numId w:val="14"/>
        </w:numPr>
        <w:spacing w:after="0" w:line="240" w:lineRule="auto"/>
        <w:ind w:left="1080"/>
        <w:rPr>
          <w:rFonts w:ascii="Times New Roman" w:hAnsi="Times New Roman" w:cs="Times New Roman"/>
          <w:sz w:val="24"/>
          <w:szCs w:val="24"/>
        </w:rPr>
      </w:pPr>
      <w:r w:rsidRPr="0ADF2C45">
        <w:rPr>
          <w:rFonts w:ascii="Times New Roman" w:hAnsi="Times New Roman" w:cs="Times New Roman"/>
          <w:sz w:val="24"/>
          <w:szCs w:val="24"/>
        </w:rPr>
        <w:t xml:space="preserve">Without fringe: </w:t>
      </w:r>
      <w:r w:rsidR="00C54CC3" w:rsidRPr="0ADF2C45">
        <w:rPr>
          <w:rFonts w:ascii="Times New Roman" w:hAnsi="Times New Roman" w:cs="Times New Roman"/>
          <w:sz w:val="24"/>
          <w:szCs w:val="24"/>
        </w:rPr>
        <w:t>$21.00</w:t>
      </w:r>
    </w:p>
    <w:p w14:paraId="74FE28B7" w14:textId="77777777" w:rsidR="00BF160D" w:rsidRPr="0079354F" w:rsidRDefault="00BF160D" w:rsidP="00413EEF"/>
    <w:p w14:paraId="5085746A" w14:textId="0C3E796E" w:rsidR="00A912E3" w:rsidRPr="0079354F" w:rsidRDefault="00A912E3">
      <w:r w:rsidRPr="0079354F">
        <w:t>ACLS requires that programs compensate staff for all job responsibilities includi</w:t>
      </w:r>
      <w:r w:rsidR="00246742" w:rsidRPr="0079354F">
        <w:t xml:space="preserve">ng paid </w:t>
      </w:r>
      <w:r w:rsidR="00127232" w:rsidRPr="0079354F">
        <w:t xml:space="preserve">professional development and </w:t>
      </w:r>
      <w:r w:rsidR="00246742" w:rsidRPr="0079354F">
        <w:t>prep time for teachers.</w:t>
      </w:r>
    </w:p>
    <w:p w14:paraId="2ACFDC9A" w14:textId="77777777" w:rsidR="00F034E8" w:rsidRPr="0079354F" w:rsidRDefault="00F034E8"/>
    <w:p w14:paraId="034ECE79" w14:textId="77777777" w:rsidR="00C46AD5" w:rsidRPr="00E07BD0" w:rsidRDefault="2C804084" w:rsidP="00A36A19">
      <w:pPr>
        <w:pStyle w:val="Heading3"/>
        <w:rPr>
          <w:b/>
          <w:bCs/>
        </w:rPr>
      </w:pPr>
      <w:bookmarkStart w:id="87" w:name="_Toc109196010"/>
      <w:r w:rsidRPr="1E8607B9">
        <w:rPr>
          <w:b/>
          <w:bCs/>
        </w:rPr>
        <w:t>Administrator Qualifications</w:t>
      </w:r>
      <w:r w:rsidR="4C9AE608" w:rsidRPr="1E8607B9">
        <w:rPr>
          <w:b/>
          <w:bCs/>
        </w:rPr>
        <w:t xml:space="preserve"> (State requirement)</w:t>
      </w:r>
      <w:bookmarkEnd w:id="87"/>
    </w:p>
    <w:p w14:paraId="0153B939" w14:textId="360D60BA" w:rsidR="00C46AD5" w:rsidRDefault="7B5F780A" w:rsidP="00087CC6">
      <w:r>
        <w:t>All s</w:t>
      </w:r>
      <w:r w:rsidR="6C4D2085">
        <w:t>taff charged with implementing the roles and responsibilities of a program director (e.g., planning and management in program design, leadership, operations, human resources, budgeting, collaborations, risk management) are required to have, at a minimum, a bachelor’s degree regardless of the title of their position (e.g., assistant director, coordinator) and two years of experience in education, management, or program administration.</w:t>
      </w:r>
    </w:p>
    <w:p w14:paraId="38B66D34" w14:textId="77777777" w:rsidR="008E1F58" w:rsidRDefault="008E1F58" w:rsidP="00087CC6"/>
    <w:p w14:paraId="09A9ACA3" w14:textId="4D509BDE" w:rsidR="008E1F58" w:rsidRPr="0079354F" w:rsidRDefault="23B2C0C9" w:rsidP="675C1F61">
      <w:pPr>
        <w:rPr>
          <w:rFonts w:ascii="Calibri" w:eastAsiaTheme="minorEastAsia" w:hAnsi="Calibri" w:cs="Calibri"/>
        </w:rPr>
      </w:pPr>
      <w:r>
        <w:t>When there is a change in program leadership (i.e., the person responsible for the overall management of the program), programs should notify ACLS and submit a copy of the new director’s resume.</w:t>
      </w:r>
    </w:p>
    <w:p w14:paraId="03F57B35" w14:textId="77777777" w:rsidR="006A5F3F" w:rsidRPr="0079354F" w:rsidRDefault="006A5F3F"/>
    <w:p w14:paraId="7B844CE7" w14:textId="77777777" w:rsidR="00034D22" w:rsidRPr="00E07BD0" w:rsidRDefault="00034D22" w:rsidP="00F26263">
      <w:pPr>
        <w:pStyle w:val="Heading3"/>
        <w:rPr>
          <w:b/>
          <w:bCs/>
        </w:rPr>
      </w:pPr>
      <w:bookmarkStart w:id="88" w:name="_Toc109196011"/>
      <w:r w:rsidRPr="1E8607B9">
        <w:rPr>
          <w:b/>
          <w:bCs/>
        </w:rPr>
        <w:t>Staff Qualifications</w:t>
      </w:r>
      <w:r w:rsidR="00D5781E" w:rsidRPr="1E8607B9">
        <w:rPr>
          <w:b/>
          <w:bCs/>
        </w:rPr>
        <w:t xml:space="preserve"> (State requirement)</w:t>
      </w:r>
      <w:bookmarkEnd w:id="88"/>
    </w:p>
    <w:p w14:paraId="165E021A" w14:textId="502760BC" w:rsidR="00F26263" w:rsidRPr="00F26263" w:rsidRDefault="14AFC8A0" w:rsidP="00F26263">
      <w:pPr>
        <w:pStyle w:val="CommentText"/>
        <w:rPr>
          <w:sz w:val="24"/>
          <w:szCs w:val="24"/>
        </w:rPr>
      </w:pPr>
      <w:r w:rsidRPr="00F26263">
        <w:rPr>
          <w:sz w:val="24"/>
          <w:szCs w:val="24"/>
        </w:rPr>
        <w:t>ACLS requires that</w:t>
      </w:r>
      <w:r w:rsidR="50620238" w:rsidRPr="00F26263">
        <w:rPr>
          <w:sz w:val="24"/>
          <w:szCs w:val="24"/>
        </w:rPr>
        <w:t xml:space="preserve"> a</w:t>
      </w:r>
      <w:r w:rsidR="6294F9EF" w:rsidRPr="00F26263">
        <w:rPr>
          <w:sz w:val="24"/>
          <w:szCs w:val="24"/>
        </w:rPr>
        <w:t>ll teachers</w:t>
      </w:r>
      <w:r w:rsidR="3A9D71E2" w:rsidRPr="00F26263">
        <w:rPr>
          <w:sz w:val="24"/>
          <w:szCs w:val="24"/>
        </w:rPr>
        <w:t xml:space="preserve"> </w:t>
      </w:r>
      <w:r w:rsidRPr="00F26263">
        <w:rPr>
          <w:sz w:val="24"/>
          <w:szCs w:val="24"/>
        </w:rPr>
        <w:t>h</w:t>
      </w:r>
      <w:r w:rsidR="7C29DD47" w:rsidRPr="00F26263">
        <w:rPr>
          <w:sz w:val="24"/>
          <w:szCs w:val="24"/>
        </w:rPr>
        <w:t>ave, at a minimum, a b</w:t>
      </w:r>
      <w:r w:rsidR="6294F9EF" w:rsidRPr="00F26263">
        <w:rPr>
          <w:sz w:val="24"/>
          <w:szCs w:val="24"/>
        </w:rPr>
        <w:t xml:space="preserve">achelor’s </w:t>
      </w:r>
      <w:r w:rsidR="2BD96010" w:rsidRPr="00F26263">
        <w:rPr>
          <w:sz w:val="24"/>
          <w:szCs w:val="24"/>
        </w:rPr>
        <w:t xml:space="preserve">degree. </w:t>
      </w:r>
      <w:r w:rsidR="50620238" w:rsidRPr="00F26263">
        <w:rPr>
          <w:sz w:val="24"/>
          <w:szCs w:val="24"/>
        </w:rPr>
        <w:t>ACLS also requires that p</w:t>
      </w:r>
      <w:r w:rsidRPr="00F26263">
        <w:rPr>
          <w:sz w:val="24"/>
          <w:szCs w:val="24"/>
        </w:rPr>
        <w:t>rograms establish min</w:t>
      </w:r>
      <w:r w:rsidR="6B4BCD31" w:rsidRPr="00F26263">
        <w:rPr>
          <w:sz w:val="24"/>
          <w:szCs w:val="24"/>
        </w:rPr>
        <w:t>i</w:t>
      </w:r>
      <w:r w:rsidR="2BD96010" w:rsidRPr="00F26263">
        <w:rPr>
          <w:sz w:val="24"/>
          <w:szCs w:val="24"/>
        </w:rPr>
        <w:t>mum qualifications for advisors.</w:t>
      </w:r>
      <w:r w:rsidR="00F26263" w:rsidRPr="00F26263">
        <w:rPr>
          <w:sz w:val="24"/>
          <w:szCs w:val="24"/>
        </w:rPr>
        <w:t xml:space="preserve"> (Note: Programs may request a waiver to hire a teacher who is currently enrolled in college and within 2 years of completion of </w:t>
      </w:r>
      <w:r w:rsidR="00F26263">
        <w:rPr>
          <w:sz w:val="24"/>
          <w:szCs w:val="24"/>
        </w:rPr>
        <w:t>a</w:t>
      </w:r>
      <w:r w:rsidR="00F26263" w:rsidRPr="00F26263">
        <w:rPr>
          <w:sz w:val="24"/>
          <w:szCs w:val="24"/>
        </w:rPr>
        <w:t xml:space="preserve"> bachelor’s degree.</w:t>
      </w:r>
    </w:p>
    <w:p w14:paraId="1D8730E3" w14:textId="2F8360EF" w:rsidR="007E41EE" w:rsidRPr="0079354F" w:rsidRDefault="007E41EE">
      <w:pPr>
        <w:sectPr w:rsidR="007E41EE" w:rsidRPr="0079354F" w:rsidSect="00BD4638">
          <w:headerReference w:type="default" r:id="rId159"/>
          <w:pgSz w:w="12240" w:h="15840"/>
          <w:pgMar w:top="1008" w:right="1440" w:bottom="576" w:left="1440" w:header="720" w:footer="720" w:gutter="0"/>
          <w:cols w:space="720"/>
          <w:docGrid w:linePitch="360"/>
        </w:sectPr>
      </w:pPr>
    </w:p>
    <w:p w14:paraId="666B40F7" w14:textId="3A4480FC" w:rsidR="007C6919" w:rsidRPr="0079354F" w:rsidRDefault="00AF2BD6" w:rsidP="1E8607B9">
      <w:pPr>
        <w:pStyle w:val="Heading2"/>
        <w:spacing w:before="0"/>
        <w:rPr>
          <w:b/>
          <w:color w:val="E36C0A" w:themeColor="accent6" w:themeShade="BF"/>
        </w:rPr>
      </w:pPr>
      <w:bookmarkStart w:id="89" w:name="_Toc109196012"/>
      <w:r w:rsidRPr="1E8607B9">
        <w:rPr>
          <w:rStyle w:val="Hyperlink"/>
          <w:rFonts w:eastAsia="Batang"/>
          <w:b/>
          <w:color w:val="E36C0A" w:themeColor="accent6" w:themeShade="BF"/>
          <w:u w:val="none"/>
        </w:rPr>
        <w:t xml:space="preserve">Chapter </w:t>
      </w:r>
      <w:r w:rsidR="00070C06" w:rsidRPr="1E8607B9">
        <w:rPr>
          <w:rStyle w:val="Hyperlink"/>
          <w:rFonts w:eastAsia="Batang"/>
          <w:b/>
          <w:color w:val="E36C0A" w:themeColor="accent6" w:themeShade="BF"/>
          <w:u w:val="none"/>
        </w:rPr>
        <w:t>9</w:t>
      </w:r>
      <w:r w:rsidRPr="1E8607B9">
        <w:rPr>
          <w:rStyle w:val="Hyperlink"/>
          <w:rFonts w:eastAsia="Batang"/>
          <w:b/>
          <w:color w:val="E36C0A" w:themeColor="accent6" w:themeShade="BF"/>
          <w:u w:val="none"/>
        </w:rPr>
        <w:t xml:space="preserve">:  </w:t>
      </w:r>
      <w:bookmarkStart w:id="90" w:name="_Toc514673632"/>
      <w:r w:rsidR="000026A7">
        <w:fldChar w:fldCharType="begin"/>
      </w:r>
      <w:r w:rsidR="000026A7">
        <w:instrText xml:space="preserve"> HYPERLINK \l "_Toc468698127" \h </w:instrText>
      </w:r>
      <w:r w:rsidR="000026A7">
        <w:fldChar w:fldCharType="separate"/>
      </w:r>
      <w:r w:rsidR="007C6919" w:rsidRPr="1E8607B9">
        <w:rPr>
          <w:rStyle w:val="Hyperlink"/>
          <w:rFonts w:eastAsia="Batang"/>
          <w:b/>
          <w:color w:val="E36C0A" w:themeColor="accent6" w:themeShade="BF"/>
          <w:u w:val="none"/>
        </w:rPr>
        <w:t xml:space="preserve">Indicator </w:t>
      </w:r>
      <w:r w:rsidR="00070C06" w:rsidRPr="1E8607B9">
        <w:rPr>
          <w:rStyle w:val="Hyperlink"/>
          <w:rFonts w:eastAsia="Batang"/>
          <w:b/>
          <w:color w:val="E36C0A" w:themeColor="accent6" w:themeShade="BF"/>
          <w:u w:val="none"/>
        </w:rPr>
        <w:t>9</w:t>
      </w:r>
      <w:r w:rsidR="007C6919" w:rsidRPr="1E8607B9">
        <w:rPr>
          <w:rStyle w:val="Hyperlink"/>
          <w:rFonts w:eastAsia="Batang"/>
          <w:b/>
          <w:color w:val="E36C0A" w:themeColor="accent6" w:themeShade="BF"/>
          <w:u w:val="none"/>
        </w:rPr>
        <w:t>:  Educational Leadership</w:t>
      </w:r>
      <w:bookmarkEnd w:id="89"/>
      <w:r w:rsidR="000026A7">
        <w:rPr>
          <w:rStyle w:val="Hyperlink"/>
          <w:rFonts w:eastAsia="Batang"/>
          <w:b/>
          <w:color w:val="E36C0A" w:themeColor="accent6" w:themeShade="BF"/>
          <w:u w:val="none"/>
        </w:rPr>
        <w:fldChar w:fldCharType="end"/>
      </w:r>
      <w:bookmarkEnd w:id="90"/>
    </w:p>
    <w:p w14:paraId="6BA96EFF"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bookmarkStart w:id="91" w:name="_Toc514673633"/>
      <w:r w:rsidRPr="0079354F">
        <w:rPr>
          <w:rStyle w:val="normaltextrun"/>
          <w:rFonts w:ascii="Times New Roman" w:hAnsi="Times New Roman" w:cs="Times New Roman"/>
          <w:sz w:val="24"/>
          <w:szCs w:val="24"/>
        </w:rPr>
        <w:t>Educational leaders matter. They help the programs they lead navigate challenging environments, align curriculum to learning standards, and adapt to advances in technology and policy directives from federal and state governments as they emerge. Amid this complex environment, they create and sustain the conditions that enable powerful teaching and learning to occur. They:</w:t>
      </w:r>
    </w:p>
    <w:p w14:paraId="5E142160" w14:textId="77777777" w:rsidR="006A3FC0" w:rsidRPr="0079354F" w:rsidRDefault="006A3FC0" w:rsidP="00FC65BD">
      <w:pPr>
        <w:pStyle w:val="paragraph"/>
        <w:numPr>
          <w:ilvl w:val="0"/>
          <w:numId w:val="58"/>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Promote the collaborative creation, shared understanding of, and commitment to the program's mission, vision, and core values within the program and align all program decisions, practices, policies, and resources to the program's mission and vision;</w:t>
      </w:r>
    </w:p>
    <w:p w14:paraId="455139B7" w14:textId="77777777" w:rsidR="006A3FC0" w:rsidRPr="0079354F" w:rsidRDefault="006A3FC0" w:rsidP="00FC65BD">
      <w:pPr>
        <w:pStyle w:val="paragraph"/>
        <w:numPr>
          <w:ilvl w:val="0"/>
          <w:numId w:val="58"/>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Assure the alignment of intellectually challenging curriculum to required state learning standards, research-based instructional practices, and formative and summative assessments to promote all students’ academic success;</w:t>
      </w:r>
    </w:p>
    <w:p w14:paraId="581FF327" w14:textId="77777777" w:rsidR="006A3FC0" w:rsidRPr="0079354F" w:rsidRDefault="006A3FC0" w:rsidP="00FC65BD">
      <w:pPr>
        <w:pStyle w:val="paragraph"/>
        <w:numPr>
          <w:ilvl w:val="0"/>
          <w:numId w:val="58"/>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Create and support a diverse, equitable, and inclusive environment;</w:t>
      </w:r>
    </w:p>
    <w:p w14:paraId="5CBFF88E" w14:textId="6C0A5A8C" w:rsidR="006A3FC0" w:rsidRPr="0079354F" w:rsidRDefault="006A3FC0" w:rsidP="0ADF2C45">
      <w:pPr>
        <w:pStyle w:val="paragraph"/>
        <w:numPr>
          <w:ilvl w:val="0"/>
          <w:numId w:val="59"/>
        </w:numPr>
        <w:tabs>
          <w:tab w:val="clear" w:pos="720"/>
        </w:tabs>
        <w:spacing w:before="0" w:beforeAutospacing="0" w:after="0" w:afterAutospacing="0"/>
        <w:textAlignment w:val="baseline"/>
        <w:rPr>
          <w:rFonts w:ascii="Times New Roman" w:hAnsi="Times New Roman" w:cs="Times New Roman"/>
          <w:sz w:val="24"/>
          <w:szCs w:val="24"/>
        </w:rPr>
      </w:pPr>
      <w:r w:rsidRPr="0ADF2C45">
        <w:rPr>
          <w:rStyle w:val="normaltextrun"/>
          <w:rFonts w:ascii="Times New Roman" w:hAnsi="Times New Roman" w:cs="Times New Roman"/>
          <w:sz w:val="24"/>
          <w:szCs w:val="24"/>
        </w:rPr>
        <w:t>Promote reflection, shared responsibility, and clear communication while maintaining high expectations for all students and staff;</w:t>
      </w:r>
    </w:p>
    <w:p w14:paraId="4BAF542D" w14:textId="418E5D3B" w:rsidR="006A3FC0" w:rsidRPr="0079354F" w:rsidRDefault="006A3FC0" w:rsidP="00FC65BD">
      <w:pPr>
        <w:pStyle w:val="paragraph"/>
        <w:numPr>
          <w:ilvl w:val="0"/>
          <w:numId w:val="59"/>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Use the </w:t>
      </w:r>
      <w:hyperlink r:id="rId160" w:tgtFrame="_blank" w:history="1">
        <w:r w:rsidR="00561F56" w:rsidRPr="0079354F">
          <w:rPr>
            <w:rStyle w:val="normaltextrun"/>
            <w:rFonts w:ascii="Times New Roman" w:hAnsi="Times New Roman" w:cs="Times New Roman"/>
            <w:color w:val="0000FF"/>
            <w:sz w:val="24"/>
            <w:szCs w:val="24"/>
            <w:u w:val="single"/>
          </w:rPr>
          <w:t>AE professional</w:t>
        </w:r>
        <w:r w:rsidRPr="0079354F">
          <w:rPr>
            <w:rStyle w:val="normaltextrun"/>
            <w:rFonts w:ascii="Times New Roman" w:hAnsi="Times New Roman" w:cs="Times New Roman"/>
            <w:color w:val="0000FF"/>
            <w:sz w:val="24"/>
            <w:szCs w:val="24"/>
            <w:u w:val="single"/>
          </w:rPr>
          <w:t xml:space="preserve"> standards</w:t>
        </w:r>
      </w:hyperlink>
      <w:r w:rsidRPr="0079354F">
        <w:rPr>
          <w:rStyle w:val="superscript"/>
          <w:rFonts w:ascii="Times New Roman" w:hAnsi="Times New Roman" w:cs="Times New Roman"/>
          <w:sz w:val="24"/>
          <w:szCs w:val="24"/>
          <w:vertAlign w:val="superscript"/>
        </w:rPr>
        <w:t>39</w:t>
      </w:r>
      <w:r w:rsidRPr="0079354F">
        <w:rPr>
          <w:rStyle w:val="normaltextrun"/>
          <w:rFonts w:ascii="Times New Roman" w:hAnsi="Times New Roman" w:cs="Times New Roman"/>
          <w:sz w:val="24"/>
          <w:szCs w:val="24"/>
        </w:rPr>
        <w:t xml:space="preserve"> to provide on-going observation and supervision and ensure that all teachers design and deliver high quality curriculum and instruction;</w:t>
      </w:r>
    </w:p>
    <w:p w14:paraId="203D0E1A" w14:textId="77777777" w:rsidR="006A3FC0" w:rsidRPr="0079354F" w:rsidRDefault="006A3FC0" w:rsidP="0ADF2C45">
      <w:pPr>
        <w:pStyle w:val="paragraph"/>
        <w:numPr>
          <w:ilvl w:val="0"/>
          <w:numId w:val="59"/>
        </w:numPr>
        <w:tabs>
          <w:tab w:val="clear" w:pos="720"/>
        </w:tabs>
        <w:spacing w:before="0" w:beforeAutospacing="0" w:after="0" w:afterAutospacing="0"/>
        <w:textAlignment w:val="baseline"/>
        <w:rPr>
          <w:rFonts w:ascii="Times New Roman" w:hAnsi="Times New Roman" w:cs="Times New Roman"/>
          <w:sz w:val="24"/>
          <w:szCs w:val="24"/>
        </w:rPr>
      </w:pPr>
      <w:r w:rsidRPr="0ADF2C45">
        <w:rPr>
          <w:rStyle w:val="normaltextrun"/>
          <w:rFonts w:ascii="Times New Roman" w:hAnsi="Times New Roman" w:cs="Times New Roman"/>
          <w:sz w:val="24"/>
          <w:szCs w:val="24"/>
        </w:rPr>
        <w:t>Build the individual and collective capacity of the entire staff through differentiated supervision, coaching, and evaluation practices and cultivate a program culture of continuous improvement and reflective growth for self and staff;</w:t>
      </w:r>
    </w:p>
    <w:p w14:paraId="6152C76C" w14:textId="77777777" w:rsidR="006A3FC0" w:rsidRPr="0079354F" w:rsidRDefault="006A3FC0" w:rsidP="00FC65BD">
      <w:pPr>
        <w:pStyle w:val="paragraph"/>
        <w:numPr>
          <w:ilvl w:val="0"/>
          <w:numId w:val="59"/>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Collect and analyze a variety of instructional, program, and regional data to inform decisions; and</w:t>
      </w:r>
    </w:p>
    <w:p w14:paraId="3FB95B1E" w14:textId="77777777" w:rsidR="006A3FC0" w:rsidRPr="0079354F" w:rsidRDefault="006A3FC0" w:rsidP="00FC65BD">
      <w:pPr>
        <w:pStyle w:val="paragraph"/>
        <w:numPr>
          <w:ilvl w:val="0"/>
          <w:numId w:val="59"/>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Engage in a continuous improvement planning process that involves all stakeholders, including students, and incorporates their feedback, reflections, and recommendations for improvement.</w:t>
      </w:r>
    </w:p>
    <w:p w14:paraId="44E9626B"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p>
    <w:p w14:paraId="48717884"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For more information on educational </w:t>
      </w:r>
      <w:r w:rsidRPr="0079354F">
        <w:rPr>
          <w:rStyle w:val="findhit"/>
          <w:rFonts w:ascii="Times New Roman" w:hAnsi="Times New Roman" w:cs="Times New Roman"/>
          <w:sz w:val="24"/>
          <w:szCs w:val="24"/>
        </w:rPr>
        <w:t>leadership</w:t>
      </w:r>
      <w:r w:rsidRPr="0079354F">
        <w:rPr>
          <w:rStyle w:val="normaltextrun"/>
          <w:rFonts w:ascii="Times New Roman" w:hAnsi="Times New Roman" w:cs="Times New Roman"/>
          <w:sz w:val="24"/>
          <w:szCs w:val="24"/>
        </w:rPr>
        <w:t xml:space="preserve">, see Appendix C and the </w:t>
      </w:r>
      <w:hyperlink r:id="rId161" w:tgtFrame="_blank" w:history="1">
        <w:r w:rsidRPr="0079354F">
          <w:rPr>
            <w:rStyle w:val="normaltextrun"/>
            <w:rFonts w:ascii="Times New Roman" w:hAnsi="Times New Roman" w:cs="Times New Roman"/>
            <w:color w:val="0000FF"/>
            <w:sz w:val="24"/>
            <w:szCs w:val="24"/>
            <w:u w:val="single"/>
          </w:rPr>
          <w:t>SABES Program Support PD Center</w:t>
        </w:r>
      </w:hyperlink>
      <w:r w:rsidRPr="0079354F">
        <w:rPr>
          <w:rStyle w:val="normaltextrun"/>
          <w:rFonts w:ascii="Times New Roman" w:hAnsi="Times New Roman" w:cs="Times New Roman"/>
          <w:sz w:val="24"/>
          <w:szCs w:val="24"/>
        </w:rPr>
        <w:t>.</w:t>
      </w:r>
    </w:p>
    <w:p w14:paraId="160AA275" w14:textId="77777777" w:rsidR="00FE787F" w:rsidRPr="0079354F" w:rsidRDefault="00FE787F" w:rsidP="00A36A19">
      <w:pPr>
        <w:pStyle w:val="Heading3"/>
      </w:pPr>
    </w:p>
    <w:p w14:paraId="31072CC2" w14:textId="77777777" w:rsidR="00FE787F" w:rsidRPr="00E07BD0" w:rsidRDefault="00FE787F" w:rsidP="00A36A19">
      <w:pPr>
        <w:pStyle w:val="Heading3"/>
        <w:rPr>
          <w:b/>
          <w:bCs/>
        </w:rPr>
      </w:pPr>
      <w:bookmarkStart w:id="92" w:name="_Toc109196013"/>
      <w:r w:rsidRPr="1E8607B9">
        <w:rPr>
          <w:b/>
          <w:bCs/>
        </w:rPr>
        <w:t>New Staff</w:t>
      </w:r>
      <w:bookmarkEnd w:id="91"/>
      <w:bookmarkEnd w:id="92"/>
    </w:p>
    <w:p w14:paraId="7B4CE889" w14:textId="361A5B76" w:rsidR="00FE787F" w:rsidRPr="0079354F" w:rsidRDefault="00FE787F" w:rsidP="00FE787F">
      <w:r>
        <w:t>ACLS provides an annual multi-session New Directors’ Orientation (NDO) that includes information and resources designed to support the effective operation of a program. NDO agendas in previous years have included</w:t>
      </w:r>
      <w:r w:rsidR="008D1961">
        <w:t xml:space="preserve"> presentations</w:t>
      </w:r>
      <w:r w:rsidR="00A44277">
        <w:t xml:space="preserve">, </w:t>
      </w:r>
      <w:r>
        <w:t xml:space="preserve">tours of the </w:t>
      </w:r>
      <w:hyperlink r:id="rId162">
        <w:r w:rsidRPr="23CFD7A5">
          <w:rPr>
            <w:rStyle w:val="Hyperlink"/>
          </w:rPr>
          <w:t>ACLS website</w:t>
        </w:r>
      </w:hyperlink>
      <w:r>
        <w:t xml:space="preserve">, reviews of the </w:t>
      </w:r>
      <w:hyperlink r:id="rId163">
        <w:r w:rsidRPr="23CFD7A5">
          <w:rPr>
            <w:rStyle w:val="Hyperlink"/>
            <w:i/>
            <w:iCs/>
          </w:rPr>
          <w:t>Policies</w:t>
        </w:r>
      </w:hyperlink>
      <w:r w:rsidR="00A44277" w:rsidRPr="23CFD7A5">
        <w:rPr>
          <w:rStyle w:val="Hyperlink"/>
          <w:color w:val="auto"/>
          <w:u w:val="none"/>
        </w:rPr>
        <w:t xml:space="preserve"> including the Indicators of Program Quality (IPQs)</w:t>
      </w:r>
      <w:r w:rsidR="008D1961" w:rsidRPr="23CFD7A5">
        <w:rPr>
          <w:rStyle w:val="Hyperlink"/>
          <w:color w:val="auto"/>
          <w:u w:val="none"/>
        </w:rPr>
        <w:t xml:space="preserve"> and </w:t>
      </w:r>
      <w:r w:rsidR="00A44277" w:rsidRPr="23CFD7A5">
        <w:rPr>
          <w:rStyle w:val="Hyperlink"/>
          <w:color w:val="auto"/>
          <w:u w:val="none"/>
        </w:rPr>
        <w:t>LACES data collection</w:t>
      </w:r>
      <w:r>
        <w:t xml:space="preserve">, presentations from </w:t>
      </w:r>
      <w:hyperlink r:id="rId164">
        <w:r w:rsidRPr="23CFD7A5">
          <w:rPr>
            <w:rStyle w:val="Hyperlink"/>
          </w:rPr>
          <w:t>EdGrants</w:t>
        </w:r>
      </w:hyperlink>
      <w:r>
        <w:t xml:space="preserve"> </w:t>
      </w:r>
      <w:r w:rsidR="00A44277">
        <w:t>staff</w:t>
      </w:r>
      <w:r>
        <w:t xml:space="preserve">, and one </w:t>
      </w:r>
      <w:r w:rsidR="006A3FC0">
        <w:t>to</w:t>
      </w:r>
      <w:r>
        <w:t xml:space="preserve"> one meetings with PS. </w:t>
      </w:r>
      <w:r w:rsidR="00A7587A">
        <w:t>While the NDO is not required, n</w:t>
      </w:r>
      <w:r>
        <w:t xml:space="preserve">ew and veteran directors alike report that participation in the NDO is useful, so much so that directors in their second year often request permission to participate for a second time. </w:t>
      </w:r>
      <w:hyperlink r:id="rId165">
        <w:r w:rsidRPr="23CFD7A5">
          <w:rPr>
            <w:color w:val="0000FF"/>
            <w:u w:val="single"/>
          </w:rPr>
          <w:t>SABES</w:t>
        </w:r>
      </w:hyperlink>
      <w:r w:rsidRPr="23CFD7A5">
        <w:rPr>
          <w:color w:val="0000FF"/>
        </w:rPr>
        <w:t xml:space="preserve"> </w:t>
      </w:r>
      <w:r>
        <w:t>also provides supports for new directors.</w:t>
      </w:r>
    </w:p>
    <w:p w14:paraId="5081DCB5" w14:textId="77777777" w:rsidR="00FE787F" w:rsidRPr="0079354F" w:rsidRDefault="00FE787F" w:rsidP="00FE787F"/>
    <w:p w14:paraId="0E0EF5C5" w14:textId="0D975D7A" w:rsidR="0049785A" w:rsidRPr="0079354F" w:rsidRDefault="00D40D2D" w:rsidP="00FE787F">
      <w:r>
        <w:t xml:space="preserve">Unless a condition due to a corrective action plan or waiver, </w:t>
      </w:r>
      <w:r w:rsidR="00FE787F" w:rsidRPr="0079354F">
        <w:t xml:space="preserve">ACLS does not require new teachers or advisors to participate in mandatory training. However, </w:t>
      </w:r>
      <w:hyperlink r:id="rId166">
        <w:r w:rsidR="00FE787F" w:rsidRPr="0079354F">
          <w:rPr>
            <w:color w:val="0000FF"/>
            <w:u w:val="single"/>
          </w:rPr>
          <w:t>SABES</w:t>
        </w:r>
      </w:hyperlink>
      <w:r w:rsidR="00FE787F" w:rsidRPr="0079354F">
        <w:t xml:space="preserve"> provides resources, technical assistance, and PD specifically designed to support new teachers and advisors.</w:t>
      </w:r>
    </w:p>
    <w:p w14:paraId="24D7DDAA" w14:textId="77777777" w:rsidR="00FE787F" w:rsidRPr="0079354F" w:rsidRDefault="00FE787F" w:rsidP="00FE787F"/>
    <w:p w14:paraId="085F7FD4" w14:textId="5F38A5EC" w:rsidR="00FE787F" w:rsidRPr="00E07BD0" w:rsidRDefault="00FE787F" w:rsidP="00A36A19">
      <w:pPr>
        <w:pStyle w:val="Heading3"/>
        <w:rPr>
          <w:b/>
          <w:bCs/>
        </w:rPr>
      </w:pPr>
      <w:bookmarkStart w:id="93" w:name="_Toc109196014"/>
      <w:r w:rsidRPr="1E8607B9">
        <w:rPr>
          <w:b/>
          <w:bCs/>
        </w:rPr>
        <w:t>High</w:t>
      </w:r>
      <w:r w:rsidR="00A7587A" w:rsidRPr="1E8607B9">
        <w:rPr>
          <w:b/>
          <w:bCs/>
        </w:rPr>
        <w:t xml:space="preserve"> </w:t>
      </w:r>
      <w:r w:rsidRPr="1E8607B9">
        <w:rPr>
          <w:b/>
          <w:bCs/>
        </w:rPr>
        <w:t>Quality Resources for PD</w:t>
      </w:r>
      <w:bookmarkEnd w:id="93"/>
    </w:p>
    <w:p w14:paraId="52B79CEA" w14:textId="191DF729" w:rsidR="00FE787F" w:rsidRPr="0079354F" w:rsidRDefault="00FE787F" w:rsidP="00FE787F">
      <w:r w:rsidRPr="0079354F">
        <w:t>PD is a strategy used to enable educators to expand and refine their practice and impact student learning. High</w:t>
      </w:r>
      <w:r w:rsidR="00A7587A" w:rsidRPr="0079354F">
        <w:t xml:space="preserve"> </w:t>
      </w:r>
      <w:r w:rsidRPr="0079354F">
        <w:t>quality PD (HQPD) is PD that addresses the unique context of adult education and provides coherent learning experiences that are systematic, purposeful, and structured over a sustained period of time. It is provided by highly knowledgeable content experts and is based on student-centered, data-driven goals and objectives.</w:t>
      </w:r>
    </w:p>
    <w:p w14:paraId="690B9FFC" w14:textId="77777777" w:rsidR="00FE787F" w:rsidRPr="0079354F" w:rsidRDefault="00FE787F" w:rsidP="00FE787F"/>
    <w:p w14:paraId="7E0584B9" w14:textId="6FF47950" w:rsidR="00FE787F"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High quality resources include the Professional Adult Educator online course for </w:t>
      </w:r>
      <w:r w:rsidRPr="0079354F">
        <w:rPr>
          <w:rStyle w:val="normaltextrun"/>
          <w:rFonts w:ascii="Times New Roman" w:hAnsi="Times New Roman" w:cs="Times New Roman"/>
          <w:color w:val="000000"/>
          <w:sz w:val="24"/>
          <w:szCs w:val="24"/>
        </w:rPr>
        <w:t xml:space="preserve">new and experienced teachers learning to use the Massachusetts professional standards for </w:t>
      </w:r>
      <w:hyperlink r:id="rId167" w:history="1">
        <w:r w:rsidRPr="0079354F">
          <w:rPr>
            <w:rStyle w:val="Hyperlink"/>
            <w:rFonts w:ascii="Times New Roman" w:hAnsi="Times New Roman" w:cs="Times New Roman"/>
            <w:sz w:val="24"/>
            <w:szCs w:val="24"/>
          </w:rPr>
          <w:t>ABE</w:t>
        </w:r>
      </w:hyperlink>
      <w:r w:rsidRPr="0079354F">
        <w:rPr>
          <w:rStyle w:val="normaltextrun"/>
          <w:rFonts w:ascii="Times New Roman" w:hAnsi="Times New Roman" w:cs="Times New Roman"/>
          <w:color w:val="000000"/>
          <w:sz w:val="24"/>
          <w:szCs w:val="24"/>
        </w:rPr>
        <w:t xml:space="preserve"> and </w:t>
      </w:r>
      <w:hyperlink r:id="rId168" w:history="1">
        <w:r w:rsidRPr="0079354F">
          <w:rPr>
            <w:rStyle w:val="Hyperlink"/>
            <w:rFonts w:ascii="Times New Roman" w:hAnsi="Times New Roman" w:cs="Times New Roman"/>
            <w:sz w:val="24"/>
            <w:szCs w:val="24"/>
          </w:rPr>
          <w:t>ESOL</w:t>
        </w:r>
      </w:hyperlink>
      <w:r w:rsidRPr="0079354F">
        <w:rPr>
          <w:rStyle w:val="normaltextrun"/>
          <w:rFonts w:ascii="Times New Roman" w:hAnsi="Times New Roman" w:cs="Times New Roman"/>
          <w:color w:val="000000"/>
          <w:sz w:val="24"/>
          <w:szCs w:val="24"/>
        </w:rPr>
        <w:t xml:space="preserve"> teachers to enhance their teaching practice. For advisors, high quality resources include the Art of Advising for staff who are new to the role of education and career advising and the regional facilitated Advisor Sharing and Learning Group meetings. </w:t>
      </w:r>
      <w:r w:rsidRPr="0079354F">
        <w:rPr>
          <w:rStyle w:val="normaltextrun"/>
          <w:rFonts w:ascii="Times New Roman" w:hAnsi="Times New Roman" w:cs="Times New Roman"/>
          <w:sz w:val="24"/>
          <w:szCs w:val="24"/>
        </w:rPr>
        <w:t>Programs may create opportunities for staff – directors, teachers, and advisors – to participate in HQPD individually and/or in teams to ensure that all students are prepared for further education and/or training</w:t>
      </w:r>
      <w:r w:rsidR="00FE787F" w:rsidRPr="0079354F">
        <w:rPr>
          <w:rFonts w:ascii="Times New Roman" w:hAnsi="Times New Roman" w:cs="Times New Roman"/>
          <w:sz w:val="24"/>
          <w:szCs w:val="24"/>
        </w:rPr>
        <w:t>.</w:t>
      </w:r>
    </w:p>
    <w:p w14:paraId="34C1A8EA" w14:textId="3A77322D" w:rsidR="00FE787F" w:rsidRPr="0079354F" w:rsidRDefault="00FE787F" w:rsidP="00FE787F"/>
    <w:p w14:paraId="0B7CA891" w14:textId="77777777" w:rsidR="00EA0996" w:rsidRPr="0079354F" w:rsidRDefault="00EA0996" w:rsidP="00EA0996">
      <w:r w:rsidRPr="0079354F">
        <w:t xml:space="preserve">For more information on PD and HQPD, see </w:t>
      </w:r>
      <w:hyperlink r:id="rId169" w:history="1">
        <w:r w:rsidRPr="0079354F">
          <w:rPr>
            <w:rStyle w:val="Hyperlink"/>
          </w:rPr>
          <w:t>http://www.doe.mass.edu/acls/pd/</w:t>
        </w:r>
      </w:hyperlink>
      <w:r w:rsidRPr="0079354F">
        <w:t xml:space="preserve"> and </w:t>
      </w:r>
      <w:hyperlink r:id="rId170" w:history="1">
        <w:r w:rsidRPr="0079354F">
          <w:rPr>
            <w:rStyle w:val="Hyperlink"/>
          </w:rPr>
          <w:t>SABES</w:t>
        </w:r>
      </w:hyperlink>
      <w:r w:rsidRPr="0079354F">
        <w:rPr>
          <w:rStyle w:val="Hyperlink"/>
          <w:color w:val="auto"/>
          <w:u w:val="none"/>
        </w:rPr>
        <w:t>.</w:t>
      </w:r>
    </w:p>
    <w:p w14:paraId="2D857BE7" w14:textId="2DBE92D4" w:rsidR="00EA0996" w:rsidRPr="0079354F" w:rsidRDefault="00EA0996" w:rsidP="00FE787F"/>
    <w:p w14:paraId="0A932D1D" w14:textId="5085EDD0" w:rsidR="00EA0996" w:rsidRPr="00295F52" w:rsidRDefault="00EA0996" w:rsidP="00A36A19">
      <w:pPr>
        <w:pStyle w:val="Heading3"/>
        <w:rPr>
          <w:b/>
          <w:bCs/>
        </w:rPr>
      </w:pPr>
      <w:bookmarkStart w:id="94" w:name="_Toc109196015"/>
      <w:bookmarkStart w:id="95" w:name="_Toc514673635"/>
      <w:r w:rsidRPr="1E8607B9">
        <w:rPr>
          <w:b/>
          <w:bCs/>
        </w:rPr>
        <w:t>Professional Standards</w:t>
      </w:r>
      <w:bookmarkEnd w:id="94"/>
    </w:p>
    <w:p w14:paraId="54C547BF" w14:textId="71150CF9" w:rsidR="00FE787F" w:rsidRPr="0079354F" w:rsidRDefault="00FE787F" w:rsidP="00FE787F">
      <w:r w:rsidRPr="0079354F">
        <w:rPr>
          <w:shd w:val="clear" w:color="auto" w:fill="FFFFFF"/>
        </w:rPr>
        <w:t xml:space="preserve">Massachusetts </w:t>
      </w:r>
      <w:r w:rsidR="00296B41" w:rsidRPr="0079354F">
        <w:rPr>
          <w:shd w:val="clear" w:color="auto" w:fill="FFFFFF"/>
        </w:rPr>
        <w:t>AE</w:t>
      </w:r>
      <w:r w:rsidRPr="0079354F">
        <w:rPr>
          <w:shd w:val="clear" w:color="auto" w:fill="FFFFFF"/>
        </w:rPr>
        <w:t xml:space="preserve"> students deserve high</w:t>
      </w:r>
      <w:r w:rsidR="00A7587A" w:rsidRPr="0079354F">
        <w:rPr>
          <w:shd w:val="clear" w:color="auto" w:fill="FFFFFF"/>
        </w:rPr>
        <w:t xml:space="preserve"> </w:t>
      </w:r>
      <w:r w:rsidRPr="0079354F">
        <w:rPr>
          <w:shd w:val="clear" w:color="auto" w:fill="FFFFFF"/>
        </w:rPr>
        <w:t>quality, standards-based instruction provided by effective, self-reflective teachers dedicated to improving teaching practice and achieving student outcomes.</w:t>
      </w:r>
    </w:p>
    <w:p w14:paraId="2F5E4460" w14:textId="77777777" w:rsidR="00FE787F" w:rsidRPr="0079354F" w:rsidRDefault="00FE787F" w:rsidP="00FE787F">
      <w:pPr>
        <w:rPr>
          <w:shd w:val="clear" w:color="auto" w:fill="FFFFFF"/>
        </w:rPr>
      </w:pPr>
    </w:p>
    <w:p w14:paraId="4E71F67C" w14:textId="4F9FACF5" w:rsidR="00FE787F" w:rsidRPr="0079354F" w:rsidRDefault="446277BD" w:rsidP="00FE787F">
      <w:r w:rsidRPr="0079354F">
        <w:rPr>
          <w:shd w:val="clear" w:color="auto" w:fill="FFFFFF"/>
        </w:rPr>
        <w:t xml:space="preserve">The </w:t>
      </w:r>
      <w:hyperlink r:id="rId171" w:history="1">
        <w:r w:rsidRPr="0079354F">
          <w:rPr>
            <w:rStyle w:val="Hyperlink"/>
            <w:shd w:val="clear" w:color="auto" w:fill="FFFFFF"/>
          </w:rPr>
          <w:t>Massachusetts Professional Standards for Teachers of Adult Basic Education</w:t>
        </w:r>
      </w:hyperlink>
      <w:r w:rsidRPr="0079354F">
        <w:rPr>
          <w:rStyle w:val="Hyperlink"/>
          <w:color w:val="auto"/>
          <w:u w:val="none"/>
          <w:shd w:val="clear" w:color="auto" w:fill="FFFFFF"/>
        </w:rPr>
        <w:t xml:space="preserve"> and the </w:t>
      </w:r>
      <w:hyperlink r:id="rId172" w:history="1">
        <w:r w:rsidRPr="0079354F">
          <w:rPr>
            <w:rStyle w:val="Hyperlink"/>
            <w:shd w:val="clear" w:color="auto" w:fill="FFFFFF"/>
          </w:rPr>
          <w:t>Massachusetts Professional Standards for Teachers of English for Speakers of Other Languages</w:t>
        </w:r>
      </w:hyperlink>
      <w:r w:rsidRPr="0079354F">
        <w:t>,</w:t>
      </w:r>
      <w:r w:rsidRPr="0079354F">
        <w:rPr>
          <w:rStyle w:val="Hyperlink"/>
          <w:color w:val="auto"/>
          <w:u w:val="none"/>
          <w:shd w:val="clear" w:color="auto" w:fill="FFFFFF"/>
        </w:rPr>
        <w:t xml:space="preserve"> developed by </w:t>
      </w:r>
      <w:r w:rsidRPr="0079354F">
        <w:rPr>
          <w:shd w:val="clear" w:color="auto" w:fill="FFFFFF"/>
        </w:rPr>
        <w:t xml:space="preserve">ACLS staff, SABES staff, and adult education practitioners, describe what is important for adult education teachers of ELA, mathematics, and ESOL to know and be able to do. These standards cover topics such as subject matter knowledge, second language acquisition, curriculum planning and instructional delivery, student engagement and differentiated instruction, instilling a growth mindset, and meeting the diverse needs of learners. </w:t>
      </w:r>
      <w:r w:rsidRPr="0079354F">
        <w:t xml:space="preserve">The standards can also be used by directors </w:t>
      </w:r>
      <w:r w:rsidR="18D9929E" w:rsidRPr="0079354F">
        <w:t xml:space="preserve">to inform </w:t>
      </w:r>
      <w:r w:rsidRPr="0079354F">
        <w:t>hiring, observing, and/or evaluating teachers, as well as by teachers for reflecting on their own practice.</w:t>
      </w:r>
    </w:p>
    <w:p w14:paraId="0509C433" w14:textId="77777777" w:rsidR="00FE787F" w:rsidRPr="0079354F" w:rsidRDefault="00FE787F" w:rsidP="00FE787F"/>
    <w:p w14:paraId="178CE696" w14:textId="77777777" w:rsidR="00477475" w:rsidRPr="0079354F" w:rsidRDefault="006A3FC0" w:rsidP="006A3FC0">
      <w:pPr>
        <w:pStyle w:val="paragraph"/>
        <w:spacing w:before="0" w:beforeAutospacing="0" w:after="0" w:afterAutospacing="0"/>
        <w:textAlignment w:val="baseline"/>
        <w:rPr>
          <w:rFonts w:ascii="Times New Roman" w:eastAsia="Times New Roman" w:hAnsi="Times New Roman" w:cs="Times New Roman"/>
          <w:sz w:val="24"/>
          <w:szCs w:val="24"/>
        </w:rPr>
      </w:pPr>
      <w:bookmarkStart w:id="96" w:name="_Toc514673634"/>
      <w:bookmarkEnd w:id="95"/>
      <w:r w:rsidRPr="0079354F">
        <w:rPr>
          <w:rFonts w:ascii="Times New Roman" w:eastAsia="Times New Roman" w:hAnsi="Times New Roman" w:cs="Times New Roman"/>
          <w:sz w:val="24"/>
          <w:szCs w:val="24"/>
        </w:rPr>
        <w:t>Based on the Massachusetts Professional Standards for Teachers of Adult Basic Education and to help the standards come alive, proficiency guides for teachers of ELA and mathematics were developed. These guides describe practical considerations for putting the standards into practice and essential concepts teachers should know and be able to do specific to their discipline. The sample indicators of knowledge and application charts in the Massachusetts Professional Standards for Teachers of English for Speakers of Other Languages include practical sample applications of what ESOL teachers should know and do to be more effective and, therefore, serve as both the standards and the proficiency guide for ESOL.</w:t>
      </w:r>
    </w:p>
    <w:p w14:paraId="4E9CD92D" w14:textId="77777777" w:rsidR="00477475" w:rsidRPr="0079354F" w:rsidRDefault="00477475" w:rsidP="006A3FC0">
      <w:pPr>
        <w:pStyle w:val="paragraph"/>
        <w:spacing w:before="0" w:beforeAutospacing="0" w:after="0" w:afterAutospacing="0"/>
        <w:textAlignment w:val="baseline"/>
        <w:rPr>
          <w:rFonts w:ascii="Times New Roman" w:eastAsia="Times New Roman" w:hAnsi="Times New Roman" w:cs="Times New Roman"/>
          <w:sz w:val="24"/>
          <w:szCs w:val="24"/>
        </w:rPr>
      </w:pPr>
    </w:p>
    <w:p w14:paraId="687F45C0" w14:textId="1376C629" w:rsidR="006A3FC0" w:rsidRPr="0079354F" w:rsidRDefault="006A3FC0" w:rsidP="0ADF2C45">
      <w:pPr>
        <w:pStyle w:val="paragraph"/>
        <w:spacing w:before="0" w:beforeAutospacing="0" w:after="0" w:afterAutospacing="0"/>
        <w:textAlignment w:val="baseline"/>
        <w:rPr>
          <w:rFonts w:ascii="Times New Roman" w:eastAsia="Times New Roman" w:hAnsi="Times New Roman" w:cs="Times New Roman"/>
          <w:sz w:val="24"/>
          <w:szCs w:val="24"/>
        </w:rPr>
      </w:pPr>
      <w:r w:rsidRPr="66C7746C">
        <w:rPr>
          <w:rFonts w:ascii="Times New Roman" w:eastAsia="Times New Roman" w:hAnsi="Times New Roman" w:cs="Times New Roman"/>
          <w:sz w:val="24"/>
          <w:szCs w:val="24"/>
        </w:rPr>
        <w:t>The figure below shows the relationship between the Massachusetts Professional Standards for Teachers of Adult Basic Education, ELA and mathematics proficiency guides, and the Massachusetts Professional Standards for Teachers of Adult Speakers of Other Languages.</w:t>
      </w:r>
    </w:p>
    <w:p w14:paraId="75A3BAC7" w14:textId="77777777" w:rsidR="006A3FC0" w:rsidRPr="0079354F" w:rsidRDefault="006A3FC0" w:rsidP="006A3FC0">
      <w:pPr>
        <w:pStyle w:val="paragraph"/>
        <w:spacing w:before="0" w:beforeAutospacing="0" w:after="0" w:afterAutospacing="0"/>
        <w:textAlignment w:val="baseline"/>
        <w:rPr>
          <w:rStyle w:val="eop"/>
          <w:rFonts w:ascii="Times New Roman" w:hAnsi="Times New Roman" w:cs="Times New Roman"/>
        </w:rPr>
      </w:pPr>
    </w:p>
    <w:p w14:paraId="254150F1" w14:textId="77777777" w:rsidR="006A3FC0" w:rsidRPr="0079354F" w:rsidRDefault="006A3FC0" w:rsidP="006A3FC0">
      <w:pPr>
        <w:spacing w:line="360" w:lineRule="auto"/>
        <w:rPr>
          <w:rFonts w:ascii="Calibri" w:eastAsia="Calibri" w:hAnsi="Calibri" w:cs="Calibri"/>
          <w:bCs/>
          <w:sz w:val="20"/>
          <w:szCs w:val="20"/>
        </w:rPr>
      </w:pPr>
    </w:p>
    <w:p w14:paraId="55CAEFB6" w14:textId="77777777" w:rsidR="006A3FC0" w:rsidRPr="0079354F" w:rsidRDefault="006A3FC0" w:rsidP="006A3FC0">
      <w:pPr>
        <w:spacing w:line="360" w:lineRule="auto"/>
        <w:rPr>
          <w:rFonts w:ascii="Calibri" w:eastAsia="Calibri" w:hAnsi="Calibri" w:cs="Calibri"/>
          <w:bCs/>
          <w:sz w:val="20"/>
          <w:szCs w:val="20"/>
        </w:rPr>
      </w:pPr>
    </w:p>
    <w:p w14:paraId="655B01DD" w14:textId="77777777" w:rsidR="006A3FC0" w:rsidRPr="0079354F" w:rsidRDefault="006A3FC0" w:rsidP="006A3FC0">
      <w:pPr>
        <w:spacing w:line="360" w:lineRule="auto"/>
        <w:rPr>
          <w:rFonts w:ascii="Calibri" w:eastAsia="Calibri" w:hAnsi="Calibri" w:cs="Calibri"/>
          <w:bCs/>
          <w:sz w:val="20"/>
          <w:szCs w:val="20"/>
        </w:rPr>
      </w:pPr>
    </w:p>
    <w:p w14:paraId="6F6378F0" w14:textId="77777777" w:rsidR="006A3FC0" w:rsidRPr="0079354F" w:rsidRDefault="006A3FC0" w:rsidP="006A3FC0">
      <w:pPr>
        <w:pStyle w:val="paragraph"/>
        <w:spacing w:before="0" w:beforeAutospacing="0" w:after="0" w:afterAutospacing="0"/>
        <w:textAlignment w:val="baseline"/>
        <w:rPr>
          <w:rFonts w:ascii="Segoe UI" w:hAnsi="Segoe UI" w:cs="Segoe UI"/>
          <w:color w:val="00B050"/>
          <w:sz w:val="18"/>
          <w:szCs w:val="18"/>
        </w:rPr>
      </w:pPr>
      <w:r w:rsidRPr="0079354F">
        <w:rPr>
          <w:noProof/>
        </w:rPr>
        <mc:AlternateContent>
          <mc:Choice Requires="wps">
            <w:drawing>
              <wp:anchor distT="0" distB="0" distL="114300" distR="114300" simplePos="0" relativeHeight="251658241" behindDoc="0" locked="0" layoutInCell="1" allowOverlap="1" wp14:anchorId="6F7CA625" wp14:editId="79228D58">
                <wp:simplePos x="0" y="0"/>
                <wp:positionH relativeFrom="column">
                  <wp:posOffset>4819650</wp:posOffset>
                </wp:positionH>
                <wp:positionV relativeFrom="paragraph">
                  <wp:posOffset>85725</wp:posOffset>
                </wp:positionV>
                <wp:extent cx="1857375" cy="266700"/>
                <wp:effectExtent l="0" t="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737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7ED6F8" w14:textId="147634D5" w:rsidR="00CA34AD" w:rsidRPr="00B34D42" w:rsidRDefault="00CA34AD" w:rsidP="006A3FC0">
                            <w:pPr>
                              <w:rPr>
                                <w:color w:val="000000" w:themeColor="text1"/>
                                <w:sz w:val="20"/>
                                <w:szCs w:val="20"/>
                              </w:rPr>
                            </w:pPr>
                            <w:r w:rsidRPr="006A3FC0">
                              <w:rPr>
                                <w:color w:val="000000" w:themeColor="text1"/>
                                <w:sz w:val="18"/>
                                <w:szCs w:val="18"/>
                              </w:rPr>
                              <w:t>Includes ESOL proficiency</w:t>
                            </w:r>
                            <w:r>
                              <w:rPr>
                                <w:color w:val="000000" w:themeColor="text1"/>
                                <w:sz w:val="20"/>
                                <w:szCs w:val="20"/>
                              </w:rPr>
                              <w:t xml:space="preserve"> guide</w:t>
                            </w:r>
                            <w:r w:rsidRPr="00B34D42">
                              <w:rPr>
                                <w:color w:val="000000" w:themeColor="text1"/>
                                <w:sz w:val="20"/>
                                <w:szCs w:val="20"/>
                              </w:rPr>
                              <w:t xml:space="preserv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CA625" id="Rectangle 3" o:spid="_x0000_s1026" style="position:absolute;margin-left:379.5pt;margin-top:6.75pt;width:146.2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" fillcolor="white [3212]" strokecolor="#243f60 [1604]" strokeweight="2pt">
                <v:textbox>
                  <w:txbxContent>
                    <w:p w14:paraId="187ED6F8" w14:textId="147634D5" w:rsidR="00CA34AD" w:rsidRPr="00B34D42" w:rsidRDefault="00CA34AD" w:rsidP="006A3FC0">
                      <w:pPr>
                        <w:rPr>
                          <w:color w:val="000000" w:themeColor="text1"/>
                          <w:sz w:val="20"/>
                          <w:szCs w:val="20"/>
                        </w:rPr>
                      </w:pPr>
                      <w:r w:rsidRPr="006A3FC0">
                        <w:rPr>
                          <w:color w:val="000000" w:themeColor="text1"/>
                          <w:sz w:val="18"/>
                          <w:szCs w:val="18"/>
                        </w:rPr>
                        <w:t>Includes ESOL proficiency</w:t>
                      </w:r>
                      <w:r>
                        <w:rPr>
                          <w:color w:val="000000" w:themeColor="text1"/>
                          <w:sz w:val="20"/>
                          <w:szCs w:val="20"/>
                        </w:rPr>
                        <w:t xml:space="preserve"> guide</w:t>
                      </w:r>
                      <w:r w:rsidRPr="00B34D42">
                        <w:rPr>
                          <w:color w:val="000000" w:themeColor="text1"/>
                          <w:sz w:val="20"/>
                          <w:szCs w:val="20"/>
                        </w:rPr>
                        <w:t xml:space="preserve"> e</w:t>
                      </w:r>
                    </w:p>
                  </w:txbxContent>
                </v:textbox>
              </v:rect>
            </w:pict>
          </mc:Fallback>
        </mc:AlternateContent>
      </w:r>
      <w:r w:rsidRPr="0079354F">
        <w:rPr>
          <w:noProof/>
        </w:rPr>
        <w:drawing>
          <wp:anchor distT="0" distB="0" distL="114300" distR="114300" simplePos="0" relativeHeight="251658240" behindDoc="0" locked="0" layoutInCell="1" allowOverlap="1" wp14:anchorId="198630FC" wp14:editId="525A9C14">
            <wp:simplePos x="0" y="0"/>
            <wp:positionH relativeFrom="column">
              <wp:posOffset>4238625</wp:posOffset>
            </wp:positionH>
            <wp:positionV relativeFrom="paragraph">
              <wp:posOffset>266700</wp:posOffset>
            </wp:positionV>
            <wp:extent cx="581025" cy="2667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pic:spPr>
                </pic:pic>
              </a:graphicData>
            </a:graphic>
            <wp14:sizeRelH relativeFrom="margin">
              <wp14:pctWidth>0</wp14:pctWidth>
            </wp14:sizeRelH>
            <wp14:sizeRelV relativeFrom="margin">
              <wp14:pctHeight>0</wp14:pctHeight>
            </wp14:sizeRelV>
          </wp:anchor>
        </w:drawing>
      </w:r>
      <w:r w:rsidRPr="0079354F">
        <w:rPr>
          <w:noProof/>
        </w:rPr>
        <w:drawing>
          <wp:inline distT="0" distB="0" distL="0" distR="0" wp14:anchorId="69E6542A" wp14:editId="4CB3E40B">
            <wp:extent cx="4238625" cy="1895475"/>
            <wp:effectExtent l="57150" t="0" r="9525" b="0"/>
            <wp:docPr id="17" name="Diagram 17" descr="Graphic shows the relationship between the Professional Standards and the Proficiency Guides.&#10;It shows that the Mathematics Proficiency Guide for Adult Education and the English Language Arts Proficiency Guide for Adult Education support the MA Professional Standards for Teachers of ABE.&#10;It also shows that the MA Professional Standards for Teachers of Adult Speakers of Other Languages and the ESOL proficiency guide are integrated in one docu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4" r:lo="rId175" r:qs="rId176" r:cs="rId177"/>
              </a:graphicData>
            </a:graphic>
          </wp:inline>
        </w:drawing>
      </w:r>
    </w:p>
    <w:p w14:paraId="5623807A" w14:textId="77777777" w:rsidR="006A3FC0" w:rsidRPr="0079354F" w:rsidRDefault="006A3FC0" w:rsidP="006A3FC0">
      <w:pPr>
        <w:pStyle w:val="paragraph"/>
        <w:spacing w:before="0" w:beforeAutospacing="0" w:after="0" w:afterAutospacing="0"/>
        <w:textAlignment w:val="baseline"/>
        <w:rPr>
          <w:rFonts w:ascii="Segoe UI" w:hAnsi="Segoe UI" w:cs="Segoe UI"/>
          <w:sz w:val="18"/>
          <w:szCs w:val="18"/>
        </w:rPr>
      </w:pPr>
    </w:p>
    <w:p w14:paraId="3A0CE89D" w14:textId="498F69C6" w:rsidR="006A3FC0" w:rsidRPr="00295F52" w:rsidRDefault="006A3FC0" w:rsidP="00A36A19">
      <w:pPr>
        <w:pStyle w:val="Heading3"/>
        <w:rPr>
          <w:b/>
          <w:bCs/>
        </w:rPr>
      </w:pPr>
      <w:bookmarkStart w:id="97" w:name="_Toc109196016"/>
      <w:r w:rsidRPr="1E8607B9">
        <w:rPr>
          <w:b/>
          <w:bCs/>
        </w:rPr>
        <w:t>Educator Growth and Effectiveness</w:t>
      </w:r>
      <w:r w:rsidR="00295F52" w:rsidRPr="1E8607B9">
        <w:rPr>
          <w:b/>
          <w:bCs/>
        </w:rPr>
        <w:t xml:space="preserve"> (EGE)</w:t>
      </w:r>
      <w:bookmarkEnd w:id="97"/>
    </w:p>
    <w:p w14:paraId="5520C725" w14:textId="71A35358"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The EGE cycle is a teacher-centered process supported by ACLS and SABES by which teachers develop proficiency in the professional standards and engage in the work of </w:t>
      </w:r>
      <w:r w:rsidRPr="0079354F">
        <w:rPr>
          <w:rStyle w:val="normaltextrun"/>
          <w:rFonts w:ascii="Times New Roman" w:hAnsi="Times New Roman" w:cs="Times New Roman"/>
          <w:sz w:val="24"/>
          <w:szCs w:val="24"/>
          <w:shd w:val="clear" w:color="auto" w:fill="FFFFFF"/>
        </w:rPr>
        <w:t xml:space="preserve">improving teaching practice in order to achieve student outcomes. The year-long cycle begins with a planning phase, followed by a self-assessment of current practice. Based on the self-assessment, teachers set goals and draft </w:t>
      </w:r>
      <w:r w:rsidRPr="0079354F">
        <w:rPr>
          <w:rStyle w:val="normaltextrun"/>
          <w:rFonts w:ascii="Times New Roman" w:hAnsi="Times New Roman" w:cs="Times New Roman"/>
          <w:sz w:val="24"/>
          <w:szCs w:val="24"/>
        </w:rPr>
        <w:t xml:space="preserve">professional learning </w:t>
      </w:r>
      <w:r w:rsidRPr="0079354F">
        <w:rPr>
          <w:rStyle w:val="normaltextrun"/>
          <w:rFonts w:ascii="Times New Roman" w:hAnsi="Times New Roman" w:cs="Times New Roman"/>
          <w:sz w:val="24"/>
          <w:szCs w:val="24"/>
          <w:shd w:val="clear" w:color="auto" w:fill="FFFFFF"/>
        </w:rPr>
        <w:t xml:space="preserve">plans. Throughout the cycle, the </w:t>
      </w:r>
      <w:r w:rsidRPr="0079354F">
        <w:rPr>
          <w:rStyle w:val="normaltextrun"/>
          <w:rFonts w:ascii="Times New Roman" w:hAnsi="Times New Roman" w:cs="Times New Roman"/>
          <w:sz w:val="24"/>
          <w:szCs w:val="24"/>
        </w:rPr>
        <w:t>EGE coach</w:t>
      </w:r>
      <w:r w:rsidRPr="0079354F">
        <w:rPr>
          <w:rStyle w:val="normaltextrun"/>
          <w:rFonts w:ascii="Times New Roman" w:hAnsi="Times New Roman" w:cs="Times New Roman"/>
          <w:sz w:val="24"/>
          <w:szCs w:val="24"/>
          <w:shd w:val="clear" w:color="auto" w:fill="FFFFFF"/>
        </w:rPr>
        <w:t xml:space="preserve"> </w:t>
      </w:r>
      <w:r w:rsidRPr="0079354F">
        <w:rPr>
          <w:rStyle w:val="normaltextrun"/>
          <w:rFonts w:ascii="Times New Roman" w:hAnsi="Times New Roman" w:cs="Times New Roman"/>
          <w:sz w:val="24"/>
          <w:szCs w:val="24"/>
        </w:rPr>
        <w:t xml:space="preserve">meets with and </w:t>
      </w:r>
      <w:r w:rsidRPr="0079354F">
        <w:rPr>
          <w:rStyle w:val="normaltextrun"/>
          <w:rFonts w:ascii="Times New Roman" w:hAnsi="Times New Roman" w:cs="Times New Roman"/>
          <w:sz w:val="24"/>
          <w:szCs w:val="24"/>
          <w:shd w:val="clear" w:color="auto" w:fill="FFFFFF"/>
        </w:rPr>
        <w:t xml:space="preserve">conducts mini observations of participating teachers. At the end of the cycle, the </w:t>
      </w:r>
      <w:r w:rsidRPr="0079354F">
        <w:rPr>
          <w:rStyle w:val="normaltextrun"/>
          <w:rFonts w:ascii="Times New Roman" w:hAnsi="Times New Roman" w:cs="Times New Roman"/>
          <w:sz w:val="24"/>
          <w:szCs w:val="24"/>
        </w:rPr>
        <w:t xml:space="preserve">coach and the teacher </w:t>
      </w:r>
      <w:r w:rsidRPr="0079354F">
        <w:rPr>
          <w:rStyle w:val="normaltextrun"/>
          <w:rFonts w:ascii="Times New Roman" w:hAnsi="Times New Roman" w:cs="Times New Roman"/>
          <w:sz w:val="24"/>
          <w:szCs w:val="24"/>
          <w:shd w:val="clear" w:color="auto" w:fill="FFFFFF"/>
        </w:rPr>
        <w:t xml:space="preserve">use an assessment rubric and evidence of practice gathered by the teacher to determine the teacher’s </w:t>
      </w:r>
      <w:r w:rsidRPr="0079354F">
        <w:rPr>
          <w:rStyle w:val="normaltextrun"/>
          <w:rFonts w:ascii="Times New Roman" w:hAnsi="Times New Roman" w:cs="Times New Roman"/>
          <w:sz w:val="24"/>
          <w:szCs w:val="24"/>
        </w:rPr>
        <w:t xml:space="preserve">progress in meeting proficiency in </w:t>
      </w:r>
      <w:r w:rsidRPr="0079354F">
        <w:rPr>
          <w:rStyle w:val="normaltextrun"/>
          <w:rFonts w:ascii="Times New Roman" w:hAnsi="Times New Roman" w:cs="Times New Roman"/>
          <w:sz w:val="24"/>
          <w:szCs w:val="24"/>
          <w:shd w:val="clear" w:color="auto" w:fill="FFFFFF"/>
        </w:rPr>
        <w:t>the professional standards. SABES provides PD for directors</w:t>
      </w:r>
      <w:r w:rsidRPr="0079354F">
        <w:rPr>
          <w:rStyle w:val="normaltextrun"/>
          <w:rFonts w:ascii="Times New Roman" w:hAnsi="Times New Roman" w:cs="Times New Roman"/>
          <w:sz w:val="24"/>
          <w:szCs w:val="24"/>
        </w:rPr>
        <w:t>, coaches, and teachers</w:t>
      </w:r>
      <w:r w:rsidRPr="0079354F">
        <w:rPr>
          <w:rStyle w:val="normaltextrun"/>
          <w:rFonts w:ascii="Times New Roman" w:hAnsi="Times New Roman" w:cs="Times New Roman"/>
          <w:sz w:val="24"/>
          <w:szCs w:val="24"/>
          <w:shd w:val="clear" w:color="auto" w:fill="FFFFFF"/>
        </w:rPr>
        <w:t xml:space="preserve"> that describes the benefits of using the EGE cycle and shows how to use the EGE </w:t>
      </w:r>
      <w:r w:rsidRPr="0079354F">
        <w:rPr>
          <w:rStyle w:val="normaltextrun"/>
          <w:rFonts w:ascii="Times New Roman" w:hAnsi="Times New Roman" w:cs="Times New Roman"/>
          <w:sz w:val="24"/>
          <w:szCs w:val="24"/>
        </w:rPr>
        <w:t>model</w:t>
      </w:r>
      <w:r w:rsidRPr="0079354F">
        <w:rPr>
          <w:rStyle w:val="normaltextrun"/>
          <w:rFonts w:ascii="Times New Roman" w:hAnsi="Times New Roman" w:cs="Times New Roman"/>
          <w:sz w:val="24"/>
          <w:szCs w:val="24"/>
          <w:shd w:val="clear" w:color="auto" w:fill="FFFFFF"/>
        </w:rPr>
        <w:t xml:space="preserve"> to strengthen their programs and achieve student outcomes.</w:t>
      </w:r>
    </w:p>
    <w:p w14:paraId="6584B898"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p>
    <w:p w14:paraId="2FAA9D79" w14:textId="574C44AD" w:rsidR="006A3FC0" w:rsidRPr="0079354F" w:rsidRDefault="006A3FC0" w:rsidP="006A3FC0">
      <w:pPr>
        <w:pStyle w:val="paragraph"/>
        <w:spacing w:before="0" w:beforeAutospacing="0" w:after="0" w:afterAutospacing="0"/>
        <w:textAlignment w:val="baseline"/>
        <w:rPr>
          <w:rStyle w:val="normaltextrun"/>
          <w:rFonts w:ascii="Times New Roman" w:hAnsi="Times New Roman" w:cs="Times New Roman"/>
          <w:sz w:val="24"/>
          <w:szCs w:val="24"/>
          <w:shd w:val="clear" w:color="auto" w:fill="FFFFFF"/>
        </w:rPr>
      </w:pPr>
      <w:r w:rsidRPr="0079354F">
        <w:rPr>
          <w:rStyle w:val="normaltextrun"/>
          <w:rFonts w:ascii="Times New Roman" w:hAnsi="Times New Roman" w:cs="Times New Roman"/>
          <w:sz w:val="24"/>
          <w:szCs w:val="24"/>
          <w:shd w:val="clear" w:color="auto" w:fill="FFFFFF"/>
        </w:rPr>
        <w:t xml:space="preserve">For more information on resources for teacher growth, see </w:t>
      </w:r>
      <w:hyperlink r:id="rId179" w:tgtFrame="_blank" w:history="1">
        <w:r w:rsidRPr="0079354F">
          <w:rPr>
            <w:rStyle w:val="normaltextrun"/>
            <w:rFonts w:ascii="Times New Roman" w:hAnsi="Times New Roman" w:cs="Times New Roman"/>
            <w:color w:val="0000FF"/>
            <w:sz w:val="24"/>
            <w:szCs w:val="24"/>
            <w:u w:val="single"/>
            <w:shd w:val="clear" w:color="auto" w:fill="FFFFFF"/>
          </w:rPr>
          <w:t>Educator Effectiveness</w:t>
        </w:r>
      </w:hyperlink>
      <w:r w:rsidRPr="0079354F">
        <w:rPr>
          <w:rStyle w:val="normaltextrun"/>
          <w:rFonts w:ascii="Times New Roman" w:hAnsi="Times New Roman" w:cs="Times New Roman"/>
          <w:sz w:val="24"/>
          <w:szCs w:val="24"/>
          <w:shd w:val="clear" w:color="auto" w:fill="FFFFFF"/>
        </w:rPr>
        <w:t xml:space="preserve"> and the </w:t>
      </w:r>
      <w:hyperlink r:id="rId180" w:tgtFrame="_blank" w:history="1">
        <w:r w:rsidRPr="0079354F">
          <w:rPr>
            <w:rStyle w:val="normaltextrun"/>
            <w:rFonts w:ascii="Times New Roman" w:hAnsi="Times New Roman" w:cs="Times New Roman"/>
            <w:color w:val="0000FF"/>
            <w:sz w:val="24"/>
            <w:szCs w:val="24"/>
            <w:u w:val="single"/>
            <w:shd w:val="clear" w:color="auto" w:fill="FFFFFF"/>
          </w:rPr>
          <w:t>SABES PSPD center</w:t>
        </w:r>
      </w:hyperlink>
      <w:r w:rsidRPr="0079354F">
        <w:rPr>
          <w:rStyle w:val="normaltextrun"/>
          <w:rFonts w:ascii="Times New Roman" w:hAnsi="Times New Roman" w:cs="Times New Roman"/>
          <w:sz w:val="24"/>
          <w:szCs w:val="24"/>
          <w:shd w:val="clear" w:color="auto" w:fill="FFFFFF"/>
        </w:rPr>
        <w:t>.</w:t>
      </w:r>
    </w:p>
    <w:p w14:paraId="502BF7C6" w14:textId="77777777" w:rsidR="006A3FC0" w:rsidRPr="0079354F" w:rsidRDefault="006A3FC0" w:rsidP="006A3FC0">
      <w:pPr>
        <w:pStyle w:val="paragraph"/>
        <w:spacing w:before="0" w:beforeAutospacing="0" w:after="0" w:afterAutospacing="0"/>
        <w:textAlignment w:val="baseline"/>
        <w:rPr>
          <w:rFonts w:ascii="Times New Roman" w:eastAsia="Times New Roman" w:hAnsi="Times New Roman" w:cs="Times New Roman"/>
          <w:b/>
          <w:bCs/>
          <w:noProof/>
          <w:color w:val="0000FF"/>
          <w:sz w:val="24"/>
          <w:szCs w:val="24"/>
        </w:rPr>
      </w:pPr>
    </w:p>
    <w:p w14:paraId="135DADF3" w14:textId="77777777" w:rsidR="00FE787F" w:rsidRPr="00295F52" w:rsidRDefault="00FE787F" w:rsidP="00A36A19">
      <w:pPr>
        <w:pStyle w:val="Heading3"/>
        <w:rPr>
          <w:b/>
          <w:bCs/>
        </w:rPr>
      </w:pPr>
      <w:bookmarkStart w:id="98" w:name="_Toc109196017"/>
      <w:r w:rsidRPr="1E8607B9">
        <w:rPr>
          <w:b/>
          <w:bCs/>
        </w:rPr>
        <w:t>Staff Supervision and Evaluation</w:t>
      </w:r>
      <w:bookmarkEnd w:id="96"/>
      <w:r w:rsidRPr="1E8607B9">
        <w:rPr>
          <w:b/>
          <w:bCs/>
        </w:rPr>
        <w:t xml:space="preserve"> (State requirement)</w:t>
      </w:r>
      <w:bookmarkEnd w:id="98"/>
    </w:p>
    <w:p w14:paraId="0BE706A4" w14:textId="77777777" w:rsidR="00FE787F" w:rsidRPr="0079354F" w:rsidRDefault="00FE787F" w:rsidP="00FE787F">
      <w:r w:rsidRPr="0079354F">
        <w:t>Effective criteria and systems for staff evaluation are critical to the success of AE programs. Before teachers begin the daily work of teaching, it is essential that the criteria and process through which their performance will be measured are clearly defined and communicated to them.</w:t>
      </w:r>
    </w:p>
    <w:p w14:paraId="38F6805E" w14:textId="77777777" w:rsidR="00FE787F" w:rsidRPr="0079354F" w:rsidRDefault="00FE787F" w:rsidP="00FE787F"/>
    <w:p w14:paraId="63A7783A" w14:textId="1B6643E0" w:rsidR="00FE787F" w:rsidRPr="0079354F" w:rsidRDefault="00FE787F" w:rsidP="00FE787F">
      <w:r>
        <w:t xml:space="preserve">ACLS requires that programs use a process to evaluate teacher effectiveness. This process must include regular staff evaluations, at a minimum annually, and classroom observations with written and actionable feedback and follow-up. The program director may conduct </w:t>
      </w:r>
      <w:r w:rsidRPr="00295F52">
        <w:t>staff evaluations and classroom observations</w:t>
      </w:r>
      <w:r>
        <w:t xml:space="preserve"> and provide written feedback, or assign a qualified staff person (e.g., lead teacher with content expertise) to conduct them.</w:t>
      </w:r>
    </w:p>
    <w:p w14:paraId="2ABC405C" w14:textId="77777777" w:rsidR="00FE787F" w:rsidRPr="0079354F" w:rsidRDefault="00FE787F" w:rsidP="00FE787F"/>
    <w:p w14:paraId="1731D2A7" w14:textId="5C025DB5" w:rsidR="00FE787F" w:rsidRPr="0079354F" w:rsidRDefault="00FE787F" w:rsidP="0047675C">
      <w:pPr>
        <w:sectPr w:rsidR="00FE787F" w:rsidRPr="0079354F" w:rsidSect="00BD4638">
          <w:headerReference w:type="default" r:id="rId181"/>
          <w:pgSz w:w="12240" w:h="15840"/>
          <w:pgMar w:top="1008" w:right="1440" w:bottom="576" w:left="1440" w:header="720" w:footer="720" w:gutter="0"/>
          <w:cols w:space="720"/>
          <w:docGrid w:linePitch="360"/>
        </w:sectPr>
      </w:pPr>
      <w:r w:rsidRPr="0079354F">
        <w:t>Programs have the option of choosing the staff growth and evaluation process they implement. Examples include the EGE cycle and the systems required by Massachusetts school districts and community college unions.</w:t>
      </w:r>
    </w:p>
    <w:p w14:paraId="71A180C4" w14:textId="4CD51D29" w:rsidR="00E00110" w:rsidRPr="0079354F" w:rsidRDefault="3D039E5C" w:rsidP="3FB639BC">
      <w:pPr>
        <w:pStyle w:val="Heading2"/>
        <w:spacing w:before="0"/>
        <w:rPr>
          <w:rStyle w:val="Heading2Char"/>
          <w:rFonts w:eastAsia="Batang"/>
          <w:b/>
          <w:bCs/>
          <w:color w:val="E36C0A" w:themeColor="accent6" w:themeShade="BF"/>
        </w:rPr>
      </w:pPr>
      <w:bookmarkStart w:id="99" w:name="_Toc478457034"/>
      <w:bookmarkStart w:id="100" w:name="_Toc109196018"/>
      <w:r w:rsidRPr="1E8607B9">
        <w:rPr>
          <w:rStyle w:val="Heading2Char"/>
          <w:rFonts w:eastAsia="Batang"/>
          <w:b/>
          <w:bCs/>
          <w:color w:val="E36C0A" w:themeColor="accent6" w:themeShade="BF"/>
        </w:rPr>
        <w:t xml:space="preserve">Chapter 10:  </w:t>
      </w:r>
      <w:r w:rsidR="4C4BEA1F" w:rsidRPr="1E8607B9">
        <w:rPr>
          <w:rStyle w:val="Heading2Char"/>
          <w:rFonts w:eastAsia="Batang"/>
          <w:b/>
          <w:bCs/>
          <w:color w:val="E36C0A" w:themeColor="accent6" w:themeShade="BF"/>
        </w:rPr>
        <w:t>Indicator 10:  Fiscal and Data Accountability</w:t>
      </w:r>
      <w:bookmarkEnd w:id="99"/>
      <w:bookmarkEnd w:id="100"/>
    </w:p>
    <w:p w14:paraId="0FB0E6C6" w14:textId="3D1B2CFC" w:rsidR="00CE1539" w:rsidRPr="0079354F" w:rsidRDefault="00CE1539" w:rsidP="00CE1539">
      <w:bookmarkStart w:id="101" w:name="_Toc478457036"/>
      <w:bookmarkStart w:id="102" w:name="_Toc478457035"/>
      <w:r w:rsidRPr="0079354F">
        <w:t xml:space="preserve">Organizations that accept funds (i.e., a contract, a grant) from DESE are accountable for spending public funds appropriately, maintaining sound stable financial conditions, </w:t>
      </w:r>
      <w:r w:rsidR="007C259F" w:rsidRPr="0079354F">
        <w:t xml:space="preserve">and </w:t>
      </w:r>
      <w:r w:rsidRPr="0079354F">
        <w:t xml:space="preserve">operating in a financially responsible and transparent manner </w:t>
      </w:r>
      <w:r w:rsidRPr="0079354F">
        <w:rPr>
          <w:color w:val="000000" w:themeColor="text1"/>
        </w:rPr>
        <w:t xml:space="preserve">with </w:t>
      </w:r>
      <w:r w:rsidRPr="0079354F">
        <w:t xml:space="preserve">data integrity. Grantees that fail to abide by federal and state fiscal and data policies will face consequences including but not limited to conditional funding, </w:t>
      </w:r>
      <w:r w:rsidR="00112ACF" w:rsidRPr="0079354F">
        <w:t>corrective</w:t>
      </w:r>
      <w:r w:rsidRPr="0079354F">
        <w:t xml:space="preserve"> action, withholding of funds, grant reduction, or grant termination.</w:t>
      </w:r>
    </w:p>
    <w:p w14:paraId="58BCCAB7" w14:textId="5DB9BC66" w:rsidR="000F2E1B" w:rsidRPr="0079354F" w:rsidRDefault="000F2E1B" w:rsidP="00CE1539"/>
    <w:p w14:paraId="397D80CD" w14:textId="13718E57" w:rsidR="000F2E1B" w:rsidRPr="0079354F" w:rsidRDefault="000F2E1B" w:rsidP="00CE1539">
      <w:r w:rsidRPr="0079354F">
        <w:t>For information on accountability for student outcomes, see the Student Progress chapter.</w:t>
      </w:r>
    </w:p>
    <w:p w14:paraId="1091F3A1" w14:textId="77777777" w:rsidR="00CE1539" w:rsidRPr="0079354F" w:rsidRDefault="00CE1539" w:rsidP="00CE1539">
      <w:bookmarkStart w:id="103" w:name="_Hlk36460181"/>
    </w:p>
    <w:p w14:paraId="4A3C15B8" w14:textId="05FCC03B" w:rsidR="00CE1539" w:rsidRPr="00295F52" w:rsidRDefault="00CE1539" w:rsidP="00A36A19">
      <w:pPr>
        <w:pStyle w:val="Heading3"/>
        <w:rPr>
          <w:b/>
          <w:bCs/>
        </w:rPr>
      </w:pPr>
      <w:bookmarkStart w:id="104" w:name="_Toc109196019"/>
      <w:r w:rsidRPr="1E8607B9">
        <w:rPr>
          <w:b/>
          <w:bCs/>
        </w:rPr>
        <w:t>Fiscal Responsibilities and Grant Administration</w:t>
      </w:r>
      <w:bookmarkEnd w:id="103"/>
      <w:bookmarkEnd w:id="104"/>
    </w:p>
    <w:p w14:paraId="7E1A1074" w14:textId="3D6661E1" w:rsidR="00CE1539" w:rsidRPr="0079354F" w:rsidRDefault="00CE1539" w:rsidP="00CE1539">
      <w:pPr>
        <w:rPr>
          <w:color w:val="000000" w:themeColor="text1"/>
        </w:rPr>
      </w:pPr>
      <w:r w:rsidRPr="0079354F">
        <w:rPr>
          <w:color w:val="000000" w:themeColor="text1"/>
        </w:rPr>
        <w:t>Grantees must comply with the terms, conditions, and regulations accompanying the grant award, accept full legal responsibility for the administration of the project, and meet all stated performance requirements</w:t>
      </w:r>
      <w:r w:rsidRPr="0079354F">
        <w:rPr>
          <w:rFonts w:ascii="Arial" w:hAnsi="Arial" w:cs="Arial"/>
          <w:color w:val="000000" w:themeColor="text1"/>
          <w:sz w:val="23"/>
          <w:szCs w:val="23"/>
        </w:rPr>
        <w:t xml:space="preserve">. </w:t>
      </w:r>
      <w:r w:rsidRPr="0079354F">
        <w:rPr>
          <w:color w:val="000000" w:themeColor="text1"/>
        </w:rPr>
        <w:t>Therefore, it is essential that grantees make every effort to follow sound management practices and policies throughout the entire grant cycle. Grantees must ensure that DESE grants are managed with sound</w:t>
      </w:r>
      <w:r w:rsidR="0061492D" w:rsidRPr="0079354F">
        <w:rPr>
          <w:color w:val="000000" w:themeColor="text1"/>
        </w:rPr>
        <w:t xml:space="preserve">, </w:t>
      </w:r>
      <w:r w:rsidRPr="0079354F">
        <w:rPr>
          <w:color w:val="000000" w:themeColor="text1"/>
        </w:rPr>
        <w:t xml:space="preserve">stable fiscal </w:t>
      </w:r>
      <w:r w:rsidR="0061492D" w:rsidRPr="0079354F">
        <w:rPr>
          <w:color w:val="000000" w:themeColor="text1"/>
        </w:rPr>
        <w:t>practices</w:t>
      </w:r>
      <w:r w:rsidRPr="0079354F">
        <w:rPr>
          <w:color w:val="000000" w:themeColor="text1"/>
        </w:rPr>
        <w:t xml:space="preserve"> memorialized in a comprehensive system of written internal policies and procedures (i.e., controls) that meet state and federal requirements and support the reporting of financial results annually. See </w:t>
      </w:r>
      <w:hyperlink r:id="rId182">
        <w:r w:rsidRPr="0079354F">
          <w:rPr>
            <w:rStyle w:val="Hyperlink"/>
          </w:rPr>
          <w:t>2 CFR Part 200.302</w:t>
        </w:r>
      </w:hyperlink>
      <w:r w:rsidRPr="0079354F">
        <w:rPr>
          <w:color w:val="000000" w:themeColor="text1"/>
        </w:rPr>
        <w:t xml:space="preserve"> for more information.</w:t>
      </w:r>
      <w:r w:rsidR="007B3329" w:rsidRPr="0079354F">
        <w:rPr>
          <w:color w:val="000000" w:themeColor="text1"/>
        </w:rPr>
        <w:t xml:space="preserve"> (Note: All requirements that apply to DESE grant funds also apply to match funds.)</w:t>
      </w:r>
    </w:p>
    <w:p w14:paraId="48F61F76" w14:textId="77777777" w:rsidR="00CE1539" w:rsidRPr="0079354F" w:rsidRDefault="00CE1539" w:rsidP="00CE1539"/>
    <w:p w14:paraId="2521CC4F" w14:textId="06ED50FC" w:rsidR="00CE1539" w:rsidRPr="0079354F" w:rsidRDefault="00CE1539" w:rsidP="22CF907E">
      <w:pPr>
        <w:rPr>
          <w:color w:val="000000" w:themeColor="text1"/>
        </w:rPr>
      </w:pPr>
      <w:r>
        <w:t>Grantees must have an accounting system that maintains separate and auditable records for each grant</w:t>
      </w:r>
      <w:r w:rsidR="00FA5E5C">
        <w:t xml:space="preserve"> award</w:t>
      </w:r>
      <w:r>
        <w:t xml:space="preserve"> it receives. An effective accounting system tracks revenue and expenditures to demonstrate that funds were used appropriately by budget line and according to the approved budget. Specifically, the accounting system must be able to provide data to prepare federal, state, and DESE reports. These reports include budget versus actual, time and effort, and final financial reports (FR-1</w:t>
      </w:r>
      <w:r w:rsidRPr="23CFD7A5">
        <w:rPr>
          <w:color w:val="000000" w:themeColor="text1"/>
        </w:rPr>
        <w:t xml:space="preserve">). Grantees must have effective control and accountability over all funds, property, and assets and written procedures in place that can be used to determine allowable costs under the cost principles in </w:t>
      </w:r>
      <w:hyperlink r:id="rId183">
        <w:r w:rsidRPr="23CFD7A5">
          <w:rPr>
            <w:rStyle w:val="Hyperlink"/>
          </w:rPr>
          <w:t>2 CFR Part 200 Subpart E</w:t>
        </w:r>
      </w:hyperlink>
      <w:r w:rsidRPr="23CFD7A5">
        <w:rPr>
          <w:color w:val="000000" w:themeColor="text1"/>
        </w:rPr>
        <w:t xml:space="preserve">. By maintaining such an accounting system, grantees ensure that all grant funds are expended </w:t>
      </w:r>
      <w:r w:rsidR="00CA4FC8" w:rsidRPr="23CFD7A5">
        <w:rPr>
          <w:color w:val="000000" w:themeColor="text1"/>
        </w:rPr>
        <w:t>according to applicable regulations.</w:t>
      </w:r>
    </w:p>
    <w:p w14:paraId="2671074B" w14:textId="5931A156" w:rsidR="002513B7" w:rsidRPr="0079354F" w:rsidRDefault="002513B7" w:rsidP="22CF907E">
      <w:pPr>
        <w:rPr>
          <w:color w:val="000000" w:themeColor="text1"/>
        </w:rPr>
      </w:pPr>
    </w:p>
    <w:p w14:paraId="77094A47" w14:textId="2B225C89" w:rsidR="002513B7" w:rsidRPr="0079354F" w:rsidRDefault="002513B7" w:rsidP="002513B7">
      <w:pPr>
        <w:rPr>
          <w:color w:val="000000" w:themeColor="text1"/>
        </w:rPr>
      </w:pPr>
      <w:r w:rsidRPr="0079354F">
        <w:rPr>
          <w:color w:val="000000" w:themeColor="text1"/>
        </w:rPr>
        <w:t>For administrative and programmatic guidance, see the Hierarchy of Applicable Regulations in Appendix D.</w:t>
      </w:r>
    </w:p>
    <w:p w14:paraId="3A738CAA" w14:textId="77777777" w:rsidR="002513B7" w:rsidRPr="0079354F" w:rsidRDefault="002513B7" w:rsidP="002513B7"/>
    <w:p w14:paraId="2A4C6A61" w14:textId="4A19F22C" w:rsidR="00FA5E5C" w:rsidRPr="0079354F" w:rsidRDefault="00FA5E5C" w:rsidP="22CF907E">
      <w:r w:rsidRPr="0079354F">
        <w:t>Grantees may budget for subawards</w:t>
      </w:r>
      <w:r w:rsidR="00A00A93" w:rsidRPr="0079354F">
        <w:rPr>
          <w:rStyle w:val="FootnoteReference"/>
        </w:rPr>
        <w:footnoteReference w:id="40"/>
      </w:r>
      <w:r w:rsidRPr="0079354F">
        <w:t xml:space="preserve"> </w:t>
      </w:r>
      <w:r w:rsidR="007A5B7A" w:rsidRPr="0079354F">
        <w:t>including</w:t>
      </w:r>
      <w:r w:rsidRPr="0079354F">
        <w:t xml:space="preserve"> subgrants and subcontracts. A subaward is for the purpose of carrying out a portion of a federal award and it creates a relationship with the </w:t>
      </w:r>
      <w:r w:rsidR="00D15DC4" w:rsidRPr="0079354F">
        <w:t>g</w:t>
      </w:r>
      <w:r w:rsidRPr="0079354F">
        <w:t>rantee. Major subawards do not incur indirect costs to the same degree as other activities. The definition of a major subaward is one that exceeds $25,000 in expenditures per year. Generally, only the passthrough agency</w:t>
      </w:r>
      <w:r w:rsidR="00D15DC4" w:rsidRPr="0079354F">
        <w:t xml:space="preserve"> (i.e., </w:t>
      </w:r>
      <w:r w:rsidRPr="0079354F">
        <w:t>DESE) may subaward grant funds, however</w:t>
      </w:r>
      <w:r w:rsidR="00D15DC4" w:rsidRPr="0079354F">
        <w:t>,</w:t>
      </w:r>
      <w:r w:rsidRPr="0079354F">
        <w:t xml:space="preserve"> </w:t>
      </w:r>
      <w:r w:rsidR="007A5B7A" w:rsidRPr="0079354F">
        <w:t xml:space="preserve">in </w:t>
      </w:r>
      <w:r w:rsidRPr="0079354F">
        <w:t>special circumstance</w:t>
      </w:r>
      <w:r w:rsidR="007A5B7A" w:rsidRPr="0079354F">
        <w:t>s</w:t>
      </w:r>
      <w:r w:rsidRPr="0079354F">
        <w:t xml:space="preserve"> DESE may approve the </w:t>
      </w:r>
      <w:r w:rsidR="00D15DC4" w:rsidRPr="0079354F">
        <w:t>g</w:t>
      </w:r>
      <w:r w:rsidRPr="0079354F">
        <w:t xml:space="preserve">rantee to subaward grant funds. </w:t>
      </w:r>
    </w:p>
    <w:p w14:paraId="7AB423CC" w14:textId="6BCE4B42" w:rsidR="00FA5E5C" w:rsidRPr="0079354F" w:rsidRDefault="00FA5E5C" w:rsidP="22CF907E"/>
    <w:p w14:paraId="642A1072" w14:textId="4A73A6EB" w:rsidR="00FA5E5C" w:rsidRPr="0079354F" w:rsidRDefault="00FA5E5C" w:rsidP="00CE1539">
      <w:r w:rsidRPr="0079354F">
        <w:t xml:space="preserve">For more information on subawards, see Appendix </w:t>
      </w:r>
      <w:r w:rsidR="00134B6D" w:rsidRPr="0079354F">
        <w:t>E</w:t>
      </w:r>
      <w:r w:rsidRPr="0079354F">
        <w:t>.</w:t>
      </w:r>
    </w:p>
    <w:p w14:paraId="1CA7AF65" w14:textId="77777777" w:rsidR="00CE1539" w:rsidRPr="0079354F" w:rsidRDefault="00CE1539" w:rsidP="00CE1539"/>
    <w:p w14:paraId="68006E1C" w14:textId="6A16A72F" w:rsidR="00CE1539" w:rsidRPr="00295F52" w:rsidRDefault="00CE1539" w:rsidP="00A36A19">
      <w:pPr>
        <w:pStyle w:val="Heading3"/>
        <w:rPr>
          <w:b/>
          <w:bCs/>
        </w:rPr>
      </w:pPr>
      <w:bookmarkStart w:id="105" w:name="_Toc109196020"/>
      <w:r w:rsidRPr="1E8607B9">
        <w:rPr>
          <w:b/>
          <w:bCs/>
        </w:rPr>
        <w:t>Record Keeping</w:t>
      </w:r>
      <w:bookmarkEnd w:id="105"/>
    </w:p>
    <w:p w14:paraId="738D1FC1" w14:textId="77777777" w:rsidR="00CE1539" w:rsidRPr="0079354F" w:rsidRDefault="00CE1539" w:rsidP="22CF907E">
      <w:r w:rsidRPr="0079354F">
        <w:t>Grantees’ financial management, accounting, and reporting systems must be able to maintain records that identify the source and application of funds for each grant and accompanying matching funds separately. The financial management, accounting, and reporting systems must be able to maintain records to identify the source and application of funds for federal and state sponsored activities in DESE grants. Specifically, the accounting system must:</w:t>
      </w:r>
    </w:p>
    <w:p w14:paraId="08082B6C" w14:textId="32D809AA" w:rsidR="00CE1539" w:rsidRPr="0079354F" w:rsidRDefault="00142391" w:rsidP="00FC65BD">
      <w:pPr>
        <w:pStyle w:val="ListParagraph"/>
        <w:numPr>
          <w:ilvl w:val="0"/>
          <w:numId w:val="3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H</w:t>
      </w:r>
      <w:r w:rsidR="00CE1539" w:rsidRPr="0079354F">
        <w:rPr>
          <w:rFonts w:ascii="Times New Roman" w:hAnsi="Times New Roman" w:cs="Times New Roman"/>
          <w:sz w:val="24"/>
          <w:szCs w:val="24"/>
        </w:rPr>
        <w:t>ave a chart of accounts that identifies DESE grants and matching funds applicable to each grant</w:t>
      </w:r>
      <w:r w:rsidR="007A5B7A" w:rsidRPr="0079354F">
        <w:rPr>
          <w:rFonts w:ascii="Times New Roman" w:hAnsi="Times New Roman" w:cs="Times New Roman"/>
          <w:sz w:val="24"/>
          <w:szCs w:val="24"/>
        </w:rPr>
        <w:t>;</w:t>
      </w:r>
    </w:p>
    <w:p w14:paraId="3C768EE6" w14:textId="22A2FBF2" w:rsidR="00CE1539" w:rsidRPr="0079354F" w:rsidRDefault="00142391" w:rsidP="00FC65BD">
      <w:pPr>
        <w:pStyle w:val="ListParagraph"/>
        <w:numPr>
          <w:ilvl w:val="0"/>
          <w:numId w:val="3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w:t>
      </w:r>
      <w:r w:rsidR="00CE1539" w:rsidRPr="0079354F">
        <w:rPr>
          <w:rFonts w:ascii="Times New Roman" w:hAnsi="Times New Roman" w:cs="Times New Roman"/>
          <w:sz w:val="24"/>
          <w:szCs w:val="24"/>
        </w:rPr>
        <w:t xml:space="preserve">e able to produce budget versus actual reports. These reports compare the approved budget versus actual spending and provide a useful tool because they help grantees maintain compliance with approved grant budgets. Using them, programs can forecast needed changes in individual budget line </w:t>
      </w:r>
      <w:r w:rsidR="006E1D43" w:rsidRPr="0079354F">
        <w:rPr>
          <w:rFonts w:ascii="Times New Roman" w:hAnsi="Times New Roman" w:cs="Times New Roman"/>
          <w:sz w:val="24"/>
          <w:szCs w:val="24"/>
        </w:rPr>
        <w:t>amounts,</w:t>
      </w:r>
      <w:r w:rsidR="00CE1539" w:rsidRPr="0079354F">
        <w:rPr>
          <w:rFonts w:ascii="Times New Roman" w:hAnsi="Times New Roman" w:cs="Times New Roman"/>
          <w:sz w:val="24"/>
          <w:szCs w:val="24"/>
        </w:rPr>
        <w:t xml:space="preserve"> if necessary (i.e., over 10% or $10,000), obtain approval from ACLS in a timely manner, and avoid unapproved overruns. Unapproved overruns are questionable costs and may result in DESE requesting the return of those funds</w:t>
      </w:r>
      <w:r w:rsidR="007A5B7A" w:rsidRPr="0079354F">
        <w:rPr>
          <w:rFonts w:ascii="Times New Roman" w:hAnsi="Times New Roman" w:cs="Times New Roman"/>
          <w:sz w:val="24"/>
          <w:szCs w:val="24"/>
        </w:rPr>
        <w:t>;</w:t>
      </w:r>
    </w:p>
    <w:p w14:paraId="2B54DE07" w14:textId="53570C3B" w:rsidR="00CE1539" w:rsidRPr="0079354F" w:rsidRDefault="00142391" w:rsidP="00FC65BD">
      <w:pPr>
        <w:pStyle w:val="ListParagraph"/>
        <w:numPr>
          <w:ilvl w:val="0"/>
          <w:numId w:val="3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w:t>
      </w:r>
      <w:r w:rsidR="00CE1539" w:rsidRPr="0079354F">
        <w:rPr>
          <w:rFonts w:ascii="Times New Roman" w:hAnsi="Times New Roman" w:cs="Times New Roman"/>
          <w:sz w:val="24"/>
          <w:szCs w:val="24"/>
        </w:rPr>
        <w:t>ecord grant funds and required matching funds separately in the grantee’s accounting system. Comingling of funds is not an accepted practice</w:t>
      </w:r>
      <w:r w:rsidR="007A5B7A" w:rsidRPr="0079354F">
        <w:rPr>
          <w:rFonts w:ascii="Times New Roman" w:hAnsi="Times New Roman" w:cs="Times New Roman"/>
          <w:sz w:val="24"/>
          <w:szCs w:val="24"/>
        </w:rPr>
        <w:t>; and</w:t>
      </w:r>
    </w:p>
    <w:p w14:paraId="7D76DDCC" w14:textId="693A2E89" w:rsidR="00CE1539" w:rsidRPr="0079354F" w:rsidRDefault="00142391" w:rsidP="00FC65BD">
      <w:pPr>
        <w:pStyle w:val="ListParagraph"/>
        <w:numPr>
          <w:ilvl w:val="0"/>
          <w:numId w:val="3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CE1539" w:rsidRPr="0079354F">
        <w:rPr>
          <w:rFonts w:ascii="Times New Roman" w:hAnsi="Times New Roman" w:cs="Times New Roman"/>
          <w:sz w:val="24"/>
          <w:szCs w:val="24"/>
        </w:rPr>
        <w:t>s required by federal and state grant regulations, include</w:t>
      </w:r>
      <w:r w:rsidR="00E46E94"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authorizations;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obligations and unobligated balances;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expenditures;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assets; and</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income and interest.</w:t>
      </w:r>
    </w:p>
    <w:p w14:paraId="17570F2F" w14:textId="77777777" w:rsidR="00FA5E5C" w:rsidRPr="0079354F" w:rsidRDefault="00FA5E5C" w:rsidP="0024673E">
      <w:pPr>
        <w:rPr>
          <w:color w:val="000000" w:themeColor="text1"/>
        </w:rPr>
      </w:pPr>
    </w:p>
    <w:p w14:paraId="57A20006" w14:textId="519334A2" w:rsidR="0024673E" w:rsidRPr="0079354F" w:rsidRDefault="0024673E" w:rsidP="22CF907E">
      <w:pPr>
        <w:rPr>
          <w:color w:val="000000" w:themeColor="text1"/>
        </w:rPr>
      </w:pPr>
      <w:r w:rsidRPr="0079354F">
        <w:rPr>
          <w:color w:val="000000" w:themeColor="text1"/>
        </w:rPr>
        <w:t>Grantees must become familiar with basic terms for financial management of funds such as:</w:t>
      </w:r>
    </w:p>
    <w:p w14:paraId="7CE7DAC4" w14:textId="77777777"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Cost accounting: The method by which costs incurred are allocated to grant programs by classification (i.e., type of expenditure)</w:t>
      </w:r>
    </w:p>
    <w:p w14:paraId="65C08351" w14:textId="77777777"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Allowability: Costs are necessary, reasonable, and allocable to the grant</w:t>
      </w:r>
    </w:p>
    <w:p w14:paraId="257AACD8" w14:textId="77777777"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Allocability: The degree to which goods or services can be charged to a particular cost objective in accordance with the relative benefits received. (Note: Grantees should create allocation schedules.)</w:t>
      </w:r>
    </w:p>
    <w:p w14:paraId="6E459BF4" w14:textId="77777777"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Applicable credits: Receipts or reductions in expenditures that offset or reduce direct or indirect cost items (i.e., program income, and/or discounts)</w:t>
      </w:r>
    </w:p>
    <w:p w14:paraId="7F7CD666" w14:textId="77777777"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Direct cost: A cost that is identified with and benefits a specific grant and is generally charged on a line item basis, such as grant staff and grant supplies</w:t>
      </w:r>
    </w:p>
    <w:p w14:paraId="733A0382" w14:textId="54D3C36B"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Indirect cost: A cost incurred for common or organization wide activities or services that benefit more than one grant program or project, such as rent and utilities.</w:t>
      </w:r>
      <w:r w:rsidRPr="0079354F">
        <w:rPr>
          <w:rFonts w:ascii="Times New Roman" w:hAnsi="Times New Roman" w:cs="Times New Roman"/>
          <w:color w:val="FF0000"/>
          <w:sz w:val="24"/>
          <w:szCs w:val="24"/>
        </w:rPr>
        <w:t xml:space="preserve"> </w:t>
      </w:r>
      <w:r w:rsidRPr="0079354F">
        <w:rPr>
          <w:rFonts w:ascii="Times New Roman" w:hAnsi="Times New Roman" w:cs="Times New Roman"/>
          <w:color w:val="000000" w:themeColor="text1"/>
          <w:sz w:val="24"/>
          <w:szCs w:val="24"/>
        </w:rPr>
        <w:t xml:space="preserve">(Note: See </w:t>
      </w:r>
      <w:hyperlink r:id="rId184">
        <w:r w:rsidRPr="0079354F">
          <w:rPr>
            <w:rStyle w:val="Hyperlink"/>
            <w:rFonts w:ascii="Times New Roman" w:hAnsi="Times New Roman" w:cs="Times New Roman"/>
            <w:sz w:val="24"/>
            <w:szCs w:val="24"/>
          </w:rPr>
          <w:t>34 CFR Part</w:t>
        </w:r>
        <w:r w:rsidR="002244D1" w:rsidRPr="0079354F">
          <w:rPr>
            <w:rStyle w:val="Hyperlink"/>
            <w:rFonts w:ascii="Times New Roman" w:hAnsi="Times New Roman" w:cs="Times New Roman"/>
            <w:sz w:val="24"/>
            <w:szCs w:val="24"/>
          </w:rPr>
          <w:t xml:space="preserve"> 76</w:t>
        </w:r>
        <w:r w:rsidR="006C54E7" w:rsidRPr="0079354F">
          <w:rPr>
            <w:rStyle w:val="Hyperlink"/>
            <w:rFonts w:ascii="Times New Roman" w:hAnsi="Times New Roman" w:cs="Times New Roman"/>
            <w:sz w:val="24"/>
            <w:szCs w:val="24"/>
          </w:rPr>
          <w:t>.</w:t>
        </w:r>
        <w:r w:rsidRPr="0079354F">
          <w:rPr>
            <w:rStyle w:val="Hyperlink"/>
            <w:rFonts w:ascii="Times New Roman" w:hAnsi="Times New Roman" w:cs="Times New Roman"/>
            <w:sz w:val="24"/>
            <w:szCs w:val="24"/>
          </w:rPr>
          <w:t>563-569</w:t>
        </w:r>
      </w:hyperlink>
      <w:r w:rsidRPr="0079354F">
        <w:rPr>
          <w:rFonts w:ascii="Times New Roman" w:hAnsi="Times New Roman" w:cs="Times New Roman"/>
          <w:color w:val="000000" w:themeColor="text1"/>
          <w:sz w:val="24"/>
          <w:szCs w:val="24"/>
        </w:rPr>
        <w:t xml:space="preserve"> for AE grants restrictions due to the statutory requirement to supplement not supplant.)</w:t>
      </w:r>
    </w:p>
    <w:p w14:paraId="13A58731" w14:textId="00598EFE" w:rsidR="0024673E" w:rsidRPr="0079354F" w:rsidRDefault="0024673E" w:rsidP="00FC65BD">
      <w:pPr>
        <w:pStyle w:val="ListParagraph"/>
        <w:numPr>
          <w:ilvl w:val="0"/>
          <w:numId w:val="39"/>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Audit trail: Documentation that supports all grant</w:t>
      </w:r>
      <w:r w:rsidR="00D816B4" w:rsidRPr="0079354F">
        <w:rPr>
          <w:rFonts w:ascii="Times New Roman" w:hAnsi="Times New Roman" w:cs="Times New Roman"/>
          <w:color w:val="000000" w:themeColor="text1"/>
          <w:sz w:val="24"/>
          <w:szCs w:val="24"/>
        </w:rPr>
        <w:t xml:space="preserve"> </w:t>
      </w:r>
      <w:r w:rsidRPr="0079354F">
        <w:rPr>
          <w:rFonts w:ascii="Times New Roman" w:hAnsi="Times New Roman" w:cs="Times New Roman"/>
          <w:color w:val="000000" w:themeColor="text1"/>
          <w:sz w:val="24"/>
          <w:szCs w:val="24"/>
        </w:rPr>
        <w:t>related transactions</w:t>
      </w:r>
    </w:p>
    <w:p w14:paraId="74CB0BF1" w14:textId="77777777" w:rsidR="0024673E" w:rsidRPr="0079354F" w:rsidRDefault="0024673E" w:rsidP="0024673E">
      <w:pPr>
        <w:rPr>
          <w:color w:val="000000" w:themeColor="text1"/>
        </w:rPr>
      </w:pPr>
    </w:p>
    <w:p w14:paraId="37BE5170" w14:textId="573EBD92" w:rsidR="00CE1539" w:rsidRPr="0079354F" w:rsidRDefault="00CE1539" w:rsidP="22CF907E">
      <w:pPr>
        <w:rPr>
          <w:color w:val="000000" w:themeColor="text1"/>
        </w:rPr>
      </w:pPr>
      <w:r w:rsidRPr="23CFD7A5">
        <w:rPr>
          <w:color w:val="000000" w:themeColor="text1"/>
        </w:rPr>
        <w:t xml:space="preserve">As required under </w:t>
      </w:r>
      <w:hyperlink r:id="rId185">
        <w:r w:rsidRPr="23CFD7A5">
          <w:rPr>
            <w:rStyle w:val="Hyperlink"/>
          </w:rPr>
          <w:t>2 CFR Part 200.62</w:t>
        </w:r>
      </w:hyperlink>
      <w:r w:rsidRPr="23CFD7A5">
        <w:rPr>
          <w:color w:val="000000" w:themeColor="text1"/>
        </w:rPr>
        <w:t>, grantees must have written financial management procedures in place that show sound internal controls over federal and state grant funds; assurance procedures for payment requests and payments; and federal and state award expenditures that can be compared to the award budget.</w:t>
      </w:r>
      <w:r w:rsidR="00B828E1" w:rsidRPr="23CFD7A5">
        <w:rPr>
          <w:color w:val="000000" w:themeColor="text1"/>
        </w:rPr>
        <w:t xml:space="preserve"> </w:t>
      </w:r>
      <w:r w:rsidRPr="23CFD7A5">
        <w:rPr>
          <w:color w:val="000000" w:themeColor="text1"/>
        </w:rPr>
        <w:t>The specific written procedures grantees must have in writing are:</w:t>
      </w:r>
    </w:p>
    <w:p w14:paraId="1B470663" w14:textId="458EA1F8"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Allowable costs policy: How the grantee determines the costs charged to the grant are allowable and who is responsible for expenditures charged to the grant</w:t>
      </w:r>
      <w:r w:rsidR="00141591" w:rsidRPr="0079354F">
        <w:rPr>
          <w:rFonts w:ascii="Times New Roman" w:hAnsi="Times New Roman" w:cs="Times New Roman"/>
          <w:color w:val="000000" w:themeColor="text1"/>
          <w:sz w:val="24"/>
          <w:szCs w:val="24"/>
        </w:rPr>
        <w:t>.</w:t>
      </w:r>
    </w:p>
    <w:p w14:paraId="0ECCCF7F" w14:textId="2589B0CE"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Cash management: Drawdown process ensuring funds maintained and funds drawn down by the grantee are for expenditures that have been incurred or will be incurred in a reasonable timeframe. Funds are only drawn down by authorized staff.</w:t>
      </w:r>
    </w:p>
    <w:p w14:paraId="6240F235" w14:textId="0B92E2FA"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Procurement: Federal procurement guidelines for </w:t>
      </w:r>
      <w:r w:rsidR="00067154" w:rsidRPr="0079354F">
        <w:rPr>
          <w:rFonts w:ascii="Times New Roman" w:hAnsi="Times New Roman" w:cs="Times New Roman"/>
          <w:color w:val="000000" w:themeColor="text1"/>
          <w:sz w:val="24"/>
          <w:szCs w:val="24"/>
        </w:rPr>
        <w:t>community-based</w:t>
      </w:r>
      <w:r w:rsidRPr="0079354F">
        <w:rPr>
          <w:rFonts w:ascii="Times New Roman" w:hAnsi="Times New Roman" w:cs="Times New Roman"/>
          <w:color w:val="000000" w:themeColor="text1"/>
          <w:sz w:val="24"/>
          <w:szCs w:val="24"/>
        </w:rPr>
        <w:t xml:space="preserve"> </w:t>
      </w:r>
      <w:r w:rsidR="00141591" w:rsidRPr="0079354F">
        <w:rPr>
          <w:rFonts w:ascii="Times New Roman" w:hAnsi="Times New Roman" w:cs="Times New Roman"/>
          <w:color w:val="000000" w:themeColor="text1"/>
          <w:sz w:val="24"/>
          <w:szCs w:val="24"/>
        </w:rPr>
        <w:t>o</w:t>
      </w:r>
      <w:r w:rsidRPr="0079354F">
        <w:rPr>
          <w:rFonts w:ascii="Times New Roman" w:hAnsi="Times New Roman" w:cs="Times New Roman"/>
          <w:color w:val="000000" w:themeColor="text1"/>
          <w:sz w:val="24"/>
          <w:szCs w:val="24"/>
        </w:rPr>
        <w:t xml:space="preserve">rganizations,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a</w:t>
      </w:r>
      <w:r w:rsidRPr="0079354F">
        <w:rPr>
          <w:rFonts w:ascii="Times New Roman" w:hAnsi="Times New Roman" w:cs="Times New Roman"/>
          <w:color w:val="000000" w:themeColor="text1"/>
          <w:sz w:val="24"/>
          <w:szCs w:val="24"/>
        </w:rPr>
        <w:t xml:space="preserve">gencies, and </w:t>
      </w:r>
      <w:r w:rsidR="00141591" w:rsidRPr="0079354F">
        <w:rPr>
          <w:rFonts w:ascii="Times New Roman" w:hAnsi="Times New Roman" w:cs="Times New Roman"/>
          <w:color w:val="000000" w:themeColor="text1"/>
          <w:sz w:val="24"/>
          <w:szCs w:val="24"/>
        </w:rPr>
        <w:t>f</w:t>
      </w:r>
      <w:r w:rsidRPr="0079354F">
        <w:rPr>
          <w:rFonts w:ascii="Times New Roman" w:hAnsi="Times New Roman" w:cs="Times New Roman"/>
          <w:color w:val="000000" w:themeColor="text1"/>
          <w:sz w:val="24"/>
          <w:szCs w:val="24"/>
        </w:rPr>
        <w:t xml:space="preserve">ederal and </w:t>
      </w:r>
      <w:r w:rsidR="00141591" w:rsidRPr="0079354F">
        <w:rPr>
          <w:rFonts w:ascii="Times New Roman" w:hAnsi="Times New Roman" w:cs="Times New Roman"/>
          <w:color w:val="000000" w:themeColor="text1"/>
          <w:sz w:val="24"/>
          <w:szCs w:val="24"/>
        </w:rPr>
        <w:t>l</w:t>
      </w:r>
      <w:r w:rsidRPr="0079354F">
        <w:rPr>
          <w:rFonts w:ascii="Times New Roman" w:hAnsi="Times New Roman" w:cs="Times New Roman"/>
          <w:color w:val="000000" w:themeColor="text1"/>
          <w:sz w:val="24"/>
          <w:szCs w:val="24"/>
        </w:rPr>
        <w:t xml:space="preserve">ocal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t</w:t>
      </w:r>
      <w:r w:rsidRPr="0079354F">
        <w:rPr>
          <w:rFonts w:ascii="Times New Roman" w:hAnsi="Times New Roman" w:cs="Times New Roman"/>
          <w:color w:val="000000" w:themeColor="text1"/>
          <w:sz w:val="24"/>
          <w:szCs w:val="24"/>
        </w:rPr>
        <w:t xml:space="preserve">owns, </w:t>
      </w:r>
      <w:r w:rsidR="00141591" w:rsidRPr="0079354F">
        <w:rPr>
          <w:rFonts w:ascii="Times New Roman" w:hAnsi="Times New Roman" w:cs="Times New Roman"/>
          <w:color w:val="000000" w:themeColor="text1"/>
          <w:sz w:val="24"/>
          <w:szCs w:val="24"/>
        </w:rPr>
        <w:t>c</w:t>
      </w:r>
      <w:r w:rsidRPr="0079354F">
        <w:rPr>
          <w:rFonts w:ascii="Times New Roman" w:hAnsi="Times New Roman" w:cs="Times New Roman"/>
          <w:color w:val="000000" w:themeColor="text1"/>
          <w:sz w:val="24"/>
          <w:szCs w:val="24"/>
        </w:rPr>
        <w:t xml:space="preserve">ities, and </w:t>
      </w:r>
      <w:r w:rsidR="00141591" w:rsidRPr="0079354F">
        <w:rPr>
          <w:rFonts w:ascii="Times New Roman" w:hAnsi="Times New Roman" w:cs="Times New Roman"/>
          <w:color w:val="000000" w:themeColor="text1"/>
          <w:sz w:val="24"/>
          <w:szCs w:val="24"/>
        </w:rPr>
        <w:t>sc</w:t>
      </w:r>
      <w:r w:rsidRPr="0079354F">
        <w:rPr>
          <w:rFonts w:ascii="Times New Roman" w:hAnsi="Times New Roman" w:cs="Times New Roman"/>
          <w:color w:val="000000" w:themeColor="text1"/>
          <w:sz w:val="24"/>
          <w:szCs w:val="24"/>
        </w:rPr>
        <w:t xml:space="preserve">hool </w:t>
      </w:r>
      <w:r w:rsidR="00141591" w:rsidRPr="0079354F">
        <w:rPr>
          <w:rFonts w:ascii="Times New Roman" w:hAnsi="Times New Roman" w:cs="Times New Roman"/>
          <w:color w:val="000000" w:themeColor="text1"/>
          <w:sz w:val="24"/>
          <w:szCs w:val="24"/>
        </w:rPr>
        <w:t>d</w:t>
      </w:r>
      <w:r w:rsidRPr="0079354F">
        <w:rPr>
          <w:rFonts w:ascii="Times New Roman" w:hAnsi="Times New Roman" w:cs="Times New Roman"/>
          <w:color w:val="000000" w:themeColor="text1"/>
          <w:sz w:val="24"/>
          <w:szCs w:val="24"/>
        </w:rPr>
        <w:t>istricts</w:t>
      </w:r>
    </w:p>
    <w:p w14:paraId="7098C87F" w14:textId="3BBB20A0"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Travel</w:t>
      </w:r>
    </w:p>
    <w:p w14:paraId="3050A9E5" w14:textId="77777777"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Personnel policies: Policies applied to the grant should be consistently applied for all employees of the grantee.</w:t>
      </w:r>
    </w:p>
    <w:p w14:paraId="2192967A" w14:textId="1D526C66"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Inventory: Assets and </w:t>
      </w:r>
      <w:r w:rsidR="005D181C" w:rsidRPr="0079354F">
        <w:rPr>
          <w:rFonts w:ascii="Times New Roman" w:hAnsi="Times New Roman" w:cs="Times New Roman"/>
          <w:color w:val="000000" w:themeColor="text1"/>
          <w:sz w:val="24"/>
          <w:szCs w:val="24"/>
        </w:rPr>
        <w:t>t</w:t>
      </w:r>
      <w:r w:rsidRPr="0079354F">
        <w:rPr>
          <w:rFonts w:ascii="Times New Roman" w:hAnsi="Times New Roman" w:cs="Times New Roman"/>
          <w:color w:val="000000" w:themeColor="text1"/>
          <w:sz w:val="24"/>
          <w:szCs w:val="24"/>
        </w:rPr>
        <w:t>echnology</w:t>
      </w:r>
    </w:p>
    <w:p w14:paraId="0FA38976" w14:textId="77777777"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Time and effort reporting: Time and effort for each employee charged to the grant for both full and split funded employees through timesheets, monthly and semi-certifications, and allocation schedules.</w:t>
      </w:r>
    </w:p>
    <w:p w14:paraId="0FDD1DC1" w14:textId="77777777"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Conflict of interest</w:t>
      </w:r>
    </w:p>
    <w:p w14:paraId="30CB3D32" w14:textId="77777777"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Budget process</w:t>
      </w:r>
    </w:p>
    <w:p w14:paraId="7FF776F6" w14:textId="77777777" w:rsidR="00CE1539" w:rsidRPr="0079354F" w:rsidRDefault="00CE1539" w:rsidP="00FC65BD">
      <w:pPr>
        <w:pStyle w:val="ListParagraph"/>
        <w:numPr>
          <w:ilvl w:val="0"/>
          <w:numId w:val="3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Records retention</w:t>
      </w:r>
    </w:p>
    <w:p w14:paraId="6536049E" w14:textId="77777777" w:rsidR="00CE1539" w:rsidRPr="0079354F" w:rsidRDefault="00CE1539" w:rsidP="00CE1539">
      <w:pPr>
        <w:rPr>
          <w:color w:val="000000" w:themeColor="text1"/>
        </w:rPr>
      </w:pPr>
    </w:p>
    <w:p w14:paraId="645C0D98" w14:textId="77777777" w:rsidR="00CE1539" w:rsidRPr="006F4344" w:rsidRDefault="00CE1539" w:rsidP="22CF907E">
      <w:pPr>
        <w:pStyle w:val="Heading4"/>
        <w:spacing w:before="0"/>
        <w:rPr>
          <w:b/>
          <w:color w:val="E36C0A" w:themeColor="accent6" w:themeShade="BF"/>
        </w:rPr>
      </w:pPr>
      <w:r w:rsidRPr="00187183">
        <w:rPr>
          <w:b/>
          <w:color w:val="B85808"/>
        </w:rPr>
        <w:t>Record Retention</w:t>
      </w:r>
    </w:p>
    <w:p w14:paraId="3A826526" w14:textId="5991A36F" w:rsidR="00CE1539" w:rsidRPr="0079354F" w:rsidRDefault="00CE1539" w:rsidP="22CF907E">
      <w:pPr>
        <w:rPr>
          <w:color w:val="000000" w:themeColor="text1"/>
        </w:rPr>
      </w:pPr>
      <w:r w:rsidRPr="23CFD7A5">
        <w:rPr>
          <w:color w:val="000000" w:themeColor="text1"/>
        </w:rPr>
        <w:t xml:space="preserve">Grantees and subcontractors of DESE must abide by the </w:t>
      </w:r>
      <w:hyperlink r:id="rId186">
        <w:r w:rsidRPr="23CFD7A5">
          <w:rPr>
            <w:rStyle w:val="Hyperlink"/>
          </w:rPr>
          <w:t>Commonwealth of Massachusetts Regulation, 815 CMR 2.00 State Grants, Federal Grant Awards, Federal Subgrants, and Subsidies</w:t>
        </w:r>
      </w:hyperlink>
      <w:r w:rsidRPr="23CFD7A5">
        <w:rPr>
          <w:color w:val="000000" w:themeColor="text1"/>
        </w:rPr>
        <w:t>. The regulation requires that all DESE grant and subsidy recipients maintain all files, records, and documents related to the program. This includes all financial and program records, and data records for seven years beginning on the first day of the final payment of the grant or such longer period as is necessary for resolution to any claims, litigation, negotiation, and or audit. Financial and data records must be made available for review by DESE upon request. Falsification of required documentation may trigger a data and/or fiscal monitoring review from DESE, conditions placed on current funding, or result in termination of the grant.</w:t>
      </w:r>
    </w:p>
    <w:p w14:paraId="74E35B7C" w14:textId="77777777" w:rsidR="0024673E" w:rsidRPr="0079354F" w:rsidRDefault="0024673E" w:rsidP="22CF907E">
      <w:pPr>
        <w:rPr>
          <w:color w:val="000000" w:themeColor="text1"/>
        </w:rPr>
      </w:pPr>
    </w:p>
    <w:p w14:paraId="301BB436" w14:textId="77777777" w:rsidR="00134B6D" w:rsidRPr="0079354F" w:rsidRDefault="00CE1539" w:rsidP="22CF907E">
      <w:pPr>
        <w:rPr>
          <w:color w:val="000000" w:themeColor="text1"/>
        </w:rPr>
      </w:pPr>
      <w:r w:rsidRPr="0079354F">
        <w:rPr>
          <w:color w:val="000000" w:themeColor="text1"/>
        </w:rPr>
        <w:t>Records may be retained in electronic format. However, the grantee is expected to establish formal procedures that address records management requirements, including recordkeeping requirements and disposition</w:t>
      </w:r>
      <w:r w:rsidR="00134B6D" w:rsidRPr="0079354F">
        <w:rPr>
          <w:color w:val="000000" w:themeColor="text1"/>
        </w:rPr>
        <w:t>.</w:t>
      </w:r>
    </w:p>
    <w:p w14:paraId="11DF69CB" w14:textId="77777777" w:rsidR="00134B6D" w:rsidRPr="0079354F" w:rsidRDefault="00134B6D" w:rsidP="22CF907E">
      <w:pPr>
        <w:rPr>
          <w:color w:val="000000" w:themeColor="text1"/>
        </w:rPr>
      </w:pPr>
    </w:p>
    <w:p w14:paraId="376F2FFB" w14:textId="31DD4CFE" w:rsidR="00CE1539" w:rsidRPr="0079354F" w:rsidRDefault="00CE1539" w:rsidP="00CE1539">
      <w:pPr>
        <w:rPr>
          <w:color w:val="000000"/>
        </w:rPr>
      </w:pPr>
      <w:r w:rsidRPr="0079354F">
        <w:rPr>
          <w:color w:val="000000" w:themeColor="text1"/>
        </w:rPr>
        <w:t xml:space="preserve">For guidance on establishing administrative controls, visit the </w:t>
      </w:r>
      <w:hyperlink r:id="rId187">
        <w:r w:rsidRPr="0079354F">
          <w:rPr>
            <w:rStyle w:val="Hyperlink"/>
          </w:rPr>
          <w:t>Commonwealth of Massachusetts Secretary of State Electronic Records Guidelines</w:t>
        </w:r>
      </w:hyperlink>
      <w:r w:rsidRPr="0079354F">
        <w:rPr>
          <w:color w:val="000000" w:themeColor="text1"/>
        </w:rPr>
        <w:t>.</w:t>
      </w:r>
    </w:p>
    <w:p w14:paraId="3F908D78" w14:textId="77777777" w:rsidR="00CE1539" w:rsidRPr="0079354F" w:rsidRDefault="00CE1539" w:rsidP="00CE1539"/>
    <w:p w14:paraId="279013E8" w14:textId="3EDE2DDF" w:rsidR="00CE1539" w:rsidRPr="006F4344" w:rsidRDefault="0024673E" w:rsidP="22CF907E">
      <w:pPr>
        <w:pStyle w:val="Heading4"/>
        <w:spacing w:before="0"/>
        <w:rPr>
          <w:b/>
          <w:color w:val="E36C0A" w:themeColor="accent6" w:themeShade="BF"/>
        </w:rPr>
      </w:pPr>
      <w:r w:rsidRPr="00187183">
        <w:rPr>
          <w:b/>
          <w:color w:val="B85808"/>
        </w:rPr>
        <w:t xml:space="preserve">Grants Accounting </w:t>
      </w:r>
      <w:r w:rsidR="00BC6FDE" w:rsidRPr="00187183">
        <w:rPr>
          <w:b/>
          <w:color w:val="B85808"/>
        </w:rPr>
        <w:t xml:space="preserve">and Information </w:t>
      </w:r>
      <w:r w:rsidRPr="00187183">
        <w:rPr>
          <w:b/>
          <w:color w:val="B85808"/>
        </w:rPr>
        <w:t>System</w:t>
      </w:r>
    </w:p>
    <w:p w14:paraId="5D58608E" w14:textId="10CA3833" w:rsidR="00CE1539" w:rsidRPr="0079354F" w:rsidRDefault="00CE1539" w:rsidP="22CF907E">
      <w:bookmarkStart w:id="106" w:name="_Toc37075459"/>
      <w:r w:rsidRPr="0079354F">
        <w:t>Grantees must have an accounting system that enables them to develop and submit an annual budget that supports the services approved in the grant. The budget process must be in writing and reflect the requirements of the grant.</w:t>
      </w:r>
      <w:r w:rsidR="005D181C" w:rsidRPr="0079354F">
        <w:t xml:space="preserve"> </w:t>
      </w:r>
      <w:r w:rsidRPr="0079354F">
        <w:t>Authorized personnel must submit grant budgets by the deadlines specified in the DESE</w:t>
      </w:r>
      <w:r w:rsidR="0024673E" w:rsidRPr="0079354F">
        <w:t xml:space="preserve"> g</w:t>
      </w:r>
      <w:r w:rsidRPr="0079354F">
        <w:t xml:space="preserve">rants accounting system, </w:t>
      </w:r>
      <w:hyperlink r:id="rId188">
        <w:r w:rsidR="00BC6FDE" w:rsidRPr="0079354F">
          <w:rPr>
            <w:rStyle w:val="Hyperlink"/>
          </w:rPr>
          <w:t>EdGrants</w:t>
        </w:r>
      </w:hyperlink>
      <w:r w:rsidRPr="0079354F">
        <w:t>. Failure to meet the specified deadlines may delay grant approvals.</w:t>
      </w:r>
      <w:bookmarkEnd w:id="106"/>
    </w:p>
    <w:p w14:paraId="080C6E39" w14:textId="5FED3E99" w:rsidR="00BC6FDE" w:rsidRPr="0079354F" w:rsidRDefault="00BC6FDE" w:rsidP="22CF907E"/>
    <w:p w14:paraId="14C02804" w14:textId="0D1DFA8A" w:rsidR="00BC6FDE" w:rsidRPr="0079354F" w:rsidRDefault="00BC6FDE" w:rsidP="00BC6FDE">
      <w:r w:rsidRPr="0079354F">
        <w:t>DESE also uses WizeHive, a flexible solution for addressing ACLS information collection needs including grant information. ACLS will send links and instructions for using WizeHive to grantees as needed.</w:t>
      </w:r>
    </w:p>
    <w:p w14:paraId="227D070C" w14:textId="5A430F3D" w:rsidR="00CE1539" w:rsidRPr="0079354F" w:rsidRDefault="00CE1539" w:rsidP="00CE1539"/>
    <w:p w14:paraId="59AC84B4" w14:textId="1458FA7A" w:rsidR="00F14E2C" w:rsidRPr="0079354F" w:rsidRDefault="00917613" w:rsidP="00CE1539">
      <w:r w:rsidRPr="0079354F">
        <w:t xml:space="preserve">For more information on grants, see </w:t>
      </w:r>
      <w:hyperlink r:id="rId189" w:history="1">
        <w:r w:rsidRPr="0079354F">
          <w:rPr>
            <w:rStyle w:val="Hyperlink"/>
          </w:rPr>
          <w:t>Grants for Schools: Getting Them and Using Them, A Procedural Manual</w:t>
        </w:r>
      </w:hyperlink>
      <w:r w:rsidRPr="0079354F">
        <w:t xml:space="preserve"> and </w:t>
      </w:r>
      <w:hyperlink r:id="rId190" w:history="1">
        <w:r w:rsidRPr="0079354F">
          <w:rPr>
            <w:rStyle w:val="Hyperlink"/>
          </w:rPr>
          <w:t>EdGrants: User Guides, Information and Trainings</w:t>
        </w:r>
      </w:hyperlink>
      <w:r w:rsidRPr="0079354F">
        <w:t>.</w:t>
      </w:r>
    </w:p>
    <w:p w14:paraId="348DCE66" w14:textId="77777777" w:rsidR="00F14E2C" w:rsidRPr="0079354F" w:rsidRDefault="00F14E2C">
      <w:r w:rsidRPr="0079354F">
        <w:br w:type="page"/>
      </w:r>
    </w:p>
    <w:p w14:paraId="27085231" w14:textId="09F37926" w:rsidR="002513B7" w:rsidRPr="00295F52" w:rsidRDefault="002513B7" w:rsidP="00A36A19">
      <w:pPr>
        <w:pStyle w:val="Heading3"/>
        <w:rPr>
          <w:b/>
          <w:bCs/>
          <w:noProof/>
        </w:rPr>
      </w:pPr>
      <w:bookmarkStart w:id="107" w:name="_Toc109196021"/>
      <w:r w:rsidRPr="1E8607B9">
        <w:rPr>
          <w:b/>
          <w:bCs/>
          <w:noProof/>
        </w:rPr>
        <w:t>Supplement not Supplant</w:t>
      </w:r>
      <w:bookmarkEnd w:id="107"/>
    </w:p>
    <w:p w14:paraId="0545E311" w14:textId="1A2570AC" w:rsidR="002513B7" w:rsidRPr="0079354F" w:rsidRDefault="002513B7" w:rsidP="22CF907E">
      <w:pPr>
        <w:rPr>
          <w:color w:val="000000" w:themeColor="text1"/>
        </w:rPr>
      </w:pPr>
      <w:r w:rsidRPr="0079354F">
        <w:t xml:space="preserve">AE grants are not intended to support 100% of programs costs. Technically classified as restricted rate grants, because they have the statutory requirement to supplement and not supplant (i.e., SNS) other federal, state, local, or private funding, AE funds </w:t>
      </w:r>
      <w:r w:rsidRPr="0079354F">
        <w:rPr>
          <w:color w:val="000000" w:themeColor="text1"/>
        </w:rPr>
        <w:t xml:space="preserve">cannot be used for costs that are assumed to be part of the agreement of the grant nor can they be used for costs previously funded with other funds available to the grantee. </w:t>
      </w:r>
      <w:r w:rsidRPr="0079354F">
        <w:t xml:space="preserve">In other words, AE grant funds may not be used to pay for expenses that have been paid for by other federal, state, local, or private awards in the prior year or for costs assumed to be part of the determination of awarding </w:t>
      </w:r>
      <w:r w:rsidR="00206B46" w:rsidRPr="0079354F">
        <w:t xml:space="preserve">funds to the </w:t>
      </w:r>
      <w:r w:rsidRPr="0079354F">
        <w:t>grantee.</w:t>
      </w:r>
      <w:r w:rsidR="006E1D43">
        <w:t xml:space="preserve"> </w:t>
      </w:r>
      <w:r w:rsidRPr="0079354F">
        <w:rPr>
          <w:color w:val="000000" w:themeColor="text1"/>
        </w:rPr>
        <w:t>The funds must be used as a supplement to an existing program.</w:t>
      </w:r>
    </w:p>
    <w:p w14:paraId="6524BEAB" w14:textId="77777777" w:rsidR="002513B7" w:rsidRPr="0079354F" w:rsidRDefault="002513B7" w:rsidP="22CF907E"/>
    <w:p w14:paraId="4DB38880" w14:textId="2E4523E5" w:rsidR="002513B7" w:rsidRPr="0079354F" w:rsidRDefault="002513B7" w:rsidP="002513B7">
      <w:pPr>
        <w:rPr>
          <w:color w:val="000000" w:themeColor="text1"/>
        </w:rPr>
      </w:pPr>
      <w:r w:rsidRPr="0079354F">
        <w:rPr>
          <w:color w:val="000000" w:themeColor="text1"/>
        </w:rPr>
        <w:t xml:space="preserve">This explains why grantees are expected to use existing resources to ensure the fiscal health of AE programs. For example, costs for rental of space including maintenance are assumed to be provided by the grantee when awarding the grant and therefore cannot be charged to the grant. Space attributed to the general administrative units of the grantee may be included as part of the indirect costs rate. However, the grantee must maintain records in determining indirect costs on file and have an approved indirect cost rate agreement from a federal cognizant agency or negotiate a rate with DESE. Please refer to </w:t>
      </w:r>
      <w:hyperlink r:id="rId191">
        <w:r w:rsidRPr="0079354F">
          <w:rPr>
            <w:rStyle w:val="Hyperlink"/>
          </w:rPr>
          <w:t>34 CFR Part 76.563-569</w:t>
        </w:r>
      </w:hyperlink>
      <w:r w:rsidRPr="0079354F">
        <w:rPr>
          <w:color w:val="000000" w:themeColor="text1"/>
        </w:rPr>
        <w:t xml:space="preserve"> for further guidance.</w:t>
      </w:r>
    </w:p>
    <w:p w14:paraId="2E506681" w14:textId="77777777" w:rsidR="00CE1539" w:rsidRPr="0079354F" w:rsidRDefault="00CE1539" w:rsidP="00CE1539"/>
    <w:p w14:paraId="5D7930F0" w14:textId="72582FA1" w:rsidR="00CE1539" w:rsidRPr="00295F52" w:rsidRDefault="00CE1539" w:rsidP="00A36A19">
      <w:pPr>
        <w:pStyle w:val="Heading3"/>
        <w:rPr>
          <w:b/>
          <w:bCs/>
        </w:rPr>
      </w:pPr>
      <w:bookmarkStart w:id="108" w:name="_Toc109196022"/>
      <w:r w:rsidRPr="1E8607B9">
        <w:rPr>
          <w:b/>
          <w:bCs/>
        </w:rPr>
        <w:t>Match and Maintenance of Effort (State requirement)</w:t>
      </w:r>
      <w:bookmarkEnd w:id="108"/>
    </w:p>
    <w:p w14:paraId="60278412" w14:textId="741F3E46" w:rsidR="00591DEA" w:rsidRPr="0079354F" w:rsidRDefault="00CA4FC8" w:rsidP="00CE1539">
      <w:r>
        <w:t xml:space="preserve">As per </w:t>
      </w:r>
      <w:hyperlink r:id="rId192">
        <w:r w:rsidRPr="23CFD7A5">
          <w:rPr>
            <w:rStyle w:val="Hyperlink"/>
          </w:rPr>
          <w:t>2 CFR Part 200.306</w:t>
        </w:r>
      </w:hyperlink>
      <w:r>
        <w:t xml:space="preserve">, </w:t>
      </w:r>
      <w:r w:rsidR="00CE1539">
        <w:t>ACLS requires that grantees provide a minimum of 20% of the total grant award as match or the amount contributed in the previous year, whichever is greater (i.e., the matching share committed in year one of a multi-year grant cycle cannot be reduced without written DESE approval).</w:t>
      </w:r>
    </w:p>
    <w:p w14:paraId="658B2057" w14:textId="77777777" w:rsidR="00591DEA" w:rsidRPr="0079354F" w:rsidRDefault="00591DEA" w:rsidP="00CE1539"/>
    <w:p w14:paraId="0D574B5F" w14:textId="14DF6A00" w:rsidR="00CE1539" w:rsidRPr="0079354F" w:rsidRDefault="29CD7B54" w:rsidP="00CE1539">
      <w:r w:rsidRPr="0079354F">
        <w:t xml:space="preserve">This is referred to as maintenance of effort (MOE) and it applies to the full range of commitments grantees make in the first year of a funding cycle (e.g., director qualifications, space, technology). </w:t>
      </w:r>
      <w:r w:rsidRPr="0079354F">
        <w:rPr>
          <w:color w:val="000000" w:themeColor="text1"/>
        </w:rPr>
        <w:t>Specifically, the grantee is expected to provide some funding toward the direct services to the program for their match.</w:t>
      </w:r>
    </w:p>
    <w:p w14:paraId="68F3295E" w14:textId="77777777" w:rsidR="00CE1539" w:rsidRPr="0079354F" w:rsidRDefault="00CE1539" w:rsidP="00CE1539"/>
    <w:p w14:paraId="5386DB48" w14:textId="77777777" w:rsidR="00CE1539" w:rsidRPr="0079354F" w:rsidRDefault="00CE1539" w:rsidP="00CE1539">
      <w:r w:rsidRPr="0079354F">
        <w:t>Only allowable program costs can be charged to match. As a result, indirect costs in excess of 8% cannot be recovered. (Note: Programs that have a DESE approved IDC rate of 8%, can claim a portion of that rate on the direct budget and a portion of that rate on match (e.g., 4% IDC on the direct budget and 4% IDC on the match budget). Programs that have a federally approved indirect cost (IDC) rate that exceeds the DESE approved IDC rate may not claim the difference between the 8% and the federally approved rate as match.</w:t>
      </w:r>
    </w:p>
    <w:p w14:paraId="779734B7" w14:textId="77777777" w:rsidR="00CE1539" w:rsidRPr="0079354F" w:rsidRDefault="00CE1539" w:rsidP="00CE1539"/>
    <w:p w14:paraId="7ECE4F55" w14:textId="1C46B580" w:rsidR="00CE1539" w:rsidRPr="0079354F" w:rsidRDefault="00AE5AD8" w:rsidP="00CE1539">
      <w:r>
        <w:t>All matching funds and contributions must be directly</w:t>
      </w:r>
      <w:r w:rsidR="00CE1539">
        <w:t xml:space="preserve"> </w:t>
      </w:r>
      <w:r>
        <w:t>related to the grant program. This includes</w:t>
      </w:r>
      <w:r w:rsidR="00CE1539">
        <w:t xml:space="preserve"> cash and third-party in-kind contributions. These contributions must adhere to the requirements detailed in this chapter. Specifically, they must be verifiable, adequately supported with documentation, and approved in the program budget. Time and effort reporting for volunteers</w:t>
      </w:r>
      <w:r w:rsidR="003A5703">
        <w:t>’</w:t>
      </w:r>
      <w:r w:rsidR="00CE1539">
        <w:t xml:space="preserve"> matching expenditures must adhere to the same reporting policies and procedures used for the grantees’ employees. The expenditures used as matching funds may not be included as contributions for or funded by any other federal award.</w:t>
      </w:r>
    </w:p>
    <w:p w14:paraId="4BC65DA6" w14:textId="77777777" w:rsidR="00CE1539" w:rsidRPr="0079354F" w:rsidRDefault="00CE1539" w:rsidP="00CE1539"/>
    <w:p w14:paraId="14038731" w14:textId="77777777" w:rsidR="00CE1539" w:rsidRPr="0079354F" w:rsidRDefault="00CE1539" w:rsidP="22CF907E">
      <w:r w:rsidRPr="0079354F">
        <w:t>Examples of allowable matching or cost-sharing requirement criteria are:</w:t>
      </w:r>
    </w:p>
    <w:p w14:paraId="66662D21" w14:textId="77777777" w:rsidR="00CE1539" w:rsidRPr="0079354F" w:rsidRDefault="00CE1539" w:rsidP="00FC65BD">
      <w:pPr>
        <w:pStyle w:val="ListParagraph"/>
        <w:numPr>
          <w:ilvl w:val="0"/>
          <w:numId w:val="4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value of the third-party in-kind contributions is applicable to the period to which the cost sharing or matching requirements apply;</w:t>
      </w:r>
    </w:p>
    <w:p w14:paraId="78DE2C04" w14:textId="77777777" w:rsidR="00CE1539" w:rsidRPr="0079354F" w:rsidRDefault="00CE1539" w:rsidP="00FC65BD">
      <w:pPr>
        <w:pStyle w:val="ListParagraph"/>
        <w:numPr>
          <w:ilvl w:val="0"/>
          <w:numId w:val="4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donated services provided to a grantee or subgrantee by individuals must be valued at rates consistent with those ordinarily paid for similar work, in the grantee's or subgrantee's organization; and</w:t>
      </w:r>
    </w:p>
    <w:p w14:paraId="7E4B9E45" w14:textId="77777777" w:rsidR="00CE1539" w:rsidRPr="0079354F" w:rsidRDefault="00CE1539" w:rsidP="00FC65BD">
      <w:pPr>
        <w:pStyle w:val="ListParagraph"/>
        <w:numPr>
          <w:ilvl w:val="0"/>
          <w:numId w:val="4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third party donated supplies and loaned equipment or space must be valued at rates consistent with those common in the area where the grantee provides services.</w:t>
      </w:r>
    </w:p>
    <w:p w14:paraId="3603B0FB" w14:textId="77777777" w:rsidR="00CE1539" w:rsidRPr="0079354F" w:rsidRDefault="00CE1539" w:rsidP="00CE1539"/>
    <w:p w14:paraId="46A96706" w14:textId="77777777" w:rsidR="00CE1539" w:rsidRPr="0079354F" w:rsidRDefault="00CE1539" w:rsidP="00CE1539">
      <w:r w:rsidRPr="0079354F">
        <w:t xml:space="preserve">The source(s) of match funding must be documented, and the match funds must be an integral part of the approved program, </w:t>
      </w:r>
      <w:r w:rsidRPr="0079354F">
        <w:rPr>
          <w:color w:val="000000" w:themeColor="text1"/>
        </w:rPr>
        <w:t xml:space="preserve">recorded in the grantee’s financial management system for each </w:t>
      </w:r>
      <w:r w:rsidRPr="0079354F">
        <w:t>grant, fully auditable, and demonstrative of the grantee’s capacity to provide self-sustaining fiscal and program operations. Examples of acceptable match requirements include but are not limited to:</w:t>
      </w:r>
    </w:p>
    <w:p w14:paraId="6BE222D9" w14:textId="1A86FF01" w:rsidR="00CE1539" w:rsidRPr="0079354F" w:rsidRDefault="00CE1539" w:rsidP="66C7746C">
      <w:pPr>
        <w:pStyle w:val="ListParagraph"/>
        <w:numPr>
          <w:ilvl w:val="0"/>
          <w:numId w:val="43"/>
        </w:numPr>
        <w:spacing w:after="0" w:line="240" w:lineRule="auto"/>
        <w:rPr>
          <w:rFonts w:eastAsiaTheme="minorEastAsia"/>
          <w:sz w:val="24"/>
          <w:szCs w:val="24"/>
        </w:rPr>
      </w:pPr>
      <w:r w:rsidRPr="66C7746C">
        <w:rPr>
          <w:rFonts w:ascii="Times New Roman" w:hAnsi="Times New Roman" w:cs="Times New Roman"/>
          <w:sz w:val="24"/>
          <w:szCs w:val="24"/>
        </w:rPr>
        <w:t xml:space="preserve">Classes supported by match funds. If a program meets the match requirement with classes, these classes and students must be entered into </w:t>
      </w:r>
      <w:hyperlink r:id="rId193">
        <w:r w:rsidRPr="66C7746C">
          <w:rPr>
            <w:rStyle w:val="Hyperlink"/>
            <w:rFonts w:ascii="Times New Roman" w:hAnsi="Times New Roman" w:cs="Times New Roman"/>
            <w:sz w:val="24"/>
            <w:szCs w:val="24"/>
          </w:rPr>
          <w:t>LACES</w:t>
        </w:r>
      </w:hyperlink>
      <w:r w:rsidRPr="66C7746C">
        <w:rPr>
          <w:rFonts w:ascii="Times New Roman" w:hAnsi="Times New Roman" w:cs="Times New Roman"/>
          <w:sz w:val="24"/>
          <w:szCs w:val="24"/>
        </w:rPr>
        <w:t xml:space="preserve">. (Note: The number of </w:t>
      </w:r>
      <w:r w:rsidR="00AB7707" w:rsidRPr="66C7746C">
        <w:rPr>
          <w:rFonts w:ascii="Times New Roman" w:hAnsi="Times New Roman" w:cs="Times New Roman"/>
          <w:sz w:val="24"/>
          <w:szCs w:val="24"/>
        </w:rPr>
        <w:t>enrollments</w:t>
      </w:r>
      <w:r w:rsidRPr="66C7746C">
        <w:rPr>
          <w:rFonts w:ascii="Times New Roman" w:hAnsi="Times New Roman" w:cs="Times New Roman"/>
          <w:sz w:val="24"/>
          <w:szCs w:val="24"/>
        </w:rPr>
        <w:t xml:space="preserve"> the program will be required to maintain will be the sum of seats in the DESE funded classes and the seats in the match funded classes. For example, if DESE funds 50 seats and match funds another 50 seats, the program will need to enroll and maintain 100 </w:t>
      </w:r>
      <w:r w:rsidR="000D17D7" w:rsidRPr="66C7746C">
        <w:rPr>
          <w:rFonts w:ascii="Times New Roman" w:hAnsi="Times New Roman" w:cs="Times New Roman"/>
          <w:sz w:val="24"/>
          <w:szCs w:val="24"/>
        </w:rPr>
        <w:t>enrolled</w:t>
      </w:r>
      <w:r w:rsidRPr="66C7746C">
        <w:rPr>
          <w:rFonts w:ascii="Times New Roman" w:hAnsi="Times New Roman" w:cs="Times New Roman"/>
          <w:sz w:val="24"/>
          <w:szCs w:val="24"/>
        </w:rPr>
        <w:t xml:space="preserve"> students</w:t>
      </w:r>
      <w:r w:rsidR="000D17D7" w:rsidRPr="66C7746C">
        <w:rPr>
          <w:rFonts w:ascii="Times New Roman" w:hAnsi="Times New Roman" w:cs="Times New Roman"/>
          <w:sz w:val="24"/>
          <w:szCs w:val="24"/>
        </w:rPr>
        <w:t xml:space="preserve"> during the period from September to June.)</w:t>
      </w:r>
      <w:r w:rsidR="00FA5E5C" w:rsidRPr="66C7746C">
        <w:rPr>
          <w:rFonts w:ascii="Times New Roman" w:hAnsi="Times New Roman" w:cs="Times New Roman"/>
          <w:sz w:val="24"/>
          <w:szCs w:val="24"/>
        </w:rPr>
        <w:t>;</w:t>
      </w:r>
    </w:p>
    <w:p w14:paraId="5D5FDE95" w14:textId="417F9416" w:rsidR="00CE1539" w:rsidRPr="0079354F" w:rsidRDefault="00CE1539" w:rsidP="00FC65BD">
      <w:pPr>
        <w:pStyle w:val="ListParagraph"/>
        <w:numPr>
          <w:ilvl w:val="0"/>
          <w:numId w:val="4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Allowable costs incurred by the grantee, subgrantee, or a cost-type contractor under the assistance agreement</w:t>
      </w:r>
      <w:r w:rsidR="00FA5E5C" w:rsidRPr="0079354F">
        <w:rPr>
          <w:rFonts w:ascii="Times New Roman" w:hAnsi="Times New Roman" w:cs="Times New Roman"/>
          <w:sz w:val="24"/>
          <w:szCs w:val="24"/>
        </w:rPr>
        <w:t>;</w:t>
      </w:r>
    </w:p>
    <w:p w14:paraId="41EAEECB" w14:textId="59F24D9A" w:rsidR="00CE1539" w:rsidRPr="0079354F" w:rsidRDefault="00CE1539" w:rsidP="00FC65BD">
      <w:pPr>
        <w:pStyle w:val="ListParagraph"/>
        <w:numPr>
          <w:ilvl w:val="0"/>
          <w:numId w:val="4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Personnel who provide volunteer instructional services (</w:t>
      </w:r>
      <w:r w:rsidR="003A5703" w:rsidRPr="0079354F">
        <w:rPr>
          <w:rFonts w:ascii="Times New Roman" w:hAnsi="Times New Roman" w:cs="Times New Roman"/>
          <w:sz w:val="24"/>
          <w:szCs w:val="24"/>
        </w:rPr>
        <w:t>e.g.</w:t>
      </w:r>
      <w:r w:rsidRPr="0079354F">
        <w:rPr>
          <w:rFonts w:ascii="Times New Roman" w:hAnsi="Times New Roman" w:cs="Times New Roman"/>
          <w:sz w:val="24"/>
          <w:szCs w:val="24"/>
        </w:rPr>
        <w:t>, in class, one on one tutoring). Rates for volunteer services must be consistent with rates for similar work paid by the grantee. If required skills are not paid for by the grantee, rates must be consistent with those paid for similar work in the labor market. Fringe benefits that are reasonable, necessary, allocable, and allowable may be included in the valuation but only to the extent that they are included in the grantee’s personnel policies. Time of the volunteer services must be documented using the same time and effort reporting system used for employees of the grantee. DESE limits CALC and AECI matching contributions for volunteer time to 5% of the total grant award, not to exceed $24,000</w:t>
      </w:r>
      <w:r w:rsidR="00FA5E5C" w:rsidRPr="0079354F">
        <w:rPr>
          <w:rFonts w:ascii="Times New Roman" w:hAnsi="Times New Roman" w:cs="Times New Roman"/>
          <w:sz w:val="24"/>
          <w:szCs w:val="24"/>
        </w:rPr>
        <w:t>;</w:t>
      </w:r>
    </w:p>
    <w:p w14:paraId="6CD7B477" w14:textId="5D1A2510" w:rsidR="00CE1539" w:rsidRPr="0079354F" w:rsidRDefault="00CE1539" w:rsidP="00FC65BD">
      <w:pPr>
        <w:pStyle w:val="ListParagraph"/>
        <w:numPr>
          <w:ilvl w:val="0"/>
          <w:numId w:val="43"/>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Employees of other organizations</w:t>
      </w:r>
      <w:r w:rsidR="00FA5E5C" w:rsidRPr="0079354F">
        <w:rPr>
          <w:rFonts w:ascii="Times New Roman" w:hAnsi="Times New Roman" w:cs="Times New Roman"/>
          <w:sz w:val="24"/>
          <w:szCs w:val="24"/>
        </w:rPr>
        <w:t>; and</w:t>
      </w:r>
    </w:p>
    <w:p w14:paraId="2A332774" w14:textId="7A038E1F" w:rsidR="00CE1539" w:rsidRPr="0079354F" w:rsidRDefault="00CE1539" w:rsidP="00FC65BD">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Space may be claimed as match. The amount charged to the grant must be limited to actual usage of the space by the AE program. The formula for determining match is the cost per sq. ft. used by the program (e.g., classrooms, office space) multiplied by the percentage of time the space is used by the program</w:t>
      </w:r>
      <w:r w:rsidRPr="0079354F">
        <w:rPr>
          <w:rFonts w:ascii="Times New Roman" w:hAnsi="Times New Roman" w:cs="Times New Roman"/>
          <w:color w:val="1F497D" w:themeColor="text2"/>
          <w:sz w:val="24"/>
          <w:szCs w:val="24"/>
        </w:rPr>
        <w:t xml:space="preserve">. </w:t>
      </w:r>
      <w:r w:rsidRPr="0079354F">
        <w:rPr>
          <w:rFonts w:ascii="Times New Roman" w:hAnsi="Times New Roman" w:cs="Times New Roman"/>
          <w:color w:val="000000" w:themeColor="text1"/>
          <w:sz w:val="24"/>
          <w:szCs w:val="24"/>
        </w:rPr>
        <w:t>If office space for general administrative organization wide services is included in the indirect cost calculation, it cannot be used as a match expense.</w:t>
      </w:r>
    </w:p>
    <w:p w14:paraId="077D481D" w14:textId="77777777" w:rsidR="00CE1539" w:rsidRPr="0079354F" w:rsidRDefault="00CE1539" w:rsidP="00CE1539"/>
    <w:p w14:paraId="6C443223" w14:textId="77777777" w:rsidR="00CE1539" w:rsidRPr="00295F52" w:rsidRDefault="00CE1539" w:rsidP="00A36A19">
      <w:pPr>
        <w:pStyle w:val="Heading3"/>
        <w:rPr>
          <w:b/>
          <w:bCs/>
          <w:noProof/>
        </w:rPr>
      </w:pPr>
      <w:bookmarkStart w:id="109" w:name="_Toc109196023"/>
      <w:r w:rsidRPr="1E8607B9">
        <w:rPr>
          <w:b/>
          <w:bCs/>
          <w:noProof/>
        </w:rPr>
        <w:t>General Grant Requirements</w:t>
      </w:r>
      <w:bookmarkEnd w:id="109"/>
    </w:p>
    <w:p w14:paraId="0F444C00" w14:textId="423F035B" w:rsidR="00CE1539" w:rsidRPr="0079354F" w:rsidRDefault="00CE1539" w:rsidP="22CF907E">
      <w:r w:rsidRPr="0079354F">
        <w:t>As the entity responsible for distributing AE grant funds and monitoring their use, DESE monitors grantee adherence to applicable state and federal requirements. Documentation and information collected for this purpose include</w:t>
      </w:r>
      <w:r w:rsidR="004A023C" w:rsidRPr="0079354F">
        <w:t>s</w:t>
      </w:r>
      <w:r w:rsidRPr="0079354F">
        <w:t xml:space="preserve"> but</w:t>
      </w:r>
      <w:r w:rsidR="004A023C" w:rsidRPr="0079354F">
        <w:t xml:space="preserve"> is</w:t>
      </w:r>
      <w:r w:rsidRPr="0079354F">
        <w:t xml:space="preserve"> not limited to:</w:t>
      </w:r>
    </w:p>
    <w:p w14:paraId="4A24430A" w14:textId="1066D7C6" w:rsidR="00CE1539" w:rsidRPr="0079354F" w:rsidRDefault="00CE1539" w:rsidP="00FC65BD">
      <w:pPr>
        <w:pStyle w:val="ListParagraph"/>
        <w:numPr>
          <w:ilvl w:val="0"/>
          <w:numId w:val="4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Statement of Assurances (SOA): Each year an authorized signatory of the grantee must submit a signed SOA that assures compliance to DESE policies. The failure of a grantee to demonstrate compliance with the policy requirements in the </w:t>
      </w:r>
      <w:hyperlink r:id="rId194">
        <w:r w:rsidRPr="0079354F">
          <w:rPr>
            <w:rStyle w:val="Hyperlink"/>
            <w:rFonts w:ascii="Times New Roman" w:hAnsi="Times New Roman" w:cs="Times New Roman"/>
            <w:i/>
            <w:iCs/>
            <w:sz w:val="24"/>
            <w:szCs w:val="24"/>
          </w:rPr>
          <w:t>Massachusetts Policies for Effective Adult Education in Community Adult Learning Centers and Correctional Institutions</w:t>
        </w:r>
      </w:hyperlink>
      <w:r w:rsidRPr="0079354F">
        <w:rPr>
          <w:rFonts w:ascii="Times New Roman" w:hAnsi="Times New Roman" w:cs="Times New Roman"/>
          <w:color w:val="0000FF"/>
          <w:sz w:val="24"/>
          <w:szCs w:val="24"/>
        </w:rPr>
        <w:t xml:space="preserve"> </w:t>
      </w:r>
      <w:r w:rsidRPr="0079354F">
        <w:rPr>
          <w:rFonts w:ascii="Times New Roman" w:hAnsi="Times New Roman" w:cs="Times New Roman"/>
          <w:sz w:val="24"/>
          <w:szCs w:val="24"/>
        </w:rPr>
        <w:t xml:space="preserve">and in subsequent policy updates throughout the year will have consequences, including but not limited to </w:t>
      </w:r>
      <w:r w:rsidR="00EB1766" w:rsidRPr="0079354F">
        <w:rPr>
          <w:rFonts w:ascii="Times New Roman" w:hAnsi="Times New Roman" w:cs="Times New Roman"/>
          <w:sz w:val="24"/>
          <w:szCs w:val="24"/>
        </w:rPr>
        <w:t>corrective</w:t>
      </w:r>
      <w:r w:rsidRPr="0079354F">
        <w:rPr>
          <w:rFonts w:ascii="Times New Roman" w:hAnsi="Times New Roman" w:cs="Times New Roman"/>
          <w:sz w:val="24"/>
          <w:szCs w:val="24"/>
        </w:rPr>
        <w:t xml:space="preserve"> action, withholding of funds, grant reduction, or grant termination. By signing the SOA, the signatory is assuring DESE that the organization is aware of and will comply with all grant requirements and governing fiscal and data regulations.</w:t>
      </w:r>
    </w:p>
    <w:p w14:paraId="6C2CA275" w14:textId="77777777" w:rsidR="00CE1539" w:rsidRPr="0079354F" w:rsidRDefault="00CE1539" w:rsidP="22CF907E"/>
    <w:p w14:paraId="07615BD1" w14:textId="256487CC" w:rsidR="00CE1539" w:rsidRPr="0079354F" w:rsidRDefault="00CE1539" w:rsidP="00FC65BD">
      <w:pPr>
        <w:pStyle w:val="ListParagraph"/>
        <w:numPr>
          <w:ilvl w:val="0"/>
          <w:numId w:val="4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Risk Management: </w:t>
      </w:r>
      <w:hyperlink r:id="rId195">
        <w:r w:rsidRPr="0079354F">
          <w:rPr>
            <w:rStyle w:val="Hyperlink"/>
            <w:rFonts w:ascii="Times New Roman" w:hAnsi="Times New Roman" w:cs="Times New Roman"/>
            <w:sz w:val="24"/>
            <w:szCs w:val="24"/>
          </w:rPr>
          <w:t>2 CFR Part 200.205</w:t>
        </w:r>
      </w:hyperlink>
      <w:r w:rsidRPr="0079354F">
        <w:rPr>
          <w:rFonts w:ascii="Times New Roman" w:hAnsi="Times New Roman" w:cs="Times New Roman"/>
          <w:sz w:val="24"/>
          <w:szCs w:val="24"/>
        </w:rPr>
        <w:t xml:space="preserve"> requires that DESE assess the risk of grant recipients in order to identify fiscal and programmatic conditions that could put federal and state funds at risk and, based on the results of the risk assessment, develop monitoring plans</w:t>
      </w:r>
      <w:r w:rsidRPr="0079354F">
        <w:rPr>
          <w:rStyle w:val="CommentReference"/>
          <w:rFonts w:ascii="Times New Roman" w:hAnsi="Times New Roman" w:cs="Times New Roman"/>
          <w:b/>
          <w:bCs/>
          <w:sz w:val="24"/>
          <w:szCs w:val="24"/>
        </w:rPr>
        <w:t>.</w:t>
      </w:r>
      <w:r w:rsidRPr="0079354F">
        <w:rPr>
          <w:rFonts w:ascii="Times New Roman" w:hAnsi="Times New Roman" w:cs="Times New Roman"/>
          <w:sz w:val="24"/>
          <w:szCs w:val="24"/>
        </w:rPr>
        <w:t xml:space="preserve"> ACLS will continually assess program risk using a risk analysis rubric that incorporates a range of fiscal and data indicators including single audit findings, fiscal monitoring review findings, unspent funds, grant to agency budget ratio, MSG, timeliness of data entry, data accuracy, and post-test rates. Mitigation could involve training and technical assistance, additional site reviews including fiscal and data audits, stops on grant payments, and grant reduction or termination.</w:t>
      </w:r>
    </w:p>
    <w:p w14:paraId="3D0C1766" w14:textId="77777777" w:rsidR="00CE1539" w:rsidRPr="0079354F" w:rsidRDefault="00CE1539" w:rsidP="22CF907E"/>
    <w:p w14:paraId="7862788D" w14:textId="186B1AC0" w:rsidR="00C92846" w:rsidRPr="0079354F" w:rsidRDefault="00C92846" w:rsidP="00FC65BD">
      <w:pPr>
        <w:pStyle w:val="ListParagraph"/>
        <w:numPr>
          <w:ilvl w:val="0"/>
          <w:numId w:val="5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Financial Audit Requirement: All grantees that are community-based organizations (CBOs) are required to annually submit to ACLS an electronic copy of their organization’s latest non-single audit report issued by an independent CPA. The audit should be sent to </w:t>
      </w:r>
      <w:hyperlink r:id="rId196" w:history="1">
        <w:r w:rsidRPr="0079354F">
          <w:rPr>
            <w:rStyle w:val="Hyperlink"/>
            <w:rFonts w:ascii="Times New Roman" w:hAnsi="Times New Roman" w:cs="Times New Roman"/>
          </w:rPr>
          <w:t>ACLSFinancialAudit@mass.gov</w:t>
        </w:r>
      </w:hyperlink>
      <w:r w:rsidRPr="0079354F">
        <w:rPr>
          <w:rFonts w:ascii="Times New Roman" w:hAnsi="Times New Roman" w:cs="Times New Roman"/>
          <w:sz w:val="24"/>
          <w:szCs w:val="24"/>
        </w:rPr>
        <w:t xml:space="preserve"> and submitted no later than nine </w:t>
      </w:r>
      <w:r w:rsidR="00561F56" w:rsidRPr="0079354F">
        <w:rPr>
          <w:rFonts w:ascii="Times New Roman" w:hAnsi="Times New Roman" w:cs="Times New Roman"/>
          <w:sz w:val="24"/>
          <w:szCs w:val="24"/>
        </w:rPr>
        <w:t>m</w:t>
      </w:r>
      <w:r w:rsidRPr="0079354F">
        <w:rPr>
          <w:rFonts w:ascii="Times New Roman" w:hAnsi="Times New Roman" w:cs="Times New Roman"/>
          <w:sz w:val="24"/>
          <w:szCs w:val="24"/>
        </w:rPr>
        <w:t xml:space="preserve">onths after the program’s fiscal year ends with a Cc to the program’s assigned Program </w:t>
      </w:r>
      <w:r w:rsidRPr="002E0F06">
        <w:rPr>
          <w:rFonts w:ascii="Times New Roman" w:hAnsi="Times New Roman" w:cs="Times New Roman"/>
          <w:sz w:val="24"/>
          <w:szCs w:val="24"/>
        </w:rPr>
        <w:t xml:space="preserve">Specialist. The report should include financial statements and a Management Letter. The costs of the non-single audits are not an allowable expense to the grant as per </w:t>
      </w:r>
      <w:hyperlink r:id="rId197" w:history="1">
        <w:r w:rsidRPr="002E0F06">
          <w:rPr>
            <w:rStyle w:val="Hyperlink"/>
            <w:rFonts w:ascii="Times New Roman" w:hAnsi="Times New Roman" w:cs="Times New Roman"/>
            <w:sz w:val="24"/>
            <w:szCs w:val="24"/>
          </w:rPr>
          <w:t>2 CFR Part 200.425</w:t>
        </w:r>
      </w:hyperlink>
      <w:r w:rsidRPr="002E0F06">
        <w:rPr>
          <w:rFonts w:ascii="Times New Roman" w:hAnsi="Times New Roman" w:cs="Times New Roman"/>
          <w:sz w:val="24"/>
          <w:szCs w:val="24"/>
        </w:rPr>
        <w:t>.</w:t>
      </w:r>
    </w:p>
    <w:p w14:paraId="263A2860" w14:textId="77777777" w:rsidR="00CE1539" w:rsidRPr="0079354F" w:rsidRDefault="00CE1539" w:rsidP="22CF907E"/>
    <w:p w14:paraId="5C85C633" w14:textId="34335391" w:rsidR="00C92846" w:rsidRPr="0079354F" w:rsidRDefault="00C92846" w:rsidP="00FC65BD">
      <w:pPr>
        <w:pStyle w:val="ListParagraph"/>
        <w:numPr>
          <w:ilvl w:val="0"/>
          <w:numId w:val="53"/>
        </w:numPr>
        <w:spacing w:after="0" w:line="240" w:lineRule="auto"/>
        <w:rPr>
          <w:rFonts w:ascii="Times New Roman" w:hAnsi="Times New Roman" w:cs="Times New Roman"/>
          <w:color w:val="000000"/>
          <w:sz w:val="24"/>
          <w:szCs w:val="24"/>
        </w:rPr>
      </w:pPr>
      <w:r w:rsidRPr="0079354F">
        <w:rPr>
          <w:rFonts w:ascii="Times New Roman" w:hAnsi="Times New Roman" w:cs="Times New Roman"/>
          <w:sz w:val="24"/>
          <w:szCs w:val="24"/>
        </w:rPr>
        <w:t xml:space="preserve">As per </w:t>
      </w:r>
      <w:hyperlink r:id="rId198" w:history="1">
        <w:r w:rsidRPr="0079354F">
          <w:rPr>
            <w:rStyle w:val="Hyperlink"/>
            <w:rFonts w:ascii="Times New Roman" w:hAnsi="Times New Roman" w:cs="Times New Roman"/>
          </w:rPr>
          <w:t>2 CFR 200.501</w:t>
        </w:r>
      </w:hyperlink>
      <w:r w:rsidRPr="0079354F">
        <w:rPr>
          <w:rFonts w:ascii="Times New Roman" w:hAnsi="Times New Roman" w:cs="Times New Roman"/>
          <w:sz w:val="24"/>
          <w:szCs w:val="24"/>
        </w:rPr>
        <w:t xml:space="preserve">, entities that </w:t>
      </w:r>
      <w:r w:rsidRPr="0079354F">
        <w:rPr>
          <w:rFonts w:ascii="Times New Roman" w:hAnsi="Times New Roman" w:cs="Times New Roman"/>
          <w:color w:val="000000"/>
          <w:sz w:val="24"/>
          <w:szCs w:val="24"/>
        </w:rPr>
        <w:t xml:space="preserve">aggregately </w:t>
      </w:r>
      <w:r w:rsidRPr="0079354F">
        <w:rPr>
          <w:rFonts w:ascii="Times New Roman" w:hAnsi="Times New Roman" w:cs="Times New Roman"/>
          <w:sz w:val="24"/>
          <w:szCs w:val="24"/>
        </w:rPr>
        <w:t>expend $750,000 or more in federal funding are required to have a Single Audit (SA) that reviews internal controls and compliance to grant requirements. These audits must be submitted by the program’s CPA into the Federal Clearing House nine months after the program’s fiscal year ends. The cost of an audit is an allowable cost; however, it must be allocated proportionately to all funding sources. The Audit &amp; Compliance Unit (A&amp;C) of DESE will follow up on any SA that results in findings. A corrective action plan will be required along with supporting documentation on the corrective measures taken by the organization.</w:t>
      </w:r>
    </w:p>
    <w:p w14:paraId="44E80E8C" w14:textId="77777777" w:rsidR="00CE1539" w:rsidRPr="0079354F" w:rsidRDefault="00CE1539" w:rsidP="22CF907E"/>
    <w:p w14:paraId="6E752B7C" w14:textId="7FDCE1C7" w:rsidR="006A14ED" w:rsidRPr="0079354F" w:rsidRDefault="006A14ED" w:rsidP="00FC65BD">
      <w:pPr>
        <w:pStyle w:val="ListParagraph"/>
        <w:numPr>
          <w:ilvl w:val="0"/>
          <w:numId w:val="45"/>
        </w:numPr>
        <w:spacing w:after="0" w:line="240" w:lineRule="auto"/>
        <w:rPr>
          <w:rFonts w:ascii="Times New Roman" w:hAnsi="Times New Roman" w:cs="Times New Roman"/>
          <w:noProof/>
          <w:sz w:val="24"/>
          <w:szCs w:val="24"/>
        </w:rPr>
      </w:pPr>
      <w:r w:rsidRPr="23CFD7A5">
        <w:rPr>
          <w:rFonts w:ascii="Times New Roman" w:hAnsi="Times New Roman" w:cs="Times New Roman"/>
          <w:sz w:val="24"/>
          <w:szCs w:val="24"/>
        </w:rPr>
        <w:t xml:space="preserve">Time and effort records must support payrolls and time distribution records must support </w:t>
      </w:r>
      <w:r w:rsidRPr="23CFD7A5">
        <w:rPr>
          <w:rFonts w:ascii="Times New Roman" w:hAnsi="Times New Roman" w:cs="Times New Roman"/>
          <w:color w:val="000000" w:themeColor="text1"/>
          <w:sz w:val="24"/>
          <w:szCs w:val="24"/>
        </w:rPr>
        <w:t xml:space="preserve">salaries and wages of employees for both full time staff and/or staff working on more than one grant or cost center. Grantees must have written policies and procedures on how the account for staff </w:t>
      </w:r>
      <w:r w:rsidR="0066318E" w:rsidRPr="23CFD7A5">
        <w:rPr>
          <w:rFonts w:ascii="Times New Roman" w:hAnsi="Times New Roman" w:cs="Times New Roman"/>
          <w:color w:val="000000" w:themeColor="text1"/>
          <w:sz w:val="24"/>
          <w:szCs w:val="24"/>
        </w:rPr>
        <w:t xml:space="preserve">is </w:t>
      </w:r>
      <w:r w:rsidRPr="23CFD7A5">
        <w:rPr>
          <w:rFonts w:ascii="Times New Roman" w:hAnsi="Times New Roman" w:cs="Times New Roman"/>
          <w:color w:val="000000" w:themeColor="text1"/>
          <w:sz w:val="24"/>
          <w:szCs w:val="24"/>
        </w:rPr>
        <w:t>charged to the grant including salaries and in-kind services used as matching funds. Grantees should become familiar with</w:t>
      </w:r>
      <w:r w:rsidRPr="23CFD7A5">
        <w:rPr>
          <w:rFonts w:ascii="Times New Roman" w:hAnsi="Times New Roman" w:cs="Times New Roman"/>
          <w:color w:val="FF0000"/>
          <w:sz w:val="24"/>
          <w:szCs w:val="24"/>
        </w:rPr>
        <w:t xml:space="preserve"> </w:t>
      </w:r>
      <w:hyperlink r:id="rId199">
        <w:r w:rsidRPr="23CFD7A5">
          <w:rPr>
            <w:rStyle w:val="Hyperlink"/>
            <w:rFonts w:ascii="Times New Roman" w:hAnsi="Times New Roman" w:cs="Times New Roman"/>
            <w:sz w:val="24"/>
            <w:szCs w:val="24"/>
          </w:rPr>
          <w:t>2 CFR Part 200.318</w:t>
        </w:r>
      </w:hyperlink>
      <w:r w:rsidRPr="23CFD7A5">
        <w:rPr>
          <w:rFonts w:ascii="Times New Roman" w:hAnsi="Times New Roman" w:cs="Times New Roman"/>
          <w:color w:val="000000" w:themeColor="text1"/>
          <w:sz w:val="24"/>
          <w:szCs w:val="24"/>
        </w:rPr>
        <w:t>, document time and effort in payroll records, ensure that they comply with the approved budget, and keep supporting documentation for time and effort reporting. This requirement also pertains to matching funds.</w:t>
      </w:r>
    </w:p>
    <w:p w14:paraId="609A724C" w14:textId="77777777" w:rsidR="006A14ED" w:rsidRPr="0079354F" w:rsidRDefault="006A14ED" w:rsidP="22CF907E">
      <w:pPr>
        <w:pStyle w:val="ListParagraph"/>
        <w:rPr>
          <w:rFonts w:ascii="Times New Roman" w:hAnsi="Times New Roman" w:cs="Times New Roman"/>
          <w:noProof/>
          <w:sz w:val="24"/>
          <w:szCs w:val="24"/>
        </w:rPr>
      </w:pPr>
    </w:p>
    <w:p w14:paraId="1582F09F" w14:textId="7048E2A1" w:rsidR="00CE1539" w:rsidRPr="0079354F" w:rsidRDefault="006A14ED" w:rsidP="00FC65BD">
      <w:pPr>
        <w:pStyle w:val="ListParagraph"/>
        <w:numPr>
          <w:ilvl w:val="0"/>
          <w:numId w:val="45"/>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w:t>
      </w:r>
      <w:r w:rsidR="00CE1539" w:rsidRPr="0079354F">
        <w:rPr>
          <w:rFonts w:ascii="Times New Roman" w:hAnsi="Times New Roman" w:cs="Times New Roman"/>
          <w:color w:val="000000" w:themeColor="text1"/>
          <w:sz w:val="24"/>
          <w:szCs w:val="24"/>
        </w:rPr>
        <w:t xml:space="preserve">ime and effort documentation is important and a requirement as per </w:t>
      </w:r>
      <w:hyperlink r:id="rId200">
        <w:r w:rsidR="00CE1539" w:rsidRPr="0079354F">
          <w:rPr>
            <w:rStyle w:val="Hyperlink"/>
            <w:rFonts w:ascii="Times New Roman" w:hAnsi="Times New Roman" w:cs="Times New Roman"/>
            <w:sz w:val="24"/>
            <w:szCs w:val="24"/>
          </w:rPr>
          <w:t>2 CFR Part 200.430</w:t>
        </w:r>
      </w:hyperlink>
      <w:r w:rsidR="00CE1539" w:rsidRPr="0079354F">
        <w:rPr>
          <w:rFonts w:ascii="Times New Roman" w:hAnsi="Times New Roman" w:cs="Times New Roman"/>
          <w:color w:val="000000" w:themeColor="text1"/>
          <w:sz w:val="24"/>
          <w:szCs w:val="24"/>
        </w:rPr>
        <w:t>. The grantee must have written time and effort reporting procedures that reflect the grantee’s written personnel policies. Payroll systems must be based on records that accurately reflect the work performed and supported by a system of internal controls that provides reasonable assurances that charges are accurate, allowable, reasonable, and properly allocated. Payroll distribution records must be incorporated into the grantee’s official records and reasonably reflect employees’ total activity. Additionally, records need to support the distribution of salary or wages across specific activities or cost objectives if an employee works on more than one grant or activity. Time and effort reporting documentation requirements also apply to salaries counted as match.</w:t>
      </w:r>
    </w:p>
    <w:p w14:paraId="5B55BC7B" w14:textId="77777777" w:rsidR="00CE1539" w:rsidRPr="0079354F" w:rsidRDefault="00CE1539" w:rsidP="22CF907E">
      <w:pPr>
        <w:rPr>
          <w:color w:val="000000" w:themeColor="text1"/>
        </w:rPr>
      </w:pPr>
    </w:p>
    <w:p w14:paraId="032CA7C9" w14:textId="77777777" w:rsidR="00CE1539" w:rsidRPr="0079354F" w:rsidRDefault="00CE1539" w:rsidP="00FC65BD">
      <w:pPr>
        <w:pStyle w:val="ListParagraph"/>
        <w:numPr>
          <w:ilvl w:val="0"/>
          <w:numId w:val="45"/>
        </w:numPr>
        <w:spacing w:after="0" w:line="240" w:lineRule="auto"/>
        <w:rPr>
          <w:rFonts w:ascii="Times New Roman" w:hAnsi="Times New Roman" w:cs="Times New Roman"/>
          <w:color w:val="000000"/>
          <w:sz w:val="24"/>
          <w:szCs w:val="24"/>
        </w:rPr>
      </w:pPr>
      <w:r w:rsidRPr="0079354F">
        <w:rPr>
          <w:rFonts w:ascii="Times New Roman" w:hAnsi="Times New Roman" w:cs="Times New Roman"/>
          <w:color w:val="000000" w:themeColor="text1"/>
          <w:sz w:val="24"/>
          <w:szCs w:val="24"/>
        </w:rPr>
        <w:t>A reasonable method of tracking time and effort must be employed. Estimates may be used, however, reconciliation to actual time worked and charged (i.e., planned versus actual) must occur on a regular basis. Time worked, level of effort, and dollars charged are not independent of each other. They are linked and methodologies for tracking, reporting, and the internal controls in place need to be part of the documentation associated with personnel charges to DESE grants.</w:t>
      </w:r>
    </w:p>
    <w:p w14:paraId="29D17F47" w14:textId="77777777" w:rsidR="00CE1539" w:rsidRPr="0079354F" w:rsidRDefault="00CE1539" w:rsidP="00CE1539"/>
    <w:p w14:paraId="650C95FE" w14:textId="77777777" w:rsidR="00CE1539" w:rsidRPr="00295F52" w:rsidRDefault="00CE1539" w:rsidP="00A36A19">
      <w:pPr>
        <w:pStyle w:val="Heading3"/>
        <w:rPr>
          <w:b/>
          <w:bCs/>
          <w:noProof/>
        </w:rPr>
      </w:pPr>
      <w:bookmarkStart w:id="110" w:name="_Toc109196024"/>
      <w:r w:rsidRPr="1E8607B9">
        <w:rPr>
          <w:b/>
          <w:bCs/>
          <w:noProof/>
        </w:rPr>
        <w:t>Essential Budget Information</w:t>
      </w:r>
      <w:bookmarkEnd w:id="110"/>
    </w:p>
    <w:p w14:paraId="2EE30AE4" w14:textId="1BBB284F" w:rsidR="00CE1539" w:rsidRPr="0079354F" w:rsidRDefault="00CE1539" w:rsidP="00CE1539">
      <w:r w:rsidRPr="0079354F">
        <w:t xml:space="preserve">AE grantees must be familiar with </w:t>
      </w:r>
      <w:hyperlink r:id="rId201">
        <w:r w:rsidRPr="0079354F">
          <w:rPr>
            <w:rStyle w:val="Hyperlink"/>
          </w:rPr>
          <w:t>grants management information</w:t>
        </w:r>
      </w:hyperlink>
      <w:r w:rsidRPr="0079354F">
        <w:t xml:space="preserve">, submit applications that follow the “line item” structure in </w:t>
      </w:r>
      <w:hyperlink r:id="rId202">
        <w:r w:rsidRPr="0079354F">
          <w:rPr>
            <w:rStyle w:val="Hyperlink"/>
          </w:rPr>
          <w:t>EdGrants</w:t>
        </w:r>
      </w:hyperlink>
      <w:r w:rsidRPr="0079354F">
        <w:t xml:space="preserve">, and use official </w:t>
      </w:r>
      <w:hyperlink r:id="rId203">
        <w:r w:rsidRPr="0079354F">
          <w:rPr>
            <w:rStyle w:val="Hyperlink"/>
          </w:rPr>
          <w:t>grants management forms</w:t>
        </w:r>
      </w:hyperlink>
      <w:r w:rsidRPr="0079354F">
        <w:t xml:space="preserve"> and/or ACLS</w:t>
      </w:r>
      <w:r w:rsidR="00F901AE" w:rsidRPr="0079354F">
        <w:t xml:space="preserve"> </w:t>
      </w:r>
      <w:r w:rsidRPr="0079354F">
        <w:t>required forms as identified in individual Requests for Proposals (RFP). They must also abide by rules related to administrative costs</w:t>
      </w:r>
      <w:r w:rsidR="004777C8" w:rsidRPr="0079354F">
        <w:t xml:space="preserve"> and meet</w:t>
      </w:r>
      <w:r w:rsidR="00CA59AC" w:rsidRPr="0079354F">
        <w:t xml:space="preserve"> DESE</w:t>
      </w:r>
      <w:r w:rsidR="004777C8" w:rsidRPr="0079354F">
        <w:t xml:space="preserve"> deadlines</w:t>
      </w:r>
      <w:r w:rsidR="00E245FE" w:rsidRPr="0079354F">
        <w:t xml:space="preserve"> including the rule that all fiscal </w:t>
      </w:r>
      <w:r w:rsidR="00E245FE" w:rsidRPr="0079354F">
        <w:rPr>
          <w:color w:val="000000" w:themeColor="text1"/>
        </w:rPr>
        <w:t>requirements that apply to DESE grant funds also apply to match funds.</w:t>
      </w:r>
    </w:p>
    <w:p w14:paraId="57258998" w14:textId="77777777" w:rsidR="00CE1539" w:rsidRPr="00404C6A" w:rsidRDefault="00CE1539" w:rsidP="00CE1539">
      <w:pPr>
        <w:rPr>
          <w:sz w:val="22"/>
          <w:szCs w:val="22"/>
        </w:rPr>
      </w:pPr>
    </w:p>
    <w:p w14:paraId="561C71F8" w14:textId="13A86C18" w:rsidR="00CE1539" w:rsidRPr="0079354F" w:rsidRDefault="00CE1539" w:rsidP="00CE1539">
      <w:r w:rsidRPr="0079354F">
        <w:t xml:space="preserve">As defined by AEFLA and </w:t>
      </w:r>
      <w:hyperlink r:id="rId204">
        <w:r w:rsidRPr="0079354F">
          <w:rPr>
            <w:rStyle w:val="Hyperlink"/>
          </w:rPr>
          <w:t>34 CFR Part 463, Subpart C (463.25, and 463.26),</w:t>
        </w:r>
      </w:hyperlink>
      <w:r w:rsidRPr="0079354F">
        <w:t xml:space="preserve"> not less than 95 percent of funds must be spent on AE direct services and literacy activities. As a result, not more than five percent of the funds may be spent on administrative costs. AEFLA defines administrative costs as allowable costs related to planning, administration (including carrying out performance accountability requirements), professional development, providing AE and literacy services in alignment with local workforce plans, carrying out one-stop partner responsibilities, and state approved IDC charged to the grant. (Note: Approved IDC is part of the grantee’s administrative cost.)</w:t>
      </w:r>
    </w:p>
    <w:p w14:paraId="1339C223" w14:textId="77777777" w:rsidR="00CE1539" w:rsidRPr="00404C6A" w:rsidRDefault="00CE1539" w:rsidP="22CF907E">
      <w:pPr>
        <w:rPr>
          <w:sz w:val="22"/>
          <w:szCs w:val="22"/>
        </w:rPr>
      </w:pPr>
    </w:p>
    <w:p w14:paraId="29D96D9E" w14:textId="44D59F8B" w:rsidR="00CE1539" w:rsidRPr="0079354F" w:rsidRDefault="00695FC4" w:rsidP="00CE1539">
      <w:hyperlink r:id="rId205">
        <w:r w:rsidR="00CE1539" w:rsidRPr="0079354F">
          <w:rPr>
            <w:rStyle w:val="Hyperlink"/>
          </w:rPr>
          <w:t>AEFLA Sec. 233</w:t>
        </w:r>
      </w:hyperlink>
      <w:r w:rsidR="00CE1539" w:rsidRPr="0079354F">
        <w:t xml:space="preserve"> states that professional development expenses are administrative expenses and part of the five percent limit. DESE has further defined administrative professional development expenses to include non-SABES registration fees and travel expenses including out of state travel. SABES trainings and the annual MCAE Network conference are defined by DESE as instructional expenses.</w:t>
      </w:r>
    </w:p>
    <w:p w14:paraId="154F0305" w14:textId="77777777" w:rsidR="00CE1539" w:rsidRPr="00404C6A" w:rsidRDefault="00CE1539" w:rsidP="00CE1539">
      <w:pPr>
        <w:rPr>
          <w:sz w:val="22"/>
          <w:szCs w:val="22"/>
        </w:rPr>
      </w:pPr>
    </w:p>
    <w:p w14:paraId="13338846" w14:textId="77777777" w:rsidR="00CE1539" w:rsidRPr="0079354F" w:rsidRDefault="00CE1539" w:rsidP="00CE1539">
      <w:r w:rsidRPr="0079354F">
        <w:t>Grantees may negotiate with DESE on an individual basis to determine an adequate level of funds for non-instructional purposes by submitting a written request and rationale with their annual continuation applications. DESE will not grant administrative cost requests that exceed 25 percent of grant funds. Grantees must keep in mind that charges for IDC are included in the program’s administrative costs.</w:t>
      </w:r>
    </w:p>
    <w:p w14:paraId="3AFF9469" w14:textId="77777777" w:rsidR="00CE1539" w:rsidRPr="00404C6A" w:rsidRDefault="00CE1539" w:rsidP="00CE1539">
      <w:pPr>
        <w:rPr>
          <w:sz w:val="22"/>
          <w:szCs w:val="22"/>
        </w:rPr>
      </w:pPr>
    </w:p>
    <w:p w14:paraId="79ED55B6" w14:textId="4C40F420" w:rsidR="00CE1539" w:rsidRPr="0079354F" w:rsidRDefault="00CE1539" w:rsidP="00CE1539">
      <w:r w:rsidRPr="0079354F">
        <w:t xml:space="preserve">When preparing budgets, grantees must keep in mind the specific line item costs that are included in the calculation of administrative costs </w:t>
      </w:r>
      <w:r w:rsidR="00C41AE4" w:rsidRPr="0079354F">
        <w:t>are</w:t>
      </w:r>
      <w:r w:rsidRPr="0079354F">
        <w:t xml:space="preserve"> Lines 1, 3, 4 </w:t>
      </w:r>
      <w:r w:rsidR="00C41AE4" w:rsidRPr="0079354F">
        <w:t>(</w:t>
      </w:r>
      <w:r w:rsidRPr="0079354F">
        <w:t>as it relates to Lines 1 and 3</w:t>
      </w:r>
      <w:r w:rsidR="00C41AE4" w:rsidRPr="0079354F">
        <w:t>)</w:t>
      </w:r>
      <w:r w:rsidRPr="0079354F">
        <w:t>, 9, and 10.</w:t>
      </w:r>
    </w:p>
    <w:p w14:paraId="20FE1198" w14:textId="77777777" w:rsidR="00CE1539" w:rsidRPr="00404C6A" w:rsidRDefault="00CE1539" w:rsidP="00CE1539">
      <w:pPr>
        <w:rPr>
          <w:sz w:val="22"/>
          <w:szCs w:val="22"/>
        </w:rPr>
      </w:pPr>
    </w:p>
    <w:p w14:paraId="4DF5AC0A" w14:textId="77777777" w:rsidR="00CE1539" w:rsidRPr="006F4344" w:rsidRDefault="00CE1539" w:rsidP="22CF907E">
      <w:pPr>
        <w:pStyle w:val="Heading4"/>
        <w:spacing w:before="0"/>
        <w:rPr>
          <w:b/>
          <w:color w:val="E36C0A" w:themeColor="accent6" w:themeShade="BF"/>
        </w:rPr>
      </w:pPr>
      <w:r w:rsidRPr="00187183">
        <w:rPr>
          <w:b/>
          <w:color w:val="B85808"/>
        </w:rPr>
        <w:t>Budget Information Line by Line</w:t>
      </w:r>
    </w:p>
    <w:p w14:paraId="64D5E1D5" w14:textId="77777777" w:rsidR="00CE1539" w:rsidRPr="0079354F" w:rsidRDefault="00CE1539" w:rsidP="22CF907E">
      <w:r w:rsidRPr="0079354F">
        <w:t>Allowable costs under all line items must be directly attributable to the project and documented.</w:t>
      </w:r>
    </w:p>
    <w:p w14:paraId="13A3DF33" w14:textId="086EFA20" w:rsidR="001F326A" w:rsidRPr="0079354F" w:rsidRDefault="001F326A" w:rsidP="22CF907E">
      <w:pPr>
        <w:rPr>
          <w:color w:val="000000" w:themeColor="text1"/>
        </w:rPr>
      </w:pPr>
      <w:r w:rsidRPr="0079354F">
        <w:t>For example, j</w:t>
      </w:r>
      <w:r w:rsidR="00CE1539" w:rsidRPr="0079354F">
        <w:rPr>
          <w:color w:val="000000" w:themeColor="text1"/>
        </w:rPr>
        <w:t>ob descriptions and organization charts must be maintained for all employees charged to the grant for both direct and indirect costs. The job descriptions and organizational charts should be in line with the duties performed on the grant and through the grantee’s organization. Job descriptions should also be maintained for services performed as match (e.g., volunteer and other salaries included as match for the grant).</w:t>
      </w:r>
      <w:r w:rsidRPr="0079354F">
        <w:rPr>
          <w:color w:val="000000" w:themeColor="text1"/>
        </w:rPr>
        <w:t xml:space="preserve"> </w:t>
      </w:r>
      <w:r w:rsidRPr="0079354F">
        <w:t>Grantees should contact their assigned PS if they need assistance with budgets.</w:t>
      </w:r>
    </w:p>
    <w:p w14:paraId="051BD51D" w14:textId="77777777" w:rsidR="00CE1539" w:rsidRPr="00404C6A" w:rsidRDefault="00CE1539" w:rsidP="22CF907E">
      <w:pPr>
        <w:rPr>
          <w:sz w:val="28"/>
          <w:szCs w:val="28"/>
        </w:rPr>
      </w:pPr>
    </w:p>
    <w:bookmarkEnd w:id="101"/>
    <w:bookmarkEnd w:id="102"/>
    <w:p w14:paraId="68863D27" w14:textId="19932AA5" w:rsidR="00C41AE4" w:rsidRPr="0079354F" w:rsidRDefault="00C41AE4" w:rsidP="00C41AE4">
      <w:r w:rsidRPr="0079354F">
        <w:t xml:space="preserve">For more information on </w:t>
      </w:r>
      <w:r w:rsidR="000023C9" w:rsidRPr="0079354F">
        <w:t xml:space="preserve">grant </w:t>
      </w:r>
      <w:r w:rsidRPr="0079354F">
        <w:t xml:space="preserve">budgets, see </w:t>
      </w:r>
      <w:hyperlink r:id="rId206">
        <w:r w:rsidRPr="0079354F">
          <w:rPr>
            <w:rStyle w:val="Hyperlink"/>
          </w:rPr>
          <w:t>http://www.doe.mass.edu/grants/essential.html</w:t>
        </w:r>
      </w:hyperlink>
      <w:r w:rsidR="00D15DC4" w:rsidRPr="0079354F">
        <w:t xml:space="preserve"> a</w:t>
      </w:r>
      <w:r w:rsidRPr="0079354F">
        <w:t>nd Budget Information Line by Line in Appendix F.</w:t>
      </w:r>
    </w:p>
    <w:p w14:paraId="23482701" w14:textId="77777777" w:rsidR="006A14ED" w:rsidRPr="00404C6A" w:rsidRDefault="006A14ED" w:rsidP="00A36A19">
      <w:pPr>
        <w:pStyle w:val="Heading3"/>
        <w:rPr>
          <w:color w:val="auto"/>
          <w:sz w:val="22"/>
          <w:szCs w:val="22"/>
        </w:rPr>
      </w:pPr>
    </w:p>
    <w:p w14:paraId="0B260836" w14:textId="364229BE" w:rsidR="00CE1539" w:rsidRPr="006F4344" w:rsidRDefault="00CE1539" w:rsidP="22CF907E">
      <w:pPr>
        <w:pStyle w:val="Heading4"/>
        <w:spacing w:before="0"/>
        <w:rPr>
          <w:b/>
          <w:color w:val="E36C0A" w:themeColor="accent6" w:themeShade="BF"/>
        </w:rPr>
      </w:pPr>
      <w:r w:rsidRPr="00187183">
        <w:rPr>
          <w:b/>
          <w:color w:val="B85808"/>
        </w:rPr>
        <w:t>Requests for Funds</w:t>
      </w:r>
    </w:p>
    <w:p w14:paraId="1AA01360" w14:textId="353B247C" w:rsidR="00C909A2" w:rsidRDefault="00CE1539" w:rsidP="00CE1539">
      <w:pPr>
        <w:rPr>
          <w:color w:val="000000" w:themeColor="text1"/>
        </w:rPr>
      </w:pPr>
      <w:r w:rsidRPr="0079354F">
        <w:t xml:space="preserve">Grantees must monitor monthly expenditures carefully and draw down funds only as needed to ensure that state and federal funds are expended on a </w:t>
      </w:r>
      <w:r w:rsidRPr="0079354F">
        <w:rPr>
          <w:color w:val="000000" w:themeColor="text1"/>
        </w:rPr>
        <w:t xml:space="preserve">consistent, timely basis, and </w:t>
      </w:r>
      <w:r w:rsidRPr="0079354F">
        <w:t xml:space="preserve">in full by the close of each fiscal year. </w:t>
      </w:r>
      <w:r w:rsidRPr="0079354F">
        <w:rPr>
          <w:color w:val="000000" w:themeColor="text1"/>
        </w:rPr>
        <w:t xml:space="preserve">The grantee must have a written cash management policy to ensure funds are only drawn down as needed and expended in a reasonable amount of time. The grantee must have an interest policy for funds held longer than a reasonable time. </w:t>
      </w:r>
      <w:r w:rsidR="00F729B3">
        <w:t>All DESE grant</w:t>
      </w:r>
      <w:r w:rsidRPr="0079354F">
        <w:t xml:space="preserve"> </w:t>
      </w:r>
      <w:r w:rsidRPr="0079354F">
        <w:rPr>
          <w:color w:val="000000" w:themeColor="text1"/>
        </w:rPr>
        <w:t>drawdown</w:t>
      </w:r>
      <w:r w:rsidR="00F729B3">
        <w:rPr>
          <w:color w:val="000000" w:themeColor="text1"/>
        </w:rPr>
        <w:t xml:space="preserve">s are processed </w:t>
      </w:r>
      <w:r w:rsidRPr="0079354F">
        <w:t xml:space="preserve">online using the </w:t>
      </w:r>
      <w:hyperlink r:id="rId207">
        <w:r w:rsidRPr="0079354F">
          <w:rPr>
            <w:rStyle w:val="Hyperlink"/>
          </w:rPr>
          <w:t>EdGrants</w:t>
        </w:r>
      </w:hyperlink>
      <w:r w:rsidRPr="0079354F">
        <w:t xml:space="preserve"> platform</w:t>
      </w:r>
      <w:r w:rsidRPr="0079354F">
        <w:rPr>
          <w:color w:val="000000" w:themeColor="text1"/>
        </w:rPr>
        <w:t xml:space="preserve">. </w:t>
      </w:r>
      <w:r w:rsidR="00C909A2">
        <w:rPr>
          <w:color w:val="000000" w:themeColor="text1"/>
        </w:rPr>
        <w:t xml:space="preserve">State agencies and correctional facilities are set up with an account in MMARS via an Interagency Service Agreement (ISA), to use their funds. </w:t>
      </w:r>
      <w:r w:rsidR="00C909A2" w:rsidRPr="0079354F">
        <w:rPr>
          <w:color w:val="000000" w:themeColor="text1"/>
        </w:rPr>
        <w:t xml:space="preserve">Grantees should </w:t>
      </w:r>
      <w:r w:rsidR="00C909A2">
        <w:rPr>
          <w:color w:val="000000" w:themeColor="text1"/>
        </w:rPr>
        <w:t xml:space="preserve">not </w:t>
      </w:r>
      <w:r w:rsidR="00C909A2" w:rsidRPr="0079354F">
        <w:rPr>
          <w:color w:val="000000" w:themeColor="text1"/>
        </w:rPr>
        <w:t>draw down funds if expenditures have not occurred or will not occur in a reasonable time period.</w:t>
      </w:r>
    </w:p>
    <w:p w14:paraId="3D49E797" w14:textId="77777777" w:rsidR="00C909A2" w:rsidRPr="00404C6A" w:rsidRDefault="00C909A2" w:rsidP="00CE1539">
      <w:pPr>
        <w:rPr>
          <w:color w:val="000000" w:themeColor="text1"/>
          <w:sz w:val="22"/>
          <w:szCs w:val="22"/>
        </w:rPr>
      </w:pPr>
    </w:p>
    <w:p w14:paraId="4D15BEB5" w14:textId="0A14067F" w:rsidR="00CE1539" w:rsidRPr="0079354F" w:rsidRDefault="00CE1539" w:rsidP="00CE1539">
      <w:pPr>
        <w:rPr>
          <w:color w:val="000000" w:themeColor="text1"/>
        </w:rPr>
      </w:pPr>
      <w:r w:rsidRPr="0079354F">
        <w:rPr>
          <w:color w:val="000000" w:themeColor="text1"/>
        </w:rPr>
        <w:t>It is important to develop cash management policies and procedures that include monitoring budget versus actual expenditures, and cash on hand. Communication between program staff and fiscal staff on a monthly basis will allow the grantee to apply for amendments if needed and avoid disallowance of expenditures. Cost</w:t>
      </w:r>
      <w:r w:rsidR="00D16E6D" w:rsidRPr="0079354F">
        <w:rPr>
          <w:color w:val="000000" w:themeColor="text1"/>
        </w:rPr>
        <w:t>s</w:t>
      </w:r>
      <w:r w:rsidRPr="0079354F">
        <w:rPr>
          <w:color w:val="000000" w:themeColor="text1"/>
        </w:rPr>
        <w:t xml:space="preserve"> incurred and charged must </w:t>
      </w:r>
      <w:r w:rsidR="00D16E6D" w:rsidRPr="0079354F">
        <w:rPr>
          <w:color w:val="000000" w:themeColor="text1"/>
        </w:rPr>
        <w:t xml:space="preserve">only </w:t>
      </w:r>
      <w:r w:rsidRPr="0079354F">
        <w:rPr>
          <w:color w:val="000000" w:themeColor="text1"/>
        </w:rPr>
        <w:t>be for allowable costs as approved in the budget.</w:t>
      </w:r>
    </w:p>
    <w:p w14:paraId="56421456" w14:textId="77777777" w:rsidR="00CE1539" w:rsidRPr="00404C6A" w:rsidRDefault="00CE1539" w:rsidP="00CE1539">
      <w:pPr>
        <w:rPr>
          <w:sz w:val="22"/>
          <w:szCs w:val="22"/>
        </w:rPr>
      </w:pPr>
    </w:p>
    <w:p w14:paraId="40131C0E" w14:textId="64AB37DF" w:rsidR="00CE1539" w:rsidRPr="0079354F" w:rsidRDefault="00CE1539" w:rsidP="00CE1539">
      <w:r w:rsidRPr="0079354F">
        <w:t>For more information on</w:t>
      </w:r>
      <w:r w:rsidR="000023C9" w:rsidRPr="0079354F">
        <w:t xml:space="preserve"> grant management and</w:t>
      </w:r>
      <w:r w:rsidRPr="0079354F">
        <w:t xml:space="preserve"> </w:t>
      </w:r>
      <w:hyperlink r:id="rId208">
        <w:r w:rsidRPr="0079354F">
          <w:rPr>
            <w:rStyle w:val="Hyperlink"/>
          </w:rPr>
          <w:t>EdGrants</w:t>
        </w:r>
      </w:hyperlink>
      <w:r w:rsidRPr="0079354F">
        <w:t xml:space="preserve">, see </w:t>
      </w:r>
      <w:hyperlink r:id="rId209">
        <w:r w:rsidRPr="0079354F">
          <w:rPr>
            <w:rStyle w:val="Hyperlink"/>
          </w:rPr>
          <w:t>http://www.doe.mass.edu/grants/procedure/manual.html</w:t>
        </w:r>
      </w:hyperlink>
      <w:r w:rsidRPr="0079354F">
        <w:t xml:space="preserve"> and </w:t>
      </w:r>
      <w:hyperlink r:id="rId210">
        <w:r w:rsidRPr="0079354F">
          <w:rPr>
            <w:rStyle w:val="Hyperlink"/>
          </w:rPr>
          <w:t>http://www.doe.mass.edu/grants/edgrants.html</w:t>
        </w:r>
      </w:hyperlink>
      <w:r w:rsidRPr="0079354F">
        <w:t>.</w:t>
      </w:r>
    </w:p>
    <w:p w14:paraId="382825BF" w14:textId="77777777" w:rsidR="00CE1539" w:rsidRPr="00404C6A" w:rsidRDefault="00CE1539" w:rsidP="22CF907E">
      <w:pPr>
        <w:rPr>
          <w:sz w:val="22"/>
          <w:szCs w:val="22"/>
        </w:rPr>
      </w:pPr>
    </w:p>
    <w:p w14:paraId="773CCFFF" w14:textId="77777777" w:rsidR="00CE1539" w:rsidRPr="006F4344" w:rsidRDefault="00CE1539" w:rsidP="22CF907E">
      <w:pPr>
        <w:pStyle w:val="Heading4"/>
        <w:spacing w:before="0"/>
        <w:rPr>
          <w:b/>
          <w:color w:val="E36C0A" w:themeColor="accent6" w:themeShade="BF"/>
        </w:rPr>
      </w:pPr>
      <w:r w:rsidRPr="00187183">
        <w:rPr>
          <w:b/>
          <w:color w:val="B85808"/>
        </w:rPr>
        <w:t>Amendments</w:t>
      </w:r>
    </w:p>
    <w:p w14:paraId="73047201" w14:textId="77777777" w:rsidR="00CE1539" w:rsidRPr="0079354F" w:rsidRDefault="00CE1539" w:rsidP="00CE1539">
      <w:r w:rsidRPr="0079354F">
        <w:t>Grant amendments are required when there is:</w:t>
      </w:r>
    </w:p>
    <w:p w14:paraId="0C9680AF" w14:textId="77777777" w:rsidR="00CE1539" w:rsidRPr="0079354F" w:rsidRDefault="00CE1539" w:rsidP="00FC65BD">
      <w:pPr>
        <w:pStyle w:val="ListParagraph"/>
        <w:numPr>
          <w:ilvl w:val="0"/>
          <w:numId w:val="4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 significant change in program objectives, personnel and/or scope of services for the grant;</w:t>
      </w:r>
    </w:p>
    <w:p w14:paraId="04D377D8" w14:textId="77777777" w:rsidR="00CE1539" w:rsidRPr="0079354F" w:rsidRDefault="00CE1539" w:rsidP="00FC65BD">
      <w:pPr>
        <w:pStyle w:val="ListParagraph"/>
        <w:numPr>
          <w:ilvl w:val="0"/>
          <w:numId w:val="4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an increase or decrease in the total amount of the grant; or</w:t>
      </w:r>
    </w:p>
    <w:p w14:paraId="3FA94AC6" w14:textId="5A4AB570" w:rsidR="00CE1539" w:rsidRPr="0079354F" w:rsidRDefault="00CE1539" w:rsidP="00FC65BD">
      <w:pPr>
        <w:pStyle w:val="ListParagraph"/>
        <w:numPr>
          <w:ilvl w:val="0"/>
          <w:numId w:val="4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 line item </w:t>
      </w:r>
      <w:r w:rsidR="00F729B3">
        <w:rPr>
          <w:rFonts w:ascii="Times New Roman" w:hAnsi="Times New Roman" w:cs="Times New Roman"/>
          <w:sz w:val="24"/>
          <w:szCs w:val="24"/>
        </w:rPr>
        <w:t xml:space="preserve">change </w:t>
      </w:r>
      <w:r w:rsidRPr="0079354F">
        <w:rPr>
          <w:rFonts w:ascii="Times New Roman" w:hAnsi="Times New Roman" w:cs="Times New Roman"/>
          <w:sz w:val="24"/>
          <w:szCs w:val="24"/>
        </w:rPr>
        <w:t>that exceeds $100 or 10% of the line, whichever is greater, or exceeds $10,000 must be approved by DESE</w:t>
      </w:r>
      <w:r w:rsidR="00F729B3">
        <w:rPr>
          <w:rFonts w:ascii="Times New Roman" w:hAnsi="Times New Roman" w:cs="Times New Roman"/>
          <w:sz w:val="24"/>
          <w:szCs w:val="24"/>
        </w:rPr>
        <w:t xml:space="preserve"> program staff.</w:t>
      </w:r>
    </w:p>
    <w:p w14:paraId="5CA65556" w14:textId="77777777" w:rsidR="00CE1539" w:rsidRPr="00404C6A" w:rsidRDefault="00CE1539" w:rsidP="00CE1539">
      <w:pPr>
        <w:rPr>
          <w:sz w:val="22"/>
          <w:szCs w:val="22"/>
        </w:rPr>
      </w:pPr>
    </w:p>
    <w:p w14:paraId="48C73E15" w14:textId="6457A47C" w:rsidR="00BB182B" w:rsidRPr="0079354F" w:rsidRDefault="00CE1539" w:rsidP="00CE1539">
      <w:r w:rsidRPr="0079354F">
        <w:t xml:space="preserve">When an amendment is required, the program must consult with its assigned PS for preapproval of the proposed change prior to submitting an amendment electronically via </w:t>
      </w:r>
      <w:hyperlink r:id="rId211">
        <w:r w:rsidRPr="0079354F">
          <w:rPr>
            <w:rStyle w:val="Hyperlink"/>
          </w:rPr>
          <w:t>EdGrants</w:t>
        </w:r>
      </w:hyperlink>
      <w:r w:rsidRPr="0079354F">
        <w:t>.</w:t>
      </w:r>
      <w:r w:rsidR="00BB182B" w:rsidRPr="0079354F">
        <w:t xml:space="preserve"> </w:t>
      </w:r>
      <w:r w:rsidR="005225C7">
        <w:t>Program f</w:t>
      </w:r>
      <w:r w:rsidR="00BB182B" w:rsidRPr="0079354F">
        <w:t>ailure to meet assigned submission deadlines will delay grant processing and receipt of funds.</w:t>
      </w:r>
    </w:p>
    <w:p w14:paraId="4EDB9FD1" w14:textId="77777777" w:rsidR="00BB182B" w:rsidRPr="0079354F" w:rsidRDefault="00BB182B" w:rsidP="00CE1539"/>
    <w:p w14:paraId="7424A20D" w14:textId="1EA58492" w:rsidR="00CE1539" w:rsidRPr="0079354F" w:rsidRDefault="00CE1539" w:rsidP="00CE1539">
      <w:pPr>
        <w:rPr>
          <w:color w:val="000000" w:themeColor="text1"/>
        </w:rPr>
      </w:pPr>
      <w:r w:rsidRPr="0079354F">
        <w:t xml:space="preserve">To allow time for amendments to be processed, programs must submit amendments at least 30 days prior to the desired change and/or 30 days before the end of the fiscal year. </w:t>
      </w:r>
      <w:r w:rsidR="00EA0D3D" w:rsidRPr="0079354F">
        <w:rPr>
          <w:color w:val="000000" w:themeColor="text1"/>
        </w:rPr>
        <w:t>C</w:t>
      </w:r>
      <w:r w:rsidRPr="0079354F">
        <w:rPr>
          <w:color w:val="000000" w:themeColor="text1"/>
        </w:rPr>
        <w:t>ommunication between program and fiscal staff on a consistent basis and the use of budget versus actual reports to monitor the grant will prevent any disallowance of expenditures by DESE.</w:t>
      </w:r>
    </w:p>
    <w:p w14:paraId="3C69B672" w14:textId="77777777" w:rsidR="00CE1539" w:rsidRPr="00404C6A" w:rsidRDefault="00CE1539" w:rsidP="00CE1539">
      <w:pPr>
        <w:rPr>
          <w:sz w:val="22"/>
          <w:szCs w:val="22"/>
        </w:rPr>
      </w:pPr>
    </w:p>
    <w:p w14:paraId="3E8918A5" w14:textId="77777777" w:rsidR="00CE1539" w:rsidRPr="006F4344" w:rsidRDefault="00CE1539" w:rsidP="22CF907E">
      <w:pPr>
        <w:pStyle w:val="Heading4"/>
        <w:spacing w:before="0"/>
        <w:rPr>
          <w:b/>
          <w:color w:val="E36C0A" w:themeColor="accent6" w:themeShade="BF"/>
        </w:rPr>
      </w:pPr>
      <w:r w:rsidRPr="00187183">
        <w:rPr>
          <w:b/>
          <w:color w:val="B85808"/>
        </w:rPr>
        <w:t>Unexpended Funds</w:t>
      </w:r>
    </w:p>
    <w:p w14:paraId="0340D6CE" w14:textId="44905532" w:rsidR="000630ED" w:rsidRPr="0079354F" w:rsidRDefault="00CE1539" w:rsidP="22CF907E">
      <w:r w:rsidRPr="0079354F">
        <w:rPr>
          <w:color w:val="000000" w:themeColor="text1"/>
        </w:rPr>
        <w:t xml:space="preserve">Grantees </w:t>
      </w:r>
      <w:r w:rsidRPr="0079354F">
        <w:t xml:space="preserve">must monitor expenses on </w:t>
      </w:r>
      <w:r w:rsidR="00EB77CB" w:rsidRPr="0079354F">
        <w:t>all</w:t>
      </w:r>
      <w:r w:rsidR="000630ED" w:rsidRPr="0079354F">
        <w:t xml:space="preserve"> </w:t>
      </w:r>
      <w:r w:rsidRPr="0079354F">
        <w:t>grants to ensure that funds are used within the</w:t>
      </w:r>
      <w:r w:rsidR="000630ED" w:rsidRPr="0079354F">
        <w:t xml:space="preserve"> </w:t>
      </w:r>
      <w:r w:rsidR="00F510B3" w:rsidRPr="0079354F">
        <w:t>approved project period</w:t>
      </w:r>
      <w:r w:rsidR="00EB77CB" w:rsidRPr="0079354F">
        <w:t xml:space="preserve"> of the </w:t>
      </w:r>
      <w:r w:rsidR="000630ED" w:rsidRPr="0079354F">
        <w:t>grant.</w:t>
      </w:r>
    </w:p>
    <w:p w14:paraId="06008FF1" w14:textId="77777777" w:rsidR="000630ED" w:rsidRPr="0079354F" w:rsidRDefault="000630ED" w:rsidP="22CF907E"/>
    <w:p w14:paraId="66618446" w14:textId="508A2842" w:rsidR="00A330A5" w:rsidRPr="0003690C" w:rsidRDefault="00A330A5" w:rsidP="00FC65BD">
      <w:pPr>
        <w:pStyle w:val="ListParagraph"/>
        <w:numPr>
          <w:ilvl w:val="0"/>
          <w:numId w:val="6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Grant funds MUST be obligated by the grant end date.</w:t>
      </w:r>
    </w:p>
    <w:p w14:paraId="27794AFF" w14:textId="5F375A58" w:rsidR="00A330A5" w:rsidRPr="0003690C" w:rsidRDefault="00A330A5" w:rsidP="00FC65BD">
      <w:pPr>
        <w:pStyle w:val="ListParagraph"/>
        <w:numPr>
          <w:ilvl w:val="0"/>
          <w:numId w:val="6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Goods/services MUST be received by the grant end date.</w:t>
      </w:r>
    </w:p>
    <w:p w14:paraId="78590207" w14:textId="6385A257" w:rsidR="00A330A5" w:rsidRPr="0003690C" w:rsidRDefault="00A330A5" w:rsidP="00FC65BD">
      <w:pPr>
        <w:pStyle w:val="ListParagraph"/>
        <w:numPr>
          <w:ilvl w:val="0"/>
          <w:numId w:val="6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Applicants have 60 days to finalize</w:t>
      </w:r>
      <w:r w:rsidR="003475B7">
        <w:rPr>
          <w:rFonts w:ascii="Times New Roman" w:hAnsi="Times New Roman" w:cs="Times New Roman"/>
          <w:sz w:val="24"/>
          <w:szCs w:val="24"/>
        </w:rPr>
        <w:t>/pay</w:t>
      </w:r>
      <w:r w:rsidRPr="0003690C">
        <w:rPr>
          <w:rFonts w:ascii="Times New Roman" w:hAnsi="Times New Roman" w:cs="Times New Roman"/>
          <w:sz w:val="24"/>
          <w:szCs w:val="24"/>
        </w:rPr>
        <w:t xml:space="preserve"> invoices for obligations incurred by</w:t>
      </w:r>
      <w:r w:rsidR="001900CD" w:rsidRPr="0003690C">
        <w:rPr>
          <w:rFonts w:ascii="Times New Roman" w:hAnsi="Times New Roman" w:cs="Times New Roman"/>
          <w:sz w:val="24"/>
          <w:szCs w:val="24"/>
        </w:rPr>
        <w:t xml:space="preserve"> the</w:t>
      </w:r>
      <w:r w:rsidRPr="0003690C">
        <w:rPr>
          <w:rFonts w:ascii="Times New Roman" w:hAnsi="Times New Roman" w:cs="Times New Roman"/>
          <w:sz w:val="24"/>
          <w:szCs w:val="24"/>
        </w:rPr>
        <w:t xml:space="preserve"> grant end date.</w:t>
      </w:r>
    </w:p>
    <w:p w14:paraId="2EB18FAF" w14:textId="56012385" w:rsidR="005A255D" w:rsidRPr="00404C6A" w:rsidRDefault="005A255D" w:rsidP="00A330A5">
      <w:pPr>
        <w:pStyle w:val="xmsonormal"/>
        <w:rPr>
          <w:rFonts w:ascii="Times New Roman" w:hAnsi="Times New Roman" w:cs="Times New Roman"/>
        </w:rPr>
      </w:pPr>
    </w:p>
    <w:p w14:paraId="0E2674D4" w14:textId="26418EA3" w:rsidR="000630ED" w:rsidRPr="0079354F" w:rsidRDefault="000630ED" w:rsidP="000A20EE">
      <w:r w:rsidRPr="000A20EE">
        <w:t>Unexpended</w:t>
      </w:r>
      <w:r w:rsidRPr="0079354F">
        <w:t xml:space="preserve"> funds above $1.00 must be returned with the final financial report (i.e., FR-1) each year. The FR-1 must be file</w:t>
      </w:r>
      <w:r w:rsidR="00EB77CB" w:rsidRPr="0079354F">
        <w:t>d</w:t>
      </w:r>
      <w:r w:rsidRPr="0079354F">
        <w:t xml:space="preserve"> 60 days after the close of the grant. Expenditures reported on the FR-1 must be supported in the </w:t>
      </w:r>
      <w:r w:rsidR="00EB77CB" w:rsidRPr="0079354F">
        <w:t>g</w:t>
      </w:r>
      <w:r w:rsidRPr="0079354F">
        <w:t>rantees</w:t>
      </w:r>
      <w:r w:rsidR="00EB77CB" w:rsidRPr="0079354F">
        <w:t>’</w:t>
      </w:r>
      <w:r w:rsidRPr="0079354F">
        <w:t xml:space="preserve"> accounting records. The accounting system accounts should mirror the grant budget lines, or the </w:t>
      </w:r>
      <w:r w:rsidR="00EB77CB" w:rsidRPr="0079354F">
        <w:t>g</w:t>
      </w:r>
      <w:r w:rsidRPr="0079354F">
        <w:t xml:space="preserve">rantee must maintain a crosswalk that links the accounts on the accounting system to the grant budget lines. DESE recommends that the </w:t>
      </w:r>
      <w:r w:rsidR="00EB77CB" w:rsidRPr="0079354F">
        <w:t>g</w:t>
      </w:r>
      <w:r w:rsidRPr="0079354F">
        <w:t xml:space="preserve">rantee maintain supporting documentation to support all </w:t>
      </w:r>
      <w:r w:rsidR="00791EA8" w:rsidRPr="0079354F">
        <w:t xml:space="preserve">filed </w:t>
      </w:r>
      <w:r w:rsidRPr="0079354F">
        <w:t>FR-1’s.</w:t>
      </w:r>
    </w:p>
    <w:p w14:paraId="4086D14A" w14:textId="77777777" w:rsidR="00CE1539" w:rsidRPr="00404C6A" w:rsidRDefault="00CE1539" w:rsidP="000630ED">
      <w:pPr>
        <w:rPr>
          <w:sz w:val="22"/>
          <w:szCs w:val="22"/>
        </w:rPr>
      </w:pPr>
    </w:p>
    <w:p w14:paraId="0F17E4B2" w14:textId="360BA150" w:rsidR="00CE1539" w:rsidRPr="0079354F" w:rsidRDefault="00CE1539" w:rsidP="000630ED">
      <w:pPr>
        <w:rPr>
          <w:color w:val="000000" w:themeColor="text1"/>
        </w:rPr>
      </w:pPr>
      <w:r w:rsidRPr="0079354F">
        <w:t xml:space="preserve">Grantees must notify their </w:t>
      </w:r>
      <w:r w:rsidR="00BD76C4" w:rsidRPr="0079354F">
        <w:t>program specialist (P</w:t>
      </w:r>
      <w:r w:rsidRPr="0079354F">
        <w:t>S</w:t>
      </w:r>
      <w:r w:rsidR="000F3C94" w:rsidRPr="0079354F">
        <w:t>)</w:t>
      </w:r>
      <w:r w:rsidRPr="0079354F">
        <w:t xml:space="preserve"> as soon as possible if funds may be unspent</w:t>
      </w:r>
      <w:r w:rsidR="008E27CA" w:rsidRPr="0079354F">
        <w:t>,</w:t>
      </w:r>
      <w:r w:rsidRPr="0079354F">
        <w:t xml:space="preserve"> including funds assigned to subcontractors</w:t>
      </w:r>
      <w:r w:rsidR="008E27CA" w:rsidRPr="0079354F">
        <w:t>,</w:t>
      </w:r>
      <w:r w:rsidRPr="0079354F">
        <w:t xml:space="preserve"> so that grant funds can be reallocated. Returned and unspent funds a</w:t>
      </w:r>
      <w:r w:rsidR="00172B3A" w:rsidRPr="0079354F">
        <w:t>r</w:t>
      </w:r>
      <w:r w:rsidRPr="0079354F">
        <w:t xml:space="preserve">e indicators of risk and will be recorded in the risk analysis. Grantees that repeatedly return funds </w:t>
      </w:r>
      <w:r w:rsidRPr="0079354F">
        <w:rPr>
          <w:color w:val="000000" w:themeColor="text1"/>
        </w:rPr>
        <w:t>may have their subsequent award reduced by the amount of the funds returned and may not be eligible for increases offered during the following year.</w:t>
      </w:r>
    </w:p>
    <w:p w14:paraId="65113B12" w14:textId="77777777" w:rsidR="00CE1539" w:rsidRPr="00404C6A" w:rsidRDefault="00CE1539" w:rsidP="00CE1539">
      <w:pPr>
        <w:rPr>
          <w:sz w:val="22"/>
          <w:szCs w:val="22"/>
        </w:rPr>
      </w:pPr>
    </w:p>
    <w:p w14:paraId="6113FF0C" w14:textId="77777777" w:rsidR="00CE1539" w:rsidRPr="006F4344" w:rsidRDefault="00CE1539" w:rsidP="22CF907E">
      <w:pPr>
        <w:pStyle w:val="Heading4"/>
        <w:spacing w:before="0"/>
        <w:rPr>
          <w:b/>
          <w:color w:val="E36C0A" w:themeColor="accent6" w:themeShade="BF"/>
        </w:rPr>
      </w:pPr>
      <w:r w:rsidRPr="00187183">
        <w:rPr>
          <w:b/>
          <w:color w:val="B85808"/>
        </w:rPr>
        <w:t>Condition of Funding</w:t>
      </w:r>
    </w:p>
    <w:p w14:paraId="572C6392" w14:textId="1991636B" w:rsidR="00CE1539" w:rsidRPr="0079354F" w:rsidRDefault="00CE1539" w:rsidP="00CE1539">
      <w:r w:rsidRPr="0079354F">
        <w:t>As a condition of accepting DESE funding, grantees commit to identifying DESE as the entity supporting the delivery of AE services at the program in official correspondence. Grantees additionally agree that DESE will have the right to publish and distribute any materials developed with grant funds.</w:t>
      </w:r>
    </w:p>
    <w:p w14:paraId="5CF4CDAD" w14:textId="77777777" w:rsidR="00CE1539" w:rsidRPr="00404C6A" w:rsidRDefault="00CE1539" w:rsidP="22CF907E">
      <w:pPr>
        <w:rPr>
          <w:sz w:val="22"/>
          <w:szCs w:val="22"/>
        </w:rPr>
      </w:pPr>
    </w:p>
    <w:p w14:paraId="6531C8F8" w14:textId="0485D291" w:rsidR="00CE1539" w:rsidRPr="001900CD" w:rsidRDefault="00CE1539" w:rsidP="00A36A19">
      <w:pPr>
        <w:pStyle w:val="Heading3"/>
        <w:rPr>
          <w:b/>
          <w:bCs/>
        </w:rPr>
      </w:pPr>
      <w:bookmarkStart w:id="111" w:name="_Toc37075460"/>
      <w:bookmarkStart w:id="112" w:name="_Toc109196025"/>
      <w:r w:rsidRPr="1E8607B9">
        <w:rPr>
          <w:b/>
          <w:bCs/>
        </w:rPr>
        <w:t>Data Quality and Integrity</w:t>
      </w:r>
      <w:bookmarkStart w:id="113" w:name="_Hlk536008682"/>
      <w:bookmarkEnd w:id="111"/>
      <w:bookmarkEnd w:id="112"/>
    </w:p>
    <w:p w14:paraId="1CEBB6F5" w14:textId="3AA0EFE6" w:rsidR="00F53B52" w:rsidRPr="0079354F" w:rsidRDefault="00CB6D41" w:rsidP="00F53B52">
      <w:r w:rsidRPr="0079354F">
        <w:t xml:space="preserve">When grantees submit </w:t>
      </w:r>
      <w:r w:rsidR="00186222" w:rsidRPr="0079354F">
        <w:t xml:space="preserve">a Statement of Assurances signed by the authorized </w:t>
      </w:r>
      <w:r w:rsidR="008B524A" w:rsidRPr="0079354F">
        <w:t>signatory</w:t>
      </w:r>
      <w:r w:rsidR="00186222" w:rsidRPr="0079354F">
        <w:t xml:space="preserve"> of the grantee,</w:t>
      </w:r>
      <w:r w:rsidR="003801E7" w:rsidRPr="0079354F">
        <w:t xml:space="preserve"> </w:t>
      </w:r>
      <w:r w:rsidRPr="0079354F">
        <w:t>they</w:t>
      </w:r>
      <w:r w:rsidR="003801E7" w:rsidRPr="0079354F">
        <w:t xml:space="preserve"> </w:t>
      </w:r>
      <w:r w:rsidR="00103124" w:rsidRPr="0079354F">
        <w:t xml:space="preserve">are assuring DESE of the accuracy of the information in their grant applications (i.e., competitive and continuation) and </w:t>
      </w:r>
      <w:r w:rsidR="00186222" w:rsidRPr="0079354F">
        <w:t xml:space="preserve">all grant </w:t>
      </w:r>
      <w:r w:rsidRPr="0079354F">
        <w:t>related</w:t>
      </w:r>
      <w:r w:rsidR="00103124" w:rsidRPr="0079354F">
        <w:t xml:space="preserve"> document</w:t>
      </w:r>
      <w:r w:rsidR="003801E7" w:rsidRPr="0079354F">
        <w:t>ation</w:t>
      </w:r>
      <w:r w:rsidR="00103124" w:rsidRPr="0079354F">
        <w:t>. G</w:t>
      </w:r>
      <w:r w:rsidR="00F53B52" w:rsidRPr="0079354F">
        <w:t xml:space="preserve">rantees </w:t>
      </w:r>
      <w:r w:rsidR="00186222" w:rsidRPr="0079354F">
        <w:t>will be</w:t>
      </w:r>
      <w:r w:rsidRPr="0079354F">
        <w:t xml:space="preserve"> required to provide financial and data records as requested with the understanding that falsification o</w:t>
      </w:r>
      <w:r w:rsidR="00103124" w:rsidRPr="0079354F">
        <w:t>f required documentation may trigger a data audit and/or fiscal audit or result in termination of the grant</w:t>
      </w:r>
      <w:r w:rsidR="00DB3C55">
        <w:t>.</w:t>
      </w:r>
      <w:r w:rsidR="003475B7">
        <w:t xml:space="preserve"> </w:t>
      </w:r>
      <w:r w:rsidR="00BB0BB9" w:rsidRPr="0079354F">
        <w:t>In addition to submitting accurate data, grantees must meet deadlines for data submission.</w:t>
      </w:r>
    </w:p>
    <w:p w14:paraId="13719175" w14:textId="77777777" w:rsidR="00F53B52" w:rsidRPr="005225C7" w:rsidRDefault="00F53B52" w:rsidP="00F53B52">
      <w:pPr>
        <w:rPr>
          <w:sz w:val="22"/>
          <w:szCs w:val="22"/>
        </w:rPr>
      </w:pPr>
    </w:p>
    <w:p w14:paraId="41F7B839" w14:textId="77777777" w:rsidR="00CE1539" w:rsidRPr="006F4344" w:rsidRDefault="00CE1539" w:rsidP="22CF907E">
      <w:pPr>
        <w:pStyle w:val="Heading4"/>
        <w:spacing w:before="0"/>
        <w:rPr>
          <w:b/>
          <w:color w:val="E36C0A" w:themeColor="accent6" w:themeShade="BF"/>
        </w:rPr>
      </w:pPr>
      <w:r w:rsidRPr="00187183">
        <w:rPr>
          <w:b/>
          <w:color w:val="B85808"/>
        </w:rPr>
        <w:t>Data Quality Checklist (DQC)</w:t>
      </w:r>
    </w:p>
    <w:bookmarkEnd w:id="113"/>
    <w:p w14:paraId="57632C49" w14:textId="0F7177AE" w:rsidR="00CE1539" w:rsidRPr="0079354F" w:rsidRDefault="00CE1539" w:rsidP="00CE1539">
      <w:pPr>
        <w:rPr>
          <w:color w:val="000000" w:themeColor="text1"/>
        </w:rPr>
      </w:pPr>
      <w:r w:rsidRPr="0079354F">
        <w:t xml:space="preserve">ACLS requires that programs submit a data quality checklist annually with their continuation applications. The checklist assures DESE that attendance recorded in </w:t>
      </w:r>
      <w:hyperlink r:id="rId212">
        <w:r w:rsidR="000023C9" w:rsidRPr="0079354F">
          <w:rPr>
            <w:rStyle w:val="Hyperlink"/>
          </w:rPr>
          <w:t>LACES</w:t>
        </w:r>
      </w:hyperlink>
      <w:r w:rsidR="000023C9" w:rsidRPr="0079354F">
        <w:t xml:space="preserve"> </w:t>
      </w:r>
      <w:r w:rsidRPr="0079354F">
        <w:t xml:space="preserve">for classes funded by DESE are supported with attendance records maintained by the grantee. Attendance not accurately reported in </w:t>
      </w:r>
      <w:hyperlink r:id="rId213">
        <w:r w:rsidR="000023C9" w:rsidRPr="0079354F">
          <w:rPr>
            <w:rStyle w:val="Hyperlink"/>
          </w:rPr>
          <w:t>LACES</w:t>
        </w:r>
      </w:hyperlink>
      <w:r w:rsidR="000023C9" w:rsidRPr="0079354F">
        <w:t xml:space="preserve"> </w:t>
      </w:r>
      <w:r w:rsidRPr="0079354F">
        <w:t>could result in a conditional funding status or a loss of funding if not corrected by the grantee.</w:t>
      </w:r>
    </w:p>
    <w:p w14:paraId="12A6D499" w14:textId="77777777" w:rsidR="00CE1539" w:rsidRPr="003475B7" w:rsidRDefault="00CE1539" w:rsidP="00CE1539">
      <w:pPr>
        <w:rPr>
          <w:sz w:val="22"/>
          <w:szCs w:val="22"/>
        </w:rPr>
      </w:pPr>
    </w:p>
    <w:p w14:paraId="4C70B412" w14:textId="77777777" w:rsidR="006A14ED" w:rsidRPr="006F4344" w:rsidRDefault="006A14ED" w:rsidP="22CF907E">
      <w:pPr>
        <w:pStyle w:val="Heading4"/>
        <w:spacing w:before="0"/>
        <w:rPr>
          <w:b/>
          <w:color w:val="E36C0A" w:themeColor="accent6" w:themeShade="BF"/>
        </w:rPr>
      </w:pPr>
      <w:r w:rsidRPr="00187183">
        <w:rPr>
          <w:b/>
          <w:color w:val="B85808"/>
        </w:rPr>
        <w:t>Data Entry</w:t>
      </w:r>
    </w:p>
    <w:p w14:paraId="463AB045" w14:textId="119D2683" w:rsidR="006A14ED" w:rsidRPr="0079354F" w:rsidRDefault="006A14ED" w:rsidP="006A14ED">
      <w:r w:rsidRPr="0079354F">
        <w:t xml:space="preserve">All data, including intakes, assessment, student attendance, and other information as the need arises must be entered into </w:t>
      </w:r>
      <w:hyperlink r:id="rId214" w:history="1">
        <w:r w:rsidRPr="0079354F">
          <w:rPr>
            <w:rStyle w:val="Hyperlink"/>
          </w:rPr>
          <w:t>LACES</w:t>
        </w:r>
      </w:hyperlink>
      <w:r w:rsidRPr="0079354F">
        <w:t xml:space="preserve"> in a timely manner according to a fixed, regular schedule. Data entry must be consistent with program records in the grantee’s files.</w:t>
      </w:r>
      <w:r w:rsidR="002E0F06">
        <w:t xml:space="preserve"> </w:t>
      </w:r>
      <w:r w:rsidRPr="0079354F">
        <w:t>Programs that routinely lag in data entry will not have an accurate picture of their current performance. Routine lags in data entry may trigger a data and/or fiscal audit.</w:t>
      </w:r>
    </w:p>
    <w:p w14:paraId="77BA3F60" w14:textId="77777777" w:rsidR="002E0F06" w:rsidRDefault="002E0F06" w:rsidP="23CFD7A5"/>
    <w:p w14:paraId="35B170B9" w14:textId="54DB2F81" w:rsidR="002B355F" w:rsidRPr="0079354F" w:rsidRDefault="002B355F" w:rsidP="23CFD7A5">
      <w:pPr>
        <w:rPr>
          <w:rStyle w:val="Hyperlink"/>
        </w:rPr>
      </w:pPr>
      <w:r>
        <w:t xml:space="preserve">For more information on data entry and desk reviews, see </w:t>
      </w:r>
      <w:hyperlink r:id="rId215">
        <w:r w:rsidRPr="23CFD7A5">
          <w:rPr>
            <w:rStyle w:val="Hyperlink"/>
          </w:rPr>
          <w:t>https://www.doe.mass.edu/news/news.aspx?id=25707</w:t>
        </w:r>
        <w:r w:rsidRPr="23CFD7A5">
          <w:rPr>
            <w:rStyle w:val="Hyperlink"/>
            <w:color w:val="auto"/>
            <w:u w:val="none"/>
          </w:rPr>
          <w:t>.</w:t>
        </w:r>
      </w:hyperlink>
    </w:p>
    <w:p w14:paraId="2AF13F44" w14:textId="77777777" w:rsidR="006A14ED" w:rsidRPr="003475B7" w:rsidRDefault="006A14ED" w:rsidP="002A6304">
      <w:pPr>
        <w:pStyle w:val="Heading4"/>
        <w:spacing w:before="0"/>
        <w:rPr>
          <w:b/>
          <w:bCs w:val="0"/>
          <w:sz w:val="22"/>
          <w:szCs w:val="22"/>
        </w:rPr>
      </w:pPr>
    </w:p>
    <w:p w14:paraId="2536B086" w14:textId="54891B82" w:rsidR="00CE1539" w:rsidRPr="006F4344" w:rsidRDefault="00CE1539" w:rsidP="002A6304">
      <w:pPr>
        <w:pStyle w:val="Heading4"/>
        <w:spacing w:before="0"/>
        <w:rPr>
          <w:b/>
          <w:bCs w:val="0"/>
          <w:color w:val="E36C0A" w:themeColor="accent6" w:themeShade="BF"/>
        </w:rPr>
      </w:pPr>
      <w:r w:rsidRPr="00187183">
        <w:rPr>
          <w:b/>
          <w:bCs w:val="0"/>
          <w:color w:val="B85808"/>
        </w:rPr>
        <w:t>Attendance</w:t>
      </w:r>
    </w:p>
    <w:p w14:paraId="3E1ECE56" w14:textId="77777777" w:rsidR="00CE1539" w:rsidRPr="0079354F" w:rsidRDefault="00CE1539" w:rsidP="00CE1539">
      <w:r w:rsidRPr="0079354F">
        <w:t>For reporting purposes, ACLS counts the following as attendance:</w:t>
      </w:r>
    </w:p>
    <w:p w14:paraId="3EDE81EC" w14:textId="77777777" w:rsidR="00CE1539" w:rsidRPr="0079354F" w:rsidRDefault="00CE1539" w:rsidP="00FC65BD">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time that a student is physically present in class on the date and at the time of scheduled classes (i.e., classroom attendance);</w:t>
      </w:r>
    </w:p>
    <w:p w14:paraId="792B1BEA" w14:textId="77777777" w:rsidR="00CE1539" w:rsidRPr="0079354F" w:rsidRDefault="00CE1539" w:rsidP="00FC65BD">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one on one volunteer tutoring time outside of scheduled classes;</w:t>
      </w:r>
    </w:p>
    <w:p w14:paraId="05DAD067" w14:textId="51C8BDB7" w:rsidR="00CE1539" w:rsidRPr="0079354F" w:rsidRDefault="00CE1539" w:rsidP="00FC65BD">
      <w:pPr>
        <w:pStyle w:val="ListParagraph"/>
        <w:numPr>
          <w:ilvl w:val="0"/>
          <w:numId w:val="48"/>
        </w:numPr>
        <w:spacing w:after="0" w:line="240" w:lineRule="auto"/>
        <w:rPr>
          <w:rFonts w:ascii="Times New Roman" w:hAnsi="Times New Roman" w:cs="Times New Roman"/>
          <w:color w:val="1F497D"/>
          <w:sz w:val="24"/>
          <w:szCs w:val="24"/>
        </w:rPr>
      </w:pPr>
      <w:r w:rsidRPr="0079354F">
        <w:rPr>
          <w:rFonts w:ascii="Times New Roman" w:hAnsi="Times New Roman" w:cs="Times New Roman"/>
          <w:sz w:val="24"/>
          <w:szCs w:val="24"/>
        </w:rPr>
        <w:t>distance learning attendance as proxy seat time (i.e., clock time model, learner mastery model); and</w:t>
      </w:r>
    </w:p>
    <w:p w14:paraId="3679C494" w14:textId="7A9394E2" w:rsidR="00CE1539" w:rsidRPr="0079354F" w:rsidRDefault="00CE1539" w:rsidP="00FC65BD">
      <w:pPr>
        <w:pStyle w:val="ListParagraph"/>
        <w:numPr>
          <w:ilvl w:val="0"/>
          <w:numId w:val="48"/>
        </w:numPr>
        <w:spacing w:after="0" w:line="240" w:lineRule="auto"/>
        <w:rPr>
          <w:rFonts w:ascii="Times New Roman" w:hAnsi="Times New Roman" w:cs="Times New Roman"/>
          <w:color w:val="1F497D"/>
          <w:sz w:val="24"/>
          <w:szCs w:val="24"/>
        </w:rPr>
      </w:pPr>
      <w:r w:rsidRPr="0079354F">
        <w:rPr>
          <w:rFonts w:ascii="Times New Roman" w:hAnsi="Times New Roman" w:cs="Times New Roman"/>
          <w:sz w:val="24"/>
          <w:szCs w:val="24"/>
        </w:rPr>
        <w:t>blended learning (also known as hybrid learning) attendance as a combination of classroom attendance and proxy seat time.</w:t>
      </w:r>
    </w:p>
    <w:p w14:paraId="0AC3A3BB" w14:textId="5AAA0A9C" w:rsidR="006A14ED" w:rsidRPr="003475B7" w:rsidRDefault="006A14ED" w:rsidP="006A14ED">
      <w:pPr>
        <w:rPr>
          <w:color w:val="1F497D"/>
          <w:sz w:val="22"/>
          <w:szCs w:val="22"/>
        </w:rPr>
      </w:pPr>
    </w:p>
    <w:p w14:paraId="08280F7D" w14:textId="77777777" w:rsidR="006A14ED" w:rsidRPr="006F4344" w:rsidRDefault="006A14ED" w:rsidP="006A14ED">
      <w:pPr>
        <w:pStyle w:val="Heading4"/>
        <w:spacing w:before="0"/>
        <w:rPr>
          <w:color w:val="E36C0A" w:themeColor="accent6" w:themeShade="BF"/>
        </w:rPr>
      </w:pPr>
      <w:r w:rsidRPr="00187183">
        <w:rPr>
          <w:b/>
          <w:bCs w:val="0"/>
          <w:color w:val="B85808"/>
        </w:rPr>
        <w:t>Desk Reviews</w:t>
      </w:r>
    </w:p>
    <w:p w14:paraId="03E6DD65" w14:textId="5ACA941B" w:rsidR="006A14ED" w:rsidRPr="0079354F" w:rsidRDefault="006A14ED" w:rsidP="22CF907E">
      <w:r w:rsidRPr="0079354F">
        <w:t>The U.S. Departments of Labor</w:t>
      </w:r>
      <w:r w:rsidR="005E20BC" w:rsidRPr="0079354F">
        <w:t xml:space="preserve"> </w:t>
      </w:r>
      <w:r w:rsidRPr="0079354F">
        <w:t>and Education hold states accountable for WIOA performance and, as per WIOA legislation, sanction states that fall short of state performance requirements. Similarly, DESE collects grantee performance data and uses it to monitor grantee performance, thus ensuring that students receive the best services possible. ACLS uses desk reviews to ensure and improve the quality of data collection in LACES.</w:t>
      </w:r>
    </w:p>
    <w:p w14:paraId="4AC81AE5" w14:textId="77777777" w:rsidR="006A14ED" w:rsidRPr="003475B7" w:rsidRDefault="006A14ED" w:rsidP="22CF907E">
      <w:pPr>
        <w:rPr>
          <w:sz w:val="22"/>
          <w:szCs w:val="22"/>
        </w:rPr>
      </w:pPr>
    </w:p>
    <w:p w14:paraId="38B7A649" w14:textId="13BE45DC" w:rsidR="00CE1539" w:rsidRPr="0079354F" w:rsidRDefault="006A14ED" w:rsidP="00595823">
      <w:pPr>
        <w:pStyle w:val="CommentText"/>
        <w:rPr>
          <w:sz w:val="24"/>
          <w:szCs w:val="24"/>
        </w:rPr>
      </w:pPr>
      <w:r w:rsidRPr="0079354F">
        <w:rPr>
          <w:sz w:val="24"/>
          <w:szCs w:val="24"/>
        </w:rPr>
        <w:t xml:space="preserve">Five times per year, </w:t>
      </w:r>
      <w:r w:rsidR="004777C8" w:rsidRPr="0079354F">
        <w:rPr>
          <w:sz w:val="24"/>
          <w:szCs w:val="24"/>
        </w:rPr>
        <w:t xml:space="preserve">on a schedule announced by ACLS, </w:t>
      </w:r>
      <w:r w:rsidRPr="0079354F">
        <w:rPr>
          <w:sz w:val="24"/>
          <w:szCs w:val="24"/>
        </w:rPr>
        <w:t xml:space="preserve">programs </w:t>
      </w:r>
      <w:r w:rsidR="00595823" w:rsidRPr="0079354F">
        <w:rPr>
          <w:sz w:val="24"/>
          <w:szCs w:val="24"/>
        </w:rPr>
        <w:t xml:space="preserve">are required to </w:t>
      </w:r>
      <w:r w:rsidRPr="0079354F">
        <w:rPr>
          <w:sz w:val="24"/>
          <w:szCs w:val="24"/>
        </w:rPr>
        <w:t xml:space="preserve">submit a desk review workbook via an online portal on the </w:t>
      </w:r>
      <w:hyperlink r:id="rId216">
        <w:r w:rsidRPr="0079354F">
          <w:rPr>
            <w:rStyle w:val="Hyperlink"/>
            <w:sz w:val="24"/>
            <w:szCs w:val="24"/>
          </w:rPr>
          <w:t>LACES</w:t>
        </w:r>
      </w:hyperlink>
      <w:r w:rsidRPr="0079354F">
        <w:rPr>
          <w:sz w:val="24"/>
          <w:szCs w:val="24"/>
        </w:rPr>
        <w:t xml:space="preserve"> page of the ACLS website. Desk review submissions are logged </w:t>
      </w:r>
      <w:r w:rsidR="006E55BF" w:rsidRPr="0079354F">
        <w:rPr>
          <w:sz w:val="24"/>
          <w:szCs w:val="24"/>
        </w:rPr>
        <w:t xml:space="preserve">and </w:t>
      </w:r>
      <w:r w:rsidRPr="0079354F">
        <w:rPr>
          <w:sz w:val="24"/>
          <w:szCs w:val="24"/>
        </w:rPr>
        <w:t>reviewed for accuracy</w:t>
      </w:r>
      <w:r w:rsidR="006E55BF" w:rsidRPr="0079354F">
        <w:rPr>
          <w:sz w:val="24"/>
          <w:szCs w:val="24"/>
        </w:rPr>
        <w:t xml:space="preserve"> and/or</w:t>
      </w:r>
      <w:r w:rsidRPr="0079354F">
        <w:rPr>
          <w:sz w:val="24"/>
          <w:szCs w:val="24"/>
        </w:rPr>
        <w:t xml:space="preserve"> areas of concern (e.g.</w:t>
      </w:r>
      <w:r w:rsidR="004E1008" w:rsidRPr="0079354F">
        <w:rPr>
          <w:sz w:val="24"/>
          <w:szCs w:val="24"/>
        </w:rPr>
        <w:t>,</w:t>
      </w:r>
      <w:r w:rsidRPr="0079354F">
        <w:rPr>
          <w:sz w:val="24"/>
          <w:szCs w:val="24"/>
        </w:rPr>
        <w:t xml:space="preserve"> low enrollment)</w:t>
      </w:r>
      <w:r w:rsidR="006E55BF" w:rsidRPr="0079354F">
        <w:rPr>
          <w:sz w:val="24"/>
          <w:szCs w:val="24"/>
        </w:rPr>
        <w:t xml:space="preserve">. As needed, PS will </w:t>
      </w:r>
      <w:r w:rsidRPr="0079354F">
        <w:rPr>
          <w:sz w:val="24"/>
          <w:szCs w:val="24"/>
        </w:rPr>
        <w:t>contact</w:t>
      </w:r>
      <w:r w:rsidR="006E55BF" w:rsidRPr="0079354F">
        <w:rPr>
          <w:sz w:val="24"/>
          <w:szCs w:val="24"/>
        </w:rPr>
        <w:t xml:space="preserve"> their programs to discuss the data. </w:t>
      </w:r>
      <w:r w:rsidRPr="0079354F">
        <w:rPr>
          <w:sz w:val="24"/>
          <w:szCs w:val="24"/>
        </w:rPr>
        <w:t xml:space="preserve">Desk reviews include </w:t>
      </w:r>
      <w:r w:rsidR="00595823" w:rsidRPr="0079354F">
        <w:rPr>
          <w:sz w:val="24"/>
          <w:szCs w:val="24"/>
        </w:rPr>
        <w:t xml:space="preserve">enrollment, assessment, </w:t>
      </w:r>
      <w:r w:rsidR="000A1751" w:rsidRPr="0079354F">
        <w:rPr>
          <w:sz w:val="24"/>
          <w:szCs w:val="24"/>
        </w:rPr>
        <w:t>employment</w:t>
      </w:r>
      <w:r w:rsidR="00595823" w:rsidRPr="0079354F">
        <w:rPr>
          <w:sz w:val="24"/>
          <w:szCs w:val="24"/>
        </w:rPr>
        <w:t>, financial outcomes</w:t>
      </w:r>
      <w:r w:rsidR="004777C8" w:rsidRPr="0079354F">
        <w:rPr>
          <w:sz w:val="24"/>
          <w:szCs w:val="24"/>
        </w:rPr>
        <w:t>,</w:t>
      </w:r>
      <w:r w:rsidRPr="0079354F">
        <w:rPr>
          <w:sz w:val="24"/>
          <w:szCs w:val="24"/>
        </w:rPr>
        <w:t xml:space="preserve"> and, if applicable, IET sheets.</w:t>
      </w:r>
      <w:r w:rsidR="004777C8" w:rsidRPr="0079354F">
        <w:rPr>
          <w:sz w:val="24"/>
          <w:szCs w:val="24"/>
        </w:rPr>
        <w:t xml:space="preserve"> </w:t>
      </w:r>
    </w:p>
    <w:p w14:paraId="195B9B82" w14:textId="0EBB0186" w:rsidR="00CE1539" w:rsidRPr="003475B7" w:rsidRDefault="00CE1539" w:rsidP="00CE1539">
      <w:pPr>
        <w:rPr>
          <w:sz w:val="22"/>
          <w:szCs w:val="22"/>
        </w:rPr>
      </w:pPr>
    </w:p>
    <w:p w14:paraId="6A697D1A" w14:textId="77777777" w:rsidR="00CE1539" w:rsidRPr="006F4344" w:rsidRDefault="00CE1539" w:rsidP="22CF907E">
      <w:pPr>
        <w:pStyle w:val="Heading4"/>
        <w:spacing w:before="0"/>
        <w:rPr>
          <w:b/>
          <w:color w:val="E36C0A" w:themeColor="accent6" w:themeShade="BF"/>
        </w:rPr>
      </w:pPr>
      <w:r w:rsidRPr="00187183">
        <w:rPr>
          <w:b/>
          <w:color w:val="B85808"/>
        </w:rPr>
        <w:t>Follow-up for Federal WIOA Measures</w:t>
      </w:r>
    </w:p>
    <w:p w14:paraId="6BF13518" w14:textId="281AD51B" w:rsidR="00CE1539" w:rsidRPr="0079354F" w:rsidRDefault="00CE1539" w:rsidP="00CE1539">
      <w:pPr>
        <w:rPr>
          <w:color w:val="000000"/>
        </w:rPr>
      </w:pPr>
      <w:r w:rsidRPr="0079354F">
        <w:t>The NRS requires states to track WIOA</w:t>
      </w:r>
      <w:r w:rsidR="004E1008" w:rsidRPr="0079354F">
        <w:t xml:space="preserve"> </w:t>
      </w:r>
      <w:r w:rsidRPr="0079354F">
        <w:t>required outcomes (e.g., employment, obtaining a high school equivalency credential, entry into postsecondary</w:t>
      </w:r>
      <w:r w:rsidRPr="0079354F">
        <w:rPr>
          <w:color w:val="000000" w:themeColor="text1"/>
        </w:rPr>
        <w:t xml:space="preserve"> education or training). Students who have not participated for 90 days are officially exited from the program and become part of a follow-up cohort.</w:t>
      </w:r>
    </w:p>
    <w:p w14:paraId="1F8ED414" w14:textId="77777777" w:rsidR="00CE1539" w:rsidRPr="003475B7" w:rsidRDefault="00CE1539" w:rsidP="00CE1539">
      <w:pPr>
        <w:rPr>
          <w:color w:val="000000"/>
          <w:sz w:val="22"/>
          <w:szCs w:val="22"/>
        </w:rPr>
      </w:pPr>
    </w:p>
    <w:p w14:paraId="456ACE92" w14:textId="77777777" w:rsidR="00CE1539" w:rsidRPr="0079354F" w:rsidRDefault="00CE1539" w:rsidP="00CE1539">
      <w:pPr>
        <w:rPr>
          <w:color w:val="000000"/>
        </w:rPr>
      </w:pPr>
      <w:r w:rsidRPr="0079354F">
        <w:rPr>
          <w:color w:val="000000"/>
        </w:rPr>
        <w:t xml:space="preserve">Programs must conduct post-exit follow-up for students in these cohorts, even for students who return to the program later in the year, and use Table 5 in </w:t>
      </w:r>
      <w:hyperlink r:id="rId217" w:history="1">
        <w:r w:rsidRPr="0079354F">
          <w:rPr>
            <w:rStyle w:val="Hyperlink"/>
          </w:rPr>
          <w:t>LACES</w:t>
        </w:r>
      </w:hyperlink>
      <w:r w:rsidRPr="0079354F">
        <w:rPr>
          <w:rStyle w:val="Hyperlink"/>
          <w:u w:val="none"/>
        </w:rPr>
        <w:t xml:space="preserve"> </w:t>
      </w:r>
      <w:r w:rsidRPr="0079354F">
        <w:rPr>
          <w:color w:val="000000"/>
        </w:rPr>
        <w:t>to report on WIOA post-exit employment indicators (i.e., second quarter employment, fourth quarter employment, and second quarter median earnings).</w:t>
      </w:r>
    </w:p>
    <w:p w14:paraId="2D837F92" w14:textId="77777777" w:rsidR="00CE1539" w:rsidRPr="003475B7" w:rsidRDefault="00CE1539" w:rsidP="00CE1539">
      <w:pPr>
        <w:rPr>
          <w:sz w:val="22"/>
          <w:szCs w:val="22"/>
        </w:rPr>
      </w:pPr>
    </w:p>
    <w:p w14:paraId="28C1D749" w14:textId="0A17B936" w:rsidR="00CE1539" w:rsidRPr="0079354F" w:rsidRDefault="00CE1539" w:rsidP="00CE1539">
      <w:pPr>
        <w:rPr>
          <w:b/>
          <w:i/>
        </w:rPr>
      </w:pPr>
      <w:r w:rsidRPr="0079354F">
        <w:t xml:space="preserve">For more information on accountability and the NRS, see </w:t>
      </w:r>
      <w:hyperlink r:id="rId218" w:history="1">
        <w:r w:rsidR="0040242C" w:rsidRPr="0079354F">
          <w:rPr>
            <w:rStyle w:val="Hyperlink"/>
          </w:rPr>
          <w:t>https://www.doe.mass.edu/acls/accountability/outcomes/</w:t>
        </w:r>
      </w:hyperlink>
      <w:r w:rsidR="00004D1D" w:rsidRPr="0079354F">
        <w:t xml:space="preserve"> </w:t>
      </w:r>
      <w:r w:rsidRPr="0079354F">
        <w:t xml:space="preserve">and the </w:t>
      </w:r>
      <w:hyperlink r:id="rId219" w:history="1">
        <w:r w:rsidRPr="0079354F">
          <w:rPr>
            <w:rStyle w:val="Hyperlink"/>
          </w:rPr>
          <w:t>NRS website</w:t>
        </w:r>
      </w:hyperlink>
      <w:r w:rsidRPr="0079354F">
        <w:t>.</w:t>
      </w:r>
    </w:p>
    <w:p w14:paraId="2F6CDDCB" w14:textId="20693AA5" w:rsidR="00CE1539" w:rsidRPr="003475B7" w:rsidRDefault="00CE1539" w:rsidP="00CE1539">
      <w:pPr>
        <w:rPr>
          <w:sz w:val="22"/>
          <w:szCs w:val="22"/>
        </w:rPr>
      </w:pPr>
    </w:p>
    <w:p w14:paraId="6E767BFD" w14:textId="0222A8E0" w:rsidR="006A14ED" w:rsidRPr="006F4344" w:rsidRDefault="006A14ED" w:rsidP="006E55BF">
      <w:pPr>
        <w:pStyle w:val="Heading4"/>
        <w:spacing w:before="0"/>
        <w:rPr>
          <w:b/>
          <w:bCs w:val="0"/>
          <w:color w:val="E36C0A" w:themeColor="accent6" w:themeShade="BF"/>
        </w:rPr>
      </w:pPr>
      <w:r w:rsidRPr="00187183">
        <w:rPr>
          <w:b/>
          <w:bCs w:val="0"/>
          <w:color w:val="B85808"/>
        </w:rPr>
        <w:t>Wait</w:t>
      </w:r>
      <w:r w:rsidR="006E55BF" w:rsidRPr="00187183">
        <w:rPr>
          <w:b/>
          <w:bCs w:val="0"/>
          <w:color w:val="B85808"/>
        </w:rPr>
        <w:t>l</w:t>
      </w:r>
      <w:r w:rsidRPr="00187183">
        <w:rPr>
          <w:b/>
          <w:bCs w:val="0"/>
          <w:color w:val="B85808"/>
        </w:rPr>
        <w:t>ist</w:t>
      </w:r>
      <w:r w:rsidR="00370EDB" w:rsidRPr="00187183">
        <w:rPr>
          <w:b/>
          <w:bCs w:val="0"/>
          <w:color w:val="B85808"/>
        </w:rPr>
        <w:t xml:space="preserve"> (State requirement)</w:t>
      </w:r>
    </w:p>
    <w:bookmarkEnd w:id="18"/>
    <w:p w14:paraId="0995142B" w14:textId="77777777" w:rsidR="00F21DC5" w:rsidRPr="0079354F" w:rsidRDefault="00F21DC5" w:rsidP="00F21DC5">
      <w:r w:rsidRPr="0079354F">
        <w:t>ACLS requires that programs:</w:t>
      </w:r>
    </w:p>
    <w:p w14:paraId="3733686C" w14:textId="77777777" w:rsidR="00F21DC5" w:rsidRPr="0079354F" w:rsidRDefault="00F21DC5" w:rsidP="00FC65BD">
      <w:pPr>
        <w:pStyle w:val="ListParagraph"/>
        <w:numPr>
          <w:ilvl w:val="0"/>
          <w:numId w:val="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maintain an active waitlist for applicants who are unable to enroll in instructional classes due to capacity constraints;</w:t>
      </w:r>
    </w:p>
    <w:p w14:paraId="4A39D6EB" w14:textId="77777777" w:rsidR="00F21DC5" w:rsidRPr="0079354F" w:rsidRDefault="00F21DC5" w:rsidP="00FC65BD">
      <w:pPr>
        <w:pStyle w:val="ListParagraph"/>
        <w:numPr>
          <w:ilvl w:val="0"/>
          <w:numId w:val="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contact students placed on the waitlist at least annually to determine whether they are still interested in services; </w:t>
      </w:r>
    </w:p>
    <w:p w14:paraId="27F6CD7D" w14:textId="77777777" w:rsidR="00F21DC5" w:rsidRPr="0079354F" w:rsidRDefault="00F21DC5" w:rsidP="00FC65BD">
      <w:pPr>
        <w:pStyle w:val="ListParagraph"/>
        <w:numPr>
          <w:ilvl w:val="0"/>
          <w:numId w:val="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remove the names of individuals who cannot be contacted or are no longer interested in services; and</w:t>
      </w:r>
    </w:p>
    <w:p w14:paraId="758842FD" w14:textId="3FE63005" w:rsidR="00F21DC5" w:rsidRPr="0079354F" w:rsidRDefault="00F21DC5" w:rsidP="00FC65BD">
      <w:pPr>
        <w:pStyle w:val="ListParagraph"/>
        <w:numPr>
          <w:ilvl w:val="0"/>
          <w:numId w:val="8"/>
        </w:numPr>
        <w:spacing w:after="0" w:line="240" w:lineRule="auto"/>
        <w:rPr>
          <w:rFonts w:ascii="Times New Roman" w:hAnsi="Times New Roman" w:cs="Times New Roman"/>
          <w:sz w:val="24"/>
          <w:szCs w:val="24"/>
        </w:rPr>
        <w:sectPr w:rsidR="00F21DC5" w:rsidRPr="0079354F" w:rsidSect="00BD4638">
          <w:headerReference w:type="default" r:id="rId220"/>
          <w:pgSz w:w="12240" w:h="15840"/>
          <w:pgMar w:top="1008" w:right="1440" w:bottom="576" w:left="1440" w:header="720" w:footer="720" w:gutter="0"/>
          <w:cols w:space="720"/>
          <w:docGrid w:linePitch="360"/>
        </w:sectPr>
      </w:pPr>
      <w:r w:rsidRPr="0079354F">
        <w:rPr>
          <w:rFonts w:ascii="Times New Roman" w:hAnsi="Times New Roman" w:cs="Times New Roman"/>
          <w:sz w:val="24"/>
          <w:szCs w:val="24"/>
        </w:rPr>
        <w:t xml:space="preserve">verify in the annual Data Quality Checklist (DQC) that the waitlist is accurate and </w:t>
      </w:r>
      <w:r w:rsidR="00067154" w:rsidRPr="0079354F">
        <w:rPr>
          <w:rFonts w:ascii="Times New Roman" w:hAnsi="Times New Roman" w:cs="Times New Roman"/>
          <w:sz w:val="24"/>
          <w:szCs w:val="24"/>
        </w:rPr>
        <w:t>up</w:t>
      </w:r>
      <w:r w:rsidR="00E80B83" w:rsidRPr="0079354F">
        <w:rPr>
          <w:rFonts w:ascii="Times New Roman" w:hAnsi="Times New Roman" w:cs="Times New Roman"/>
          <w:sz w:val="24"/>
          <w:szCs w:val="24"/>
        </w:rPr>
        <w:t>-</w:t>
      </w:r>
      <w:r w:rsidR="00067154" w:rsidRPr="0079354F">
        <w:rPr>
          <w:rFonts w:ascii="Times New Roman" w:hAnsi="Times New Roman" w:cs="Times New Roman"/>
          <w:sz w:val="24"/>
          <w:szCs w:val="24"/>
        </w:rPr>
        <w:t>t</w:t>
      </w:r>
      <w:r w:rsidR="00E80B83" w:rsidRPr="0079354F">
        <w:rPr>
          <w:rFonts w:ascii="Times New Roman" w:hAnsi="Times New Roman" w:cs="Times New Roman"/>
          <w:sz w:val="24"/>
          <w:szCs w:val="24"/>
        </w:rPr>
        <w:t>o-</w:t>
      </w:r>
      <w:r w:rsidR="00067154" w:rsidRPr="0079354F">
        <w:rPr>
          <w:rFonts w:ascii="Times New Roman" w:hAnsi="Times New Roman" w:cs="Times New Roman"/>
          <w:sz w:val="24"/>
          <w:szCs w:val="24"/>
        </w:rPr>
        <w:t xml:space="preserve"> date</w:t>
      </w:r>
      <w:r w:rsidRPr="0079354F">
        <w:rPr>
          <w:rFonts w:ascii="Times New Roman" w:hAnsi="Times New Roman" w:cs="Times New Roman"/>
          <w:sz w:val="24"/>
          <w:szCs w:val="24"/>
        </w:rPr>
        <w:t xml:space="preserve">. The DQC is required as part of the annual continuation application. </w:t>
      </w:r>
    </w:p>
    <w:p w14:paraId="6EF6330A" w14:textId="48252BDB" w:rsidR="00DF1477" w:rsidRPr="0079354F" w:rsidRDefault="00D17AD7" w:rsidP="1E8607B9">
      <w:pPr>
        <w:pStyle w:val="Heading2"/>
        <w:spacing w:before="0"/>
        <w:rPr>
          <w:b/>
          <w:color w:val="E36C0A" w:themeColor="accent6" w:themeShade="BF"/>
        </w:rPr>
      </w:pPr>
      <w:bookmarkStart w:id="114" w:name="_Toc109196026"/>
      <w:r w:rsidRPr="1E8607B9">
        <w:rPr>
          <w:b/>
          <w:color w:val="E36C0A" w:themeColor="accent6" w:themeShade="BF"/>
        </w:rPr>
        <w:t xml:space="preserve">Appendix </w:t>
      </w:r>
      <w:r w:rsidR="00C93F9B" w:rsidRPr="1E8607B9">
        <w:rPr>
          <w:b/>
          <w:color w:val="E36C0A" w:themeColor="accent6" w:themeShade="BF"/>
        </w:rPr>
        <w:t>A</w:t>
      </w:r>
      <w:r w:rsidRPr="1E8607B9">
        <w:rPr>
          <w:b/>
          <w:color w:val="E36C0A" w:themeColor="accent6" w:themeShade="BF"/>
        </w:rPr>
        <w:t>:</w:t>
      </w:r>
      <w:r w:rsidR="00E3403E" w:rsidRPr="1E8607B9">
        <w:rPr>
          <w:b/>
          <w:color w:val="E36C0A" w:themeColor="accent6" w:themeShade="BF"/>
        </w:rPr>
        <w:t xml:space="preserve"> </w:t>
      </w:r>
      <w:r w:rsidRPr="1E8607B9">
        <w:rPr>
          <w:b/>
          <w:color w:val="E36C0A" w:themeColor="accent6" w:themeShade="BF"/>
        </w:rPr>
        <w:t xml:space="preserve"> </w:t>
      </w:r>
      <w:r w:rsidR="00DF1477" w:rsidRPr="1E8607B9">
        <w:rPr>
          <w:b/>
          <w:color w:val="E36C0A" w:themeColor="accent6" w:themeShade="BF"/>
        </w:rPr>
        <w:t>The 13 WIOA Considerations</w:t>
      </w:r>
      <w:bookmarkEnd w:id="114"/>
    </w:p>
    <w:p w14:paraId="7610F407" w14:textId="2B929968" w:rsidR="00DF1477" w:rsidRPr="0079354F" w:rsidRDefault="00DF1477" w:rsidP="00042068">
      <w:pPr>
        <w:pStyle w:val="CommentText"/>
        <w:rPr>
          <w:rFonts w:eastAsiaTheme="minorHAnsi"/>
          <w:sz w:val="24"/>
          <w:szCs w:val="24"/>
        </w:rPr>
      </w:pPr>
      <w:r w:rsidRPr="0079354F">
        <w:rPr>
          <w:rFonts w:eastAsiaTheme="minorHAnsi"/>
          <w:sz w:val="24"/>
          <w:szCs w:val="24"/>
        </w:rPr>
        <w:t>The Adult Education and Family Literacy Act (AEFLA) of Title II provides foundation skills and English literacy instruction to nearly 1.8 million individuals nationwide each year. Realizing the WIOA vision</w:t>
      </w:r>
      <w:r w:rsidR="00042068" w:rsidRPr="0079354F">
        <w:rPr>
          <w:rFonts w:eastAsiaTheme="minorHAnsi"/>
          <w:sz w:val="24"/>
          <w:szCs w:val="24"/>
        </w:rPr>
        <w:t xml:space="preserve"> required that eligible agencies (i.e., state education agencies) shall consider the following </w:t>
      </w:r>
      <w:r w:rsidR="00FE15B7" w:rsidRPr="0079354F">
        <w:rPr>
          <w:rFonts w:eastAsiaTheme="minorHAnsi"/>
          <w:sz w:val="24"/>
          <w:szCs w:val="24"/>
        </w:rPr>
        <w:t>thirteen</w:t>
      </w:r>
      <w:r w:rsidR="00042068" w:rsidRPr="0079354F">
        <w:rPr>
          <w:rFonts w:eastAsiaTheme="minorHAnsi"/>
          <w:sz w:val="24"/>
          <w:szCs w:val="24"/>
        </w:rPr>
        <w:t xml:space="preserve"> considerations in awarding grants or contracts under this section </w:t>
      </w:r>
      <w:r w:rsidRPr="0079354F">
        <w:rPr>
          <w:rFonts w:eastAsiaTheme="minorHAnsi"/>
          <w:sz w:val="24"/>
          <w:szCs w:val="24"/>
        </w:rPr>
        <w:t>going forward:</w:t>
      </w:r>
    </w:p>
    <w:p w14:paraId="036EA8F5" w14:textId="77777777" w:rsidR="003F33A0" w:rsidRPr="0079354F" w:rsidRDefault="003F33A0" w:rsidP="0047675C">
      <w:pPr>
        <w:autoSpaceDE w:val="0"/>
        <w:autoSpaceDN w:val="0"/>
        <w:adjustRightInd w:val="0"/>
      </w:pPr>
    </w:p>
    <w:p w14:paraId="47546E95" w14:textId="3356968E"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shd w:val="clear" w:color="auto" w:fill="FFFFFF" w:themeFill="background1"/>
        </w:rPr>
      </w:pPr>
      <w:r w:rsidRPr="0079354F">
        <w:rPr>
          <w:rFonts w:ascii="Times New Roman" w:hAnsi="Times New Roman" w:cs="Times New Roman"/>
          <w:sz w:val="24"/>
          <w:szCs w:val="24"/>
        </w:rPr>
        <w:t xml:space="preserve">The degree to which the eligible provider would be responsive </w:t>
      </w:r>
      <w:r w:rsidRPr="0079354F">
        <w:rPr>
          <w:rFonts w:ascii="Times New Roman" w:hAnsi="Times New Roman" w:cs="Times New Roman"/>
          <w:sz w:val="24"/>
          <w:szCs w:val="24"/>
          <w:shd w:val="clear" w:color="auto" w:fill="FFFFFF" w:themeFill="background1"/>
        </w:rPr>
        <w:t xml:space="preserve">to (A) regional needs as identified in the local plan under section 108 </w:t>
      </w:r>
      <w:r w:rsidRPr="0079354F">
        <w:rPr>
          <w:rFonts w:ascii="Times New Roman" w:hAnsi="Times New Roman" w:cs="Times New Roman"/>
          <w:sz w:val="24"/>
          <w:szCs w:val="24"/>
        </w:rPr>
        <w:t>and B) serving individuals in the community who were identified in such plan</w:t>
      </w:r>
      <w:r w:rsidRPr="0079354F">
        <w:rPr>
          <w:rFonts w:ascii="Times New Roman" w:hAnsi="Times New Roman" w:cs="Times New Roman"/>
          <w:sz w:val="24"/>
          <w:szCs w:val="24"/>
          <w:shd w:val="clear" w:color="auto" w:fill="FFFFFF" w:themeFill="background1"/>
        </w:rPr>
        <w:t xml:space="preserve"> as most in need of adult education and literacy activities, including individuals—(i) who have low</w:t>
      </w:r>
      <w:r w:rsidRPr="0079354F">
        <w:rPr>
          <w:rFonts w:ascii="Times New Roman" w:hAnsi="Times New Roman" w:cs="Times New Roman"/>
          <w:sz w:val="24"/>
          <w:szCs w:val="24"/>
        </w:rPr>
        <w:t xml:space="preserve"> levels</w:t>
      </w:r>
      <w:r w:rsidRPr="0079354F">
        <w:rPr>
          <w:rFonts w:ascii="Times New Roman" w:hAnsi="Times New Roman" w:cs="Times New Roman"/>
          <w:sz w:val="24"/>
          <w:szCs w:val="24"/>
          <w:shd w:val="clear" w:color="auto" w:fill="FFFFFF" w:themeFill="background1"/>
        </w:rPr>
        <w:t xml:space="preserve"> of literacy skills; or (ii) wh</w:t>
      </w:r>
      <w:r w:rsidR="003C7FBB" w:rsidRPr="0079354F">
        <w:rPr>
          <w:rFonts w:ascii="Times New Roman" w:hAnsi="Times New Roman" w:cs="Times New Roman"/>
          <w:sz w:val="24"/>
          <w:szCs w:val="24"/>
          <w:shd w:val="clear" w:color="auto" w:fill="FFFFFF" w:themeFill="background1"/>
        </w:rPr>
        <w:t>o are English learners;</w:t>
      </w:r>
    </w:p>
    <w:p w14:paraId="0D233115" w14:textId="77777777" w:rsidR="003C7FBB" w:rsidRPr="0079354F" w:rsidRDefault="003C7FBB" w:rsidP="003C7FBB">
      <w:pPr>
        <w:autoSpaceDE w:val="0"/>
        <w:autoSpaceDN w:val="0"/>
        <w:adjustRightInd w:val="0"/>
        <w:rPr>
          <w:shd w:val="clear" w:color="auto" w:fill="FFFFFF" w:themeFill="background1"/>
        </w:rPr>
      </w:pPr>
    </w:p>
    <w:p w14:paraId="1A1EBC23" w14:textId="77777777" w:rsidR="003C7FBB"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ability of the eligible provider to serve eligible individuals with disabilities, including eligible individuals with learning disabilities;</w:t>
      </w:r>
    </w:p>
    <w:p w14:paraId="28244576" w14:textId="77777777" w:rsidR="003C7FBB" w:rsidRPr="0079354F" w:rsidRDefault="003C7FBB" w:rsidP="003C7FBB">
      <w:pPr>
        <w:autoSpaceDE w:val="0"/>
        <w:autoSpaceDN w:val="0"/>
        <w:adjustRightInd w:val="0"/>
      </w:pPr>
    </w:p>
    <w:p w14:paraId="128982EE" w14:textId="77777777"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Past effectiveness of the eligible provider in improving the literacy of eligible individuals, to meet state-adjusted levels of performance for the primary indicators of perfo</w:t>
      </w:r>
      <w:r w:rsidR="003C7FBB" w:rsidRPr="0079354F">
        <w:rPr>
          <w:rFonts w:ascii="Times New Roman" w:hAnsi="Times New Roman" w:cs="Times New Roman"/>
          <w:sz w:val="24"/>
          <w:szCs w:val="24"/>
        </w:rPr>
        <w:t>rmance described in section 116;</w:t>
      </w:r>
    </w:p>
    <w:p w14:paraId="4070ADBE" w14:textId="77777777" w:rsidR="003C7FBB" w:rsidRPr="0079354F" w:rsidRDefault="003C7FBB" w:rsidP="003C7FBB">
      <w:pPr>
        <w:autoSpaceDE w:val="0"/>
        <w:autoSpaceDN w:val="0"/>
        <w:adjustRightInd w:val="0"/>
      </w:pPr>
    </w:p>
    <w:p w14:paraId="3DC61E3A" w14:textId="77777777" w:rsidR="003C7FBB"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extent to which the eligible provider demonstrates alignment between proposed activities and services and the H. R. 803—195 strategy and goals of the local plan under section 108, as well as the activities and services of the one-stop partners;</w:t>
      </w:r>
    </w:p>
    <w:p w14:paraId="7482667E" w14:textId="77777777" w:rsidR="003C7FBB" w:rsidRPr="0079354F" w:rsidRDefault="003C7FBB" w:rsidP="003C7FBB">
      <w:pPr>
        <w:autoSpaceDE w:val="0"/>
        <w:autoSpaceDN w:val="0"/>
        <w:adjustRightInd w:val="0"/>
      </w:pPr>
    </w:p>
    <w:p w14:paraId="49A2DE4B" w14:textId="77777777"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w:t>
      </w:r>
      <w:r w:rsidR="004A55D8" w:rsidRPr="0079354F">
        <w:rPr>
          <w:rFonts w:ascii="Times New Roman" w:hAnsi="Times New Roman" w:cs="Times New Roman"/>
          <w:sz w:val="24"/>
          <w:szCs w:val="24"/>
        </w:rPr>
        <w:t>he eligible provider’s program—</w:t>
      </w:r>
      <w:r w:rsidRPr="0079354F">
        <w:rPr>
          <w:rFonts w:ascii="Times New Roman" w:hAnsi="Times New Roman" w:cs="Times New Roman"/>
          <w:sz w:val="24"/>
          <w:szCs w:val="24"/>
        </w:rPr>
        <w:t>(A) is of sufficient intensity and quality, and based on the most rigorous research available so that participants achieve substantial learning gains; and (B) uses instructional practices that include essential components of reading instruction;</w:t>
      </w:r>
    </w:p>
    <w:p w14:paraId="0836BA17" w14:textId="77777777" w:rsidR="003C7FBB" w:rsidRPr="0079354F" w:rsidRDefault="003C7FBB" w:rsidP="003C7FBB">
      <w:pPr>
        <w:autoSpaceDE w:val="0"/>
        <w:autoSpaceDN w:val="0"/>
        <w:adjustRightInd w:val="0"/>
      </w:pPr>
    </w:p>
    <w:p w14:paraId="368DCBD7" w14:textId="77777777"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including whether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w:t>
      </w:r>
    </w:p>
    <w:p w14:paraId="78D1B585" w14:textId="77777777" w:rsidR="003C7FBB" w:rsidRPr="0079354F" w:rsidRDefault="003C7FBB" w:rsidP="003C7FBB">
      <w:pPr>
        <w:autoSpaceDE w:val="0"/>
        <w:autoSpaceDN w:val="0"/>
        <w:adjustRightInd w:val="0"/>
      </w:pPr>
    </w:p>
    <w:p w14:paraId="202D94EC" w14:textId="77777777"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0FB6E0E7" w14:textId="77777777" w:rsidR="003C7FBB" w:rsidRPr="0079354F" w:rsidRDefault="003C7FBB" w:rsidP="003C7FBB">
      <w:pPr>
        <w:autoSpaceDE w:val="0"/>
        <w:autoSpaceDN w:val="0"/>
        <w:adjustRightInd w:val="0"/>
      </w:pPr>
    </w:p>
    <w:p w14:paraId="75DEB61C" w14:textId="77777777" w:rsidR="003F33A0"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include the essential components of reading instruction;</w:t>
      </w:r>
    </w:p>
    <w:p w14:paraId="7BFD5936" w14:textId="77777777" w:rsidR="003C7FBB" w:rsidRPr="0079354F" w:rsidRDefault="003C7FBB" w:rsidP="003C7FBB">
      <w:pPr>
        <w:autoSpaceDE w:val="0"/>
        <w:autoSpaceDN w:val="0"/>
        <w:adjustRightInd w:val="0"/>
      </w:pPr>
    </w:p>
    <w:p w14:paraId="4154755D" w14:textId="77777777" w:rsidR="00DF1477"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w:t>
      </w:r>
    </w:p>
    <w:p w14:paraId="6027374B" w14:textId="77777777" w:rsidR="003F33A0" w:rsidRPr="0079354F" w:rsidRDefault="003F33A0" w:rsidP="0047675C">
      <w:pPr>
        <w:autoSpaceDE w:val="0"/>
        <w:autoSpaceDN w:val="0"/>
        <w:adjustRightInd w:val="0"/>
      </w:pPr>
    </w:p>
    <w:p w14:paraId="5B810F29" w14:textId="77777777" w:rsidR="00DF1477"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w:t>
      </w:r>
      <w:hyperlink r:id="rId221" w:history="1">
        <w:r w:rsidRPr="0079354F">
          <w:rPr>
            <w:rStyle w:val="Hyperlink"/>
            <w:rFonts w:ascii="Times New Roman" w:eastAsia="Batang" w:hAnsi="Times New Roman" w:cs="Times New Roman"/>
            <w:sz w:val="24"/>
            <w:szCs w:val="24"/>
          </w:rPr>
          <w:t>career pathways</w:t>
        </w:r>
      </w:hyperlink>
      <w:r w:rsidRPr="0079354F">
        <w:rPr>
          <w:rFonts w:ascii="Times New Roman" w:hAnsi="Times New Roman" w:cs="Times New Roman"/>
          <w:sz w:val="24"/>
          <w:szCs w:val="24"/>
        </w:rPr>
        <w:t>;</w:t>
      </w:r>
    </w:p>
    <w:p w14:paraId="012F8CB6" w14:textId="77777777" w:rsidR="003F33A0" w:rsidRPr="0079354F" w:rsidRDefault="003F33A0" w:rsidP="003C7FBB">
      <w:pPr>
        <w:pStyle w:val="ListParagraph"/>
        <w:autoSpaceDE w:val="0"/>
        <w:autoSpaceDN w:val="0"/>
        <w:adjustRightInd w:val="0"/>
        <w:spacing w:after="0" w:line="240" w:lineRule="auto"/>
        <w:ind w:left="0"/>
        <w:rPr>
          <w:rFonts w:ascii="Times New Roman" w:hAnsi="Times New Roman" w:cs="Times New Roman"/>
          <w:sz w:val="24"/>
          <w:szCs w:val="24"/>
        </w:rPr>
      </w:pPr>
    </w:p>
    <w:p w14:paraId="1835DC6A" w14:textId="45CD2B2C" w:rsidR="00DF1477"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Whether the eligible provider’s activities offer flexible schedules and coordination with </w:t>
      </w:r>
      <w:r w:rsidR="006160A5" w:rsidRPr="0079354F">
        <w:rPr>
          <w:rFonts w:ascii="Times New Roman" w:hAnsi="Times New Roman" w:cs="Times New Roman"/>
          <w:sz w:val="24"/>
          <w:szCs w:val="24"/>
        </w:rPr>
        <w:t>f</w:t>
      </w:r>
      <w:r w:rsidRPr="0079354F">
        <w:rPr>
          <w:rFonts w:ascii="Times New Roman" w:hAnsi="Times New Roman" w:cs="Times New Roman"/>
          <w:sz w:val="24"/>
          <w:szCs w:val="24"/>
        </w:rPr>
        <w:t xml:space="preserve">ederal, </w:t>
      </w:r>
      <w:r w:rsidR="00142391" w:rsidRPr="0079354F">
        <w:rPr>
          <w:rFonts w:ascii="Times New Roman" w:hAnsi="Times New Roman" w:cs="Times New Roman"/>
          <w:sz w:val="24"/>
          <w:szCs w:val="24"/>
        </w:rPr>
        <w:t>state,</w:t>
      </w:r>
      <w:r w:rsidRPr="0079354F">
        <w:rPr>
          <w:rFonts w:ascii="Times New Roman" w:hAnsi="Times New Roman" w:cs="Times New Roman"/>
          <w:sz w:val="24"/>
          <w:szCs w:val="24"/>
        </w:rPr>
        <w:t xml:space="preserve"> and local support services (such as childcare, transportation, mental health services, and career planning) that are necessary to enable individuals, including individuals with disabilities or other special needs, to attend and complete programs;</w:t>
      </w:r>
    </w:p>
    <w:p w14:paraId="65558E1F" w14:textId="77777777" w:rsidR="00214CA5" w:rsidRPr="0079354F" w:rsidRDefault="00214CA5" w:rsidP="0047675C">
      <w:pPr>
        <w:autoSpaceDE w:val="0"/>
        <w:autoSpaceDN w:val="0"/>
        <w:adjustRightInd w:val="0"/>
      </w:pPr>
    </w:p>
    <w:p w14:paraId="1E3A28C6" w14:textId="50BD07A8" w:rsidR="00DF1477"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 maintains a high</w:t>
      </w:r>
      <w:r w:rsidR="008B1BBD" w:rsidRPr="0079354F">
        <w:rPr>
          <w:rFonts w:ascii="Times New Roman" w:hAnsi="Times New Roman" w:cs="Times New Roman"/>
          <w:sz w:val="24"/>
          <w:szCs w:val="24"/>
        </w:rPr>
        <w:t xml:space="preserve"> </w:t>
      </w:r>
      <w:r w:rsidRPr="0079354F">
        <w:rPr>
          <w:rFonts w:ascii="Times New Roman" w:hAnsi="Times New Roman" w:cs="Times New Roman"/>
          <w:sz w:val="24"/>
          <w:szCs w:val="24"/>
        </w:rPr>
        <w:t>quality information management system that has the capacity to report measurable participant outcomes (consistent with section 116) and to monitor program performance; and</w:t>
      </w:r>
    </w:p>
    <w:p w14:paraId="383AE622" w14:textId="77777777" w:rsidR="00214CA5" w:rsidRPr="0079354F" w:rsidRDefault="00214CA5" w:rsidP="0047675C">
      <w:pPr>
        <w:autoSpaceDE w:val="0"/>
        <w:autoSpaceDN w:val="0"/>
        <w:adjustRightInd w:val="0"/>
      </w:pPr>
    </w:p>
    <w:p w14:paraId="469B74A7" w14:textId="77777777" w:rsidR="002D2A9E" w:rsidRPr="0079354F" w:rsidRDefault="00DF1477" w:rsidP="009116DC">
      <w:pPr>
        <w:pStyle w:val="ListParagraph"/>
        <w:numPr>
          <w:ilvl w:val="0"/>
          <w:numId w:val="4"/>
        </w:numPr>
        <w:autoSpaceDE w:val="0"/>
        <w:autoSpaceDN w:val="0"/>
        <w:adjustRightInd w:val="0"/>
        <w:spacing w:after="0" w:line="240" w:lineRule="auto"/>
        <w:rPr>
          <w:rFonts w:ascii="Times New Roman" w:hAnsi="Times New Roman" w:cs="Times New Roman"/>
          <w:sz w:val="24"/>
          <w:szCs w:val="24"/>
        </w:rPr>
        <w:sectPr w:rsidR="002D2A9E" w:rsidRPr="0079354F" w:rsidSect="00BD4638">
          <w:headerReference w:type="default" r:id="rId222"/>
          <w:pgSz w:w="12240" w:h="15840"/>
          <w:pgMar w:top="1008" w:right="1440" w:bottom="576" w:left="1440" w:header="720" w:footer="720" w:gutter="0"/>
          <w:cols w:space="720"/>
          <w:docGrid w:linePitch="360"/>
        </w:sectPr>
      </w:pPr>
      <w:r w:rsidRPr="0079354F">
        <w:rPr>
          <w:rFonts w:ascii="Times New Roman" w:hAnsi="Times New Roman" w:cs="Times New Roman"/>
          <w:sz w:val="24"/>
          <w:szCs w:val="24"/>
        </w:rPr>
        <w:t>Whether the local areas in which the eligible provider is located have a demonstrated need for additional English language acquisition programs and civics education programs.</w:t>
      </w:r>
    </w:p>
    <w:p w14:paraId="54D6FD63" w14:textId="6E396EC2" w:rsidR="002D2A9E" w:rsidRPr="0079354F" w:rsidRDefault="002D2A9E" w:rsidP="1E8607B9">
      <w:pPr>
        <w:pStyle w:val="Heading2"/>
        <w:spacing w:before="0" w:after="0"/>
        <w:rPr>
          <w:b/>
          <w:color w:val="E36C0A" w:themeColor="accent6" w:themeShade="BF"/>
        </w:rPr>
      </w:pPr>
      <w:bookmarkStart w:id="115" w:name="_Toc109196027"/>
      <w:r w:rsidRPr="1E8607B9">
        <w:rPr>
          <w:b/>
          <w:color w:val="E36C0A" w:themeColor="accent6" w:themeShade="BF"/>
        </w:rPr>
        <w:t xml:space="preserve">Appendix </w:t>
      </w:r>
      <w:r w:rsidR="00C93F9B" w:rsidRPr="1E8607B9">
        <w:rPr>
          <w:b/>
          <w:color w:val="E36C0A" w:themeColor="accent6" w:themeShade="BF"/>
        </w:rPr>
        <w:t>B</w:t>
      </w:r>
      <w:r w:rsidRPr="1E8607B9">
        <w:rPr>
          <w:b/>
          <w:color w:val="E36C0A" w:themeColor="accent6" w:themeShade="BF"/>
        </w:rPr>
        <w:t xml:space="preserve">:  Guidelines for Memoranda of </w:t>
      </w:r>
      <w:r w:rsidR="00AD16EB" w:rsidRPr="1E8607B9">
        <w:rPr>
          <w:b/>
          <w:color w:val="E36C0A" w:themeColor="accent6" w:themeShade="BF"/>
        </w:rPr>
        <w:t>Agreement</w:t>
      </w:r>
      <w:r w:rsidR="00A25605" w:rsidRPr="1E8607B9">
        <w:rPr>
          <w:b/>
          <w:color w:val="E36C0A" w:themeColor="accent6" w:themeShade="BF"/>
        </w:rPr>
        <w:t xml:space="preserve"> (MOA</w:t>
      </w:r>
      <w:r w:rsidRPr="1E8607B9">
        <w:rPr>
          <w:b/>
          <w:color w:val="E36C0A" w:themeColor="accent6" w:themeShade="BF"/>
        </w:rPr>
        <w:t>)</w:t>
      </w:r>
      <w:bookmarkEnd w:id="115"/>
    </w:p>
    <w:p w14:paraId="56C3AD2F" w14:textId="77777777" w:rsidR="002D2A9E" w:rsidRPr="0079354F" w:rsidRDefault="002D2A9E" w:rsidP="00297F22">
      <w:pPr>
        <w:widowControl w:val="0"/>
        <w:rPr>
          <w:iCs/>
          <w:color w:val="000000"/>
        </w:rPr>
      </w:pPr>
      <w:r w:rsidRPr="0079354F">
        <w:rPr>
          <w:color w:val="000000"/>
        </w:rPr>
        <w:t xml:space="preserve">The memorandum of agreement (MOA) is a written document describing the agreement between the grantee and a subcontractor working together to deliver services. </w:t>
      </w:r>
      <w:r w:rsidRPr="0079354F">
        <w:rPr>
          <w:iCs/>
          <w:color w:val="000000"/>
        </w:rPr>
        <w:t xml:space="preserve">The purpose of the MOA is to formalize and clarify the expectations of the </w:t>
      </w:r>
      <w:r w:rsidRPr="0079354F">
        <w:rPr>
          <w:color w:val="000000"/>
        </w:rPr>
        <w:t>grantee and partnering program</w:t>
      </w:r>
      <w:r w:rsidRPr="0079354F">
        <w:rPr>
          <w:iCs/>
          <w:color w:val="000000"/>
        </w:rPr>
        <w:t>.</w:t>
      </w:r>
    </w:p>
    <w:p w14:paraId="2BD7C555" w14:textId="77777777" w:rsidR="00011464" w:rsidRPr="00F33E39" w:rsidRDefault="00011464" w:rsidP="004D3916">
      <w:pPr>
        <w:widowControl w:val="0"/>
        <w:rPr>
          <w:iCs/>
          <w:color w:val="000000"/>
          <w:sz w:val="22"/>
          <w:szCs w:val="22"/>
        </w:rPr>
      </w:pPr>
    </w:p>
    <w:p w14:paraId="0FBA1EE1" w14:textId="77777777" w:rsidR="002D2A9E" w:rsidRPr="0079354F" w:rsidRDefault="002D2A9E" w:rsidP="004D3916">
      <w:pPr>
        <w:widowControl w:val="0"/>
        <w:rPr>
          <w:color w:val="000000"/>
        </w:rPr>
      </w:pPr>
      <w:r w:rsidRPr="0079354F">
        <w:rPr>
          <w:iCs/>
          <w:color w:val="000000"/>
        </w:rPr>
        <w:t>All parties must commit to fulfilling the requirements outlined in the signed Statement of Assurances and the requirements set forth in the</w:t>
      </w:r>
      <w:r w:rsidRPr="0079354F">
        <w:rPr>
          <w:i/>
          <w:iCs/>
          <w:color w:val="000000"/>
        </w:rPr>
        <w:t xml:space="preserve"> Policies</w:t>
      </w:r>
      <w:r w:rsidRPr="0079354F">
        <w:rPr>
          <w:iCs/>
          <w:color w:val="000000"/>
        </w:rPr>
        <w:t>. T</w:t>
      </w:r>
      <w:r w:rsidRPr="0079354F">
        <w:rPr>
          <w:color w:val="000000"/>
        </w:rPr>
        <w:t xml:space="preserve">he MOA must be revisited annually: one </w:t>
      </w:r>
      <w:r w:rsidRPr="0079354F">
        <w:rPr>
          <w:bCs/>
          <w:iCs/>
          <w:color w:val="000000"/>
        </w:rPr>
        <w:t>original</w:t>
      </w:r>
      <w:r w:rsidRPr="0079354F">
        <w:rPr>
          <w:iCs/>
          <w:color w:val="000000"/>
        </w:rPr>
        <w:t xml:space="preserve"> must be signed and dated by all partners</w:t>
      </w:r>
      <w:r w:rsidRPr="0079354F">
        <w:rPr>
          <w:color w:val="000000"/>
        </w:rPr>
        <w:t xml:space="preserve"> and submitted to </w:t>
      </w:r>
      <w:smartTag w:uri="urn:schemas-microsoft-com:office:smarttags" w:element="stockticker">
        <w:r w:rsidRPr="0079354F">
          <w:rPr>
            <w:color w:val="000000"/>
          </w:rPr>
          <w:t>ACLS</w:t>
        </w:r>
      </w:smartTag>
      <w:r w:rsidRPr="0079354F">
        <w:rPr>
          <w:color w:val="000000"/>
        </w:rPr>
        <w:t xml:space="preserve">; however, with approval from the ACLS </w:t>
      </w:r>
      <w:r w:rsidR="00EE5D2F" w:rsidRPr="0079354F">
        <w:rPr>
          <w:color w:val="000000"/>
        </w:rPr>
        <w:t>PS</w:t>
      </w:r>
      <w:r w:rsidRPr="0079354F">
        <w:rPr>
          <w:color w:val="000000"/>
        </w:rPr>
        <w:t>, the MOA may be updated at any time through written agreement of each partner</w:t>
      </w:r>
      <w:r w:rsidRPr="0079354F">
        <w:rPr>
          <w:iCs/>
          <w:color w:val="000000"/>
        </w:rPr>
        <w:t>.</w:t>
      </w:r>
    </w:p>
    <w:p w14:paraId="723F5EC6" w14:textId="77777777" w:rsidR="00011464" w:rsidRPr="00F33E39" w:rsidRDefault="00011464" w:rsidP="004D3916">
      <w:pPr>
        <w:widowControl w:val="0"/>
        <w:rPr>
          <w:color w:val="000000"/>
          <w:sz w:val="22"/>
          <w:szCs w:val="22"/>
        </w:rPr>
      </w:pPr>
    </w:p>
    <w:p w14:paraId="0423C540" w14:textId="0707D4CA" w:rsidR="002D2A9E" w:rsidRPr="0079354F" w:rsidRDefault="002D2A9E" w:rsidP="004D3916">
      <w:pPr>
        <w:widowControl w:val="0"/>
        <w:rPr>
          <w:color w:val="000000"/>
        </w:rPr>
      </w:pPr>
      <w:r w:rsidRPr="0079354F">
        <w:rPr>
          <w:color w:val="000000"/>
        </w:rPr>
        <w:t>The grantee is legally responsible for effective management of the entire grant, including any funds committed to a partner to purchase student services. The grantee is responsible for having appropriate accounting systems in place to monitor contractual services and ensure that all grant funds are fully expended as articulated in the MOA and in a timely manner. The grantee is required to notify ACLS as soon as possible if funds may be unspent, including funds assigned to a partner. If the grantee anticipates that there will be unexpended funds by any partner, the grantee will be asked to amend the grant as soon as possible so that the funds can be reallocated.</w:t>
      </w:r>
    </w:p>
    <w:p w14:paraId="6B52CA57" w14:textId="77777777" w:rsidR="00011464" w:rsidRPr="0079354F" w:rsidRDefault="00011464" w:rsidP="004D3916">
      <w:pPr>
        <w:widowControl w:val="0"/>
        <w:rPr>
          <w:color w:val="000000"/>
        </w:rPr>
      </w:pPr>
    </w:p>
    <w:p w14:paraId="62295E3E" w14:textId="77777777" w:rsidR="002D2A9E" w:rsidRPr="0079354F" w:rsidRDefault="002D2A9E" w:rsidP="004D3916">
      <w:pPr>
        <w:widowControl w:val="0"/>
        <w:rPr>
          <w:color w:val="000000"/>
        </w:rPr>
      </w:pPr>
      <w:r w:rsidRPr="0079354F">
        <w:rPr>
          <w:color w:val="000000"/>
        </w:rPr>
        <w:t>Required components of the MOA include an articulation of the following:</w:t>
      </w:r>
    </w:p>
    <w:p w14:paraId="68116D6D" w14:textId="77777777" w:rsidR="00777FAD" w:rsidRPr="0079354F" w:rsidRDefault="002D2A9E" w:rsidP="00FC65BD">
      <w:pPr>
        <w:widowControl w:val="0"/>
        <w:numPr>
          <w:ilvl w:val="0"/>
          <w:numId w:val="18"/>
        </w:numPr>
        <w:rPr>
          <w:color w:val="000000"/>
        </w:rPr>
      </w:pPr>
      <w:r w:rsidRPr="0079354F">
        <w:rPr>
          <w:color w:val="000000"/>
        </w:rPr>
        <w:t>purpose of the MOA</w:t>
      </w:r>
    </w:p>
    <w:p w14:paraId="7F9FE6EE" w14:textId="77777777" w:rsidR="00777FAD" w:rsidRPr="0079354F" w:rsidRDefault="002D2A9E" w:rsidP="00FC65BD">
      <w:pPr>
        <w:widowControl w:val="0"/>
        <w:numPr>
          <w:ilvl w:val="0"/>
          <w:numId w:val="18"/>
        </w:numPr>
        <w:rPr>
          <w:color w:val="000000"/>
        </w:rPr>
      </w:pPr>
      <w:r w:rsidRPr="0079354F">
        <w:rPr>
          <w:color w:val="000000"/>
        </w:rPr>
        <w:t>description of the roles and responsibilities of staff of each partnering organization</w:t>
      </w:r>
    </w:p>
    <w:p w14:paraId="346B2DBA" w14:textId="77777777" w:rsidR="00777FAD" w:rsidRPr="0079354F" w:rsidRDefault="002D2A9E" w:rsidP="00FC65BD">
      <w:pPr>
        <w:widowControl w:val="0"/>
        <w:numPr>
          <w:ilvl w:val="0"/>
          <w:numId w:val="18"/>
        </w:numPr>
        <w:rPr>
          <w:color w:val="000000"/>
        </w:rPr>
      </w:pPr>
      <w:r w:rsidRPr="0079354F">
        <w:rPr>
          <w:color w:val="000000"/>
        </w:rPr>
        <w:t xml:space="preserve">if the partner is offering instructional services, a detailed description of those services (number and type of classes) as reflected in the </w:t>
      </w:r>
      <w:r w:rsidR="00FD041A" w:rsidRPr="0079354F">
        <w:rPr>
          <w:color w:val="000000"/>
        </w:rPr>
        <w:t>program’s</w:t>
      </w:r>
      <w:r w:rsidRPr="0079354F">
        <w:rPr>
          <w:color w:val="000000"/>
        </w:rPr>
        <w:t xml:space="preserve"> program plan</w:t>
      </w:r>
    </w:p>
    <w:p w14:paraId="0EC5F664" w14:textId="77777777" w:rsidR="00777FAD" w:rsidRPr="0079354F" w:rsidRDefault="002D2A9E" w:rsidP="00FC65BD">
      <w:pPr>
        <w:widowControl w:val="0"/>
        <w:numPr>
          <w:ilvl w:val="0"/>
          <w:numId w:val="18"/>
        </w:numPr>
        <w:rPr>
          <w:color w:val="000000"/>
        </w:rPr>
      </w:pPr>
      <w:r w:rsidRPr="0079354F">
        <w:rPr>
          <w:color w:val="000000"/>
        </w:rPr>
        <w:t>description of the scope of work, including expected results</w:t>
      </w:r>
    </w:p>
    <w:p w14:paraId="5B8A082F" w14:textId="77777777" w:rsidR="00777FAD" w:rsidRPr="0079354F" w:rsidRDefault="002D2A9E" w:rsidP="00FC65BD">
      <w:pPr>
        <w:widowControl w:val="0"/>
        <w:numPr>
          <w:ilvl w:val="0"/>
          <w:numId w:val="18"/>
        </w:numPr>
        <w:rPr>
          <w:color w:val="000000"/>
        </w:rPr>
      </w:pPr>
      <w:r w:rsidRPr="0079354F">
        <w:rPr>
          <w:color w:val="000000"/>
        </w:rPr>
        <w:t>duration of agreement articulating the beginning and end date</w:t>
      </w:r>
    </w:p>
    <w:p w14:paraId="5968D335" w14:textId="77777777" w:rsidR="00777FAD" w:rsidRPr="0079354F" w:rsidRDefault="002D2A9E" w:rsidP="00FC65BD">
      <w:pPr>
        <w:widowControl w:val="0"/>
        <w:numPr>
          <w:ilvl w:val="0"/>
          <w:numId w:val="18"/>
        </w:numPr>
        <w:rPr>
          <w:color w:val="000000"/>
        </w:rPr>
      </w:pPr>
      <w:r w:rsidRPr="0079354F">
        <w:rPr>
          <w:color w:val="000000"/>
        </w:rPr>
        <w:t>financial obligations of each partner, (e.g., contracted partner understands that lead agency must be provided with an expenditure report per line item at a minimum of three times per year and must submit invoices monthly)</w:t>
      </w:r>
    </w:p>
    <w:p w14:paraId="257B73D1" w14:textId="1BFC7E31" w:rsidR="00777FAD" w:rsidRPr="0079354F" w:rsidRDefault="002D2A9E" w:rsidP="00FC65BD">
      <w:pPr>
        <w:widowControl w:val="0"/>
        <w:numPr>
          <w:ilvl w:val="0"/>
          <w:numId w:val="18"/>
        </w:numPr>
        <w:rPr>
          <w:color w:val="000000"/>
        </w:rPr>
      </w:pPr>
      <w:r w:rsidRPr="0079354F">
        <w:rPr>
          <w:color w:val="000000"/>
        </w:rPr>
        <w:t xml:space="preserve">assurance that contracted partner will notify the grantee and ACLS as soon as possible of any funds anticipated to be unexpended by the close of the grant period. (This early notification and return of unexpended funds </w:t>
      </w:r>
      <w:r w:rsidR="00FE15B7" w:rsidRPr="0079354F">
        <w:rPr>
          <w:color w:val="000000"/>
        </w:rPr>
        <w:t>allow</w:t>
      </w:r>
      <w:r w:rsidRPr="0079354F">
        <w:rPr>
          <w:color w:val="000000"/>
        </w:rPr>
        <w:t xml:space="preserve"> ACLS sufficient time to reallocate those funds.)</w:t>
      </w:r>
    </w:p>
    <w:p w14:paraId="0C16F16B" w14:textId="77777777" w:rsidR="00777FAD" w:rsidRPr="0079354F" w:rsidRDefault="002D2A9E" w:rsidP="00FC65BD">
      <w:pPr>
        <w:widowControl w:val="0"/>
        <w:numPr>
          <w:ilvl w:val="0"/>
          <w:numId w:val="18"/>
        </w:numPr>
        <w:rPr>
          <w:color w:val="000000"/>
        </w:rPr>
      </w:pPr>
      <w:r w:rsidRPr="0079354F">
        <w:rPr>
          <w:color w:val="000000"/>
        </w:rPr>
        <w:t>description of the accounting systems the grantee will use to monitor contractual services and ensure that all grant funds are fully expended as articulated in the MOA and in a timely manner</w:t>
      </w:r>
    </w:p>
    <w:p w14:paraId="67385D33" w14:textId="77777777" w:rsidR="00777FAD" w:rsidRPr="0079354F" w:rsidRDefault="002D2A9E" w:rsidP="00FC65BD">
      <w:pPr>
        <w:widowControl w:val="0"/>
        <w:numPr>
          <w:ilvl w:val="0"/>
          <w:numId w:val="18"/>
        </w:numPr>
        <w:rPr>
          <w:color w:val="000000"/>
        </w:rPr>
      </w:pPr>
      <w:r w:rsidRPr="0079354F">
        <w:rPr>
          <w:color w:val="000000"/>
        </w:rPr>
        <w:t>assurance that the grantee understands that it is required to report and return to the state any and all funds unexpended by the close of the grant period, whether or not it recovers unexpended contracted funds from contracted partners</w:t>
      </w:r>
    </w:p>
    <w:p w14:paraId="785C6ABB" w14:textId="77777777" w:rsidR="00777FAD" w:rsidRPr="0079354F" w:rsidRDefault="002D2A9E" w:rsidP="00FC65BD">
      <w:pPr>
        <w:widowControl w:val="0"/>
        <w:numPr>
          <w:ilvl w:val="0"/>
          <w:numId w:val="18"/>
        </w:numPr>
        <w:rPr>
          <w:color w:val="000000"/>
        </w:rPr>
      </w:pPr>
      <w:r w:rsidRPr="0079354F">
        <w:rPr>
          <w:color w:val="000000"/>
        </w:rPr>
        <w:t>schedule for review of MOA at a minimum three times per year: beginning, midyear, and end of year</w:t>
      </w:r>
    </w:p>
    <w:p w14:paraId="0C7775C8" w14:textId="77777777" w:rsidR="002D2A9E" w:rsidRPr="0079354F" w:rsidRDefault="002D2A9E" w:rsidP="00FC65BD">
      <w:pPr>
        <w:pStyle w:val="Default"/>
        <w:widowControl w:val="0"/>
        <w:numPr>
          <w:ilvl w:val="0"/>
          <w:numId w:val="18"/>
        </w:numPr>
      </w:pPr>
      <w:r w:rsidRPr="0079354F">
        <w:t>articulation of grounds for termination of the MOA, for example:</w:t>
      </w:r>
    </w:p>
    <w:p w14:paraId="5DEE3838" w14:textId="77777777" w:rsidR="00011464" w:rsidRPr="00F33E39" w:rsidRDefault="00011464" w:rsidP="004D3916">
      <w:pPr>
        <w:pStyle w:val="Default"/>
        <w:widowControl w:val="0"/>
        <w:rPr>
          <w:sz w:val="22"/>
          <w:szCs w:val="22"/>
        </w:rPr>
      </w:pPr>
    </w:p>
    <w:p w14:paraId="16EFAFE3" w14:textId="77777777" w:rsidR="002D2A9E" w:rsidRPr="0079354F" w:rsidRDefault="002D2A9E" w:rsidP="004D3916">
      <w:pPr>
        <w:pStyle w:val="Default"/>
        <w:widowControl w:val="0"/>
        <w:ind w:left="1080" w:right="720"/>
      </w:pPr>
      <w:r w:rsidRPr="0079354F">
        <w:rPr>
          <w:i/>
        </w:rPr>
        <w:t>“This agreement may be terminated by either of the partners upon written notice delivered to the other party at least 30 days prior to intended date of termination. The grantee must terminate the agreement with the partner organization if its activities are not delivered as described in the MOA. The partner organization will be paid by the grantee for only the portion of the work completed.”</w:t>
      </w:r>
    </w:p>
    <w:p w14:paraId="043B4E64" w14:textId="77777777" w:rsidR="00011464" w:rsidRPr="0079354F" w:rsidRDefault="00011464" w:rsidP="004D3916"/>
    <w:p w14:paraId="723B0B45" w14:textId="77777777" w:rsidR="00777FAD" w:rsidRPr="0079354F" w:rsidRDefault="002D2A9E" w:rsidP="004D3916">
      <w:r w:rsidRPr="0079354F">
        <w:t>Other examples for MOA might include the following:</w:t>
      </w:r>
    </w:p>
    <w:p w14:paraId="5E2C5811" w14:textId="77777777" w:rsidR="002D2A9E" w:rsidRPr="0079354F" w:rsidRDefault="002D2A9E" w:rsidP="00FC65BD">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referral of students from one program to another;</w:t>
      </w:r>
    </w:p>
    <w:p w14:paraId="663B63B5" w14:textId="77777777" w:rsidR="002D2A9E" w:rsidRPr="0079354F" w:rsidRDefault="002D2A9E" w:rsidP="00FC65BD">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shared customers;</w:t>
      </w:r>
    </w:p>
    <w:p w14:paraId="0F6D074D" w14:textId="77777777" w:rsidR="002D2A9E" w:rsidRPr="0079354F" w:rsidRDefault="002D2A9E" w:rsidP="00FC65BD">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description of any </w:t>
      </w:r>
      <w:r w:rsidR="00FD041A" w:rsidRPr="0079354F">
        <w:rPr>
          <w:rFonts w:ascii="Times New Roman" w:hAnsi="Times New Roman" w:cs="Times New Roman"/>
          <w:sz w:val="24"/>
          <w:szCs w:val="24"/>
        </w:rPr>
        <w:t>data management</w:t>
      </w:r>
      <w:r w:rsidRPr="0079354F">
        <w:rPr>
          <w:rFonts w:ascii="Times New Roman" w:hAnsi="Times New Roman" w:cs="Times New Roman"/>
          <w:sz w:val="24"/>
          <w:szCs w:val="24"/>
        </w:rPr>
        <w:t xml:space="preserve"> requirements including timeliness of data entry;</w:t>
      </w:r>
    </w:p>
    <w:p w14:paraId="64BDC1B4" w14:textId="77777777" w:rsidR="002D2A9E" w:rsidRPr="0079354F" w:rsidRDefault="002D2A9E" w:rsidP="00FC65BD">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referral of tutors to grantee;</w:t>
      </w:r>
    </w:p>
    <w:p w14:paraId="5EBD0116" w14:textId="77777777" w:rsidR="002D2A9E" w:rsidRPr="0079354F" w:rsidRDefault="002D2A9E" w:rsidP="00FC65BD">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review of data for planning purposes; and/or</w:t>
      </w:r>
    </w:p>
    <w:p w14:paraId="13DF9C03" w14:textId="77777777" w:rsidR="007901B4" w:rsidRPr="0079354F" w:rsidRDefault="002D2A9E" w:rsidP="00FC65BD">
      <w:pPr>
        <w:pStyle w:val="ListParagraph"/>
        <w:numPr>
          <w:ilvl w:val="0"/>
          <w:numId w:val="19"/>
        </w:numPr>
        <w:spacing w:after="0" w:line="240" w:lineRule="auto"/>
        <w:rPr>
          <w:bCs/>
          <w:iCs/>
          <w:color w:val="000000" w:themeColor="text1"/>
        </w:rPr>
      </w:pPr>
      <w:r w:rsidRPr="0079354F">
        <w:rPr>
          <w:rFonts w:ascii="Times New Roman" w:hAnsi="Times New Roman" w:cs="Times New Roman"/>
          <w:sz w:val="24"/>
          <w:szCs w:val="24"/>
        </w:rPr>
        <w:t xml:space="preserve">responsibility to review </w:t>
      </w:r>
      <w:smartTag w:uri="urn:schemas-microsoft-com:office:smarttags" w:element="stockticker">
        <w:r w:rsidRPr="0079354F">
          <w:rPr>
            <w:rFonts w:ascii="Times New Roman" w:hAnsi="Times New Roman" w:cs="Times New Roman"/>
            <w:sz w:val="24"/>
            <w:szCs w:val="24"/>
          </w:rPr>
          <w:t>ACLS</w:t>
        </w:r>
      </w:smartTag>
      <w:r w:rsidRPr="0079354F">
        <w:rPr>
          <w:rFonts w:ascii="Times New Roman" w:hAnsi="Times New Roman" w:cs="Times New Roman"/>
          <w:sz w:val="24"/>
          <w:szCs w:val="24"/>
        </w:rPr>
        <w:t xml:space="preserve"> mailings and comply with policy changes.</w:t>
      </w:r>
    </w:p>
    <w:p w14:paraId="3B2BC04B" w14:textId="77777777" w:rsidR="00297F22" w:rsidRPr="0079354F" w:rsidRDefault="00297F22" w:rsidP="00E812CD">
      <w:pPr>
        <w:pStyle w:val="ListParagraph"/>
        <w:spacing w:after="0"/>
        <w:rPr>
          <w:rStyle w:val="IntenseEmphasis"/>
          <w:b w:val="0"/>
          <w:i w:val="0"/>
          <w:color w:val="000000" w:themeColor="text1"/>
        </w:rPr>
        <w:sectPr w:rsidR="00297F22" w:rsidRPr="0079354F" w:rsidSect="00E07DE5">
          <w:headerReference w:type="default" r:id="rId223"/>
          <w:footerReference w:type="default" r:id="rId224"/>
          <w:pgSz w:w="12240" w:h="15840" w:code="1"/>
          <w:pgMar w:top="1008" w:right="1440" w:bottom="576" w:left="1440" w:header="720" w:footer="576" w:gutter="0"/>
          <w:cols w:space="720"/>
          <w:docGrid w:linePitch="360"/>
        </w:sectPr>
      </w:pPr>
    </w:p>
    <w:p w14:paraId="7ACF12C6" w14:textId="68C90E68" w:rsidR="008F7186" w:rsidRPr="0079354F" w:rsidRDefault="008F7186" w:rsidP="1E8607B9">
      <w:pPr>
        <w:pStyle w:val="Heading2"/>
        <w:spacing w:before="0"/>
        <w:rPr>
          <w:b/>
          <w:color w:val="E36C0A" w:themeColor="accent6" w:themeShade="BF"/>
        </w:rPr>
      </w:pPr>
      <w:bookmarkStart w:id="116" w:name="_Toc109196028"/>
      <w:r w:rsidRPr="1E8607B9">
        <w:rPr>
          <w:b/>
          <w:color w:val="E36C0A" w:themeColor="accent6" w:themeShade="BF"/>
        </w:rPr>
        <w:t>Appendix C:  Distance Education</w:t>
      </w:r>
      <w:bookmarkEnd w:id="116"/>
    </w:p>
    <w:p w14:paraId="56CBD8A4" w14:textId="1BD88875" w:rsidR="008F7186" w:rsidRPr="0079354F" w:rsidRDefault="008F7186" w:rsidP="008F7186">
      <w:pPr>
        <w:textAlignment w:val="baseline"/>
        <w:rPr>
          <w:b/>
          <w:bCs/>
        </w:rPr>
      </w:pPr>
      <w:r w:rsidRPr="0079354F">
        <w:rPr>
          <w:b/>
          <w:bCs/>
        </w:rPr>
        <w:t>Types of Distance Learning – Instruction</w:t>
      </w:r>
    </w:p>
    <w:tbl>
      <w:tblPr>
        <w:tblStyle w:val="TableGrid"/>
        <w:tblW w:w="9535" w:type="dxa"/>
        <w:tblLook w:val="04A0" w:firstRow="1" w:lastRow="0" w:firstColumn="1" w:lastColumn="0" w:noHBand="0" w:noVBand="1"/>
        <w:tblCaption w:val="Types of Distance Learning - Instruction"/>
        <w:tblDescription w:val="This chart defines distance learning (virtual face to face) and distance learning (proxy hours). The former is defined by students and instructors able to see one another in real time but not in person and not at the same location. The latter is defined by a student working asynchronously, independent of direct instruction using any of the three proxy hour models described later in this appendix. It also provides an example for each."/>
      </w:tblPr>
      <w:tblGrid>
        <w:gridCol w:w="3178"/>
        <w:gridCol w:w="3178"/>
        <w:gridCol w:w="3179"/>
      </w:tblGrid>
      <w:tr w:rsidR="008F7186" w:rsidRPr="0079354F" w14:paraId="14F08F63" w14:textId="77777777" w:rsidTr="00EA5D09">
        <w:tc>
          <w:tcPr>
            <w:tcW w:w="9535" w:type="dxa"/>
            <w:gridSpan w:val="3"/>
            <w:shd w:val="clear" w:color="auto" w:fill="B8CCE4" w:themeFill="accent1" w:themeFillTint="66"/>
          </w:tcPr>
          <w:p w14:paraId="100E7022" w14:textId="76C9710E" w:rsidR="008F7186" w:rsidRPr="0079354F" w:rsidRDefault="006256D0" w:rsidP="006256D0">
            <w:pPr>
              <w:tabs>
                <w:tab w:val="center" w:pos="4659"/>
                <w:tab w:val="left" w:pos="8551"/>
              </w:tabs>
              <w:rPr>
                <w:b/>
                <w:bCs/>
              </w:rPr>
            </w:pPr>
            <w:r>
              <w:rPr>
                <w:b/>
                <w:bCs/>
              </w:rPr>
              <w:tab/>
            </w:r>
            <w:r w:rsidR="008F7186" w:rsidRPr="0079354F">
              <w:rPr>
                <w:b/>
                <w:bCs/>
              </w:rPr>
              <w:t>Types of Distance Learning –</w:t>
            </w:r>
            <w:r w:rsidR="006F383B" w:rsidRPr="0079354F">
              <w:rPr>
                <w:b/>
                <w:bCs/>
              </w:rPr>
              <w:t xml:space="preserve"> </w:t>
            </w:r>
            <w:r w:rsidR="008F7186" w:rsidRPr="0079354F">
              <w:rPr>
                <w:b/>
                <w:bCs/>
              </w:rPr>
              <w:t>Instruction</w:t>
            </w:r>
            <w:r>
              <w:rPr>
                <w:b/>
                <w:bCs/>
              </w:rPr>
              <w:tab/>
            </w:r>
          </w:p>
        </w:tc>
      </w:tr>
      <w:tr w:rsidR="008F7186" w:rsidRPr="0079354F" w14:paraId="00FD05D4" w14:textId="77777777" w:rsidTr="00F139DE">
        <w:tc>
          <w:tcPr>
            <w:tcW w:w="3178" w:type="dxa"/>
          </w:tcPr>
          <w:p w14:paraId="6BB983EE" w14:textId="77777777" w:rsidR="008F7186" w:rsidRPr="0079354F" w:rsidRDefault="008F7186" w:rsidP="00EA5D09">
            <w:pPr>
              <w:rPr>
                <w:b/>
                <w:bCs/>
              </w:rPr>
            </w:pPr>
            <w:r w:rsidRPr="0079354F">
              <w:rPr>
                <w:b/>
                <w:bCs/>
              </w:rPr>
              <w:t>Instruction Type</w:t>
            </w:r>
          </w:p>
        </w:tc>
        <w:tc>
          <w:tcPr>
            <w:tcW w:w="3178" w:type="dxa"/>
          </w:tcPr>
          <w:p w14:paraId="47073FCA" w14:textId="77777777" w:rsidR="008F7186" w:rsidRPr="0079354F" w:rsidRDefault="008F7186" w:rsidP="00EA5D09">
            <w:pPr>
              <w:rPr>
                <w:rFonts w:eastAsia="Calibri"/>
                <w:b/>
                <w:bCs/>
              </w:rPr>
            </w:pPr>
            <w:r w:rsidRPr="0079354F">
              <w:rPr>
                <w:rFonts w:eastAsia="Calibri"/>
                <w:b/>
                <w:bCs/>
              </w:rPr>
              <w:t>Definition</w:t>
            </w:r>
          </w:p>
        </w:tc>
        <w:tc>
          <w:tcPr>
            <w:tcW w:w="3179" w:type="dxa"/>
          </w:tcPr>
          <w:p w14:paraId="7C270BCF" w14:textId="77777777" w:rsidR="008F7186" w:rsidRPr="0079354F" w:rsidRDefault="008F7186" w:rsidP="00EA5D09">
            <w:pPr>
              <w:rPr>
                <w:b/>
                <w:bCs/>
              </w:rPr>
            </w:pPr>
            <w:r w:rsidRPr="0079354F">
              <w:rPr>
                <w:b/>
                <w:bCs/>
              </w:rPr>
              <w:t>Example</w:t>
            </w:r>
          </w:p>
        </w:tc>
      </w:tr>
      <w:tr w:rsidR="008F7186" w:rsidRPr="0079354F" w14:paraId="5D794241" w14:textId="77777777" w:rsidTr="00F139DE">
        <w:tc>
          <w:tcPr>
            <w:tcW w:w="3178" w:type="dxa"/>
          </w:tcPr>
          <w:p w14:paraId="63D5A868" w14:textId="7E3B25D4" w:rsidR="008F7186" w:rsidRPr="0079354F" w:rsidRDefault="008F7186" w:rsidP="00EA5D09">
            <w:pPr>
              <w:rPr>
                <w:b/>
                <w:bCs/>
              </w:rPr>
            </w:pPr>
            <w:r w:rsidRPr="0079354F">
              <w:rPr>
                <w:b/>
                <w:bCs/>
              </w:rPr>
              <w:t>Instruction – Distance Learning (Virtual F2F)</w:t>
            </w:r>
          </w:p>
        </w:tc>
        <w:tc>
          <w:tcPr>
            <w:tcW w:w="3178" w:type="dxa"/>
          </w:tcPr>
          <w:p w14:paraId="2A4C0263" w14:textId="4B4C5AD3" w:rsidR="008F7186" w:rsidRPr="0079354F" w:rsidRDefault="008F7186" w:rsidP="00EA5D09">
            <w:pPr>
              <w:rPr>
                <w:rFonts w:eastAsia="Calibri"/>
              </w:rPr>
            </w:pPr>
            <w:r w:rsidRPr="0079354F">
              <w:rPr>
                <w:rFonts w:eastAsia="Calibri"/>
              </w:rPr>
              <w:t>Students and instructors are present at the same time and able to see one another in real time but are not present at the same location.</w:t>
            </w:r>
          </w:p>
        </w:tc>
        <w:tc>
          <w:tcPr>
            <w:tcW w:w="3179" w:type="dxa"/>
          </w:tcPr>
          <w:p w14:paraId="41044FE1" w14:textId="77777777" w:rsidR="008F7186" w:rsidRPr="0079354F" w:rsidRDefault="008F7186" w:rsidP="00EA5D09">
            <w:r w:rsidRPr="0079354F">
              <w:t>Direct instruction using ZOOM, SKYPE, cellphone or any other platform which includes video for the instructor and students.</w:t>
            </w:r>
          </w:p>
        </w:tc>
      </w:tr>
      <w:tr w:rsidR="006F383B" w:rsidRPr="0079354F" w14:paraId="49B94306" w14:textId="77777777" w:rsidTr="00F139DE">
        <w:tc>
          <w:tcPr>
            <w:tcW w:w="3178" w:type="dxa"/>
          </w:tcPr>
          <w:p w14:paraId="7591D677" w14:textId="3E273911" w:rsidR="008F7186" w:rsidRPr="0079354F" w:rsidRDefault="008F7186" w:rsidP="006F383B">
            <w:pPr>
              <w:pStyle w:val="NoSpacing"/>
              <w:rPr>
                <w:b/>
                <w:bCs/>
              </w:rPr>
            </w:pPr>
            <w:r w:rsidRPr="0079354F">
              <w:rPr>
                <w:b/>
                <w:bCs/>
              </w:rPr>
              <w:t>Instruction – Distance Learning (Proxy Hours)</w:t>
            </w:r>
          </w:p>
        </w:tc>
        <w:tc>
          <w:tcPr>
            <w:tcW w:w="3178" w:type="dxa"/>
          </w:tcPr>
          <w:p w14:paraId="29F2C32A" w14:textId="5AD227C3" w:rsidR="008F7186" w:rsidRPr="0079354F" w:rsidRDefault="008F7186" w:rsidP="00EA5D09">
            <w:pPr>
              <w:rPr>
                <w:rFonts w:eastAsia="Calibri"/>
              </w:rPr>
            </w:pPr>
            <w:r w:rsidRPr="0079354F">
              <w:rPr>
                <w:rFonts w:eastAsia="Calibri"/>
              </w:rPr>
              <w:t>The time a student spends working asynchronously, independent of direct instruction, using any of the three Proxy Hour models below.</w:t>
            </w:r>
          </w:p>
        </w:tc>
        <w:tc>
          <w:tcPr>
            <w:tcW w:w="3179" w:type="dxa"/>
          </w:tcPr>
          <w:p w14:paraId="6135E7DD" w14:textId="77777777" w:rsidR="008F7186" w:rsidRPr="0079354F" w:rsidRDefault="008F7186" w:rsidP="00EA5D09">
            <w:r w:rsidRPr="0079354F">
              <w:t>Time spent using an online product which tracks seat time or working on teacher assigned learning activities.</w:t>
            </w:r>
          </w:p>
          <w:p w14:paraId="6C0CFFAB" w14:textId="77777777" w:rsidR="008F7186" w:rsidRPr="0079354F" w:rsidRDefault="008F7186" w:rsidP="00EA5D09"/>
        </w:tc>
      </w:tr>
    </w:tbl>
    <w:p w14:paraId="634D196A" w14:textId="77777777" w:rsidR="008F7186" w:rsidRPr="0079354F" w:rsidRDefault="008F7186" w:rsidP="008F7186">
      <w:pPr>
        <w:tabs>
          <w:tab w:val="left" w:pos="7710"/>
        </w:tabs>
        <w:textAlignment w:val="baseline"/>
        <w:rPr>
          <w:b/>
          <w:bCs/>
        </w:rPr>
      </w:pPr>
    </w:p>
    <w:p w14:paraId="1B1E6D7A" w14:textId="3BB440A5" w:rsidR="008F7186" w:rsidRPr="0079354F" w:rsidRDefault="00F139DE" w:rsidP="008F7186">
      <w:pPr>
        <w:tabs>
          <w:tab w:val="left" w:pos="7710"/>
        </w:tabs>
        <w:textAlignment w:val="baseline"/>
        <w:rPr>
          <w:b/>
          <w:bCs/>
        </w:rPr>
      </w:pPr>
      <w:r w:rsidRPr="0079354F">
        <w:rPr>
          <w:b/>
          <w:bCs/>
        </w:rPr>
        <w:t xml:space="preserve">Creating </w:t>
      </w:r>
      <w:r w:rsidR="008F7186" w:rsidRPr="0079354F">
        <w:rPr>
          <w:b/>
          <w:bCs/>
        </w:rPr>
        <w:t>Distance Education Classes in LACES</w:t>
      </w:r>
    </w:p>
    <w:tbl>
      <w:tblPr>
        <w:tblStyle w:val="TableGrid"/>
        <w:tblW w:w="9535" w:type="dxa"/>
        <w:tblLook w:val="04A0" w:firstRow="1" w:lastRow="0" w:firstColumn="1" w:lastColumn="0" w:noHBand="0" w:noVBand="1"/>
        <w:tblCaption w:val="Creating Distance Education Classes in LACES"/>
        <w:tblDescription w:val="This chart identifies five distance education (DE) delivery options (i.e., synchronous distance education; asynchronous distance education; blended distance education; hybrid in person face-to-face and online synchronous; and hybrid in person face to face and online asynchronous) and the characteristics of each. Synchronous DE is in real time; is online and synchronous; can be ABE or ESOL; and is classified as Instruction - Distance Learning (Virtual F2F) in LACES. Asynchronous DE can be viewed at a time convenient to the learner; is asynchronous; can be ABE or ESOL; and is classified as Instruction - Distance Learning (Proxy Hours) in LACES. Blended DE includes real time instruction and instruction which can be viewed at a time convenient to the learner; is online synchronous and asynchronous; can be ABE or ESOL; and is classified as Instruction Distance Learning (Virtual F2F) and Instruction - Distance Learning (Proxy Hours).  Hybrid: In Person Face-to-Face and Online Synchronous is in person instruction and in real time online instruction delivered in person and online synchronous for ABE or ESOL and is categorized as Instruction and Instruction  - Distance Learning (Virtual Face-to-Face). Hybrid: In Person Face-to-Face and Online Asynchronous is in person instruction and instruction wich can be viewed at a time convenient to the learner in person and asynchronous for ABE or ESOL and is categorized as Instruction and Instruction - Distance Learning (Proxy Hours)."/>
      </w:tblPr>
      <w:tblGrid>
        <w:gridCol w:w="1870"/>
        <w:gridCol w:w="1870"/>
        <w:gridCol w:w="1870"/>
        <w:gridCol w:w="1870"/>
        <w:gridCol w:w="2055"/>
      </w:tblGrid>
      <w:tr w:rsidR="008F7186" w:rsidRPr="0079354F" w14:paraId="65C20896" w14:textId="77777777" w:rsidTr="00F139DE">
        <w:trPr>
          <w:tblHeader/>
        </w:trPr>
        <w:tc>
          <w:tcPr>
            <w:tcW w:w="9535" w:type="dxa"/>
            <w:gridSpan w:val="5"/>
            <w:shd w:val="clear" w:color="auto" w:fill="B8CCE4" w:themeFill="accent1" w:themeFillTint="66"/>
          </w:tcPr>
          <w:p w14:paraId="1F539D30" w14:textId="6B61B7E2" w:rsidR="008F7186" w:rsidRPr="0079354F" w:rsidRDefault="008F7186" w:rsidP="00D054BC">
            <w:pPr>
              <w:contextualSpacing/>
              <w:jc w:val="center"/>
              <w:rPr>
                <w:rFonts w:eastAsia="Calibri"/>
                <w:b/>
                <w:bCs/>
              </w:rPr>
            </w:pPr>
            <w:r w:rsidRPr="0079354F">
              <w:rPr>
                <w:rFonts w:eastAsia="Calibri"/>
                <w:b/>
                <w:bCs/>
              </w:rPr>
              <w:t>Distance Education Classes in LACES</w:t>
            </w:r>
          </w:p>
        </w:tc>
      </w:tr>
      <w:tr w:rsidR="008F7186" w:rsidRPr="0079354F" w14:paraId="5B636393" w14:textId="77777777" w:rsidTr="00F139DE">
        <w:trPr>
          <w:tblHeader/>
        </w:trPr>
        <w:tc>
          <w:tcPr>
            <w:tcW w:w="1870" w:type="dxa"/>
            <w:shd w:val="clear" w:color="auto" w:fill="B8CCE4" w:themeFill="accent1" w:themeFillTint="66"/>
          </w:tcPr>
          <w:p w14:paraId="553F5CAD" w14:textId="77777777" w:rsidR="008F7186" w:rsidRPr="0079354F" w:rsidRDefault="008F7186" w:rsidP="00EA5D09">
            <w:pPr>
              <w:contextualSpacing/>
              <w:jc w:val="center"/>
              <w:rPr>
                <w:rFonts w:eastAsia="Calibri"/>
                <w:b/>
                <w:bCs/>
              </w:rPr>
            </w:pPr>
            <w:r w:rsidRPr="0079354F">
              <w:rPr>
                <w:rFonts w:eastAsia="Calibri"/>
                <w:b/>
                <w:bCs/>
              </w:rPr>
              <w:t>Delivery Option</w:t>
            </w:r>
          </w:p>
        </w:tc>
        <w:tc>
          <w:tcPr>
            <w:tcW w:w="1870" w:type="dxa"/>
            <w:shd w:val="clear" w:color="auto" w:fill="B8CCE4" w:themeFill="accent1" w:themeFillTint="66"/>
          </w:tcPr>
          <w:p w14:paraId="144C301A" w14:textId="77777777" w:rsidR="008F7186" w:rsidRPr="0079354F" w:rsidRDefault="008F7186" w:rsidP="00EA5D09">
            <w:pPr>
              <w:contextualSpacing/>
              <w:jc w:val="center"/>
              <w:rPr>
                <w:rFonts w:eastAsia="Calibri"/>
                <w:b/>
                <w:bCs/>
              </w:rPr>
            </w:pPr>
            <w:r w:rsidRPr="0079354F">
              <w:rPr>
                <w:rFonts w:eastAsia="Calibri"/>
                <w:b/>
                <w:bCs/>
              </w:rPr>
              <w:t>Instruction</w:t>
            </w:r>
          </w:p>
        </w:tc>
        <w:tc>
          <w:tcPr>
            <w:tcW w:w="1870" w:type="dxa"/>
            <w:shd w:val="clear" w:color="auto" w:fill="B8CCE4" w:themeFill="accent1" w:themeFillTint="66"/>
          </w:tcPr>
          <w:p w14:paraId="68817AF4" w14:textId="77777777" w:rsidR="008F7186" w:rsidRPr="0079354F" w:rsidRDefault="008F7186" w:rsidP="00EA5D09">
            <w:pPr>
              <w:contextualSpacing/>
              <w:jc w:val="center"/>
              <w:rPr>
                <w:rFonts w:eastAsia="Calibri"/>
                <w:b/>
                <w:bCs/>
              </w:rPr>
            </w:pPr>
            <w:r w:rsidRPr="0079354F">
              <w:rPr>
                <w:rFonts w:eastAsia="Calibri"/>
                <w:b/>
                <w:bCs/>
              </w:rPr>
              <w:t>Components</w:t>
            </w:r>
          </w:p>
        </w:tc>
        <w:tc>
          <w:tcPr>
            <w:tcW w:w="1870" w:type="dxa"/>
            <w:shd w:val="clear" w:color="auto" w:fill="B8CCE4" w:themeFill="accent1" w:themeFillTint="66"/>
          </w:tcPr>
          <w:p w14:paraId="29E9A08D" w14:textId="7FE40E8E" w:rsidR="008F7186" w:rsidRPr="0079354F" w:rsidRDefault="008F7186" w:rsidP="006F383B">
            <w:pPr>
              <w:contextualSpacing/>
              <w:jc w:val="center"/>
              <w:rPr>
                <w:rFonts w:eastAsia="Calibri"/>
                <w:b/>
                <w:bCs/>
              </w:rPr>
            </w:pPr>
            <w:r w:rsidRPr="0079354F">
              <w:rPr>
                <w:rFonts w:eastAsia="Calibri"/>
                <w:b/>
                <w:bCs/>
              </w:rPr>
              <w:t>Class Service Type in LACES</w:t>
            </w:r>
          </w:p>
        </w:tc>
        <w:tc>
          <w:tcPr>
            <w:tcW w:w="2055" w:type="dxa"/>
            <w:shd w:val="clear" w:color="auto" w:fill="B8CCE4" w:themeFill="accent1" w:themeFillTint="66"/>
          </w:tcPr>
          <w:p w14:paraId="1FA6C1BE" w14:textId="1ED84287" w:rsidR="008F7186" w:rsidRPr="0079354F" w:rsidRDefault="008F7186" w:rsidP="00D054BC">
            <w:pPr>
              <w:contextualSpacing/>
              <w:jc w:val="center"/>
              <w:rPr>
                <w:rFonts w:eastAsia="Calibri"/>
                <w:b/>
                <w:bCs/>
              </w:rPr>
            </w:pPr>
            <w:r w:rsidRPr="0079354F">
              <w:rPr>
                <w:rFonts w:eastAsia="Calibri"/>
                <w:b/>
                <w:bCs/>
              </w:rPr>
              <w:t xml:space="preserve">Instructional Hours in LACES </w:t>
            </w:r>
          </w:p>
        </w:tc>
      </w:tr>
      <w:tr w:rsidR="008F7186" w:rsidRPr="0079354F" w14:paraId="4612C625" w14:textId="77777777" w:rsidTr="00F139DE">
        <w:tc>
          <w:tcPr>
            <w:tcW w:w="1870" w:type="dxa"/>
          </w:tcPr>
          <w:p w14:paraId="2244B454" w14:textId="2D498E65" w:rsidR="008F7186" w:rsidRPr="0079354F" w:rsidRDefault="008F7186" w:rsidP="006F383B">
            <w:pPr>
              <w:contextualSpacing/>
              <w:jc w:val="center"/>
              <w:rPr>
                <w:rFonts w:eastAsia="Calibri"/>
              </w:rPr>
            </w:pPr>
            <w:r w:rsidRPr="0079354F">
              <w:rPr>
                <w:rFonts w:eastAsia="Calibri"/>
              </w:rPr>
              <w:t>Synchronous Distance Education</w:t>
            </w:r>
          </w:p>
        </w:tc>
        <w:tc>
          <w:tcPr>
            <w:tcW w:w="1870" w:type="dxa"/>
          </w:tcPr>
          <w:p w14:paraId="40C6B1AA" w14:textId="77777777" w:rsidR="008F7186" w:rsidRPr="0079354F" w:rsidRDefault="008F7186" w:rsidP="00EA5D09">
            <w:pPr>
              <w:contextualSpacing/>
              <w:jc w:val="center"/>
              <w:rPr>
                <w:rFonts w:eastAsia="Calibri"/>
              </w:rPr>
            </w:pPr>
            <w:r w:rsidRPr="0079354F">
              <w:rPr>
                <w:rFonts w:eastAsia="Calibri"/>
              </w:rPr>
              <w:t>In Real Time</w:t>
            </w:r>
          </w:p>
        </w:tc>
        <w:tc>
          <w:tcPr>
            <w:tcW w:w="1870" w:type="dxa"/>
          </w:tcPr>
          <w:p w14:paraId="219A949C" w14:textId="77777777" w:rsidR="008F7186" w:rsidRPr="0079354F" w:rsidRDefault="008F7186" w:rsidP="00EA5D09">
            <w:pPr>
              <w:contextualSpacing/>
              <w:jc w:val="center"/>
              <w:rPr>
                <w:rFonts w:eastAsia="Calibri"/>
              </w:rPr>
            </w:pPr>
            <w:r w:rsidRPr="0079354F">
              <w:rPr>
                <w:rFonts w:eastAsia="Calibri"/>
              </w:rPr>
              <w:t>Online Synchronous</w:t>
            </w:r>
          </w:p>
        </w:tc>
        <w:tc>
          <w:tcPr>
            <w:tcW w:w="1870" w:type="dxa"/>
          </w:tcPr>
          <w:p w14:paraId="4243F3F2" w14:textId="04032226"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43F26B7F" w14:textId="77777777" w:rsidR="008F7186" w:rsidRPr="0079354F" w:rsidRDefault="008F7186" w:rsidP="00EA5D09">
            <w:pPr>
              <w:contextualSpacing/>
              <w:jc w:val="center"/>
              <w:rPr>
                <w:rFonts w:eastAsia="Calibri"/>
              </w:rPr>
            </w:pPr>
            <w:r w:rsidRPr="0079354F">
              <w:rPr>
                <w:rFonts w:eastAsia="Calibri"/>
              </w:rPr>
              <w:t>Instruction – Distance Learning (Virtual F2F)</w:t>
            </w:r>
          </w:p>
        </w:tc>
      </w:tr>
      <w:tr w:rsidR="008F7186" w:rsidRPr="0079354F" w14:paraId="409D01B4" w14:textId="77777777" w:rsidTr="00F139DE">
        <w:tc>
          <w:tcPr>
            <w:tcW w:w="1870" w:type="dxa"/>
          </w:tcPr>
          <w:p w14:paraId="48872D9E" w14:textId="79E8887D" w:rsidR="008F7186" w:rsidRPr="0079354F" w:rsidRDefault="008F7186" w:rsidP="006F383B">
            <w:pPr>
              <w:contextualSpacing/>
              <w:jc w:val="center"/>
              <w:rPr>
                <w:rFonts w:eastAsia="Calibri"/>
              </w:rPr>
            </w:pPr>
            <w:r w:rsidRPr="0079354F">
              <w:rPr>
                <w:rFonts w:eastAsia="Calibri"/>
              </w:rPr>
              <w:t>Asynchronous Distance Education</w:t>
            </w:r>
          </w:p>
        </w:tc>
        <w:tc>
          <w:tcPr>
            <w:tcW w:w="1870" w:type="dxa"/>
          </w:tcPr>
          <w:p w14:paraId="04EDEE7A" w14:textId="77777777" w:rsidR="008F7186" w:rsidRPr="0079354F" w:rsidRDefault="008F7186" w:rsidP="00EA5D09">
            <w:pPr>
              <w:contextualSpacing/>
              <w:jc w:val="center"/>
              <w:rPr>
                <w:rFonts w:eastAsia="Calibri"/>
              </w:rPr>
            </w:pPr>
            <w:r w:rsidRPr="0079354F">
              <w:rPr>
                <w:rFonts w:eastAsia="Calibri"/>
              </w:rPr>
              <w:t>Can be viewed at a time convenient to the learner</w:t>
            </w:r>
          </w:p>
        </w:tc>
        <w:tc>
          <w:tcPr>
            <w:tcW w:w="1870" w:type="dxa"/>
          </w:tcPr>
          <w:p w14:paraId="36E27D43" w14:textId="77777777" w:rsidR="008F7186" w:rsidRPr="0079354F" w:rsidRDefault="008F7186" w:rsidP="00EA5D09">
            <w:pPr>
              <w:contextualSpacing/>
              <w:jc w:val="center"/>
              <w:rPr>
                <w:rFonts w:eastAsia="Calibri"/>
              </w:rPr>
            </w:pPr>
            <w:r w:rsidRPr="0079354F">
              <w:rPr>
                <w:rFonts w:eastAsia="Calibri"/>
              </w:rPr>
              <w:t>Asynchronous</w:t>
            </w:r>
          </w:p>
        </w:tc>
        <w:tc>
          <w:tcPr>
            <w:tcW w:w="1870" w:type="dxa"/>
          </w:tcPr>
          <w:p w14:paraId="29EC3CFF" w14:textId="23D56DBF"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2540C39C" w14:textId="49873FE6" w:rsidR="008F7186" w:rsidRPr="0079354F" w:rsidRDefault="008F7186" w:rsidP="008F7186">
            <w:pPr>
              <w:contextualSpacing/>
              <w:jc w:val="center"/>
              <w:rPr>
                <w:rFonts w:eastAsia="Calibri"/>
              </w:rPr>
            </w:pPr>
            <w:r w:rsidRPr="0079354F">
              <w:rPr>
                <w:rFonts w:eastAsia="Calibri"/>
              </w:rPr>
              <w:t xml:space="preserve">Instruction </w:t>
            </w:r>
            <w:r w:rsidR="00F139DE" w:rsidRPr="0079354F">
              <w:rPr>
                <w:rFonts w:eastAsia="Calibri"/>
              </w:rPr>
              <w:t xml:space="preserve">– </w:t>
            </w:r>
            <w:r w:rsidRPr="0079354F">
              <w:rPr>
                <w:rFonts w:eastAsia="Calibri"/>
              </w:rPr>
              <w:t>Distance Learning (Proxy Hours)</w:t>
            </w:r>
          </w:p>
        </w:tc>
      </w:tr>
      <w:tr w:rsidR="008F7186" w:rsidRPr="0079354F" w14:paraId="7CED2153" w14:textId="77777777" w:rsidTr="00F139DE">
        <w:tc>
          <w:tcPr>
            <w:tcW w:w="1870" w:type="dxa"/>
          </w:tcPr>
          <w:p w14:paraId="29FFD060" w14:textId="24EADDE7" w:rsidR="008F7186" w:rsidRPr="0079354F" w:rsidRDefault="008F7186" w:rsidP="008F7186">
            <w:pPr>
              <w:contextualSpacing/>
              <w:jc w:val="center"/>
              <w:rPr>
                <w:rFonts w:eastAsia="Calibri"/>
              </w:rPr>
            </w:pPr>
            <w:r w:rsidRPr="0079354F">
              <w:rPr>
                <w:rFonts w:eastAsia="Calibri"/>
              </w:rPr>
              <w:t>Blended Distance Education</w:t>
            </w:r>
          </w:p>
        </w:tc>
        <w:tc>
          <w:tcPr>
            <w:tcW w:w="1870" w:type="dxa"/>
          </w:tcPr>
          <w:p w14:paraId="55E9CCCA" w14:textId="77777777" w:rsidR="008F7186" w:rsidRPr="0079354F" w:rsidRDefault="008F7186" w:rsidP="00EA5D09">
            <w:pPr>
              <w:contextualSpacing/>
              <w:jc w:val="center"/>
              <w:rPr>
                <w:rFonts w:eastAsia="Calibri"/>
              </w:rPr>
            </w:pPr>
            <w:r w:rsidRPr="0079354F">
              <w:rPr>
                <w:rFonts w:eastAsia="Calibri"/>
              </w:rPr>
              <w:t>Includes Real Time Instruction and Instruction which can be viewed at a time convenient to the learner</w:t>
            </w:r>
          </w:p>
        </w:tc>
        <w:tc>
          <w:tcPr>
            <w:tcW w:w="1870" w:type="dxa"/>
          </w:tcPr>
          <w:p w14:paraId="05623A07" w14:textId="77777777" w:rsidR="008F7186" w:rsidRPr="0079354F" w:rsidRDefault="008F7186" w:rsidP="00EA5D09">
            <w:pPr>
              <w:contextualSpacing/>
              <w:jc w:val="center"/>
              <w:rPr>
                <w:rFonts w:eastAsia="Calibri"/>
              </w:rPr>
            </w:pPr>
            <w:r w:rsidRPr="0079354F">
              <w:rPr>
                <w:rFonts w:eastAsia="Calibri"/>
              </w:rPr>
              <w:t>Online Synchronous and Asynchronous</w:t>
            </w:r>
          </w:p>
        </w:tc>
        <w:tc>
          <w:tcPr>
            <w:tcW w:w="1870" w:type="dxa"/>
          </w:tcPr>
          <w:p w14:paraId="2458CD73" w14:textId="162D71F8"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7692E877" w14:textId="150BFA97" w:rsidR="008F7186" w:rsidRPr="0079354F" w:rsidRDefault="008F7186" w:rsidP="008F7186">
            <w:pPr>
              <w:contextualSpacing/>
              <w:jc w:val="center"/>
              <w:rPr>
                <w:rFonts w:eastAsia="Calibri"/>
              </w:rPr>
            </w:pPr>
            <w:r w:rsidRPr="0079354F">
              <w:rPr>
                <w:rFonts w:eastAsia="Calibri"/>
              </w:rPr>
              <w:t xml:space="preserve">Instruction – Distance Learning (Virtual F2F) </w:t>
            </w:r>
            <w:r w:rsidRPr="0079354F">
              <w:rPr>
                <w:rFonts w:eastAsia="Calibri"/>
                <w:b/>
                <w:bCs/>
                <w:i/>
                <w:iCs/>
              </w:rPr>
              <w:t>and</w:t>
            </w:r>
            <w:r w:rsidRPr="0079354F">
              <w:rPr>
                <w:rFonts w:eastAsia="Calibri"/>
              </w:rPr>
              <w:t xml:space="preserve"> Instruction </w:t>
            </w:r>
            <w:r w:rsidR="00F139DE" w:rsidRPr="0079354F">
              <w:rPr>
                <w:rFonts w:eastAsia="Calibri"/>
              </w:rPr>
              <w:t xml:space="preserve">– </w:t>
            </w:r>
            <w:r w:rsidRPr="0079354F">
              <w:rPr>
                <w:rFonts w:eastAsia="Calibri"/>
              </w:rPr>
              <w:t>Distance Learning (Proxy Hours)</w:t>
            </w:r>
          </w:p>
        </w:tc>
      </w:tr>
      <w:tr w:rsidR="008F7186" w:rsidRPr="0079354F" w14:paraId="0513F803" w14:textId="77777777" w:rsidTr="00F139DE">
        <w:tc>
          <w:tcPr>
            <w:tcW w:w="1870" w:type="dxa"/>
          </w:tcPr>
          <w:p w14:paraId="01DCFE4A" w14:textId="469C645F" w:rsidR="008F7186" w:rsidRPr="0079354F" w:rsidRDefault="008F7186" w:rsidP="00EA5D09">
            <w:pPr>
              <w:contextualSpacing/>
              <w:rPr>
                <w:rFonts w:eastAsia="Calibri"/>
              </w:rPr>
            </w:pPr>
            <w:r w:rsidRPr="0079354F">
              <w:rPr>
                <w:rFonts w:eastAsia="Calibri"/>
              </w:rPr>
              <w:t>Hybrid: In</w:t>
            </w:r>
            <w:r w:rsidR="00E77F27">
              <w:rPr>
                <w:rFonts w:eastAsia="Calibri"/>
              </w:rPr>
              <w:t>-</w:t>
            </w:r>
            <w:r w:rsidRPr="0079354F">
              <w:rPr>
                <w:rFonts w:eastAsia="Calibri"/>
              </w:rPr>
              <w:t>Person Face-to-Face and Online Synchronous</w:t>
            </w:r>
          </w:p>
        </w:tc>
        <w:tc>
          <w:tcPr>
            <w:tcW w:w="1870" w:type="dxa"/>
          </w:tcPr>
          <w:p w14:paraId="16141B14" w14:textId="77777777" w:rsidR="008F7186" w:rsidRPr="0079354F" w:rsidRDefault="008F7186" w:rsidP="00EA5D09">
            <w:pPr>
              <w:contextualSpacing/>
              <w:jc w:val="center"/>
              <w:rPr>
                <w:rFonts w:eastAsia="Calibri"/>
              </w:rPr>
            </w:pPr>
            <w:r w:rsidRPr="0079354F">
              <w:rPr>
                <w:rFonts w:eastAsia="Calibri"/>
              </w:rPr>
              <w:t>In Person instruction and In Real Time Online Instruction</w:t>
            </w:r>
          </w:p>
        </w:tc>
        <w:tc>
          <w:tcPr>
            <w:tcW w:w="1870" w:type="dxa"/>
          </w:tcPr>
          <w:p w14:paraId="1C5F789B" w14:textId="77777777" w:rsidR="008F7186" w:rsidRPr="0079354F" w:rsidRDefault="008F7186" w:rsidP="00EA5D09">
            <w:pPr>
              <w:contextualSpacing/>
              <w:jc w:val="center"/>
              <w:rPr>
                <w:rFonts w:eastAsia="Calibri"/>
              </w:rPr>
            </w:pPr>
            <w:r w:rsidRPr="0079354F">
              <w:rPr>
                <w:rFonts w:eastAsia="Calibri"/>
              </w:rPr>
              <w:t>In Person and Online Synchronous</w:t>
            </w:r>
          </w:p>
        </w:tc>
        <w:tc>
          <w:tcPr>
            <w:tcW w:w="1870" w:type="dxa"/>
          </w:tcPr>
          <w:p w14:paraId="15A28E7B" w14:textId="5BF19047"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1840B2B1" w14:textId="77777777" w:rsidR="008F7186" w:rsidRPr="0079354F" w:rsidRDefault="008F7186" w:rsidP="00EA5D09">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 Distance Learning (Virtual F2F)</w:t>
            </w:r>
          </w:p>
        </w:tc>
      </w:tr>
      <w:tr w:rsidR="008F7186" w:rsidRPr="0079354F" w14:paraId="37B15D35" w14:textId="77777777" w:rsidTr="00F139DE">
        <w:tc>
          <w:tcPr>
            <w:tcW w:w="1870" w:type="dxa"/>
          </w:tcPr>
          <w:p w14:paraId="6A1E380B" w14:textId="78C361FE" w:rsidR="008F7186" w:rsidRPr="0079354F" w:rsidRDefault="008F7186" w:rsidP="00EA5D09">
            <w:pPr>
              <w:contextualSpacing/>
              <w:rPr>
                <w:rFonts w:eastAsia="Calibri"/>
              </w:rPr>
            </w:pPr>
            <w:r w:rsidRPr="0079354F">
              <w:rPr>
                <w:rFonts w:eastAsia="Calibri"/>
              </w:rPr>
              <w:t>Hybrid: In</w:t>
            </w:r>
            <w:r w:rsidR="00E77F27">
              <w:rPr>
                <w:rFonts w:eastAsia="Calibri"/>
              </w:rPr>
              <w:t>-</w:t>
            </w:r>
            <w:r w:rsidRPr="0079354F">
              <w:rPr>
                <w:rFonts w:eastAsia="Calibri"/>
              </w:rPr>
              <w:t xml:space="preserve"> Person Face-to-Face and Online Asynchronous</w:t>
            </w:r>
          </w:p>
          <w:p w14:paraId="2458FD9A" w14:textId="77777777" w:rsidR="008F7186" w:rsidRPr="0079354F" w:rsidRDefault="008F7186" w:rsidP="00EA5D09">
            <w:pPr>
              <w:contextualSpacing/>
              <w:rPr>
                <w:rFonts w:eastAsia="Calibri"/>
              </w:rPr>
            </w:pPr>
          </w:p>
        </w:tc>
        <w:tc>
          <w:tcPr>
            <w:tcW w:w="1870" w:type="dxa"/>
          </w:tcPr>
          <w:p w14:paraId="0505BD3D" w14:textId="77777777" w:rsidR="008F7186" w:rsidRPr="0079354F" w:rsidRDefault="008F7186" w:rsidP="00EA5D09">
            <w:pPr>
              <w:contextualSpacing/>
              <w:jc w:val="center"/>
              <w:rPr>
                <w:rFonts w:eastAsia="Calibri"/>
              </w:rPr>
            </w:pPr>
            <w:r w:rsidRPr="0079354F">
              <w:rPr>
                <w:rFonts w:eastAsia="Calibri"/>
              </w:rPr>
              <w:t>In Person Instruction and Instruction which can be viewed at a time convenient to the learner</w:t>
            </w:r>
          </w:p>
        </w:tc>
        <w:tc>
          <w:tcPr>
            <w:tcW w:w="1870" w:type="dxa"/>
          </w:tcPr>
          <w:p w14:paraId="48397ACB" w14:textId="77777777" w:rsidR="008F7186" w:rsidRPr="0079354F" w:rsidRDefault="008F7186" w:rsidP="00EA5D09">
            <w:pPr>
              <w:contextualSpacing/>
              <w:jc w:val="center"/>
              <w:rPr>
                <w:rFonts w:eastAsia="Calibri"/>
              </w:rPr>
            </w:pPr>
            <w:r w:rsidRPr="0079354F">
              <w:rPr>
                <w:rFonts w:eastAsia="Calibri"/>
              </w:rPr>
              <w:t>In Person and Asynchronous</w:t>
            </w:r>
          </w:p>
        </w:tc>
        <w:tc>
          <w:tcPr>
            <w:tcW w:w="1870" w:type="dxa"/>
          </w:tcPr>
          <w:p w14:paraId="602888F9" w14:textId="580EF5D9"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62E649FD" w14:textId="7B386239" w:rsidR="008F7186" w:rsidRPr="0079354F" w:rsidRDefault="008F7186" w:rsidP="006F383B">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w:t>
            </w:r>
            <w:r w:rsidR="00D054BC" w:rsidRPr="0079354F">
              <w:rPr>
                <w:rFonts w:eastAsia="Calibri"/>
              </w:rPr>
              <w:t xml:space="preserve">– </w:t>
            </w:r>
            <w:r w:rsidRPr="0079354F">
              <w:rPr>
                <w:rFonts w:eastAsia="Calibri"/>
              </w:rPr>
              <w:t>Distance Learning (Proxy Hours)</w:t>
            </w:r>
          </w:p>
        </w:tc>
      </w:tr>
    </w:tbl>
    <w:p w14:paraId="2A517C1E" w14:textId="77777777" w:rsidR="008F7186" w:rsidRPr="0079354F" w:rsidRDefault="008F7186" w:rsidP="008F7186">
      <w:pPr>
        <w:textAlignment w:val="baseline"/>
        <w:rPr>
          <w:b/>
          <w:bCs/>
        </w:rPr>
      </w:pPr>
    </w:p>
    <w:p w14:paraId="131357C7" w14:textId="77777777" w:rsidR="008F7186" w:rsidRPr="0079354F" w:rsidRDefault="008F7186" w:rsidP="008F7186">
      <w:pPr>
        <w:textAlignment w:val="baseline"/>
      </w:pPr>
      <w:r w:rsidRPr="0079354F">
        <w:rPr>
          <w:b/>
          <w:bCs/>
        </w:rPr>
        <w:t>Understanding Proxy Hours</w:t>
      </w:r>
    </w:p>
    <w:tbl>
      <w:tblPr>
        <w:tblStyle w:val="TableGrid"/>
        <w:tblW w:w="9535" w:type="dxa"/>
        <w:tblLook w:val="04A0" w:firstRow="1" w:lastRow="0" w:firstColumn="1" w:lastColumn="0" w:noHBand="0" w:noVBand="1"/>
        <w:tblCaption w:val="Understanding Proxy Hours"/>
        <w:tblDescription w:val="This chart defines clock time/time on task, learner mastery, and the teacher verification model. Clock time/time on task is defined as time reported based on time a student is engged with an online product that tracks actual time on task. (Note: Programs can add 15 minutes of time per hour time to proxy hours for student and staff time that is not logged accounted for by clock time/time-on-task.) Learner mastery assigns a fixed number of proxy hours based on verified learner mastery of instructional content. Teacher verification model (i.e., student engagement with specific Learning Activities assigned by the Instructor) is (prior to distribution of educational material) when the teacher assigns the amount of time (i.e., proxy hours) awarded to students upon completion of material and verification of learning. Examples of each are given."/>
      </w:tblPr>
      <w:tblGrid>
        <w:gridCol w:w="2875"/>
        <w:gridCol w:w="3420"/>
        <w:gridCol w:w="3240"/>
      </w:tblGrid>
      <w:tr w:rsidR="008F7186" w:rsidRPr="0079354F" w14:paraId="0576A838" w14:textId="77777777" w:rsidTr="00400105">
        <w:tc>
          <w:tcPr>
            <w:tcW w:w="9535" w:type="dxa"/>
            <w:gridSpan w:val="3"/>
            <w:shd w:val="clear" w:color="auto" w:fill="B8CCE4" w:themeFill="accent1" w:themeFillTint="66"/>
          </w:tcPr>
          <w:p w14:paraId="75DB9F2E" w14:textId="3D1D1660" w:rsidR="008F7186" w:rsidRPr="0079354F" w:rsidRDefault="008F7186" w:rsidP="00D054BC">
            <w:pPr>
              <w:jc w:val="center"/>
              <w:rPr>
                <w:b/>
                <w:bCs/>
              </w:rPr>
            </w:pPr>
            <w:r w:rsidRPr="0079354F">
              <w:rPr>
                <w:b/>
                <w:bCs/>
              </w:rPr>
              <w:t xml:space="preserve">Proxy Hours </w:t>
            </w:r>
          </w:p>
        </w:tc>
      </w:tr>
      <w:tr w:rsidR="008F7186" w:rsidRPr="0079354F" w14:paraId="53D2386A" w14:textId="77777777" w:rsidTr="00400105">
        <w:tc>
          <w:tcPr>
            <w:tcW w:w="2875" w:type="dxa"/>
          </w:tcPr>
          <w:p w14:paraId="34200D3D" w14:textId="77777777" w:rsidR="008F7186" w:rsidRPr="0079354F" w:rsidRDefault="008F7186" w:rsidP="00EA5D09">
            <w:pPr>
              <w:rPr>
                <w:rFonts w:eastAsia="Calibri"/>
                <w:b/>
                <w:bCs/>
              </w:rPr>
            </w:pPr>
            <w:r w:rsidRPr="0079354F">
              <w:rPr>
                <w:rFonts w:eastAsia="Calibri"/>
                <w:b/>
                <w:bCs/>
              </w:rPr>
              <w:t>Type</w:t>
            </w:r>
          </w:p>
        </w:tc>
        <w:tc>
          <w:tcPr>
            <w:tcW w:w="3420" w:type="dxa"/>
          </w:tcPr>
          <w:p w14:paraId="4CA8AD09" w14:textId="77777777" w:rsidR="008F7186" w:rsidRPr="0079354F" w:rsidRDefault="008F7186" w:rsidP="00EA5D09">
            <w:pPr>
              <w:rPr>
                <w:b/>
                <w:bCs/>
              </w:rPr>
            </w:pPr>
            <w:r w:rsidRPr="0079354F">
              <w:rPr>
                <w:b/>
                <w:bCs/>
              </w:rPr>
              <w:t>Definition</w:t>
            </w:r>
          </w:p>
        </w:tc>
        <w:tc>
          <w:tcPr>
            <w:tcW w:w="3240" w:type="dxa"/>
          </w:tcPr>
          <w:p w14:paraId="7E02FDDE" w14:textId="77777777" w:rsidR="008F7186" w:rsidRPr="0079354F" w:rsidRDefault="008F7186" w:rsidP="00EA5D09">
            <w:pPr>
              <w:rPr>
                <w:b/>
                <w:bCs/>
              </w:rPr>
            </w:pPr>
            <w:r w:rsidRPr="0079354F">
              <w:rPr>
                <w:b/>
                <w:bCs/>
              </w:rPr>
              <w:t>Example</w:t>
            </w:r>
          </w:p>
        </w:tc>
      </w:tr>
      <w:tr w:rsidR="008F7186" w:rsidRPr="0079354F" w14:paraId="058775EC" w14:textId="77777777" w:rsidTr="00400105">
        <w:tc>
          <w:tcPr>
            <w:tcW w:w="2875" w:type="dxa"/>
          </w:tcPr>
          <w:p w14:paraId="42CB23A2" w14:textId="77777777" w:rsidR="008F7186" w:rsidRPr="0079354F" w:rsidRDefault="008F7186" w:rsidP="00EA5D09">
            <w:pPr>
              <w:rPr>
                <w:rFonts w:eastAsia="Calibri"/>
                <w:b/>
                <w:bCs/>
              </w:rPr>
            </w:pPr>
            <w:r w:rsidRPr="0079354F">
              <w:rPr>
                <w:rFonts w:eastAsia="Calibri"/>
                <w:b/>
                <w:bCs/>
              </w:rPr>
              <w:t>Clock Time/Time on Task</w:t>
            </w:r>
          </w:p>
        </w:tc>
        <w:tc>
          <w:tcPr>
            <w:tcW w:w="3420" w:type="dxa"/>
          </w:tcPr>
          <w:p w14:paraId="0622D1A0" w14:textId="77777777" w:rsidR="008F7186" w:rsidRPr="0079354F" w:rsidRDefault="008F7186" w:rsidP="00EA5D09">
            <w:r w:rsidRPr="0079354F">
              <w:t>Time reported based on time a student is engaged with an online product that tracks actual time on task.*</w:t>
            </w:r>
          </w:p>
          <w:p w14:paraId="00D09D74" w14:textId="77777777" w:rsidR="008F7186" w:rsidRPr="0079354F" w:rsidRDefault="008F7186" w:rsidP="00EA5D09"/>
          <w:p w14:paraId="351B59A3" w14:textId="3765BB9D" w:rsidR="008F7186" w:rsidRPr="0079354F" w:rsidRDefault="008F7186" w:rsidP="00400105">
            <w:pPr>
              <w:pStyle w:val="NoSpacing"/>
            </w:pPr>
            <w:r w:rsidRPr="0079354F">
              <w:t>*Programs can add 15 minutes of time per hour time to proxy hours for student and staff time that is not logged accounted for by clock time/time-on-task.</w:t>
            </w:r>
          </w:p>
        </w:tc>
        <w:tc>
          <w:tcPr>
            <w:tcW w:w="3240" w:type="dxa"/>
          </w:tcPr>
          <w:p w14:paraId="754A83C6" w14:textId="77777777" w:rsidR="008F7186" w:rsidRPr="0079354F" w:rsidRDefault="008F7186" w:rsidP="00EA5D09">
            <w:r w:rsidRPr="0079354F">
              <w:t>The amount of time that the student spends working in an on-line product (e.g., AZTEC, VOXY, KET, USA Learns) as tracked by that product.</w:t>
            </w:r>
          </w:p>
          <w:p w14:paraId="46AE40A9" w14:textId="77777777" w:rsidR="008F7186" w:rsidRPr="0079354F" w:rsidRDefault="008F7186" w:rsidP="00EA5D09"/>
          <w:p w14:paraId="25F36571" w14:textId="77777777" w:rsidR="008F7186" w:rsidRPr="0079354F" w:rsidRDefault="008F7186" w:rsidP="00EA5D09"/>
        </w:tc>
      </w:tr>
      <w:tr w:rsidR="008F7186" w:rsidRPr="0079354F" w14:paraId="513F6753" w14:textId="77777777" w:rsidTr="00400105">
        <w:tc>
          <w:tcPr>
            <w:tcW w:w="2875" w:type="dxa"/>
          </w:tcPr>
          <w:p w14:paraId="38C3985B" w14:textId="77777777" w:rsidR="008F7186" w:rsidRPr="0079354F" w:rsidRDefault="008F7186" w:rsidP="00EA5D09">
            <w:pPr>
              <w:rPr>
                <w:rFonts w:eastAsia="Calibri"/>
                <w:b/>
                <w:bCs/>
              </w:rPr>
            </w:pPr>
            <w:r w:rsidRPr="0079354F">
              <w:rPr>
                <w:rFonts w:eastAsia="Calibri"/>
                <w:b/>
                <w:bCs/>
              </w:rPr>
              <w:t>Learner Mastery</w:t>
            </w:r>
          </w:p>
          <w:p w14:paraId="42B8A8AF" w14:textId="77777777" w:rsidR="008F7186" w:rsidRPr="0079354F" w:rsidRDefault="008F7186" w:rsidP="00EA5D09">
            <w:pPr>
              <w:pStyle w:val="NoSpacing"/>
            </w:pPr>
          </w:p>
        </w:tc>
        <w:tc>
          <w:tcPr>
            <w:tcW w:w="3420" w:type="dxa"/>
          </w:tcPr>
          <w:p w14:paraId="412C224F" w14:textId="77777777" w:rsidR="008F7186" w:rsidRPr="0079354F" w:rsidRDefault="008F7186" w:rsidP="00EA5D09">
            <w:r w:rsidRPr="0079354F">
              <w:t>Assigns a fixed number of proxy hours based on verified learner mastery of instructional content.</w:t>
            </w:r>
          </w:p>
        </w:tc>
        <w:tc>
          <w:tcPr>
            <w:tcW w:w="3240" w:type="dxa"/>
          </w:tcPr>
          <w:p w14:paraId="3917630B" w14:textId="54DB4C5A" w:rsidR="008F7186" w:rsidRPr="0079354F" w:rsidRDefault="008F7186" w:rsidP="00EA5D09">
            <w:r w:rsidRPr="0079354F">
              <w:t>Student completes a unit which is assigned a number of proxy hours granted upon verified mastery of the material; usually determined by a summative assessment of the material completed.</w:t>
            </w:r>
          </w:p>
        </w:tc>
      </w:tr>
      <w:tr w:rsidR="008F7186" w:rsidRPr="0079354F" w14:paraId="773E3828" w14:textId="77777777" w:rsidTr="00400105">
        <w:tc>
          <w:tcPr>
            <w:tcW w:w="2875" w:type="dxa"/>
          </w:tcPr>
          <w:p w14:paraId="086BBC30" w14:textId="77777777" w:rsidR="008F7186" w:rsidRPr="0079354F" w:rsidRDefault="008F7186" w:rsidP="00EA5D09">
            <w:pPr>
              <w:rPr>
                <w:rFonts w:eastAsia="Calibri"/>
                <w:b/>
                <w:bCs/>
              </w:rPr>
            </w:pPr>
            <w:r w:rsidRPr="0079354F">
              <w:rPr>
                <w:rFonts w:eastAsia="Calibri"/>
                <w:b/>
                <w:bCs/>
              </w:rPr>
              <w:t>Teacher Verification Model</w:t>
            </w:r>
          </w:p>
          <w:p w14:paraId="281F3988" w14:textId="77777777" w:rsidR="008F7186" w:rsidRPr="0079354F" w:rsidRDefault="008F7186" w:rsidP="00EA5D09">
            <w:pPr>
              <w:rPr>
                <w:rFonts w:eastAsia="Calibri"/>
              </w:rPr>
            </w:pPr>
          </w:p>
          <w:p w14:paraId="50EEE3CE" w14:textId="77777777" w:rsidR="008F7186" w:rsidRPr="0079354F" w:rsidRDefault="008F7186" w:rsidP="00EA5D09">
            <w:pPr>
              <w:rPr>
                <w:rFonts w:eastAsia="Calibri"/>
              </w:rPr>
            </w:pPr>
            <w:r w:rsidRPr="0079354F">
              <w:rPr>
                <w:rFonts w:eastAsia="Calibri"/>
              </w:rPr>
              <w:t>Student Engagement with specific Learning Activities assigned by Instructor</w:t>
            </w:r>
          </w:p>
          <w:p w14:paraId="77A64806" w14:textId="77777777" w:rsidR="008F7186" w:rsidRPr="0079354F" w:rsidRDefault="008F7186" w:rsidP="00EA5D09">
            <w:pPr>
              <w:pStyle w:val="NoSpacing"/>
            </w:pPr>
          </w:p>
        </w:tc>
        <w:tc>
          <w:tcPr>
            <w:tcW w:w="3420" w:type="dxa"/>
          </w:tcPr>
          <w:p w14:paraId="4126077D" w14:textId="77777777" w:rsidR="008F7186" w:rsidRPr="0079354F" w:rsidRDefault="008F7186" w:rsidP="00EA5D09">
            <w:pPr>
              <w:rPr>
                <w:rFonts w:eastAsia="Calibri"/>
              </w:rPr>
            </w:pPr>
            <w:r w:rsidRPr="0079354F">
              <w:rPr>
                <w:rFonts w:eastAsia="Calibri"/>
              </w:rPr>
              <w:t>Prior to distribution of educational material, teacher assigns the amount of time (proxy hours) awarded to students upon completion of material and verification of learning.</w:t>
            </w:r>
          </w:p>
          <w:p w14:paraId="6AFA233E" w14:textId="77777777" w:rsidR="008F7186" w:rsidRPr="0079354F" w:rsidRDefault="008F7186" w:rsidP="00EA5D09">
            <w:pPr>
              <w:rPr>
                <w:rFonts w:eastAsia="Calibri"/>
              </w:rPr>
            </w:pPr>
          </w:p>
          <w:p w14:paraId="192703C0" w14:textId="655B88A2" w:rsidR="008F7186" w:rsidRPr="0079354F" w:rsidRDefault="008F7186" w:rsidP="00EA5D09">
            <w:pPr>
              <w:rPr>
                <w:rFonts w:eastAsia="Calibri"/>
              </w:rPr>
            </w:pPr>
            <w:r w:rsidRPr="0079354F">
              <w:rPr>
                <w:rFonts w:eastAsia="Calibri"/>
              </w:rPr>
              <w:t>Pre-assigned proxy hours include all activity (student work and student-teacher engagement).</w:t>
            </w:r>
          </w:p>
          <w:p w14:paraId="08C7AAE7" w14:textId="77777777" w:rsidR="008F7186" w:rsidRPr="0079354F" w:rsidRDefault="008F7186" w:rsidP="00EA5D09">
            <w:pPr>
              <w:rPr>
                <w:rFonts w:eastAsia="Calibri"/>
              </w:rPr>
            </w:pPr>
          </w:p>
          <w:p w14:paraId="2730DD7E" w14:textId="7C0D0796" w:rsidR="008F7186" w:rsidRPr="0079354F" w:rsidRDefault="008F7186" w:rsidP="00EA5D09">
            <w:r w:rsidRPr="0079354F">
              <w:t>The recording of hours in LACES presumes teacher verification that material was completed and assessed for mastery of content.</w:t>
            </w:r>
          </w:p>
        </w:tc>
        <w:tc>
          <w:tcPr>
            <w:tcW w:w="3240" w:type="dxa"/>
          </w:tcPr>
          <w:p w14:paraId="18ADE4FF" w14:textId="77777777" w:rsidR="008F7186" w:rsidRPr="0079354F" w:rsidRDefault="008F7186" w:rsidP="00EA5D09">
            <w:r w:rsidRPr="0079354F">
              <w:t>Packets of Learning Activities are given to students, students complete work and return packets to instructor who reviews and assesses mastery of content.</w:t>
            </w:r>
          </w:p>
          <w:p w14:paraId="6236C348" w14:textId="77777777" w:rsidR="008F7186" w:rsidRPr="0079354F" w:rsidRDefault="008F7186" w:rsidP="00EA5D09"/>
          <w:p w14:paraId="69EE8748" w14:textId="77777777" w:rsidR="008F7186" w:rsidRPr="0079354F" w:rsidRDefault="008F7186" w:rsidP="00EA5D09">
            <w:r w:rsidRPr="0079354F">
              <w:t>Assigned proxy hours include but are not limited to student work, phone follow up with teacher, exchange between student and teacher via texts or email.</w:t>
            </w:r>
          </w:p>
          <w:p w14:paraId="7EC8C518" w14:textId="77777777" w:rsidR="008F7186" w:rsidRPr="0079354F" w:rsidRDefault="008F7186" w:rsidP="00EA5D09"/>
        </w:tc>
      </w:tr>
    </w:tbl>
    <w:p w14:paraId="18ECE44A" w14:textId="77777777" w:rsidR="008F7186" w:rsidRPr="0079354F" w:rsidRDefault="008F7186" w:rsidP="008F7186">
      <w:pPr>
        <w:pStyle w:val="paragraph"/>
        <w:spacing w:before="0" w:beforeAutospacing="0" w:after="0" w:afterAutospacing="0"/>
        <w:ind w:right="-90"/>
        <w:contextualSpacing/>
        <w:textAlignment w:val="baseline"/>
        <w:rPr>
          <w:rStyle w:val="normaltextrun"/>
          <w:rFonts w:ascii="Times New Roman" w:hAnsi="Times New Roman" w:cs="Times New Roman"/>
          <w:color w:val="038387"/>
          <w:sz w:val="24"/>
          <w:szCs w:val="24"/>
        </w:rPr>
      </w:pPr>
    </w:p>
    <w:p w14:paraId="52FE97EA" w14:textId="77777777" w:rsidR="008F7186" w:rsidRPr="0079354F" w:rsidRDefault="008F7186" w:rsidP="008F7186">
      <w:pPr>
        <w:tabs>
          <w:tab w:val="left" w:pos="7710"/>
        </w:tabs>
        <w:textAlignment w:val="baseline"/>
      </w:pPr>
      <w:r w:rsidRPr="0079354F">
        <w:rPr>
          <w:b/>
          <w:bCs/>
        </w:rPr>
        <w:t>Requirements for Reporting Distance Education Data in LACES</w:t>
      </w:r>
    </w:p>
    <w:tbl>
      <w:tblPr>
        <w:tblStyle w:val="TableGrid"/>
        <w:tblW w:w="9535" w:type="dxa"/>
        <w:tblLook w:val="04A0" w:firstRow="1" w:lastRow="0" w:firstColumn="1" w:lastColumn="0" w:noHBand="0" w:noVBand="1"/>
        <w:tblCaption w:val="Reporting for Reporting Distance Education Data in LACES"/>
        <w:tblDescription w:val="This chart described distance education data entry policy. Attendance should be entered in LACES daily (as with in person attendance) within one week of the instruction for Instruction - Distance Learning (Virtual). Proxy hours should be captured a minimum of two times per month for Instruction - Distance Learning (Proxy Hours). The first entry should be on the 16th of the month capturing all hours fromthe 1st to the 15th of the month. The second entry should be on the last day of the month capturing hours from the 16th of the month through the last day of the month. Programs may capture intake, orientation, and assessment hours in LACES as they do with in person intake and assessment. "/>
      </w:tblPr>
      <w:tblGrid>
        <w:gridCol w:w="2339"/>
        <w:gridCol w:w="7196"/>
      </w:tblGrid>
      <w:tr w:rsidR="008F7186" w:rsidRPr="0079354F" w14:paraId="1B0F41F6" w14:textId="77777777" w:rsidTr="00400105">
        <w:trPr>
          <w:tblHeader/>
        </w:trPr>
        <w:tc>
          <w:tcPr>
            <w:tcW w:w="9535" w:type="dxa"/>
            <w:gridSpan w:val="2"/>
            <w:shd w:val="clear" w:color="auto" w:fill="B8CCE4" w:themeFill="accent1" w:themeFillTint="66"/>
          </w:tcPr>
          <w:p w14:paraId="61A53C82" w14:textId="4208E30C" w:rsidR="008F7186" w:rsidRPr="0079354F" w:rsidRDefault="008F7186" w:rsidP="00400105">
            <w:pPr>
              <w:jc w:val="center"/>
              <w:rPr>
                <w:b/>
                <w:bCs/>
              </w:rPr>
            </w:pPr>
            <w:r w:rsidRPr="0079354F">
              <w:rPr>
                <w:b/>
                <w:bCs/>
              </w:rPr>
              <w:t>Distance Education Data Entry Policy</w:t>
            </w:r>
          </w:p>
        </w:tc>
      </w:tr>
      <w:tr w:rsidR="008F7186" w:rsidRPr="0079354F" w14:paraId="6E6D7790" w14:textId="77777777" w:rsidTr="00EA5D09">
        <w:trPr>
          <w:trHeight w:val="764"/>
        </w:trPr>
        <w:tc>
          <w:tcPr>
            <w:tcW w:w="2339" w:type="dxa"/>
          </w:tcPr>
          <w:p w14:paraId="6440F914" w14:textId="77777777" w:rsidR="008F7186" w:rsidRDefault="008F7186" w:rsidP="00EA5D09">
            <w:pPr>
              <w:pStyle w:val="NoSpacing"/>
              <w:rPr>
                <w:b/>
                <w:bCs/>
              </w:rPr>
            </w:pPr>
            <w:r w:rsidRPr="0079354F">
              <w:rPr>
                <w:b/>
                <w:bCs/>
              </w:rPr>
              <w:t>Instruction – Distance Learning (Virtual)</w:t>
            </w:r>
          </w:p>
          <w:p w14:paraId="33624213" w14:textId="2BA140D5" w:rsidR="00BA70E8" w:rsidRPr="0079354F" w:rsidRDefault="00BA70E8" w:rsidP="00EA5D09">
            <w:pPr>
              <w:pStyle w:val="NoSpacing"/>
              <w:rPr>
                <w:b/>
                <w:bCs/>
              </w:rPr>
            </w:pPr>
          </w:p>
        </w:tc>
        <w:tc>
          <w:tcPr>
            <w:tcW w:w="7196" w:type="dxa"/>
          </w:tcPr>
          <w:p w14:paraId="642EB1F2" w14:textId="0040F0CC" w:rsidR="008F7186" w:rsidRPr="0079354F" w:rsidRDefault="008F7186" w:rsidP="00400105">
            <w:pPr>
              <w:spacing w:after="160" w:line="259" w:lineRule="auto"/>
            </w:pPr>
            <w:r w:rsidRPr="0079354F">
              <w:t>Attendance should be entered in LACES daily (as with in</w:t>
            </w:r>
            <w:r w:rsidR="00E77F27">
              <w:t>-</w:t>
            </w:r>
            <w:r w:rsidRPr="0079354F">
              <w:t>person attendance) within one week of the instruction.</w:t>
            </w:r>
          </w:p>
        </w:tc>
      </w:tr>
      <w:tr w:rsidR="008F7186" w:rsidRPr="0079354F" w14:paraId="511CF0C6" w14:textId="77777777" w:rsidTr="00EA5D09">
        <w:trPr>
          <w:trHeight w:val="440"/>
        </w:trPr>
        <w:tc>
          <w:tcPr>
            <w:tcW w:w="2339" w:type="dxa"/>
          </w:tcPr>
          <w:p w14:paraId="7890C9AB" w14:textId="77777777" w:rsidR="008F7186" w:rsidRPr="0079354F" w:rsidRDefault="008F7186" w:rsidP="00EA5D09">
            <w:pPr>
              <w:pStyle w:val="NoSpacing"/>
              <w:rPr>
                <w:b/>
                <w:bCs/>
              </w:rPr>
            </w:pPr>
            <w:r w:rsidRPr="0079354F">
              <w:rPr>
                <w:b/>
                <w:bCs/>
              </w:rPr>
              <w:t>Instruction – Distance Learning (Proxy Hours)</w:t>
            </w:r>
          </w:p>
          <w:p w14:paraId="659596C9" w14:textId="77777777" w:rsidR="008F7186" w:rsidRPr="0079354F" w:rsidRDefault="008F7186" w:rsidP="00EA5D09">
            <w:pPr>
              <w:pStyle w:val="NoSpacing"/>
            </w:pPr>
          </w:p>
        </w:tc>
        <w:tc>
          <w:tcPr>
            <w:tcW w:w="7196" w:type="dxa"/>
          </w:tcPr>
          <w:p w14:paraId="36C68BFD" w14:textId="0395889F" w:rsidR="008F7186" w:rsidRPr="0079354F" w:rsidRDefault="008F7186" w:rsidP="00EA5D09">
            <w:pPr>
              <w:spacing w:line="259" w:lineRule="auto"/>
            </w:pPr>
            <w:r w:rsidRPr="0079354F">
              <w:rPr>
                <w:b/>
                <w:bCs/>
              </w:rPr>
              <w:t xml:space="preserve">Proxy Hours should be captured a </w:t>
            </w:r>
            <w:r w:rsidR="00400105" w:rsidRPr="0079354F">
              <w:rPr>
                <w:b/>
                <w:bCs/>
              </w:rPr>
              <w:t>minimu</w:t>
            </w:r>
            <w:r w:rsidRPr="0079354F">
              <w:rPr>
                <w:b/>
                <w:bCs/>
              </w:rPr>
              <w:t>m of two times per month</w:t>
            </w:r>
            <w:r w:rsidRPr="0079354F">
              <w:t>. The first entry should be on the 16</w:t>
            </w:r>
            <w:r w:rsidRPr="0079354F">
              <w:rPr>
                <w:vertAlign w:val="superscript"/>
              </w:rPr>
              <w:t>th</w:t>
            </w:r>
            <w:r w:rsidRPr="0079354F">
              <w:t xml:space="preserve"> of the month capturing all hours from the 1</w:t>
            </w:r>
            <w:r w:rsidRPr="0079354F">
              <w:rPr>
                <w:vertAlign w:val="superscript"/>
              </w:rPr>
              <w:t>st</w:t>
            </w:r>
            <w:r w:rsidRPr="0079354F">
              <w:t xml:space="preserve"> to the 15</w:t>
            </w:r>
            <w:r w:rsidRPr="0079354F">
              <w:rPr>
                <w:vertAlign w:val="superscript"/>
              </w:rPr>
              <w:t>th</w:t>
            </w:r>
            <w:r w:rsidRPr="0079354F">
              <w:t xml:space="preserve"> of the month, and the second on the last day of the month capturing hours from the 16</w:t>
            </w:r>
            <w:r w:rsidRPr="0079354F">
              <w:rPr>
                <w:vertAlign w:val="superscript"/>
              </w:rPr>
              <w:t>th</w:t>
            </w:r>
            <w:r w:rsidRPr="0079354F">
              <w:t xml:space="preserve"> of the month through the last day of the month.</w:t>
            </w:r>
          </w:p>
          <w:p w14:paraId="79F5431F" w14:textId="77777777" w:rsidR="008F7186" w:rsidRPr="0079354F" w:rsidRDefault="008F7186" w:rsidP="00EA5D09"/>
        </w:tc>
      </w:tr>
      <w:tr w:rsidR="008F7186" w:rsidRPr="0079354F" w14:paraId="6E3B5F7D" w14:textId="77777777" w:rsidTr="00EA5D09">
        <w:trPr>
          <w:trHeight w:val="440"/>
        </w:trPr>
        <w:tc>
          <w:tcPr>
            <w:tcW w:w="2339" w:type="dxa"/>
          </w:tcPr>
          <w:p w14:paraId="5E4DC727" w14:textId="77777777" w:rsidR="008F7186" w:rsidRPr="0079354F" w:rsidRDefault="008F7186" w:rsidP="00EA5D09">
            <w:pPr>
              <w:pStyle w:val="NoSpacing"/>
              <w:rPr>
                <w:b/>
                <w:bCs/>
              </w:rPr>
            </w:pPr>
            <w:r w:rsidRPr="0079354F">
              <w:rPr>
                <w:b/>
                <w:bCs/>
              </w:rPr>
              <w:t>Intake and Assessment</w:t>
            </w:r>
          </w:p>
        </w:tc>
        <w:tc>
          <w:tcPr>
            <w:tcW w:w="7196" w:type="dxa"/>
          </w:tcPr>
          <w:p w14:paraId="68DDFA3C" w14:textId="122B8DB7" w:rsidR="008F7186" w:rsidRPr="0079354F" w:rsidRDefault="008F7186" w:rsidP="00EA5D09">
            <w:pPr>
              <w:pStyle w:val="NoSpacing"/>
            </w:pPr>
            <w:r w:rsidRPr="0079354F">
              <w:t xml:space="preserve">Programs </w:t>
            </w:r>
            <w:r w:rsidRPr="0079354F">
              <w:rPr>
                <w:u w:val="single"/>
              </w:rPr>
              <w:t>may</w:t>
            </w:r>
            <w:r w:rsidRPr="0079354F">
              <w:t xml:space="preserve"> capture intake, orientation, and assessment hours in LACES as they do with in</w:t>
            </w:r>
            <w:r w:rsidR="00E77F27">
              <w:t>-</w:t>
            </w:r>
            <w:r w:rsidRPr="0079354F">
              <w:t>person intake and assessment. For further information regarding assessment of Distance Learners, see Chapter 5.</w:t>
            </w:r>
          </w:p>
          <w:p w14:paraId="26D5AC2F" w14:textId="77777777" w:rsidR="008F7186" w:rsidRPr="0079354F" w:rsidRDefault="008F7186" w:rsidP="00EA5D09">
            <w:pPr>
              <w:rPr>
                <w:b/>
                <w:bCs/>
              </w:rPr>
            </w:pPr>
          </w:p>
        </w:tc>
      </w:tr>
    </w:tbl>
    <w:p w14:paraId="76CB2522" w14:textId="77777777" w:rsidR="008F7186" w:rsidRPr="0079354F" w:rsidRDefault="008F7186" w:rsidP="008F7186">
      <w:pPr>
        <w:rPr>
          <w:rFonts w:ascii="Arial" w:hAnsi="Arial" w:cs="Arial"/>
          <w:sz w:val="20"/>
        </w:rPr>
      </w:pPr>
    </w:p>
    <w:p w14:paraId="11C06A59" w14:textId="77777777" w:rsidR="00400105" w:rsidRPr="0079354F" w:rsidRDefault="00400105" w:rsidP="00400105">
      <w:r w:rsidRPr="0079354F">
        <w:t>For more information on curriculum and instruction in DE, see Chapters 4 and 5.</w:t>
      </w:r>
    </w:p>
    <w:p w14:paraId="58284B4F" w14:textId="77777777" w:rsidR="008F7186" w:rsidRPr="0079354F" w:rsidRDefault="008F7186">
      <w:pPr>
        <w:rPr>
          <w:rFonts w:ascii="Arial Narrow" w:hAnsi="Arial Narrow" w:cs="Arial"/>
          <w:b/>
          <w:bCs/>
          <w:color w:val="E36C0A" w:themeColor="accent6" w:themeShade="BF"/>
          <w:sz w:val="28"/>
          <w:szCs w:val="20"/>
        </w:rPr>
      </w:pPr>
      <w:r w:rsidRPr="0079354F">
        <w:rPr>
          <w:b/>
          <w:color w:val="E36C0A" w:themeColor="accent6" w:themeShade="BF"/>
        </w:rPr>
        <w:br w:type="page"/>
      </w:r>
    </w:p>
    <w:p w14:paraId="2056EAEF" w14:textId="1DFCB878" w:rsidR="00297F22" w:rsidRPr="0079354F" w:rsidRDefault="00297F22" w:rsidP="1E8607B9">
      <w:pPr>
        <w:pStyle w:val="Heading2"/>
        <w:spacing w:before="0" w:after="200"/>
        <w:rPr>
          <w:b/>
          <w:noProof/>
          <w:color w:val="E36C0A" w:themeColor="accent6" w:themeShade="BF"/>
        </w:rPr>
      </w:pPr>
      <w:bookmarkStart w:id="117" w:name="_Toc109196029"/>
      <w:r w:rsidRPr="1E8607B9">
        <w:rPr>
          <w:b/>
          <w:color w:val="E36C0A" w:themeColor="accent6" w:themeShade="BF"/>
        </w:rPr>
        <w:t xml:space="preserve">Appendix </w:t>
      </w:r>
      <w:r w:rsidR="00400105" w:rsidRPr="1E8607B9">
        <w:rPr>
          <w:b/>
          <w:color w:val="E36C0A" w:themeColor="accent6" w:themeShade="BF"/>
        </w:rPr>
        <w:t>D</w:t>
      </w:r>
      <w:r w:rsidRPr="1E8607B9">
        <w:rPr>
          <w:b/>
          <w:color w:val="E36C0A" w:themeColor="accent6" w:themeShade="BF"/>
        </w:rPr>
        <w:t xml:space="preserve">: </w:t>
      </w:r>
      <w:r w:rsidR="00C608F4" w:rsidRPr="1E8607B9">
        <w:rPr>
          <w:b/>
          <w:color w:val="E36C0A" w:themeColor="accent6" w:themeShade="BF"/>
        </w:rPr>
        <w:t xml:space="preserve"> </w:t>
      </w:r>
      <w:r w:rsidRPr="1E8607B9">
        <w:rPr>
          <w:b/>
          <w:color w:val="E36C0A" w:themeColor="accent6" w:themeShade="BF"/>
        </w:rPr>
        <w:t>Sample Calendar for Educational Leaders</w:t>
      </w:r>
      <w:bookmarkEnd w:id="117"/>
    </w:p>
    <w:tbl>
      <w:tblPr>
        <w:tblStyle w:val="TableGrid"/>
        <w:tblW w:w="9792" w:type="dxa"/>
        <w:tblLook w:val="04A0" w:firstRow="1" w:lastRow="0" w:firstColumn="1" w:lastColumn="0" w:noHBand="0" w:noVBand="1"/>
        <w:tblCaption w:val="Recommended Practices for Educational Leaders"/>
        <w:tblDescription w:val="This table summarizes key practices of educational leaders that can serve as the basis of an adult education program calendar. It displays 15 ongoing tasks as well as tasks to complete each month and encourages programs to establish procedures for follow-up on WIOA required measures."/>
      </w:tblPr>
      <w:tblGrid>
        <w:gridCol w:w="1224"/>
        <w:gridCol w:w="8568"/>
      </w:tblGrid>
      <w:tr w:rsidR="00297F22" w:rsidRPr="0079354F" w14:paraId="56415345" w14:textId="77777777" w:rsidTr="3E522572">
        <w:trPr>
          <w:trHeight w:val="576"/>
          <w:tblHeader/>
        </w:trPr>
        <w:tc>
          <w:tcPr>
            <w:tcW w:w="9792" w:type="dxa"/>
            <w:gridSpan w:val="2"/>
            <w:vAlign w:val="center"/>
          </w:tcPr>
          <w:p w14:paraId="417F9343" w14:textId="77777777" w:rsidR="00297F22" w:rsidRPr="0079354F" w:rsidRDefault="703A8F06" w:rsidP="005F0BE1">
            <w:pPr>
              <w:spacing w:before="40" w:after="40"/>
              <w:rPr>
                <w:sz w:val="21"/>
                <w:szCs w:val="21"/>
              </w:rPr>
            </w:pPr>
            <w:r w:rsidRPr="3E522572">
              <w:rPr>
                <w:sz w:val="21"/>
                <w:szCs w:val="21"/>
              </w:rPr>
              <w:t xml:space="preserve">This timeline summarizes key practices of educational leaders that can serve as the basis of a program calendar. Most can be adjusted to fit individual program needs but ACLS requires the time-sensitive practices in </w:t>
            </w:r>
            <w:r w:rsidRPr="3E522572">
              <w:rPr>
                <w:i/>
                <w:iCs/>
                <w:sz w:val="21"/>
                <w:szCs w:val="21"/>
              </w:rPr>
              <w:t>italics</w:t>
            </w:r>
            <w:r w:rsidRPr="3E522572">
              <w:rPr>
                <w:sz w:val="21"/>
                <w:szCs w:val="21"/>
              </w:rPr>
              <w:t>.</w:t>
            </w:r>
          </w:p>
        </w:tc>
      </w:tr>
      <w:tr w:rsidR="00297F22" w:rsidRPr="0079354F" w14:paraId="086410FF" w14:textId="77777777" w:rsidTr="3E522572">
        <w:tc>
          <w:tcPr>
            <w:tcW w:w="1224" w:type="dxa"/>
            <w:shd w:val="clear" w:color="auto" w:fill="FDE9D9" w:themeFill="accent6" w:themeFillTint="33"/>
            <w:vAlign w:val="center"/>
          </w:tcPr>
          <w:p w14:paraId="2324676B" w14:textId="77777777" w:rsidR="00297F22" w:rsidRPr="0079354F" w:rsidRDefault="00297F22" w:rsidP="005F0BE1">
            <w:pPr>
              <w:rPr>
                <w:sz w:val="21"/>
                <w:szCs w:val="21"/>
              </w:rPr>
            </w:pPr>
            <w:r w:rsidRPr="0079354F">
              <w:rPr>
                <w:b/>
                <w:bCs/>
                <w:sz w:val="21"/>
                <w:szCs w:val="21"/>
              </w:rPr>
              <w:t>Ongoing</w:t>
            </w:r>
          </w:p>
        </w:tc>
        <w:tc>
          <w:tcPr>
            <w:tcW w:w="8568" w:type="dxa"/>
            <w:shd w:val="clear" w:color="auto" w:fill="FDE9D9" w:themeFill="accent6" w:themeFillTint="33"/>
          </w:tcPr>
          <w:p w14:paraId="46A0362F" w14:textId="77777777" w:rsidR="00297F22" w:rsidRPr="0079354F" w:rsidRDefault="00297F22" w:rsidP="00FC65BD">
            <w:pPr>
              <w:pStyle w:val="ListParagraph"/>
              <w:numPr>
                <w:ilvl w:val="0"/>
                <w:numId w:val="22"/>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Communicate with assigned program specialist (PS)</w:t>
            </w:r>
          </w:p>
          <w:p w14:paraId="0B4B7967"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Recruit, intake, and orient students</w:t>
            </w:r>
          </w:p>
          <w:p w14:paraId="697D0D1A"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Indicators of Program Quality (IPQ) and use to inform planning with staff</w:t>
            </w:r>
          </w:p>
          <w:p w14:paraId="7D6C907C"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qualitative and quantitative data and use to inform planning with staff</w:t>
            </w:r>
          </w:p>
          <w:p w14:paraId="48EFD06B"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Engage all stakeholders in a systemic continuous improvement planning process</w:t>
            </w:r>
          </w:p>
          <w:p w14:paraId="331B7DF3"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ACLS monthly mailings and participate in ACLS webinars</w:t>
            </w:r>
          </w:p>
          <w:p w14:paraId="40BBAE64"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Conduct classroom observations and give timely feedback</w:t>
            </w:r>
          </w:p>
          <w:p w14:paraId="7B1E075E"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Provide common planning time to instructional staff</w:t>
            </w:r>
          </w:p>
          <w:p w14:paraId="4A0DA792"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Monitor program curriculum and revise as needed</w:t>
            </w:r>
          </w:p>
          <w:p w14:paraId="08E260C9"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Monitor and support staff PD goals and activities, particularly as they relate to program goals</w:t>
            </w:r>
          </w:p>
          <w:p w14:paraId="6FA7C334"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Monitor fiscal status (e.g., spending by line item) (Note: See </w:t>
            </w:r>
            <w:hyperlink r:id="rId225" w:history="1">
              <w:r w:rsidRPr="0079354F">
                <w:rPr>
                  <w:rStyle w:val="Hyperlink"/>
                  <w:rFonts w:ascii="Times New Roman" w:hAnsi="Times New Roman" w:cs="Times New Roman"/>
                  <w:i/>
                  <w:sz w:val="21"/>
                  <w:szCs w:val="21"/>
                </w:rPr>
                <w:t>Grants for Schools: Getting Them and Using Them, A Procedural Manual</w:t>
              </w:r>
            </w:hyperlink>
            <w:r w:rsidRPr="0079354F">
              <w:rPr>
                <w:rFonts w:ascii="Times New Roman" w:hAnsi="Times New Roman" w:cs="Times New Roman"/>
                <w:i/>
                <w:sz w:val="21"/>
                <w:szCs w:val="21"/>
              </w:rPr>
              <w:t xml:space="preserve"> </w:t>
            </w:r>
            <w:r w:rsidRPr="0079354F">
              <w:rPr>
                <w:rFonts w:ascii="Times New Roman" w:hAnsi="Times New Roman" w:cs="Times New Roman"/>
                <w:sz w:val="21"/>
                <w:szCs w:val="21"/>
              </w:rPr>
              <w:t>for guidance.)</w:t>
            </w:r>
          </w:p>
          <w:p w14:paraId="11F886F9"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Monitor student outcomes, particularly post-tests and follow-up </w:t>
            </w:r>
            <w:r w:rsidRPr="0079354F">
              <w:rPr>
                <w:rFonts w:ascii="Wingdings 2" w:eastAsia="Wingdings 2" w:hAnsi="Wingdings 2" w:cs="Wingdings 2"/>
                <w:sz w:val="21"/>
                <w:szCs w:val="21"/>
                <w:vertAlign w:val="superscript"/>
              </w:rPr>
              <w:t>□</w:t>
            </w:r>
            <w:r w:rsidRPr="0079354F">
              <w:rPr>
                <w:rFonts w:ascii="Times New Roman" w:hAnsi="Times New Roman" w:cs="Times New Roman"/>
                <w:sz w:val="21"/>
                <w:szCs w:val="21"/>
              </w:rPr>
              <w:t xml:space="preserve"> (Note: </w:t>
            </w:r>
            <w:r w:rsidRPr="0079354F">
              <w:rPr>
                <w:rFonts w:ascii="Times New Roman" w:hAnsi="Times New Roman" w:cs="Times New Roman"/>
                <w:color w:val="000000"/>
                <w:sz w:val="21"/>
                <w:szCs w:val="21"/>
              </w:rPr>
              <w:t>Follow-up reports are generated quarterly but it is recommended programs do follow-up work at least monthly.)</w:t>
            </w:r>
          </w:p>
          <w:p w14:paraId="065EB349"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Ensure timely and accurate data entry</w:t>
            </w:r>
          </w:p>
          <w:p w14:paraId="7A10AD2A"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Ensure advising is available to students</w:t>
            </w:r>
          </w:p>
          <w:p w14:paraId="5097981A" w14:textId="77777777" w:rsidR="00297F22" w:rsidRPr="0079354F" w:rsidRDefault="00297F22"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Stay current with monthly requests for funds</w:t>
            </w:r>
          </w:p>
          <w:p w14:paraId="6CD0268E" w14:textId="4A05F8DD" w:rsidR="00042068" w:rsidRPr="0079354F" w:rsidRDefault="00042068" w:rsidP="00FC65BD">
            <w:pPr>
              <w:pStyle w:val="ListParagraph"/>
              <w:numPr>
                <w:ilvl w:val="0"/>
                <w:numId w:val="22"/>
              </w:numPr>
              <w:spacing w:after="0" w:line="240" w:lineRule="auto"/>
              <w:rPr>
                <w:rFonts w:ascii="Times New Roman" w:hAnsi="Times New Roman" w:cs="Times New Roman"/>
                <w:sz w:val="21"/>
                <w:szCs w:val="21"/>
              </w:rPr>
            </w:pPr>
            <w:r w:rsidRPr="0079354F">
              <w:rPr>
                <w:rFonts w:ascii="Times New Roman" w:hAnsi="Times New Roman" w:cs="Times New Roman"/>
                <w:i/>
                <w:iCs/>
                <w:sz w:val="21"/>
                <w:szCs w:val="21"/>
              </w:rPr>
              <w:t>Enter specific enrollment, assessment, post-exit outcomes, and drawdowns and expenditures into a desk review workbook as per annual submission schedule issued by ACLS</w:t>
            </w:r>
          </w:p>
        </w:tc>
      </w:tr>
      <w:tr w:rsidR="00297F22" w:rsidRPr="0079354F" w14:paraId="5AE67E6D" w14:textId="77777777" w:rsidTr="3E522572">
        <w:tc>
          <w:tcPr>
            <w:tcW w:w="1224" w:type="dxa"/>
            <w:vAlign w:val="center"/>
          </w:tcPr>
          <w:p w14:paraId="01ECC069" w14:textId="77777777" w:rsidR="00297F22" w:rsidRPr="0079354F" w:rsidRDefault="00297F22" w:rsidP="005F0BE1">
            <w:pPr>
              <w:rPr>
                <w:rFonts w:eastAsia="Batang"/>
                <w:b/>
                <w:bCs/>
                <w:sz w:val="21"/>
                <w:szCs w:val="21"/>
              </w:rPr>
            </w:pPr>
            <w:r w:rsidRPr="0079354F">
              <w:rPr>
                <w:rFonts w:eastAsia="Batang"/>
                <w:b/>
                <w:bCs/>
                <w:sz w:val="21"/>
                <w:szCs w:val="21"/>
              </w:rPr>
              <w:t>July</w:t>
            </w:r>
          </w:p>
        </w:tc>
        <w:tc>
          <w:tcPr>
            <w:tcW w:w="8568" w:type="dxa"/>
          </w:tcPr>
          <w:p w14:paraId="729E3157" w14:textId="77777777" w:rsidR="00297F22" w:rsidRPr="0079354F" w:rsidRDefault="00297F22" w:rsidP="00FC65BD">
            <w:pPr>
              <w:pStyle w:val="ListParagraph"/>
              <w:numPr>
                <w:ilvl w:val="0"/>
                <w:numId w:val="23"/>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Update staff and student handbooks as needed</w:t>
            </w:r>
          </w:p>
          <w:p w14:paraId="39D7D576" w14:textId="77777777" w:rsidR="00297F22" w:rsidRPr="0079354F" w:rsidRDefault="00297F22" w:rsidP="00FC65BD">
            <w:pPr>
              <w:pStyle w:val="ListParagraph"/>
              <w:numPr>
                <w:ilvl w:val="0"/>
                <w:numId w:val="23"/>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Update job descriptions as needed</w:t>
            </w:r>
          </w:p>
          <w:p w14:paraId="2824EE34" w14:textId="77777777" w:rsidR="00297F22" w:rsidRPr="0079354F" w:rsidRDefault="00297F22" w:rsidP="00FC65BD">
            <w:pPr>
              <w:pStyle w:val="ListParagraph"/>
              <w:numPr>
                <w:ilvl w:val="0"/>
                <w:numId w:val="23"/>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Recruit for open positions as needed</w:t>
            </w:r>
          </w:p>
          <w:p w14:paraId="2BD30EAB" w14:textId="77777777" w:rsidR="00297F22" w:rsidRPr="0079354F" w:rsidRDefault="00297F22" w:rsidP="00FC65BD">
            <w:pPr>
              <w:pStyle w:val="ListParagraph"/>
              <w:numPr>
                <w:ilvl w:val="0"/>
                <w:numId w:val="23"/>
              </w:numPr>
              <w:spacing w:after="0" w:line="240" w:lineRule="auto"/>
              <w:rPr>
                <w:rFonts w:ascii="Times New Roman" w:hAnsi="Times New Roman" w:cs="Times New Roman"/>
                <w:sz w:val="21"/>
                <w:szCs w:val="21"/>
              </w:rPr>
            </w:pPr>
            <w:r w:rsidRPr="0079354F">
              <w:rPr>
                <w:rFonts w:ascii="Times New Roman" w:hAnsi="Times New Roman" w:cs="Times New Roman"/>
                <w:i/>
                <w:sz w:val="21"/>
                <w:szCs w:val="21"/>
              </w:rPr>
              <w:t>Complete data entry for previous year</w:t>
            </w:r>
          </w:p>
        </w:tc>
      </w:tr>
      <w:tr w:rsidR="00297F22" w:rsidRPr="0079354F" w14:paraId="6926EBF5" w14:textId="77777777" w:rsidTr="3E522572">
        <w:tc>
          <w:tcPr>
            <w:tcW w:w="1224" w:type="dxa"/>
            <w:shd w:val="clear" w:color="auto" w:fill="FDE9D9" w:themeFill="accent6" w:themeFillTint="33"/>
            <w:vAlign w:val="center"/>
          </w:tcPr>
          <w:p w14:paraId="578D004D" w14:textId="77777777" w:rsidR="00297F22" w:rsidRPr="0079354F" w:rsidRDefault="00297F22" w:rsidP="005F0BE1">
            <w:pPr>
              <w:spacing w:before="40"/>
              <w:rPr>
                <w:rFonts w:eastAsia="Batang"/>
                <w:b/>
                <w:bCs/>
                <w:sz w:val="21"/>
                <w:szCs w:val="21"/>
              </w:rPr>
            </w:pPr>
            <w:r w:rsidRPr="0079354F">
              <w:rPr>
                <w:rFonts w:eastAsia="Batang"/>
                <w:b/>
                <w:bCs/>
                <w:sz w:val="21"/>
                <w:szCs w:val="21"/>
              </w:rPr>
              <w:t>August</w:t>
            </w:r>
          </w:p>
        </w:tc>
        <w:tc>
          <w:tcPr>
            <w:tcW w:w="8568" w:type="dxa"/>
            <w:shd w:val="clear" w:color="auto" w:fill="FDE9D9" w:themeFill="accent6" w:themeFillTint="33"/>
          </w:tcPr>
          <w:p w14:paraId="5751689B" w14:textId="77777777" w:rsidR="00297F22" w:rsidRPr="0079354F" w:rsidRDefault="00297F22" w:rsidP="00FC65BD">
            <w:pPr>
              <w:pStyle w:val="ListParagraph"/>
              <w:numPr>
                <w:ilvl w:val="0"/>
                <w:numId w:val="24"/>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Begin orientation for new staff</w:t>
            </w:r>
          </w:p>
        </w:tc>
      </w:tr>
      <w:tr w:rsidR="00297F22" w:rsidRPr="0079354F" w14:paraId="3421B151" w14:textId="77777777" w:rsidTr="3E522572">
        <w:tc>
          <w:tcPr>
            <w:tcW w:w="1224" w:type="dxa"/>
            <w:vAlign w:val="center"/>
          </w:tcPr>
          <w:p w14:paraId="1536F431" w14:textId="77777777" w:rsidR="00297F22" w:rsidRPr="0079354F" w:rsidRDefault="00297F22" w:rsidP="005F0BE1">
            <w:pPr>
              <w:rPr>
                <w:rFonts w:eastAsia="Batang"/>
                <w:b/>
                <w:bCs/>
                <w:sz w:val="21"/>
                <w:szCs w:val="21"/>
              </w:rPr>
            </w:pPr>
            <w:r w:rsidRPr="0079354F">
              <w:rPr>
                <w:rFonts w:eastAsia="Batang"/>
                <w:b/>
                <w:bCs/>
                <w:sz w:val="21"/>
                <w:szCs w:val="21"/>
              </w:rPr>
              <w:t>September</w:t>
            </w:r>
          </w:p>
        </w:tc>
        <w:tc>
          <w:tcPr>
            <w:tcW w:w="8568" w:type="dxa"/>
          </w:tcPr>
          <w:p w14:paraId="7842BBA3" w14:textId="77777777" w:rsidR="00297F22" w:rsidRPr="0079354F" w:rsidRDefault="00297F22" w:rsidP="00FC65BD">
            <w:pPr>
              <w:pStyle w:val="ListParagraph"/>
              <w:numPr>
                <w:ilvl w:val="0"/>
                <w:numId w:val="24"/>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Begin pre-testing students in BEST Plus 2.0, MAPT, TABE 11/12, CLAS-E</w:t>
            </w:r>
          </w:p>
          <w:p w14:paraId="33255321" w14:textId="0E983D4A" w:rsidR="00297F22" w:rsidRPr="0079354F" w:rsidRDefault="00297F22" w:rsidP="00FC65BD">
            <w:pPr>
              <w:pStyle w:val="ListParagraph"/>
              <w:numPr>
                <w:ilvl w:val="0"/>
                <w:numId w:val="24"/>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Ensure staff have PD plans based on student outcome data, their personal PD needs, program needs, and PD offerings from </w:t>
            </w:r>
            <w:hyperlink r:id="rId226" w:history="1">
              <w:r w:rsidRPr="0079354F">
                <w:rPr>
                  <w:rStyle w:val="Hyperlink"/>
                  <w:rFonts w:ascii="Times New Roman" w:hAnsi="Times New Roman" w:cs="Times New Roman"/>
                  <w:sz w:val="21"/>
                  <w:szCs w:val="21"/>
                </w:rPr>
                <w:t>SABES</w:t>
              </w:r>
            </w:hyperlink>
            <w:r w:rsidRPr="0079354F">
              <w:rPr>
                <w:rFonts w:ascii="Times New Roman" w:hAnsi="Times New Roman" w:cs="Times New Roman"/>
                <w:sz w:val="21"/>
                <w:szCs w:val="21"/>
              </w:rPr>
              <w:t xml:space="preserve">, </w:t>
            </w:r>
            <w:hyperlink r:id="rId227" w:history="1">
              <w:r w:rsidRPr="0079354F">
                <w:rPr>
                  <w:rStyle w:val="Hyperlink"/>
                  <w:rFonts w:ascii="Times New Roman" w:hAnsi="Times New Roman" w:cs="Times New Roman"/>
                  <w:sz w:val="21"/>
                  <w:szCs w:val="21"/>
                </w:rPr>
                <w:t>LINCS</w:t>
              </w:r>
            </w:hyperlink>
            <w:r w:rsidRPr="0079354F">
              <w:rPr>
                <w:rFonts w:ascii="Times New Roman" w:hAnsi="Times New Roman" w:cs="Times New Roman"/>
                <w:sz w:val="21"/>
                <w:szCs w:val="21"/>
              </w:rPr>
              <w:t xml:space="preserve">, </w:t>
            </w:r>
            <w:hyperlink r:id="rId228" w:history="1">
              <w:r w:rsidRPr="0079354F">
                <w:rPr>
                  <w:rStyle w:val="Hyperlink"/>
                  <w:rFonts w:ascii="Times New Roman" w:hAnsi="Times New Roman" w:cs="Times New Roman"/>
                  <w:sz w:val="21"/>
                  <w:szCs w:val="21"/>
                </w:rPr>
                <w:t>NELRC</w:t>
              </w:r>
            </w:hyperlink>
            <w:r w:rsidRPr="0079354F">
              <w:rPr>
                <w:rFonts w:ascii="Times New Roman" w:hAnsi="Times New Roman" w:cs="Times New Roman"/>
                <w:sz w:val="21"/>
                <w:szCs w:val="21"/>
              </w:rPr>
              <w:t>, and other high PD providers</w:t>
            </w:r>
          </w:p>
          <w:p w14:paraId="39F2D6A8" w14:textId="77777777" w:rsidR="00297F22" w:rsidRPr="0079354F" w:rsidRDefault="00297F22" w:rsidP="00FC65BD">
            <w:pPr>
              <w:pStyle w:val="ListParagraph"/>
              <w:numPr>
                <w:ilvl w:val="0"/>
                <w:numId w:val="24"/>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Review emergency evacuation plan and emergency procedures with staff and students</w:t>
            </w:r>
          </w:p>
        </w:tc>
      </w:tr>
      <w:tr w:rsidR="00297F22" w:rsidRPr="0079354F" w14:paraId="17A38709" w14:textId="77777777" w:rsidTr="3E522572">
        <w:tc>
          <w:tcPr>
            <w:tcW w:w="1224" w:type="dxa"/>
            <w:shd w:val="clear" w:color="auto" w:fill="FDE9D9" w:themeFill="accent6" w:themeFillTint="33"/>
            <w:vAlign w:val="center"/>
          </w:tcPr>
          <w:p w14:paraId="0B9C3271" w14:textId="77777777" w:rsidR="00297F22" w:rsidRPr="0079354F" w:rsidRDefault="00297F22" w:rsidP="005F0BE1">
            <w:pPr>
              <w:rPr>
                <w:rFonts w:eastAsia="Batang"/>
                <w:b/>
                <w:bCs/>
                <w:sz w:val="21"/>
                <w:szCs w:val="21"/>
              </w:rPr>
            </w:pPr>
            <w:r w:rsidRPr="0079354F">
              <w:rPr>
                <w:rFonts w:eastAsia="Batang"/>
                <w:b/>
                <w:bCs/>
                <w:sz w:val="21"/>
                <w:szCs w:val="21"/>
              </w:rPr>
              <w:t>October</w:t>
            </w:r>
          </w:p>
        </w:tc>
        <w:tc>
          <w:tcPr>
            <w:tcW w:w="8568" w:type="dxa"/>
            <w:shd w:val="clear" w:color="auto" w:fill="FDE9D9" w:themeFill="accent6" w:themeFillTint="33"/>
          </w:tcPr>
          <w:p w14:paraId="0247CD81" w14:textId="77777777" w:rsidR="00297F22" w:rsidRPr="0079354F" w:rsidRDefault="00297F22" w:rsidP="00FC65BD">
            <w:pPr>
              <w:pStyle w:val="ListParagraph"/>
              <w:numPr>
                <w:ilvl w:val="0"/>
                <w:numId w:val="25"/>
              </w:numPr>
              <w:spacing w:before="40" w:after="0" w:line="240" w:lineRule="auto"/>
              <w:rPr>
                <w:rFonts w:ascii="Times New Roman" w:hAnsi="Times New Roman" w:cs="Times New Roman"/>
                <w:b/>
                <w:sz w:val="21"/>
                <w:szCs w:val="21"/>
              </w:rPr>
            </w:pPr>
            <w:r w:rsidRPr="0079354F">
              <w:rPr>
                <w:rFonts w:ascii="Times New Roman" w:hAnsi="Times New Roman" w:cs="Times New Roman"/>
                <w:i/>
                <w:sz w:val="21"/>
                <w:szCs w:val="21"/>
              </w:rPr>
              <w:t>Review state-assigned Measurable Skills Gain (MSG) target</w:t>
            </w:r>
          </w:p>
        </w:tc>
      </w:tr>
      <w:tr w:rsidR="00297F22" w:rsidRPr="0079354F" w14:paraId="363A0202" w14:textId="77777777" w:rsidTr="3E522572">
        <w:tc>
          <w:tcPr>
            <w:tcW w:w="1224" w:type="dxa"/>
            <w:vAlign w:val="center"/>
          </w:tcPr>
          <w:p w14:paraId="77802E73" w14:textId="77777777" w:rsidR="00297F22" w:rsidRPr="0079354F" w:rsidRDefault="00297F22" w:rsidP="005F0BE1">
            <w:pPr>
              <w:spacing w:before="40"/>
              <w:rPr>
                <w:rFonts w:eastAsia="Batang"/>
                <w:b/>
                <w:bCs/>
                <w:sz w:val="21"/>
                <w:szCs w:val="21"/>
              </w:rPr>
            </w:pPr>
            <w:r w:rsidRPr="0079354F">
              <w:rPr>
                <w:rFonts w:eastAsia="Batang"/>
                <w:b/>
                <w:bCs/>
                <w:sz w:val="21"/>
                <w:szCs w:val="21"/>
              </w:rPr>
              <w:t>November</w:t>
            </w:r>
          </w:p>
        </w:tc>
        <w:tc>
          <w:tcPr>
            <w:tcW w:w="8568" w:type="dxa"/>
          </w:tcPr>
          <w:p w14:paraId="0B82DBE1" w14:textId="26961CE4" w:rsidR="00297F22" w:rsidRPr="0079354F" w:rsidRDefault="00297F22" w:rsidP="00FC65BD">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Celebrate </w:t>
            </w:r>
            <w:r w:rsidR="001900CD">
              <w:rPr>
                <w:rFonts w:ascii="Times New Roman" w:hAnsi="Times New Roman" w:cs="Times New Roman"/>
                <w:sz w:val="21"/>
                <w:szCs w:val="21"/>
              </w:rPr>
              <w:t>N</w:t>
            </w:r>
            <w:r w:rsidR="001900CD" w:rsidRPr="001900CD">
              <w:rPr>
                <w:rFonts w:ascii="Times New Roman" w:hAnsi="Times New Roman" w:cs="Times New Roman"/>
                <w:sz w:val="21"/>
                <w:szCs w:val="21"/>
              </w:rPr>
              <w:t xml:space="preserve">ational </w:t>
            </w:r>
            <w:r w:rsidRPr="0079354F">
              <w:rPr>
                <w:rFonts w:ascii="Times New Roman" w:hAnsi="Times New Roman" w:cs="Times New Roman"/>
                <w:sz w:val="21"/>
                <w:szCs w:val="21"/>
              </w:rPr>
              <w:t>Family Literacy Month</w:t>
            </w:r>
          </w:p>
        </w:tc>
      </w:tr>
      <w:tr w:rsidR="00297F22" w:rsidRPr="0079354F" w14:paraId="571FABC3" w14:textId="77777777" w:rsidTr="3E522572">
        <w:tc>
          <w:tcPr>
            <w:tcW w:w="1224" w:type="dxa"/>
            <w:shd w:val="clear" w:color="auto" w:fill="FDE9D9" w:themeFill="accent6" w:themeFillTint="33"/>
            <w:vAlign w:val="center"/>
          </w:tcPr>
          <w:p w14:paraId="6A6BD433" w14:textId="77777777" w:rsidR="00297F22" w:rsidRPr="0079354F" w:rsidRDefault="00297F22" w:rsidP="005F0BE1">
            <w:pPr>
              <w:spacing w:before="40"/>
              <w:rPr>
                <w:rFonts w:eastAsia="Batang"/>
                <w:b/>
                <w:bCs/>
                <w:sz w:val="21"/>
                <w:szCs w:val="21"/>
              </w:rPr>
            </w:pPr>
            <w:r w:rsidRPr="0079354F">
              <w:rPr>
                <w:rFonts w:eastAsia="Batang"/>
                <w:b/>
                <w:bCs/>
                <w:sz w:val="21"/>
                <w:szCs w:val="21"/>
              </w:rPr>
              <w:t>December</w:t>
            </w:r>
          </w:p>
        </w:tc>
        <w:tc>
          <w:tcPr>
            <w:tcW w:w="8568" w:type="dxa"/>
            <w:shd w:val="clear" w:color="auto" w:fill="FDE9D9" w:themeFill="accent6" w:themeFillTint="33"/>
          </w:tcPr>
          <w:p w14:paraId="45B8A1B0" w14:textId="0E1C03ED" w:rsidR="00297F22" w:rsidRPr="0079354F" w:rsidRDefault="00297F22" w:rsidP="00FC65BD">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waitlist verification</w:t>
            </w:r>
            <w:r w:rsidR="00042068" w:rsidRPr="0079354F">
              <w:rPr>
                <w:rFonts w:ascii="Times New Roman" w:hAnsi="Times New Roman" w:cs="Times New Roman"/>
                <w:i/>
                <w:sz w:val="21"/>
                <w:szCs w:val="21"/>
              </w:rPr>
              <w:t xml:space="preserve"> (Note: This is an annual requirement verified with the DQC.)</w:t>
            </w:r>
          </w:p>
        </w:tc>
      </w:tr>
      <w:tr w:rsidR="00297F22" w:rsidRPr="0079354F" w14:paraId="5C08B7C5" w14:textId="77777777" w:rsidTr="3E522572">
        <w:tc>
          <w:tcPr>
            <w:tcW w:w="1224" w:type="dxa"/>
            <w:vAlign w:val="center"/>
          </w:tcPr>
          <w:p w14:paraId="750D34F9" w14:textId="77777777" w:rsidR="00297F22" w:rsidRPr="0079354F" w:rsidRDefault="00297F22" w:rsidP="005F0BE1">
            <w:pPr>
              <w:rPr>
                <w:rFonts w:eastAsia="Batang"/>
                <w:b/>
                <w:bCs/>
                <w:sz w:val="21"/>
                <w:szCs w:val="21"/>
              </w:rPr>
            </w:pPr>
            <w:r w:rsidRPr="0079354F">
              <w:rPr>
                <w:rFonts w:eastAsia="Batang"/>
                <w:b/>
                <w:bCs/>
                <w:sz w:val="21"/>
                <w:szCs w:val="21"/>
              </w:rPr>
              <w:t>January</w:t>
            </w:r>
          </w:p>
        </w:tc>
        <w:tc>
          <w:tcPr>
            <w:tcW w:w="8568" w:type="dxa"/>
          </w:tcPr>
          <w:p w14:paraId="16B62C32" w14:textId="77777777" w:rsidR="00297F22" w:rsidRPr="0079354F" w:rsidRDefault="00297F22" w:rsidP="00FC65BD">
            <w:pPr>
              <w:pStyle w:val="ListParagraph"/>
              <w:numPr>
                <w:ilvl w:val="0"/>
                <w:numId w:val="27"/>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Conduct formal classroom observations (at a minimum annually)</w:t>
            </w:r>
          </w:p>
          <w:p w14:paraId="65CA37D4" w14:textId="77777777" w:rsidR="00297F22" w:rsidRPr="0079354F" w:rsidRDefault="00297F22" w:rsidP="00FC65BD">
            <w:pPr>
              <w:pStyle w:val="ListParagraph"/>
              <w:numPr>
                <w:ilvl w:val="0"/>
                <w:numId w:val="27"/>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Conduct mid-year post assessment (optional)</w:t>
            </w:r>
          </w:p>
          <w:p w14:paraId="19CCACAA" w14:textId="77777777" w:rsidR="00297F22" w:rsidRPr="0079354F" w:rsidRDefault="00297F22" w:rsidP="00FC65BD">
            <w:pPr>
              <w:pStyle w:val="ListParagraph"/>
              <w:numPr>
                <w:ilvl w:val="0"/>
                <w:numId w:val="27"/>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financial expenditures by line item and decrease budget if funds will not be expended</w:t>
            </w:r>
          </w:p>
        </w:tc>
      </w:tr>
      <w:tr w:rsidR="00297F22" w:rsidRPr="0079354F" w14:paraId="2AE0D26B" w14:textId="77777777" w:rsidTr="3E522572">
        <w:tc>
          <w:tcPr>
            <w:tcW w:w="1224" w:type="dxa"/>
            <w:shd w:val="clear" w:color="auto" w:fill="FDE9D9" w:themeFill="accent6" w:themeFillTint="33"/>
            <w:vAlign w:val="center"/>
          </w:tcPr>
          <w:p w14:paraId="557EDB61" w14:textId="77777777" w:rsidR="00297F22" w:rsidRPr="0079354F" w:rsidRDefault="00297F22" w:rsidP="005F0BE1">
            <w:pPr>
              <w:rPr>
                <w:rFonts w:eastAsia="Batang"/>
                <w:b/>
                <w:bCs/>
                <w:sz w:val="21"/>
                <w:szCs w:val="21"/>
              </w:rPr>
            </w:pPr>
            <w:r w:rsidRPr="0079354F">
              <w:rPr>
                <w:rFonts w:eastAsia="Batang"/>
                <w:b/>
                <w:bCs/>
                <w:sz w:val="21"/>
                <w:szCs w:val="21"/>
              </w:rPr>
              <w:t>February</w:t>
            </w:r>
          </w:p>
        </w:tc>
        <w:tc>
          <w:tcPr>
            <w:tcW w:w="8568" w:type="dxa"/>
            <w:shd w:val="clear" w:color="auto" w:fill="FDE9D9" w:themeFill="accent6" w:themeFillTint="33"/>
          </w:tcPr>
          <w:p w14:paraId="7EB2F7C5" w14:textId="77777777" w:rsidR="00297F22" w:rsidRPr="0079354F" w:rsidRDefault="00297F22" w:rsidP="00FC65BD">
            <w:pPr>
              <w:pStyle w:val="ListParagraph"/>
              <w:numPr>
                <w:ilvl w:val="0"/>
                <w:numId w:val="28"/>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assessment recertifications for Best Plus 2.0</w:t>
            </w:r>
          </w:p>
          <w:p w14:paraId="32D8311C" w14:textId="77777777" w:rsidR="00297F22" w:rsidRPr="0079354F" w:rsidRDefault="00297F22" w:rsidP="00FC65BD">
            <w:pPr>
              <w:pStyle w:val="ListParagraph"/>
              <w:numPr>
                <w:ilvl w:val="0"/>
                <w:numId w:val="28"/>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Submit budget amendment if needed</w:t>
            </w:r>
          </w:p>
        </w:tc>
      </w:tr>
      <w:tr w:rsidR="00297F22" w:rsidRPr="0079354F" w14:paraId="3BCBA6AD" w14:textId="77777777" w:rsidTr="3E522572">
        <w:tc>
          <w:tcPr>
            <w:tcW w:w="1224" w:type="dxa"/>
            <w:vAlign w:val="center"/>
          </w:tcPr>
          <w:p w14:paraId="0DF52525" w14:textId="77777777" w:rsidR="00297F22" w:rsidRPr="0079354F" w:rsidRDefault="00297F22" w:rsidP="005F0BE1">
            <w:pPr>
              <w:rPr>
                <w:rFonts w:eastAsia="Batang"/>
                <w:b/>
                <w:bCs/>
                <w:sz w:val="21"/>
                <w:szCs w:val="21"/>
              </w:rPr>
            </w:pPr>
            <w:r w:rsidRPr="0079354F">
              <w:rPr>
                <w:rFonts w:eastAsia="Batang"/>
                <w:b/>
                <w:bCs/>
                <w:sz w:val="21"/>
                <w:szCs w:val="21"/>
              </w:rPr>
              <w:t>March</w:t>
            </w:r>
          </w:p>
        </w:tc>
        <w:tc>
          <w:tcPr>
            <w:tcW w:w="8568" w:type="dxa"/>
          </w:tcPr>
          <w:p w14:paraId="109EC0DB" w14:textId="77777777" w:rsidR="00297F22" w:rsidRPr="0079354F" w:rsidRDefault="00297F22" w:rsidP="00FC65BD">
            <w:pPr>
              <w:pStyle w:val="Header"/>
              <w:numPr>
                <w:ilvl w:val="0"/>
                <w:numId w:val="29"/>
              </w:numPr>
              <w:tabs>
                <w:tab w:val="clear" w:pos="4320"/>
                <w:tab w:val="clear" w:pos="8640"/>
              </w:tabs>
              <w:spacing w:before="40"/>
              <w:rPr>
                <w:sz w:val="21"/>
                <w:szCs w:val="21"/>
              </w:rPr>
            </w:pPr>
            <w:r w:rsidRPr="0079354F">
              <w:rPr>
                <w:sz w:val="21"/>
                <w:szCs w:val="21"/>
              </w:rPr>
              <w:t>Begin planning for continuation funding, changes in program design</w:t>
            </w:r>
          </w:p>
          <w:p w14:paraId="35593ED1" w14:textId="77777777" w:rsidR="00297F22" w:rsidRPr="0079354F" w:rsidRDefault="00297F22" w:rsidP="00FC65BD">
            <w:pPr>
              <w:pStyle w:val="ListParagraph"/>
              <w:numPr>
                <w:ilvl w:val="0"/>
                <w:numId w:val="29"/>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assessment recertifications for CLAS-E Writing</w:t>
            </w:r>
          </w:p>
        </w:tc>
      </w:tr>
      <w:tr w:rsidR="00297F22" w:rsidRPr="0079354F" w14:paraId="7076766B" w14:textId="77777777" w:rsidTr="3E522572">
        <w:tc>
          <w:tcPr>
            <w:tcW w:w="1224" w:type="dxa"/>
            <w:shd w:val="clear" w:color="auto" w:fill="FDE9D9" w:themeFill="accent6" w:themeFillTint="33"/>
            <w:vAlign w:val="center"/>
          </w:tcPr>
          <w:p w14:paraId="0EC61105" w14:textId="77777777" w:rsidR="00297F22" w:rsidRPr="0079354F" w:rsidRDefault="00297F22" w:rsidP="005F0BE1">
            <w:pPr>
              <w:spacing w:before="40"/>
              <w:rPr>
                <w:rFonts w:eastAsia="Batang"/>
                <w:b/>
                <w:bCs/>
                <w:sz w:val="21"/>
                <w:szCs w:val="21"/>
              </w:rPr>
            </w:pPr>
            <w:r w:rsidRPr="0079354F">
              <w:rPr>
                <w:rFonts w:eastAsia="Batang"/>
                <w:b/>
                <w:bCs/>
                <w:sz w:val="21"/>
                <w:szCs w:val="21"/>
              </w:rPr>
              <w:t>April</w:t>
            </w:r>
          </w:p>
        </w:tc>
        <w:tc>
          <w:tcPr>
            <w:tcW w:w="8568" w:type="dxa"/>
            <w:shd w:val="clear" w:color="auto" w:fill="FDE9D9" w:themeFill="accent6" w:themeFillTint="33"/>
          </w:tcPr>
          <w:p w14:paraId="5F879BF2" w14:textId="77777777" w:rsidR="00297F22" w:rsidRPr="0079354F" w:rsidRDefault="00297F22" w:rsidP="00FC65BD">
            <w:pPr>
              <w:pStyle w:val="ListParagraph"/>
              <w:numPr>
                <w:ilvl w:val="0"/>
                <w:numId w:val="30"/>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Develop schedule for post-testing and begin post-testing students</w:t>
            </w:r>
          </w:p>
        </w:tc>
      </w:tr>
      <w:tr w:rsidR="00297F22" w:rsidRPr="0079354F" w14:paraId="65FE6D65" w14:textId="77777777" w:rsidTr="3E522572">
        <w:tc>
          <w:tcPr>
            <w:tcW w:w="1224" w:type="dxa"/>
            <w:vAlign w:val="center"/>
          </w:tcPr>
          <w:p w14:paraId="0BA9C91B" w14:textId="77777777" w:rsidR="00297F22" w:rsidRPr="0079354F" w:rsidRDefault="00297F22" w:rsidP="005F0BE1">
            <w:pPr>
              <w:spacing w:before="40"/>
              <w:rPr>
                <w:rFonts w:eastAsia="Batang"/>
                <w:b/>
                <w:bCs/>
                <w:sz w:val="21"/>
                <w:szCs w:val="21"/>
              </w:rPr>
            </w:pPr>
            <w:r w:rsidRPr="0079354F">
              <w:rPr>
                <w:rFonts w:eastAsia="Batang"/>
                <w:b/>
                <w:bCs/>
                <w:sz w:val="21"/>
                <w:szCs w:val="21"/>
              </w:rPr>
              <w:t>May</w:t>
            </w:r>
          </w:p>
        </w:tc>
        <w:tc>
          <w:tcPr>
            <w:tcW w:w="8568" w:type="dxa"/>
          </w:tcPr>
          <w:p w14:paraId="0B94C962" w14:textId="77777777" w:rsidR="00297F22" w:rsidRPr="0079354F" w:rsidRDefault="00297F22" w:rsidP="00FC65BD">
            <w:pPr>
              <w:pStyle w:val="ListParagraph"/>
              <w:numPr>
                <w:ilvl w:val="0"/>
                <w:numId w:val="30"/>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Attend Directors’ Meeting</w:t>
            </w:r>
          </w:p>
        </w:tc>
      </w:tr>
      <w:tr w:rsidR="00297F22" w:rsidRPr="0079354F" w14:paraId="4945D896" w14:textId="77777777" w:rsidTr="3E522572">
        <w:tc>
          <w:tcPr>
            <w:tcW w:w="1224" w:type="dxa"/>
            <w:shd w:val="clear" w:color="auto" w:fill="FDE9D9" w:themeFill="accent6" w:themeFillTint="33"/>
            <w:vAlign w:val="center"/>
          </w:tcPr>
          <w:p w14:paraId="6CB7AFC1" w14:textId="77777777" w:rsidR="00297F22" w:rsidRPr="0079354F" w:rsidRDefault="00297F22" w:rsidP="005F0BE1">
            <w:pPr>
              <w:rPr>
                <w:rFonts w:eastAsia="Batang"/>
                <w:b/>
                <w:bCs/>
                <w:sz w:val="21"/>
                <w:szCs w:val="21"/>
              </w:rPr>
            </w:pPr>
            <w:r w:rsidRPr="0079354F">
              <w:rPr>
                <w:rFonts w:eastAsia="Batang"/>
                <w:b/>
                <w:bCs/>
                <w:sz w:val="21"/>
                <w:szCs w:val="21"/>
              </w:rPr>
              <w:t>June</w:t>
            </w:r>
          </w:p>
        </w:tc>
        <w:tc>
          <w:tcPr>
            <w:tcW w:w="8568" w:type="dxa"/>
            <w:shd w:val="clear" w:color="auto" w:fill="FDE9D9" w:themeFill="accent6" w:themeFillTint="33"/>
          </w:tcPr>
          <w:p w14:paraId="5DDE66D0" w14:textId="77777777" w:rsidR="00297F22" w:rsidRPr="0079354F" w:rsidRDefault="00297F22" w:rsidP="00FC65BD">
            <w:pPr>
              <w:pStyle w:val="Header"/>
              <w:numPr>
                <w:ilvl w:val="0"/>
                <w:numId w:val="30"/>
              </w:numPr>
              <w:tabs>
                <w:tab w:val="clear" w:pos="4320"/>
                <w:tab w:val="clear" w:pos="8640"/>
              </w:tabs>
              <w:spacing w:before="40"/>
              <w:rPr>
                <w:sz w:val="21"/>
                <w:szCs w:val="21"/>
              </w:rPr>
            </w:pPr>
            <w:r w:rsidRPr="0079354F">
              <w:rPr>
                <w:i/>
                <w:sz w:val="21"/>
                <w:szCs w:val="21"/>
              </w:rPr>
              <w:t>Complete continuation budgets for approval</w:t>
            </w:r>
          </w:p>
          <w:p w14:paraId="381B2263" w14:textId="77777777" w:rsidR="00297F22" w:rsidRPr="0079354F" w:rsidRDefault="00297F22" w:rsidP="00FC65BD">
            <w:pPr>
              <w:pStyle w:val="Header"/>
              <w:numPr>
                <w:ilvl w:val="0"/>
                <w:numId w:val="30"/>
              </w:numPr>
              <w:tabs>
                <w:tab w:val="clear" w:pos="4320"/>
                <w:tab w:val="clear" w:pos="8640"/>
              </w:tabs>
              <w:rPr>
                <w:sz w:val="21"/>
                <w:szCs w:val="21"/>
              </w:rPr>
            </w:pPr>
            <w:r w:rsidRPr="0079354F">
              <w:rPr>
                <w:i/>
                <w:sz w:val="21"/>
                <w:szCs w:val="21"/>
              </w:rPr>
              <w:t>Submit all required end of year reporting</w:t>
            </w:r>
          </w:p>
          <w:p w14:paraId="04030E3B" w14:textId="77777777" w:rsidR="00297F22" w:rsidRPr="0079354F" w:rsidRDefault="00297F22" w:rsidP="00FC65BD">
            <w:pPr>
              <w:pStyle w:val="Header"/>
              <w:numPr>
                <w:ilvl w:val="0"/>
                <w:numId w:val="30"/>
              </w:numPr>
              <w:tabs>
                <w:tab w:val="clear" w:pos="4320"/>
                <w:tab w:val="clear" w:pos="8640"/>
              </w:tabs>
              <w:rPr>
                <w:sz w:val="21"/>
                <w:szCs w:val="21"/>
              </w:rPr>
            </w:pPr>
            <w:r w:rsidRPr="0079354F">
              <w:rPr>
                <w:sz w:val="21"/>
                <w:szCs w:val="21"/>
              </w:rPr>
              <w:t>Conduct end of year program and staff evaluations</w:t>
            </w:r>
          </w:p>
          <w:p w14:paraId="04458DE2" w14:textId="77777777" w:rsidR="00297F22" w:rsidRPr="0079354F" w:rsidRDefault="00297F22" w:rsidP="00FC65BD">
            <w:pPr>
              <w:pStyle w:val="Header"/>
              <w:numPr>
                <w:ilvl w:val="0"/>
                <w:numId w:val="30"/>
              </w:numPr>
              <w:tabs>
                <w:tab w:val="clear" w:pos="4320"/>
                <w:tab w:val="clear" w:pos="8640"/>
              </w:tabs>
              <w:rPr>
                <w:sz w:val="21"/>
                <w:szCs w:val="21"/>
              </w:rPr>
            </w:pPr>
            <w:r w:rsidRPr="0079354F">
              <w:rPr>
                <w:i/>
                <w:sz w:val="21"/>
                <w:szCs w:val="21"/>
              </w:rPr>
              <w:t>Ensure all students have been post-tested by 6/30</w:t>
            </w:r>
          </w:p>
          <w:p w14:paraId="7B60BD29" w14:textId="77777777" w:rsidR="00297F22" w:rsidRPr="0079354F" w:rsidRDefault="00297F22" w:rsidP="00FC65BD">
            <w:pPr>
              <w:pStyle w:val="Header"/>
              <w:numPr>
                <w:ilvl w:val="0"/>
                <w:numId w:val="30"/>
              </w:numPr>
              <w:tabs>
                <w:tab w:val="clear" w:pos="4320"/>
                <w:tab w:val="clear" w:pos="8640"/>
              </w:tabs>
              <w:rPr>
                <w:sz w:val="21"/>
                <w:szCs w:val="21"/>
              </w:rPr>
            </w:pPr>
            <w:r w:rsidRPr="0079354F">
              <w:rPr>
                <w:sz w:val="21"/>
                <w:szCs w:val="21"/>
              </w:rPr>
              <w:t>Celebrate student, staff, and program successes</w:t>
            </w:r>
          </w:p>
        </w:tc>
      </w:tr>
      <w:tr w:rsidR="00297F22" w:rsidRPr="0079354F" w14:paraId="76F79C10" w14:textId="77777777" w:rsidTr="3E522572">
        <w:tc>
          <w:tcPr>
            <w:tcW w:w="9792" w:type="dxa"/>
            <w:gridSpan w:val="2"/>
          </w:tcPr>
          <w:p w14:paraId="1792D4BA" w14:textId="77777777" w:rsidR="00297F22" w:rsidRPr="0079354F" w:rsidRDefault="00297F22" w:rsidP="00FC65BD">
            <w:pPr>
              <w:pStyle w:val="ListParagraph"/>
              <w:numPr>
                <w:ilvl w:val="0"/>
                <w:numId w:val="31"/>
              </w:numPr>
              <w:spacing w:before="40" w:after="40" w:line="240" w:lineRule="auto"/>
              <w:ind w:left="158" w:hanging="158"/>
              <w:rPr>
                <w:rFonts w:ascii="Times New Roman" w:hAnsi="Times New Roman" w:cs="Times New Roman"/>
                <w:sz w:val="20"/>
                <w:szCs w:val="20"/>
              </w:rPr>
            </w:pPr>
            <w:r w:rsidRPr="0079354F">
              <w:rPr>
                <w:rFonts w:ascii="Times New Roman" w:hAnsi="Times New Roman" w:cs="Times New Roman"/>
                <w:sz w:val="20"/>
                <w:szCs w:val="20"/>
              </w:rPr>
              <w:t>ACLS encourages programs to establish procedures that ensure: 1) follow-up reports are reviewed regularly; 2) students are informed that programs will be contacting them post-exit; 3) staff time is strategically scheduled to contact students; and 4) multiple follow-up strategies are used (e.g., phone, email, social media).</w:t>
            </w:r>
          </w:p>
        </w:tc>
      </w:tr>
    </w:tbl>
    <w:p w14:paraId="0470CB9A" w14:textId="4B0FE0B1" w:rsidR="00E812CD" w:rsidRPr="0079354F" w:rsidRDefault="00E812CD" w:rsidP="00E812CD">
      <w:pPr>
        <w:pStyle w:val="ListParagraph"/>
        <w:spacing w:after="0"/>
        <w:rPr>
          <w:rStyle w:val="IntenseEmphasis"/>
          <w:b w:val="0"/>
          <w:i w:val="0"/>
          <w:color w:val="000000" w:themeColor="text1"/>
        </w:rPr>
        <w:sectPr w:rsidR="00E812CD" w:rsidRPr="0079354F" w:rsidSect="00E07DE5">
          <w:headerReference w:type="default" r:id="rId229"/>
          <w:pgSz w:w="12240" w:h="15840" w:code="1"/>
          <w:pgMar w:top="1008" w:right="1440" w:bottom="576" w:left="1440" w:header="720" w:footer="576" w:gutter="0"/>
          <w:cols w:space="720"/>
          <w:docGrid w:linePitch="360"/>
        </w:sectPr>
      </w:pPr>
    </w:p>
    <w:p w14:paraId="3B0E44D8" w14:textId="6F3EF7FC" w:rsidR="00EE4390" w:rsidRPr="0079354F" w:rsidRDefault="002D2A9E" w:rsidP="00EE4390">
      <w:pPr>
        <w:pStyle w:val="Heading2"/>
        <w:spacing w:before="0"/>
        <w:rPr>
          <w:noProof/>
          <w:color w:val="auto"/>
        </w:rPr>
      </w:pPr>
      <w:bookmarkStart w:id="118" w:name="_Toc109196030"/>
      <w:r w:rsidRPr="1E8607B9">
        <w:rPr>
          <w:b/>
          <w:color w:val="E36C0A" w:themeColor="accent6" w:themeShade="BF"/>
        </w:rPr>
        <w:t xml:space="preserve">Appendix </w:t>
      </w:r>
      <w:r w:rsidR="00400105" w:rsidRPr="1E8607B9">
        <w:rPr>
          <w:b/>
          <w:color w:val="E36C0A" w:themeColor="accent6" w:themeShade="BF"/>
        </w:rPr>
        <w:t>E</w:t>
      </w:r>
      <w:r w:rsidR="00A3284C" w:rsidRPr="1E8607B9">
        <w:rPr>
          <w:b/>
          <w:color w:val="E36C0A" w:themeColor="accent6" w:themeShade="BF"/>
        </w:rPr>
        <w:t xml:space="preserve">:  </w:t>
      </w:r>
      <w:r w:rsidR="00EE4390" w:rsidRPr="1E8607B9">
        <w:rPr>
          <w:b/>
          <w:color w:val="E36C0A" w:themeColor="accent6" w:themeShade="BF"/>
        </w:rPr>
        <w:t>Hierarchy of Applicable Regulations</w:t>
      </w:r>
      <w:bookmarkEnd w:id="118"/>
    </w:p>
    <w:p w14:paraId="4AA69004" w14:textId="042FDBC2" w:rsidR="00EE4390" w:rsidRPr="0079354F" w:rsidRDefault="00EE4390" w:rsidP="00EE4390">
      <w:r w:rsidRPr="0079354F">
        <w:t>Grantees should become familiar with applicable federal regulations as they provide the universe of fiscal requirements for AE grants and will be used as reference during fiscal monitoring reviews. There are a number of requirements that come from different sources. The following section summarizes the hierarchy of legal requirements for federal AE programs that also apply to DESE state grants.</w:t>
      </w:r>
    </w:p>
    <w:p w14:paraId="72EFBB6C" w14:textId="77777777" w:rsidR="00EE4390" w:rsidRPr="0079354F" w:rsidRDefault="00EE4390" w:rsidP="00EE4390"/>
    <w:p w14:paraId="71F61EF5" w14:textId="77777777" w:rsidR="00EE4390" w:rsidRPr="006F4344" w:rsidRDefault="00EE4390" w:rsidP="22CF907E">
      <w:pPr>
        <w:pStyle w:val="Heading4"/>
        <w:spacing w:before="0"/>
        <w:rPr>
          <w:b/>
          <w:color w:val="E36C0A" w:themeColor="accent6" w:themeShade="BF"/>
        </w:rPr>
      </w:pPr>
      <w:r w:rsidRPr="00187183">
        <w:rPr>
          <w:b/>
          <w:color w:val="B85808"/>
        </w:rPr>
        <w:t>Statutes</w:t>
      </w:r>
    </w:p>
    <w:p w14:paraId="0A0E9F9C" w14:textId="77777777" w:rsidR="00EE4390" w:rsidRPr="0079354F" w:rsidRDefault="00EE4390" w:rsidP="22CF907E">
      <w:pPr>
        <w:rPr>
          <w:rStyle w:val="Hyperlink"/>
          <w:color w:val="auto"/>
          <w:u w:val="none"/>
          <w:shd w:val="clear" w:color="auto" w:fill="FFFFFF"/>
        </w:rPr>
      </w:pPr>
      <w:bookmarkStart w:id="119" w:name="_Hlk36133937"/>
      <w:r w:rsidRPr="0079354F">
        <w:t>Programmatic statutes</w:t>
      </w:r>
      <w:r w:rsidRPr="0079354F">
        <w:rPr>
          <w:b/>
          <w:bCs/>
        </w:rPr>
        <w:t xml:space="preserve"> </w:t>
      </w:r>
      <w:r w:rsidRPr="0079354F">
        <w:t>typically contain rules that govern specific federal education programs. The programmatic statute for adult education is</w:t>
      </w:r>
      <w:r w:rsidRPr="0079354F">
        <w:rPr>
          <w:b/>
          <w:bCs/>
        </w:rPr>
        <w:t xml:space="preserve"> </w:t>
      </w:r>
      <w:r w:rsidRPr="0079354F">
        <w:rPr>
          <w:rStyle w:val="headerslevel1"/>
          <w:shd w:val="clear" w:color="auto" w:fill="FFFFFF"/>
        </w:rPr>
        <w:t xml:space="preserve">the Adult Education and Family Literacy Act (AEFLA), Title II of the </w:t>
      </w:r>
      <w:hyperlink r:id="rId230" w:history="1">
        <w:r w:rsidRPr="0079354F">
          <w:rPr>
            <w:rStyle w:val="Hyperlink"/>
            <w:shd w:val="clear" w:color="auto" w:fill="FFFFFF"/>
          </w:rPr>
          <w:t>Workforce Innovation and Opportunity Act</w:t>
        </w:r>
      </w:hyperlink>
      <w:r w:rsidRPr="0079354F">
        <w:rPr>
          <w:rStyle w:val="Hyperlink"/>
          <w:color w:val="auto"/>
          <w:u w:val="none"/>
          <w:shd w:val="clear" w:color="auto" w:fill="FFFFFF"/>
        </w:rPr>
        <w:t>. AEFLA is the statute (i.e., legislation) that authorizes AE grants. It contains information about the program goals and objectives, permissible use of funds, fiscal requirements, and other rules unique to the program.</w:t>
      </w:r>
    </w:p>
    <w:bookmarkEnd w:id="119"/>
    <w:p w14:paraId="6E0DC7DC" w14:textId="77777777" w:rsidR="00EE4390" w:rsidRPr="0079354F" w:rsidRDefault="00EE4390" w:rsidP="22CF907E">
      <w:pPr>
        <w:rPr>
          <w:rStyle w:val="Hyperlink"/>
          <w:color w:val="auto"/>
          <w:u w:val="none"/>
          <w:shd w:val="clear" w:color="auto" w:fill="FFFFFF"/>
        </w:rPr>
      </w:pPr>
    </w:p>
    <w:p w14:paraId="21B938DC" w14:textId="77777777" w:rsidR="00EE4390" w:rsidRPr="0079354F" w:rsidRDefault="00EE4390" w:rsidP="22CF907E">
      <w:r w:rsidRPr="0079354F">
        <w:t>Administrative statutes typically establish cross-cutting rules that apply to the management of federal education programs. An example is the General Education Provisions Act (GEPA), which defines rules regarding the timing and availability of certain education grants, appeal rights, enforcement actions, and other important administrative issues.</w:t>
      </w:r>
    </w:p>
    <w:p w14:paraId="59C7262A" w14:textId="77777777" w:rsidR="00EE4390" w:rsidRPr="0079354F" w:rsidRDefault="00EE4390" w:rsidP="22CF907E">
      <w:pPr>
        <w:rPr>
          <w:rStyle w:val="Hyperlink"/>
          <w:color w:val="auto"/>
          <w:u w:val="none"/>
          <w:shd w:val="clear" w:color="auto" w:fill="FFFFFF"/>
        </w:rPr>
      </w:pPr>
    </w:p>
    <w:p w14:paraId="480FF5B8" w14:textId="77777777" w:rsidR="00EE4390" w:rsidRPr="0079354F" w:rsidRDefault="00EE4390" w:rsidP="00EE4390">
      <w:r w:rsidRPr="0079354F">
        <w:t>Appropriation statutes</w:t>
      </w:r>
      <w:r w:rsidRPr="0079354F">
        <w:rPr>
          <w:b/>
          <w:bCs/>
        </w:rPr>
        <w:t xml:space="preserve"> </w:t>
      </w:r>
      <w:r w:rsidRPr="0079354F">
        <w:t>determine the specific amount of money that will fund the AE programs and may contain substantive requirements beyond simple funding, including additional programmatic or administrative requirements.</w:t>
      </w:r>
    </w:p>
    <w:p w14:paraId="2752733B" w14:textId="77777777" w:rsidR="00EE4390" w:rsidRPr="0079354F" w:rsidRDefault="00EE4390" w:rsidP="00EE4390"/>
    <w:p w14:paraId="211B5AAE" w14:textId="77777777" w:rsidR="00EE4390" w:rsidRPr="006F4344" w:rsidRDefault="00EE4390" w:rsidP="22CF907E">
      <w:pPr>
        <w:pStyle w:val="Heading4"/>
        <w:spacing w:before="0"/>
        <w:rPr>
          <w:b/>
          <w:color w:val="E36C0A" w:themeColor="accent6" w:themeShade="BF"/>
        </w:rPr>
      </w:pPr>
      <w:r w:rsidRPr="00187183">
        <w:rPr>
          <w:b/>
          <w:color w:val="B85808"/>
        </w:rPr>
        <w:t>Regulations</w:t>
      </w:r>
    </w:p>
    <w:p w14:paraId="31727A30" w14:textId="7D777DBF" w:rsidR="00EE4390" w:rsidRPr="0079354F" w:rsidRDefault="00EE4390" w:rsidP="22CF907E">
      <w:pPr>
        <w:rPr>
          <w:color w:val="000000"/>
        </w:rPr>
      </w:pPr>
      <w:r w:rsidRPr="0079354F">
        <w:rPr>
          <w:color w:val="000000" w:themeColor="text1"/>
        </w:rPr>
        <w:t>Regulations are next in the legal hierarchy governing AE programs. Unlike statutes which are passed by Congress, regulations are drafted and adopted by the federal agency that is responsible for implementing the statute. A statute must be in place for an agency to adopt a regulation. (Note: The grant regulations specified in these documents also apply to state matching funds.)</w:t>
      </w:r>
    </w:p>
    <w:p w14:paraId="0FC64707" w14:textId="77777777" w:rsidR="00EE4390" w:rsidRPr="0079354F" w:rsidRDefault="00EE4390" w:rsidP="22CF907E">
      <w:pPr>
        <w:rPr>
          <w:rStyle w:val="Hyperlink"/>
          <w:color w:val="auto"/>
          <w:u w:val="none"/>
          <w:shd w:val="clear" w:color="auto" w:fill="FFFFFF"/>
        </w:rPr>
      </w:pPr>
    </w:p>
    <w:p w14:paraId="449F84E0" w14:textId="0A9956D7" w:rsidR="00EE4390" w:rsidRPr="0079354F" w:rsidRDefault="00EE4390" w:rsidP="22CF907E">
      <w:pPr>
        <w:rPr>
          <w:color w:val="000000" w:themeColor="text1"/>
        </w:rPr>
      </w:pPr>
      <w:r w:rsidRPr="0079354F">
        <w:rPr>
          <w:rStyle w:val="Hyperlink"/>
          <w:color w:val="auto"/>
          <w:u w:val="none"/>
          <w:shd w:val="clear" w:color="auto" w:fill="FFFFFF"/>
        </w:rPr>
        <w:t>The U.S. Department of Education (US ED) is responsible for maintaining specific programmatic and administrative regulations for US ED grants. These regulations can be found in the</w:t>
      </w:r>
      <w:r w:rsidRPr="0079354F">
        <w:t xml:space="preserve"> </w:t>
      </w:r>
      <w:r w:rsidRPr="0079354F">
        <w:rPr>
          <w:rFonts w:eastAsia="Batang"/>
        </w:rPr>
        <w:t>Code of Federal Regulations (CFR). CFR</w:t>
      </w:r>
      <w:r w:rsidRPr="0079354F">
        <w:t xml:space="preserve"> is the codification of the rules published in the Federal Register by the federal government. The first two numbers indicate the federal agency. Regulations pertaining to US ED are identified by the numbers 34.</w:t>
      </w:r>
      <w:r w:rsidR="00B019D8" w:rsidRPr="0079354F">
        <w:t xml:space="preserve"> </w:t>
      </w:r>
      <w:r w:rsidRPr="0079354F">
        <w:t xml:space="preserve">Therefore, 34 CFR regulations are specific to US ED grants. (Note: </w:t>
      </w:r>
      <w:r w:rsidRPr="0079354F">
        <w:rPr>
          <w:color w:val="000000" w:themeColor="text1"/>
        </w:rPr>
        <w:t>State AE grants meet the Commonwealth’s requirement to match federal funding. As a result, these grants must adhere to the same regulations as federal awards.)</w:t>
      </w:r>
    </w:p>
    <w:p w14:paraId="36B95B18" w14:textId="77777777" w:rsidR="00EE4390" w:rsidRPr="0079354F" w:rsidRDefault="00EE4390" w:rsidP="22CF907E">
      <w:pPr>
        <w:rPr>
          <w:color w:val="000000" w:themeColor="text1"/>
        </w:rPr>
      </w:pPr>
    </w:p>
    <w:p w14:paraId="7FE879C3" w14:textId="77777777" w:rsidR="00EE4390" w:rsidRPr="0079354F" w:rsidRDefault="00EE4390" w:rsidP="22CF907E">
      <w:pPr>
        <w:rPr>
          <w:color w:val="000000" w:themeColor="text1"/>
        </w:rPr>
      </w:pPr>
      <w:r w:rsidRPr="0079354F">
        <w:rPr>
          <w:color w:val="000000" w:themeColor="text1"/>
        </w:rPr>
        <w:t>Like statutes, there are programmatic and administrative regulations. In addition to agency specific regulations, there are general administrative regulations that address administrative requirements to all federal grants. The general administrative regulations have been adopted by all federal agencies and are to be adhered to along with the agency specific regulations. They address areas not specifically addressed in the agency regulations and our uniform requirements for all grants and are to be referred to if a requirement is not addressed in the agency specific regulations.</w:t>
      </w:r>
    </w:p>
    <w:p w14:paraId="14942A13" w14:textId="77777777" w:rsidR="00EE4390" w:rsidRPr="0079354F" w:rsidRDefault="00EE4390" w:rsidP="22CF907E"/>
    <w:p w14:paraId="131ED4AD" w14:textId="5AAE2F20" w:rsidR="00EE4390" w:rsidRPr="0079354F" w:rsidRDefault="00EE4390" w:rsidP="22CF907E">
      <w:r w:rsidRPr="0079354F">
        <w:t>Programmatic regulations typically contain rules that govern specific federal education grants. The programmatic regulation for adult education</w:t>
      </w:r>
      <w:r w:rsidR="00B019D8" w:rsidRPr="0079354F">
        <w:t>,</w:t>
      </w:r>
      <w:r w:rsidRPr="0079354F">
        <w:t xml:space="preserve"> </w:t>
      </w:r>
      <w:hyperlink r:id="rId231">
        <w:r w:rsidRPr="0079354F">
          <w:rPr>
            <w:rStyle w:val="Hyperlink"/>
            <w:rFonts w:eastAsiaTheme="minorEastAsia"/>
          </w:rPr>
          <w:t>34 CFR Part 463</w:t>
        </w:r>
      </w:hyperlink>
      <w:r w:rsidR="00B019D8" w:rsidRPr="0079354F">
        <w:rPr>
          <w:rFonts w:eastAsiaTheme="minorEastAsia"/>
        </w:rPr>
        <w:t>,</w:t>
      </w:r>
      <w:r w:rsidRPr="0079354F">
        <w:rPr>
          <w:rStyle w:val="Hyperlink"/>
          <w:rFonts w:eastAsiaTheme="minorEastAsia"/>
          <w:u w:val="none"/>
        </w:rPr>
        <w:t xml:space="preserve"> </w:t>
      </w:r>
      <w:r w:rsidRPr="0079354F">
        <w:t>establishes specific programmatic and fiscal regulations to AE programs authorized under AEFLA.</w:t>
      </w:r>
    </w:p>
    <w:p w14:paraId="20D1A60D" w14:textId="77777777" w:rsidR="00EE4390" w:rsidRPr="0079354F" w:rsidRDefault="00EE4390" w:rsidP="22CF907E"/>
    <w:p w14:paraId="25DBF2DA" w14:textId="3EBFDA10" w:rsidR="00EE4390" w:rsidRPr="0079354F" w:rsidRDefault="00EE4390" w:rsidP="22CF907E">
      <w:r w:rsidRPr="23CFD7A5">
        <w:rPr>
          <w:color w:val="000000" w:themeColor="text1"/>
        </w:rPr>
        <w:t xml:space="preserve">US ED administrative regulations that are specific to the US ED grants awarded by DESE can be found in </w:t>
      </w:r>
      <w:hyperlink r:id="rId232">
        <w:r w:rsidRPr="23CFD7A5">
          <w:rPr>
            <w:rStyle w:val="Hyperlink"/>
          </w:rPr>
          <w:t>34 CFR Part 76</w:t>
        </w:r>
      </w:hyperlink>
      <w:r w:rsidRPr="23CFD7A5">
        <w:rPr>
          <w:color w:val="000000" w:themeColor="text1"/>
        </w:rPr>
        <w:t>, Administrative Requirements for State Administered Programs. These regulations provide</w:t>
      </w:r>
      <w:r>
        <w:t xml:space="preserve"> grant administrative requirements for all US ED federal education grants administered by DESE. </w:t>
      </w:r>
      <w:r w:rsidRPr="23CFD7A5">
        <w:rPr>
          <w:color w:val="000000" w:themeColor="text1"/>
        </w:rPr>
        <w:t>The grant regulations specified in these documents also apply to state matching funds.</w:t>
      </w:r>
    </w:p>
    <w:p w14:paraId="02005C88" w14:textId="77777777" w:rsidR="00EE4390" w:rsidRPr="0079354F" w:rsidRDefault="00EE4390" w:rsidP="22CF907E"/>
    <w:p w14:paraId="62EA7DE2" w14:textId="20AA98AF" w:rsidR="00EE4390" w:rsidRPr="0079354F" w:rsidRDefault="00EE4390" w:rsidP="22CF907E">
      <w:pPr>
        <w:rPr>
          <w:color w:val="000000" w:themeColor="text1"/>
        </w:rPr>
      </w:pPr>
      <w:r w:rsidRPr="0079354F">
        <w:t xml:space="preserve">Uniform Grant Guidance (UGG), </w:t>
      </w:r>
      <w:hyperlink r:id="rId233">
        <w:r w:rsidRPr="0079354F">
          <w:rPr>
            <w:rStyle w:val="Hyperlink"/>
          </w:rPr>
          <w:t>2 CFR Part 200</w:t>
        </w:r>
      </w:hyperlink>
      <w:r w:rsidRPr="0079354F">
        <w:t xml:space="preserve">, are the Uniform Administrative Requirements, Cost Principles, and Audit Requirements are the </w:t>
      </w:r>
      <w:r w:rsidRPr="0079354F">
        <w:rPr>
          <w:color w:val="000000" w:themeColor="text1"/>
        </w:rPr>
        <w:t>general administrative, cost principles, and audit requirements for all federal grants</w:t>
      </w:r>
      <w:r w:rsidRPr="0079354F">
        <w:t xml:space="preserve">. As indicated above, </w:t>
      </w:r>
      <w:r w:rsidRPr="0079354F">
        <w:rPr>
          <w:color w:val="000000" w:themeColor="text1"/>
        </w:rPr>
        <w:t>these regulations are the general administrative requirements for all federal grants and are to be referred to and followed if the requirement is not addressed in the 34 CFR regulations.</w:t>
      </w:r>
    </w:p>
    <w:p w14:paraId="58EC34F3" w14:textId="77777777" w:rsidR="00EE4390" w:rsidRPr="0079354F" w:rsidRDefault="00EE4390" w:rsidP="00EE4390"/>
    <w:p w14:paraId="20820659" w14:textId="60BC5706" w:rsidR="00EE4390" w:rsidRPr="006F4344" w:rsidRDefault="00EE4390" w:rsidP="00EE4390">
      <w:pPr>
        <w:pStyle w:val="Heading4"/>
        <w:spacing w:before="0"/>
        <w:rPr>
          <w:b/>
          <w:bCs w:val="0"/>
          <w:color w:val="E36C0A" w:themeColor="accent6" w:themeShade="BF"/>
        </w:rPr>
      </w:pPr>
      <w:r w:rsidRPr="00187183">
        <w:rPr>
          <w:b/>
          <w:bCs w:val="0"/>
          <w:color w:val="B85808"/>
        </w:rPr>
        <w:t xml:space="preserve">Non-regulatory Guidance and Policy Letters </w:t>
      </w:r>
    </w:p>
    <w:p w14:paraId="635A3A1A" w14:textId="4516D84F" w:rsidR="00EE4390" w:rsidRPr="0079354F" w:rsidRDefault="00EE4390" w:rsidP="00EE4390">
      <w:pPr>
        <w:sectPr w:rsidR="00EE4390" w:rsidRPr="0079354F" w:rsidSect="00BD4638">
          <w:headerReference w:type="default" r:id="rId234"/>
          <w:footerReference w:type="default" r:id="rId235"/>
          <w:pgSz w:w="12240" w:h="15840"/>
          <w:pgMar w:top="1008" w:right="1440" w:bottom="576" w:left="1440" w:header="720" w:footer="720" w:gutter="0"/>
          <w:cols w:space="720"/>
          <w:docGrid w:linePitch="360"/>
        </w:sectPr>
      </w:pPr>
      <w:r w:rsidRPr="0079354F">
        <w:t xml:space="preserve">These provide US ED’s interpretations of statutes and regulations in plain language </w:t>
      </w:r>
      <w:r w:rsidR="00B019D8" w:rsidRPr="0079354F">
        <w:t>with</w:t>
      </w:r>
      <w:r w:rsidRPr="0079354F">
        <w:t xml:space="preserve"> user friendly guidance to grant recipients and useful indicators about how US ED interprets important aspects of their federal programs. The guidance and policy letters do not have the same legal authority as the statutes and regulations.</w:t>
      </w:r>
    </w:p>
    <w:p w14:paraId="1A2040D5" w14:textId="2406CC9D" w:rsidR="00B828E1" w:rsidRPr="00187183" w:rsidRDefault="00AE44B4" w:rsidP="1E8607B9">
      <w:pPr>
        <w:pStyle w:val="Heading2"/>
        <w:spacing w:before="0"/>
        <w:rPr>
          <w:b/>
          <w:noProof/>
          <w:color w:val="B85808"/>
        </w:rPr>
      </w:pPr>
      <w:bookmarkStart w:id="120" w:name="_Toc109196031"/>
      <w:r w:rsidRPr="1E8607B9">
        <w:rPr>
          <w:b/>
          <w:noProof/>
          <w:color w:val="B85808"/>
        </w:rPr>
        <w:t>Append</w:t>
      </w:r>
      <w:r w:rsidR="00A3284C" w:rsidRPr="1E8607B9">
        <w:rPr>
          <w:b/>
          <w:noProof/>
          <w:color w:val="B85808"/>
        </w:rPr>
        <w:t xml:space="preserve">ix </w:t>
      </w:r>
      <w:r w:rsidR="00400105" w:rsidRPr="1E8607B9">
        <w:rPr>
          <w:b/>
          <w:noProof/>
          <w:color w:val="B85808"/>
        </w:rPr>
        <w:t>F</w:t>
      </w:r>
      <w:r w:rsidRPr="1E8607B9">
        <w:rPr>
          <w:b/>
          <w:noProof/>
          <w:color w:val="B85808"/>
        </w:rPr>
        <w:t xml:space="preserve">: </w:t>
      </w:r>
      <w:r w:rsidR="0089048A" w:rsidRPr="1E8607B9">
        <w:rPr>
          <w:b/>
          <w:noProof/>
          <w:color w:val="B85808"/>
        </w:rPr>
        <w:t xml:space="preserve"> </w:t>
      </w:r>
      <w:r w:rsidR="00B828E1" w:rsidRPr="1E8607B9">
        <w:rPr>
          <w:b/>
          <w:noProof/>
          <w:color w:val="B85808"/>
        </w:rPr>
        <w:t>Sub</w:t>
      </w:r>
      <w:r w:rsidR="00EE4390" w:rsidRPr="1E8607B9">
        <w:rPr>
          <w:b/>
          <w:noProof/>
          <w:color w:val="B85808"/>
        </w:rPr>
        <w:t>awards</w:t>
      </w:r>
      <w:bookmarkEnd w:id="120"/>
    </w:p>
    <w:p w14:paraId="62181B0E" w14:textId="77777777" w:rsidR="00EE4390" w:rsidRPr="0079354F" w:rsidRDefault="00EE4390" w:rsidP="22CF907E">
      <w:pPr>
        <w:rPr>
          <w:color w:val="000000" w:themeColor="text1"/>
        </w:rPr>
      </w:pPr>
      <w:bookmarkStart w:id="121" w:name="_Hlk37067055"/>
      <w:r w:rsidRPr="0079354F">
        <w:rPr>
          <w:color w:val="000000" w:themeColor="text1"/>
        </w:rPr>
        <w:t>Subawards generally include subgrants and subcontracts. A subaward is for the purpose of carrying out a portion of a federal award and it creates a relationship with the grantee. Major subawards do not incur indirect costs to the same degree as other activities. The definition of a major subaward is one that exceeds $25,000 in expenditures per year.</w:t>
      </w:r>
      <w:r w:rsidRPr="0079354F">
        <w:rPr>
          <w:i/>
          <w:iCs/>
          <w:color w:val="000000" w:themeColor="text1"/>
        </w:rPr>
        <w:t xml:space="preserve"> </w:t>
      </w:r>
      <w:r w:rsidRPr="0079354F">
        <w:rPr>
          <w:color w:val="000000" w:themeColor="text1"/>
        </w:rPr>
        <w:t>Generally, only the pass - through agency (DESE) may subaward grant funds. However, in special circumstances DESE may approve the grantee to subaward grant funds. The U.S. Department of Education’s policy on a subaward states that grantees must exclude the amount of each subaward costs exceeding $25,000 per subaward on a yearly basis. Therefore, indirect costs can only be recovered on the first $25,000 expended each year for each subaward. The expenditures of the subaward will not be allowed if the subaward has not been approved by DESE.</w:t>
      </w:r>
    </w:p>
    <w:bookmarkEnd w:id="121"/>
    <w:p w14:paraId="51D2DF4C" w14:textId="77777777" w:rsidR="00EE4390" w:rsidRPr="0079354F" w:rsidRDefault="00EE4390" w:rsidP="22CF907E">
      <w:pPr>
        <w:rPr>
          <w:color w:val="000000" w:themeColor="text1"/>
        </w:rPr>
      </w:pPr>
    </w:p>
    <w:p w14:paraId="21CD4013" w14:textId="616A2BA2" w:rsidR="00EE4390" w:rsidRPr="0079354F" w:rsidRDefault="00EE4390" w:rsidP="22CF907E">
      <w:pPr>
        <w:rPr>
          <w:color w:val="000000" w:themeColor="text1"/>
        </w:rPr>
      </w:pPr>
      <w:bookmarkStart w:id="122" w:name="_Hlk37066886"/>
      <w:r w:rsidRPr="0079354F">
        <w:rPr>
          <w:color w:val="000000" w:themeColor="text1"/>
        </w:rPr>
        <w:t>When a grantee contracts for services and goods,</w:t>
      </w:r>
      <w:r w:rsidRPr="0079354F">
        <w:rPr>
          <w:i/>
          <w:iCs/>
          <w:color w:val="000000" w:themeColor="text1"/>
        </w:rPr>
        <w:t xml:space="preserve"> </w:t>
      </w:r>
      <w:r w:rsidRPr="0079354F">
        <w:rPr>
          <w:color w:val="000000" w:themeColor="text1"/>
        </w:rPr>
        <w:t xml:space="preserve">the contract must be approved by DESE in the grant budget application process whether it is a contract or subaward. According to </w:t>
      </w:r>
      <w:hyperlink r:id="rId236">
        <w:r w:rsidRPr="0079354F">
          <w:rPr>
            <w:rStyle w:val="Hyperlink"/>
          </w:rPr>
          <w:t>2 CFR Part 200.330</w:t>
        </w:r>
      </w:hyperlink>
      <w:r w:rsidRPr="0079354F">
        <w:rPr>
          <w:color w:val="000000" w:themeColor="text1"/>
        </w:rPr>
        <w:t>, DESE must make a determination whether the contract casts the party receiving the funds in the role of a subrecipient or a contractor. The characteristics of a subrecipient include when the contractor:</w:t>
      </w:r>
    </w:p>
    <w:p w14:paraId="5A1FEE18" w14:textId="154D779C" w:rsidR="00EE4390" w:rsidRPr="0079354F" w:rsidRDefault="00553124" w:rsidP="00FC65BD">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D</w:t>
      </w:r>
      <w:r w:rsidR="00EE4390" w:rsidRPr="0079354F">
        <w:rPr>
          <w:rFonts w:ascii="Times New Roman" w:hAnsi="Times New Roman" w:cs="Times New Roman"/>
          <w:color w:val="000000" w:themeColor="text1"/>
          <w:sz w:val="24"/>
          <w:szCs w:val="24"/>
        </w:rPr>
        <w:t>etermines who is eligible to receive the federal assistance;</w:t>
      </w:r>
    </w:p>
    <w:p w14:paraId="15FDFCB7" w14:textId="0537FD77" w:rsidR="00EE4390" w:rsidRPr="0079354F" w:rsidRDefault="00553124" w:rsidP="00FC65BD">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H</w:t>
      </w:r>
      <w:r w:rsidR="00EE4390" w:rsidRPr="0079354F">
        <w:rPr>
          <w:rFonts w:ascii="Times New Roman" w:hAnsi="Times New Roman" w:cs="Times New Roman"/>
          <w:color w:val="000000" w:themeColor="text1"/>
          <w:sz w:val="24"/>
          <w:szCs w:val="24"/>
        </w:rPr>
        <w:t>as its performance measured in relation to whether objectives of a federal program were met;</w:t>
      </w:r>
    </w:p>
    <w:p w14:paraId="4BD4C4D5" w14:textId="2DF78C65" w:rsidR="00EE4390" w:rsidRPr="0079354F" w:rsidRDefault="00553124" w:rsidP="00FC65BD">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H</w:t>
      </w:r>
      <w:r w:rsidR="00EE4390" w:rsidRPr="0079354F">
        <w:rPr>
          <w:rFonts w:ascii="Times New Roman" w:hAnsi="Times New Roman" w:cs="Times New Roman"/>
          <w:color w:val="000000" w:themeColor="text1"/>
          <w:sz w:val="24"/>
          <w:szCs w:val="24"/>
        </w:rPr>
        <w:t>as the responsibility for programmatic decision making;</w:t>
      </w:r>
    </w:p>
    <w:p w14:paraId="3C8FFCBD" w14:textId="6711063C" w:rsidR="00EE4390" w:rsidRPr="0079354F" w:rsidRDefault="00553124" w:rsidP="00FC65BD">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w:t>
      </w:r>
      <w:r w:rsidR="00EE4390" w:rsidRPr="0079354F">
        <w:rPr>
          <w:rFonts w:ascii="Times New Roman" w:hAnsi="Times New Roman" w:cs="Times New Roman"/>
          <w:color w:val="000000" w:themeColor="text1"/>
          <w:sz w:val="24"/>
          <w:szCs w:val="24"/>
        </w:rPr>
        <w:t>s responsible for adherence to applicable federal program requirements specified in the federal award; and</w:t>
      </w:r>
    </w:p>
    <w:p w14:paraId="7ADFC4EF" w14:textId="2AEEEBAD" w:rsidR="00EE4390" w:rsidRPr="0079354F" w:rsidRDefault="00553124" w:rsidP="00FC65BD">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w:t>
      </w:r>
      <w:r w:rsidR="00EE4390" w:rsidRPr="0079354F">
        <w:rPr>
          <w:rFonts w:ascii="Times New Roman" w:hAnsi="Times New Roman" w:cs="Times New Roman"/>
          <w:color w:val="000000" w:themeColor="text1"/>
          <w:sz w:val="24"/>
          <w:szCs w:val="24"/>
        </w:rPr>
        <w:t>n accordance with its agreement, uses the federal funds to carry out a program for public purpose specified in authorized statute, as opposed to providing goods and services for the benefit of the grantee.</w:t>
      </w:r>
    </w:p>
    <w:bookmarkEnd w:id="122"/>
    <w:p w14:paraId="759302B3" w14:textId="77777777" w:rsidR="00EE4390" w:rsidRPr="0079354F" w:rsidRDefault="00EE4390" w:rsidP="22CF907E">
      <w:pPr>
        <w:rPr>
          <w:color w:val="000000" w:themeColor="text1"/>
        </w:rPr>
      </w:pPr>
      <w:r w:rsidRPr="0079354F">
        <w:rPr>
          <w:color w:val="000000" w:themeColor="text1"/>
        </w:rPr>
        <w:t>If any of these characteristics can be answered with yes, the contract is a subaward/subcontract.</w:t>
      </w:r>
    </w:p>
    <w:p w14:paraId="23DB933A" w14:textId="77777777" w:rsidR="00EE4390" w:rsidRPr="0079354F" w:rsidRDefault="00EE4390" w:rsidP="22CF907E">
      <w:pPr>
        <w:rPr>
          <w:color w:val="000000" w:themeColor="text1"/>
        </w:rPr>
      </w:pPr>
    </w:p>
    <w:p w14:paraId="39ABD7D6" w14:textId="77777777" w:rsidR="00EE4390" w:rsidRPr="0079354F" w:rsidRDefault="00EE4390" w:rsidP="22CF907E">
      <w:pPr>
        <w:rPr>
          <w:color w:val="000000" w:themeColor="text1"/>
        </w:rPr>
      </w:pPr>
      <w:bookmarkStart w:id="123" w:name="_Hlk37067205"/>
      <w:r w:rsidRPr="0079354F">
        <w:rPr>
          <w:color w:val="000000" w:themeColor="text1"/>
        </w:rPr>
        <w:t>A contract is for the purpose of obtaining goods and services for the grantee’s own use and creates a procurement relationship with the contractor. Characteristics of a procurement relationship are when the contractor:</w:t>
      </w:r>
    </w:p>
    <w:p w14:paraId="1083F653" w14:textId="77777777" w:rsidR="00EE4390" w:rsidRPr="0079354F" w:rsidRDefault="00EE4390" w:rsidP="00FC65BD">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the goods and services within normal business operations;</w:t>
      </w:r>
    </w:p>
    <w:p w14:paraId="318D8FDE" w14:textId="77777777" w:rsidR="00EE4390" w:rsidRPr="0079354F" w:rsidRDefault="00EE4390" w:rsidP="00FC65BD">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similar goods or services to many different purchasers;</w:t>
      </w:r>
    </w:p>
    <w:p w14:paraId="1ED4F697" w14:textId="77777777" w:rsidR="00EE4390" w:rsidRPr="0079354F" w:rsidRDefault="00EE4390" w:rsidP="00FC65BD">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Normally operates in a competitive environment; </w:t>
      </w:r>
    </w:p>
    <w:p w14:paraId="6B04C882" w14:textId="77777777" w:rsidR="00EE4390" w:rsidRPr="0079354F" w:rsidRDefault="00EE4390" w:rsidP="00FC65BD">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goods or services that are ancillary to the operation of the federal program; and</w:t>
      </w:r>
    </w:p>
    <w:p w14:paraId="318D1246" w14:textId="77777777" w:rsidR="00EE4390" w:rsidRPr="0079354F" w:rsidRDefault="00EE4390" w:rsidP="00FC65BD">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Is not subject to compliance requirements of the federal program as a result of the agreement, though similar requirements may apply for other reasons.</w:t>
      </w:r>
    </w:p>
    <w:p w14:paraId="0C02C267" w14:textId="77777777" w:rsidR="00EE4390" w:rsidRPr="0079354F" w:rsidRDefault="00EE4390" w:rsidP="22CF907E">
      <w:pPr>
        <w:rPr>
          <w:color w:val="000000" w:themeColor="text1"/>
        </w:rPr>
      </w:pPr>
      <w:r w:rsidRPr="0079354F">
        <w:rPr>
          <w:color w:val="000000" w:themeColor="text1"/>
        </w:rPr>
        <w:t>Indirect costs can be negotiated based on the availability of funds.</w:t>
      </w:r>
    </w:p>
    <w:p w14:paraId="60E89B05" w14:textId="77777777" w:rsidR="00EE4390" w:rsidRPr="0079354F" w:rsidRDefault="00EE4390" w:rsidP="22CF907E">
      <w:pPr>
        <w:rPr>
          <w:color w:val="000000" w:themeColor="text1"/>
        </w:rPr>
      </w:pPr>
    </w:p>
    <w:p w14:paraId="568FF218" w14:textId="368131A2" w:rsidR="00EE4390" w:rsidRPr="0079354F" w:rsidRDefault="00EE4390" w:rsidP="22CF907E">
      <w:pPr>
        <w:rPr>
          <w:color w:val="000000" w:themeColor="text1"/>
        </w:rPr>
      </w:pPr>
      <w:r w:rsidRPr="0079354F">
        <w:rPr>
          <w:color w:val="000000" w:themeColor="text1"/>
        </w:rPr>
        <w:t xml:space="preserve">The grantee’s determination of whether the contract meets the definition of a </w:t>
      </w:r>
      <w:r w:rsidR="00067154" w:rsidRPr="0079354F">
        <w:rPr>
          <w:color w:val="000000" w:themeColor="text1"/>
        </w:rPr>
        <w:t>sub awardee</w:t>
      </w:r>
      <w:r w:rsidRPr="0079354F">
        <w:rPr>
          <w:color w:val="000000" w:themeColor="text1"/>
        </w:rPr>
        <w:t xml:space="preserve"> or contractor must be documented and reviewed by DESE for approval. If the subcontractor is deemed a </w:t>
      </w:r>
      <w:r w:rsidR="00067154" w:rsidRPr="0079354F">
        <w:rPr>
          <w:color w:val="000000" w:themeColor="text1"/>
        </w:rPr>
        <w:t>sub awardee</w:t>
      </w:r>
      <w:r w:rsidRPr="0079354F">
        <w:rPr>
          <w:color w:val="000000" w:themeColor="text1"/>
        </w:rPr>
        <w:t>, the subcontractor must be able to account for the expenditure of all grant funds and must abide by the same state and federal regulations. The grantee is required to use the same DESE grant budget form for all subcontracts/subawards and monitor the subcontractor for compliance. The recipient of the subaward/subcontract must also have an approved indirect cost rate from a federal cognizant agency or negotiate a rate with DESE. The indirect cost rate will be restricted to a maximum rate of 8% unless the grant restricts the recovery of indirect costs through statute.</w:t>
      </w:r>
    </w:p>
    <w:p w14:paraId="6B477668" w14:textId="77777777" w:rsidR="00EE4390" w:rsidRPr="0079354F" w:rsidRDefault="00EE4390" w:rsidP="22CF907E">
      <w:pPr>
        <w:rPr>
          <w:color w:val="000000" w:themeColor="text1"/>
        </w:rPr>
      </w:pPr>
    </w:p>
    <w:p w14:paraId="2F965F01" w14:textId="77777777" w:rsidR="00EE4390" w:rsidRPr="0079354F" w:rsidRDefault="00EE4390" w:rsidP="22CF907E">
      <w:pPr>
        <w:rPr>
          <w:color w:val="000000" w:themeColor="text1"/>
        </w:rPr>
      </w:pPr>
      <w:r w:rsidRPr="0079354F">
        <w:rPr>
          <w:color w:val="000000" w:themeColor="text1"/>
        </w:rPr>
        <w:t>Whether a contract or subaward, the grantee is expected to monitor the services provided. The grantee is expected to document the procedures for monitoring subawards/subcontracts and provide proof that monitoring was performed when requested by DESE.</w:t>
      </w:r>
    </w:p>
    <w:bookmarkEnd w:id="123"/>
    <w:p w14:paraId="36C78081" w14:textId="77777777" w:rsidR="00EE4390" w:rsidRPr="0079354F" w:rsidRDefault="00EE4390" w:rsidP="22CF907E">
      <w:pPr>
        <w:rPr>
          <w:color w:val="000000" w:themeColor="text1"/>
        </w:rPr>
      </w:pPr>
    </w:p>
    <w:p w14:paraId="1E99B838" w14:textId="4960E6F9" w:rsidR="00EE4390" w:rsidRPr="0079354F" w:rsidRDefault="00EE4390" w:rsidP="00EE4390">
      <w:pPr>
        <w:rPr>
          <w:color w:val="000000" w:themeColor="text1"/>
        </w:rPr>
      </w:pPr>
      <w:r w:rsidRPr="0079354F">
        <w:rPr>
          <w:color w:val="000000" w:themeColor="text1"/>
        </w:rPr>
        <w:t xml:space="preserve">For all contracts/subawards over $25,000, the grantee is expected to obtain a certification from the subcontractor that they are not on the Federal Debarment and Suspension List. The monitoring by the grantee to ensure the services were provided must be documented and provided to DESE upon request. A subcontractor determined to be a </w:t>
      </w:r>
      <w:r w:rsidR="00067154" w:rsidRPr="0079354F">
        <w:rPr>
          <w:color w:val="000000" w:themeColor="text1"/>
        </w:rPr>
        <w:t>sub awardee</w:t>
      </w:r>
      <w:r w:rsidRPr="0079354F">
        <w:rPr>
          <w:color w:val="000000" w:themeColor="text1"/>
        </w:rPr>
        <w:t xml:space="preserve"> must also abide by the same records retention requirements as the grantee and is subject to a DESE monitoring review. Such records include but are not limited </w:t>
      </w:r>
      <w:r w:rsidR="007E1B84" w:rsidRPr="0079354F">
        <w:rPr>
          <w:color w:val="000000" w:themeColor="text1"/>
        </w:rPr>
        <w:t>to</w:t>
      </w:r>
      <w:r w:rsidRPr="0079354F">
        <w:rPr>
          <w:color w:val="000000" w:themeColor="text1"/>
        </w:rPr>
        <w:t xml:space="preserve"> fiscal records, Board records, and student records.</w:t>
      </w:r>
    </w:p>
    <w:p w14:paraId="0AAF707E" w14:textId="6263DF61" w:rsidR="00EE4390" w:rsidRPr="0079354F" w:rsidRDefault="00EE4390" w:rsidP="00EE4390">
      <w:pPr>
        <w:sectPr w:rsidR="00EE4390" w:rsidRPr="0079354F">
          <w:headerReference w:type="default" r:id="rId237"/>
          <w:pgSz w:w="12240" w:h="15840"/>
          <w:pgMar w:top="1440" w:right="1440" w:bottom="1440" w:left="1440" w:header="720" w:footer="720" w:gutter="0"/>
          <w:cols w:space="720"/>
          <w:docGrid w:linePitch="360"/>
        </w:sectPr>
      </w:pPr>
    </w:p>
    <w:p w14:paraId="2B3548C9" w14:textId="5C08380B" w:rsidR="00297F22" w:rsidRPr="00187183" w:rsidRDefault="00297F22" w:rsidP="1E8607B9">
      <w:pPr>
        <w:pStyle w:val="Heading2"/>
        <w:spacing w:before="0"/>
        <w:rPr>
          <w:b/>
          <w:noProof/>
          <w:color w:val="B85808"/>
        </w:rPr>
      </w:pPr>
      <w:bookmarkStart w:id="124" w:name="_Toc109196032"/>
      <w:r w:rsidRPr="1E8607B9">
        <w:rPr>
          <w:b/>
          <w:noProof/>
          <w:color w:val="B85808"/>
        </w:rPr>
        <w:t xml:space="preserve">Appendix </w:t>
      </w:r>
      <w:r w:rsidR="00400105" w:rsidRPr="1E8607B9">
        <w:rPr>
          <w:b/>
          <w:noProof/>
          <w:color w:val="B85808"/>
        </w:rPr>
        <w:t>G</w:t>
      </w:r>
      <w:r w:rsidRPr="1E8607B9">
        <w:rPr>
          <w:b/>
          <w:noProof/>
          <w:color w:val="B85808"/>
        </w:rPr>
        <w:t>:  Budget Information Line by Line</w:t>
      </w:r>
      <w:bookmarkEnd w:id="124"/>
    </w:p>
    <w:p w14:paraId="3036909F" w14:textId="60857F77" w:rsidR="00297F22" w:rsidRPr="0079354F" w:rsidRDefault="00297F22" w:rsidP="00FC65BD">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Line 1: Administrators: Administrators supervise </w:t>
      </w:r>
      <w:r w:rsidR="00505254" w:rsidRPr="0079354F">
        <w:rPr>
          <w:rFonts w:ascii="Times New Roman" w:hAnsi="Times New Roman" w:cs="Times New Roman"/>
          <w:sz w:val="24"/>
          <w:szCs w:val="24"/>
        </w:rPr>
        <w:t>program</w:t>
      </w:r>
      <w:r w:rsidRPr="0079354F">
        <w:rPr>
          <w:rFonts w:ascii="Times New Roman" w:hAnsi="Times New Roman" w:cs="Times New Roman"/>
          <w:sz w:val="24"/>
          <w:szCs w:val="24"/>
        </w:rPr>
        <w:t xml:space="preserve"> staff and/or direct the </w:t>
      </w:r>
      <w:r w:rsidR="00505254" w:rsidRPr="0079354F">
        <w:rPr>
          <w:rFonts w:ascii="Times New Roman" w:hAnsi="Times New Roman" w:cs="Times New Roman"/>
          <w:sz w:val="24"/>
          <w:szCs w:val="24"/>
        </w:rPr>
        <w:t>program</w:t>
      </w:r>
      <w:r w:rsidRPr="0079354F">
        <w:rPr>
          <w:rFonts w:ascii="Times New Roman" w:hAnsi="Times New Roman" w:cs="Times New Roman"/>
          <w:sz w:val="24"/>
          <w:szCs w:val="24"/>
        </w:rPr>
        <w:t>. Their duties include planning and management in program design, leadership, operations, human resources, budgeting, collaborations, and risk management. Regarding program supervision, all supervisory activities, including but not limited to classroom observations, curriculum development, and supervising teaching, curriculum development, and lesson planning are considered administrative. These guidelines apply regardless of the title of the position.</w:t>
      </w:r>
    </w:p>
    <w:p w14:paraId="3856EE51" w14:textId="77777777" w:rsidR="00297F22" w:rsidRPr="0079354F" w:rsidRDefault="00297F22" w:rsidP="22CF907E"/>
    <w:p w14:paraId="7A0168FF" w14:textId="2D79DEDB" w:rsidR="00297F22" w:rsidRPr="0079354F" w:rsidRDefault="00297F22" w:rsidP="00FC65BD">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Line 2: Direct Service Staff: Direct service staff provide direct educational/instructional services under the project including curriculum development and similar activities when carried out by professional staff.</w:t>
      </w:r>
      <w:r w:rsidR="000D17D7" w:rsidRPr="0079354F">
        <w:rPr>
          <w:rFonts w:ascii="Times New Roman" w:hAnsi="Times New Roman" w:cs="Times New Roman"/>
          <w:sz w:val="24"/>
          <w:szCs w:val="24"/>
        </w:rPr>
        <w:t xml:space="preserve"> For example, student tutoring hours provided by support staff would go on Line 2.</w:t>
      </w:r>
      <w:r w:rsidR="006A6666" w:rsidRPr="0079354F">
        <w:rPr>
          <w:rFonts w:ascii="Times New Roman" w:hAnsi="Times New Roman" w:cs="Times New Roman"/>
          <w:sz w:val="24"/>
          <w:szCs w:val="24"/>
        </w:rPr>
        <w:t xml:space="preserve"> Also, substitute teachers can go on line 2 or line 6 depending on how they are paid. If there is no withholding, their hours go on line 6. If they are paid within the payroll system with deductions for withholding, their hours go on line 2.</w:t>
      </w:r>
    </w:p>
    <w:p w14:paraId="2325FB18" w14:textId="77777777" w:rsidR="00297F22" w:rsidRPr="0079354F" w:rsidRDefault="00297F22" w:rsidP="22CF907E"/>
    <w:p w14:paraId="031E9653" w14:textId="1A291049" w:rsidR="00297F22" w:rsidRPr="0079354F" w:rsidRDefault="00297F22" w:rsidP="00FC65BD">
      <w:pPr>
        <w:pStyle w:val="ListParagraph"/>
        <w:numPr>
          <w:ilvl w:val="0"/>
          <w:numId w:val="4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Line 3: Support Staff: Support staff provide services necessary to support direct educational/instructional services under the project. Costs included under this line item must be directly attributable to the project and documented. </w:t>
      </w:r>
      <w:r w:rsidRPr="0079354F">
        <w:rPr>
          <w:rFonts w:ascii="Times New Roman" w:hAnsi="Times New Roman" w:cs="Times New Roman"/>
          <w:color w:val="000000" w:themeColor="text1"/>
          <w:sz w:val="24"/>
          <w:szCs w:val="24"/>
        </w:rPr>
        <w:t xml:space="preserve">This would include </w:t>
      </w:r>
      <w:r w:rsidR="006F221A" w:rsidRPr="0079354F">
        <w:rPr>
          <w:rFonts w:ascii="Times New Roman" w:hAnsi="Times New Roman" w:cs="Times New Roman"/>
          <w:color w:val="000000" w:themeColor="text1"/>
          <w:sz w:val="24"/>
          <w:szCs w:val="24"/>
        </w:rPr>
        <w:t>administrative assistants</w:t>
      </w:r>
      <w:r w:rsidRPr="0079354F">
        <w:rPr>
          <w:rFonts w:ascii="Times New Roman" w:hAnsi="Times New Roman" w:cs="Times New Roman"/>
          <w:color w:val="000000" w:themeColor="text1"/>
          <w:sz w:val="24"/>
          <w:szCs w:val="24"/>
        </w:rPr>
        <w:t xml:space="preserve"> that perform duties directly related to the program (e.g., data input, IT technicians) and support directly related to the program.</w:t>
      </w:r>
    </w:p>
    <w:p w14:paraId="47799005" w14:textId="77777777" w:rsidR="00297F22" w:rsidRPr="0079354F" w:rsidRDefault="00297F22" w:rsidP="22CF907E"/>
    <w:p w14:paraId="1D96ED8E" w14:textId="53FD72D6" w:rsidR="00297F22" w:rsidRPr="0079354F" w:rsidRDefault="00297F22" w:rsidP="00FC65BD">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Line 4: Fringe Benefits: Fringe benefits offered to project staff must be granted under approved plans and be consistent with the grantee's standards for similar costs supported with other than project funds. For example, funds may be allocated for retirement accounts if, and only if, such benefits are provided to other staff working at the applicant agency. (Note: Fringe for staff charged to Lines 1 and 3 staff contributes to programs’ overall administrative costs.</w:t>
      </w:r>
      <w:r w:rsidR="00070B40" w:rsidRPr="0079354F">
        <w:rPr>
          <w:rFonts w:ascii="Times New Roman" w:hAnsi="Times New Roman" w:cs="Times New Roman"/>
          <w:sz w:val="24"/>
          <w:szCs w:val="24"/>
        </w:rPr>
        <w:t>)</w:t>
      </w:r>
    </w:p>
    <w:p w14:paraId="422433FB" w14:textId="77777777" w:rsidR="00297F22" w:rsidRPr="0079354F" w:rsidRDefault="00297F22" w:rsidP="22CF907E"/>
    <w:p w14:paraId="01EB0465" w14:textId="0086D123" w:rsidR="00297F22" w:rsidRPr="0079354F" w:rsidRDefault="00297F22" w:rsidP="00FC65BD">
      <w:pPr>
        <w:pStyle w:val="ListParagraph"/>
        <w:numPr>
          <w:ilvl w:val="0"/>
          <w:numId w:val="4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Line 5: Stipends: Stipends, in general, are not charged to AE grants. However, staff that receive a stipend for grant activities, which are over and above their regular responsibilities</w:t>
      </w:r>
      <w:r w:rsidR="00D83EAD" w:rsidRPr="0079354F">
        <w:rPr>
          <w:rFonts w:ascii="Times New Roman" w:hAnsi="Times New Roman" w:cs="Times New Roman"/>
          <w:sz w:val="24"/>
          <w:szCs w:val="24"/>
        </w:rPr>
        <w:t>,</w:t>
      </w:r>
      <w:r w:rsidRPr="0079354F">
        <w:rPr>
          <w:rFonts w:ascii="Times New Roman" w:hAnsi="Times New Roman" w:cs="Times New Roman"/>
          <w:sz w:val="24"/>
          <w:szCs w:val="24"/>
        </w:rPr>
        <w:t xml:space="preserve"> may </w:t>
      </w:r>
      <w:r w:rsidR="00D83EAD" w:rsidRPr="0079354F">
        <w:rPr>
          <w:rFonts w:ascii="Times New Roman" w:hAnsi="Times New Roman" w:cs="Times New Roman"/>
          <w:sz w:val="24"/>
          <w:szCs w:val="24"/>
        </w:rPr>
        <w:t xml:space="preserve">only </w:t>
      </w:r>
      <w:r w:rsidRPr="0079354F">
        <w:rPr>
          <w:rFonts w:ascii="Times New Roman" w:hAnsi="Times New Roman" w:cs="Times New Roman"/>
          <w:sz w:val="24"/>
          <w:szCs w:val="24"/>
        </w:rPr>
        <w:t>receive</w:t>
      </w:r>
      <w:r w:rsidR="00D83EAD" w:rsidRPr="0079354F">
        <w:rPr>
          <w:rFonts w:ascii="Times New Roman" w:hAnsi="Times New Roman" w:cs="Times New Roman"/>
          <w:sz w:val="24"/>
          <w:szCs w:val="24"/>
        </w:rPr>
        <w:t xml:space="preserve"> the</w:t>
      </w:r>
      <w:r w:rsidRPr="0079354F">
        <w:rPr>
          <w:rFonts w:ascii="Times New Roman" w:hAnsi="Times New Roman" w:cs="Times New Roman"/>
          <w:sz w:val="24"/>
          <w:szCs w:val="24"/>
        </w:rPr>
        <w:t xml:space="preserve"> stipend if the grantee has a policy of paying overtime for such activities. </w:t>
      </w:r>
      <w:r w:rsidRPr="0079354F">
        <w:rPr>
          <w:rFonts w:ascii="Times New Roman" w:hAnsi="Times New Roman" w:cs="Times New Roman"/>
          <w:color w:val="000000" w:themeColor="text1"/>
          <w:sz w:val="24"/>
          <w:szCs w:val="24"/>
        </w:rPr>
        <w:t>Stipends paid must have supporting documentation that describes the purpose of the payment and provides evidence of performance.</w:t>
      </w:r>
    </w:p>
    <w:p w14:paraId="301452DC" w14:textId="77777777" w:rsidR="00297F22" w:rsidRPr="0079354F" w:rsidRDefault="00297F22" w:rsidP="22CF907E"/>
    <w:p w14:paraId="358199F5" w14:textId="24CE495B" w:rsidR="00297F22" w:rsidRPr="0079354F" w:rsidRDefault="00297F22" w:rsidP="00FC65BD">
      <w:pPr>
        <w:pStyle w:val="CommentText"/>
        <w:numPr>
          <w:ilvl w:val="0"/>
          <w:numId w:val="46"/>
        </w:numPr>
      </w:pPr>
      <w:r w:rsidRPr="0079354F">
        <w:rPr>
          <w:color w:val="000000" w:themeColor="text1"/>
          <w:sz w:val="24"/>
          <w:szCs w:val="24"/>
        </w:rPr>
        <w:t>Line 6: Contractual: Costs must be supported with a scope of services and evidence that services were rendered through time sheets, attendance records, and the DESE budget for subcontracts/subawards.</w:t>
      </w:r>
      <w:r w:rsidR="00D83EAD" w:rsidRPr="0079354F">
        <w:rPr>
          <w:color w:val="000000" w:themeColor="text1"/>
          <w:sz w:val="24"/>
          <w:szCs w:val="24"/>
        </w:rPr>
        <w:t xml:space="preserve"> </w:t>
      </w:r>
      <w:r w:rsidRPr="0079354F">
        <w:rPr>
          <w:color w:val="000000" w:themeColor="text1"/>
          <w:sz w:val="24"/>
          <w:szCs w:val="24"/>
        </w:rPr>
        <w:t>Contracts over $25,000 should have a certification from the subcontractor/</w:t>
      </w:r>
      <w:r w:rsidR="00067154" w:rsidRPr="0079354F">
        <w:rPr>
          <w:color w:val="000000" w:themeColor="text1"/>
          <w:sz w:val="24"/>
          <w:szCs w:val="24"/>
        </w:rPr>
        <w:t>sub awardee</w:t>
      </w:r>
      <w:r w:rsidRPr="0079354F">
        <w:rPr>
          <w:color w:val="000000" w:themeColor="text1"/>
          <w:sz w:val="24"/>
          <w:szCs w:val="24"/>
        </w:rPr>
        <w:t xml:space="preserve"> that they are not on the federal debarment and suspension list</w:t>
      </w:r>
      <w:r w:rsidR="006A6666" w:rsidRPr="0079354F">
        <w:rPr>
          <w:color w:val="000000" w:themeColor="text1"/>
          <w:sz w:val="24"/>
          <w:szCs w:val="24"/>
        </w:rPr>
        <w:t xml:space="preserve">. </w:t>
      </w:r>
      <w:r w:rsidR="006A6666" w:rsidRPr="0079354F">
        <w:rPr>
          <w:sz w:val="24"/>
          <w:szCs w:val="24"/>
        </w:rPr>
        <w:t>Also, substitute teachers can go on line 2 or line 6 depending on how they are paid. If there is no withholding, their hours go on line 6. If they are paid within the payroll system with deductions for withholding, their hours go on line 2.</w:t>
      </w:r>
    </w:p>
    <w:p w14:paraId="46A48663" w14:textId="77777777" w:rsidR="006A6666" w:rsidRPr="0079354F" w:rsidRDefault="006A6666" w:rsidP="006A6666">
      <w:pPr>
        <w:rPr>
          <w:color w:val="000000" w:themeColor="text1"/>
        </w:rPr>
      </w:pPr>
    </w:p>
    <w:p w14:paraId="47FC1642" w14:textId="60675E60" w:rsidR="00297F22" w:rsidRPr="0079354F" w:rsidRDefault="00297F22" w:rsidP="00FC65BD">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Line 7: Materials and Supplies including Computing Devices: As per </w:t>
      </w:r>
      <w:hyperlink r:id="rId238">
        <w:r w:rsidRPr="23CFD7A5">
          <w:rPr>
            <w:rStyle w:val="Hyperlink"/>
            <w:rFonts w:ascii="Times New Roman" w:hAnsi="Times New Roman" w:cs="Times New Roman"/>
            <w:sz w:val="24"/>
            <w:szCs w:val="24"/>
          </w:rPr>
          <w:t>2 CRF Part 200</w:t>
        </w:r>
      </w:hyperlink>
      <w:r w:rsidRPr="0079354F">
        <w:rPr>
          <w:rFonts w:ascii="Times New Roman" w:hAnsi="Times New Roman" w:cs="Times New Roman"/>
          <w:sz w:val="24"/>
          <w:szCs w:val="24"/>
        </w:rPr>
        <w:t xml:space="preserve"> (specifically 2 CFR Part 200.302(b)(4), </w:t>
      </w:r>
      <w:r w:rsidR="006C54E7" w:rsidRPr="0079354F">
        <w:rPr>
          <w:rFonts w:ascii="Times New Roman" w:hAnsi="Times New Roman" w:cs="Times New Roman"/>
          <w:sz w:val="24"/>
          <w:szCs w:val="24"/>
        </w:rPr>
        <w:t xml:space="preserve">2 CFR Part </w:t>
      </w:r>
      <w:r w:rsidRPr="0079354F">
        <w:rPr>
          <w:rFonts w:ascii="Times New Roman" w:hAnsi="Times New Roman" w:cs="Times New Roman"/>
          <w:sz w:val="24"/>
          <w:szCs w:val="24"/>
        </w:rPr>
        <w:t xml:space="preserve">200.314, and </w:t>
      </w:r>
      <w:r w:rsidR="006C54E7" w:rsidRPr="0079354F">
        <w:rPr>
          <w:rFonts w:ascii="Times New Roman" w:hAnsi="Times New Roman" w:cs="Times New Roman"/>
          <w:sz w:val="24"/>
          <w:szCs w:val="24"/>
        </w:rPr>
        <w:t xml:space="preserve">2 CFR Part </w:t>
      </w:r>
      <w:r w:rsidRPr="0079354F">
        <w:rPr>
          <w:rFonts w:ascii="Times New Roman" w:hAnsi="Times New Roman" w:cs="Times New Roman"/>
          <w:sz w:val="24"/>
          <w:szCs w:val="24"/>
        </w:rPr>
        <w:t>200.453), costs for materials and supplies necessary to carry out a federal award are allowable. Materials and supplies</w:t>
      </w:r>
      <w:r w:rsidRPr="0079354F">
        <w:rPr>
          <w:rStyle w:val="FootnoteReference"/>
          <w:rFonts w:ascii="Times New Roman" w:hAnsi="Times New Roman" w:cs="Times New Roman"/>
          <w:sz w:val="24"/>
          <w:szCs w:val="24"/>
        </w:rPr>
        <w:footnoteReference w:id="41"/>
      </w:r>
      <w:r w:rsidRPr="0079354F">
        <w:rPr>
          <w:rFonts w:ascii="Times New Roman" w:hAnsi="Times New Roman" w:cs="Times New Roman"/>
          <w:sz w:val="24"/>
          <w:szCs w:val="24"/>
        </w:rPr>
        <w:t xml:space="preserve"> refer to all tangible property other than that described in the Equipment section below. Incoming transportation charges are a proper part of materials and supplies costs. Purchased materials and supplies must be charged at their actual prices. Grantees must maintain effective control and safeguard all </w:t>
      </w:r>
      <w:r w:rsidRPr="0079354F">
        <w:rPr>
          <w:rFonts w:ascii="Times New Roman" w:hAnsi="Times New Roman" w:cs="Times New Roman"/>
          <w:color w:val="000000" w:themeColor="text1"/>
          <w:sz w:val="24"/>
          <w:szCs w:val="24"/>
        </w:rPr>
        <w:t>assets</w:t>
      </w:r>
      <w:r w:rsidRPr="0079354F">
        <w:rPr>
          <w:rFonts w:ascii="Times New Roman" w:hAnsi="Times New Roman" w:cs="Times New Roman"/>
          <w:b/>
          <w:bCs/>
          <w:color w:val="000000" w:themeColor="text1"/>
          <w:sz w:val="24"/>
          <w:szCs w:val="24"/>
        </w:rPr>
        <w:t xml:space="preserve"> </w:t>
      </w:r>
      <w:r w:rsidRPr="0079354F">
        <w:rPr>
          <w:rFonts w:ascii="Times New Roman" w:hAnsi="Times New Roman" w:cs="Times New Roman"/>
          <w:color w:val="000000" w:themeColor="text1"/>
          <w:sz w:val="24"/>
          <w:szCs w:val="24"/>
        </w:rPr>
        <w:t>including technology</w:t>
      </w:r>
      <w:r w:rsidRPr="0079354F">
        <w:rPr>
          <w:rFonts w:ascii="Times New Roman" w:hAnsi="Times New Roman" w:cs="Times New Roman"/>
          <w:b/>
          <w:bCs/>
          <w:color w:val="000000" w:themeColor="text1"/>
          <w:sz w:val="24"/>
          <w:szCs w:val="24"/>
        </w:rPr>
        <w:t xml:space="preserve"> </w:t>
      </w:r>
      <w:r w:rsidRPr="0079354F">
        <w:rPr>
          <w:rFonts w:ascii="Times New Roman" w:hAnsi="Times New Roman" w:cs="Times New Roman"/>
          <w:color w:val="000000" w:themeColor="text1"/>
          <w:sz w:val="24"/>
          <w:szCs w:val="24"/>
        </w:rPr>
        <w:t xml:space="preserve">and assure </w:t>
      </w:r>
      <w:r w:rsidRPr="0079354F">
        <w:rPr>
          <w:rFonts w:ascii="Times New Roman" w:hAnsi="Times New Roman" w:cs="Times New Roman"/>
          <w:sz w:val="24"/>
          <w:szCs w:val="24"/>
        </w:rPr>
        <w:t>that they are used solely for authorized purposes regardless of cost.</w:t>
      </w:r>
    </w:p>
    <w:p w14:paraId="2CEEBC0B" w14:textId="77777777" w:rsidR="00297F22" w:rsidRPr="0079354F" w:rsidRDefault="00297F22" w:rsidP="22CF907E"/>
    <w:p w14:paraId="5DB0B235" w14:textId="77777777" w:rsidR="00297F22" w:rsidRPr="0079354F" w:rsidRDefault="00297F22" w:rsidP="22CF907E">
      <w:pPr>
        <w:tabs>
          <w:tab w:val="left" w:pos="360"/>
        </w:tabs>
        <w:ind w:left="360"/>
      </w:pPr>
      <w:r w:rsidRPr="0079354F">
        <w:t>Property records for computing devices and equipment must be maintained. Records must include a description of the property, a serial number or other identification number, the source of funding for the property, who holds title, the acquisition date and cost of the property, percentage of federal participation in the costs for the federal award under which the property was acquired, the location, use and condition of the property, and any ultimate disposition data including the date of disposal and, if applicable, sale price. Grantees are required to have a written inventory policy that includes technology.</w:t>
      </w:r>
    </w:p>
    <w:p w14:paraId="5EB18EA4" w14:textId="77777777" w:rsidR="00297F22" w:rsidRPr="0079354F" w:rsidRDefault="00297F22" w:rsidP="22CF907E"/>
    <w:p w14:paraId="5CBA1F4A" w14:textId="5DE832E1" w:rsidR="00297F22" w:rsidRPr="0079354F" w:rsidRDefault="00297F22" w:rsidP="22CF907E">
      <w:pPr>
        <w:ind w:left="360"/>
      </w:pPr>
      <w:r w:rsidRPr="0079354F">
        <w:t xml:space="preserve">As per </w:t>
      </w:r>
      <w:hyperlink r:id="rId239">
        <w:r w:rsidRPr="0079354F">
          <w:rPr>
            <w:rStyle w:val="Hyperlink"/>
          </w:rPr>
          <w:t>2 CFR Part 200.313</w:t>
        </w:r>
      </w:hyperlink>
      <w:r w:rsidRPr="0079354F">
        <w:t>, programs that have usable equipment and/or computing devices purchased with grant funding, which will no longer be used on behalf of an DESE-funded program, must notify their ACLS PS so the PS can facilitate the reallocation of the usable equipment and/or computing devices to programs in the region. Programs that wish to follow a different procedure for disposal of computing devices and equipment should submit a written request to the state director. (Note: Date of disposal and sale price, including the method used to determine fair market value, if applicable, must be added to the equipment inventory.)</w:t>
      </w:r>
    </w:p>
    <w:p w14:paraId="6B4F416E" w14:textId="77777777" w:rsidR="00297F22" w:rsidRPr="0079354F" w:rsidRDefault="00297F22" w:rsidP="22CF907E">
      <w:bookmarkStart w:id="125" w:name="_Toc481137864"/>
    </w:p>
    <w:p w14:paraId="5A8E1A36" w14:textId="14802697" w:rsidR="00297F22" w:rsidRPr="0079354F" w:rsidRDefault="4FD74A1F" w:rsidP="00FC65BD">
      <w:pPr>
        <w:pStyle w:val="ListParagraph"/>
        <w:numPr>
          <w:ilvl w:val="0"/>
          <w:numId w:val="46"/>
        </w:numPr>
        <w:spacing w:after="0" w:line="240" w:lineRule="auto"/>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Line 8: Travel: Costs for employees on official business incident to the project. </w:t>
      </w:r>
      <w:r w:rsidR="5A33F958" w:rsidRPr="0079354F">
        <w:rPr>
          <w:rFonts w:ascii="Times New Roman" w:eastAsia="Times New Roman" w:hAnsi="Times New Roman" w:cs="Times New Roman"/>
          <w:sz w:val="24"/>
          <w:szCs w:val="24"/>
        </w:rPr>
        <w:t xml:space="preserve">AEFLA Sec. 233 states that professional development (PD) expenses are administrative expenses. DESE </w:t>
      </w:r>
      <w:r w:rsidR="21E53071" w:rsidRPr="0079354F">
        <w:rPr>
          <w:rFonts w:ascii="Times New Roman" w:eastAsia="Times New Roman" w:hAnsi="Times New Roman" w:cs="Times New Roman"/>
          <w:sz w:val="24"/>
          <w:szCs w:val="24"/>
        </w:rPr>
        <w:t xml:space="preserve">further defines </w:t>
      </w:r>
      <w:r w:rsidR="5A33F958" w:rsidRPr="0079354F">
        <w:rPr>
          <w:rFonts w:ascii="Times New Roman" w:eastAsia="Times New Roman" w:hAnsi="Times New Roman" w:cs="Times New Roman"/>
          <w:sz w:val="24"/>
          <w:szCs w:val="24"/>
        </w:rPr>
        <w:t>administrative PD expenses to include non-SABES/MCAE registration fees and travel expenses, including out of state travel</w:t>
      </w:r>
      <w:r w:rsidR="2350A914" w:rsidRPr="0079354F">
        <w:rPr>
          <w:rFonts w:ascii="Times New Roman" w:eastAsia="Times New Roman" w:hAnsi="Times New Roman" w:cs="Times New Roman"/>
          <w:sz w:val="24"/>
          <w:szCs w:val="24"/>
        </w:rPr>
        <w:t xml:space="preserve"> </w:t>
      </w:r>
      <w:r w:rsidR="1D84F53A" w:rsidRPr="0079354F">
        <w:rPr>
          <w:rFonts w:ascii="Times New Roman" w:eastAsia="Times New Roman" w:hAnsi="Times New Roman" w:cs="Times New Roman"/>
          <w:sz w:val="24"/>
          <w:szCs w:val="24"/>
        </w:rPr>
        <w:t xml:space="preserve">but </w:t>
      </w:r>
      <w:r w:rsidR="5A33F958" w:rsidRPr="0079354F">
        <w:rPr>
          <w:rFonts w:ascii="Times New Roman" w:eastAsia="Times New Roman" w:hAnsi="Times New Roman" w:cs="Times New Roman"/>
          <w:sz w:val="24"/>
          <w:szCs w:val="24"/>
        </w:rPr>
        <w:t>SABES/MCAE training of direct service staff as instructional expenses.</w:t>
      </w:r>
      <w:r w:rsidRPr="0079354F">
        <w:rPr>
          <w:rFonts w:ascii="Times New Roman" w:eastAsia="Times New Roman" w:hAnsi="Times New Roman" w:cs="Times New Roman"/>
          <w:sz w:val="24"/>
          <w:szCs w:val="24"/>
        </w:rPr>
        <w:t xml:space="preserve"> </w:t>
      </w:r>
      <w:r w:rsidR="0CBA92EF" w:rsidRPr="0079354F">
        <w:rPr>
          <w:rFonts w:ascii="Times New Roman" w:eastAsia="Times New Roman" w:hAnsi="Times New Roman" w:cs="Times New Roman"/>
          <w:sz w:val="24"/>
          <w:szCs w:val="24"/>
        </w:rPr>
        <w:t xml:space="preserve">Costs must be consistent with the grantee’s standards for similar activities supported with other funds. </w:t>
      </w:r>
      <w:r w:rsidRPr="0079354F">
        <w:rPr>
          <w:rFonts w:ascii="Times New Roman" w:eastAsia="Times New Roman" w:hAnsi="Times New Roman" w:cs="Times New Roman"/>
          <w:sz w:val="24"/>
          <w:szCs w:val="24"/>
        </w:rPr>
        <w:t>Out of state travel must be approved by DESE and travel reimbursements must be reasonable, allowable</w:t>
      </w:r>
      <w:r w:rsidR="4A4119E5"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and related to grant activities.</w:t>
      </w:r>
    </w:p>
    <w:p w14:paraId="18907032" w14:textId="77777777" w:rsidR="00297F22" w:rsidRPr="0079354F" w:rsidRDefault="00297F22" w:rsidP="22CF907E"/>
    <w:p w14:paraId="782CFB30" w14:textId="77F0BA4F" w:rsidR="00297F22" w:rsidRPr="0079354F" w:rsidRDefault="00297F22" w:rsidP="00FC65BD">
      <w:pPr>
        <w:pStyle w:val="ListParagraph"/>
        <w:numPr>
          <w:ilvl w:val="0"/>
          <w:numId w:val="4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Line 9: Other: This line includes the allocable costs related to a Single Audit for grantees that expended an aggregate amount of federal funds of $750,000 or greater for the fiscal year. In addition, classroom space costs required to meet the additional needs of the grant that were not included in the grantee’s proposal (e.g., a satellite space at a request by DESE to provide additional services).</w:t>
      </w:r>
    </w:p>
    <w:p w14:paraId="70AD5626" w14:textId="77777777" w:rsidR="00297F22" w:rsidRPr="0079354F" w:rsidRDefault="00297F22" w:rsidP="22CF907E"/>
    <w:p w14:paraId="44CED76E" w14:textId="012E6263" w:rsidR="00297F22" w:rsidRPr="0079354F" w:rsidRDefault="00297F22" w:rsidP="00FC65BD">
      <w:pPr>
        <w:pStyle w:val="ListParagraph"/>
        <w:numPr>
          <w:ilvl w:val="0"/>
          <w:numId w:val="4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Line 10: </w:t>
      </w:r>
      <w:hyperlink r:id="rId240" w:history="1">
        <w:r w:rsidRPr="0079354F">
          <w:rPr>
            <w:rStyle w:val="Hyperlink"/>
            <w:rFonts w:ascii="Times New Roman" w:hAnsi="Times New Roman" w:cs="Times New Roman"/>
            <w:sz w:val="24"/>
            <w:szCs w:val="24"/>
          </w:rPr>
          <w:t>Indirect Costs</w:t>
        </w:r>
      </w:hyperlink>
      <w:r w:rsidRPr="0079354F">
        <w:rPr>
          <w:rFonts w:ascii="Times New Roman" w:hAnsi="Times New Roman" w:cs="Times New Roman"/>
          <w:sz w:val="24"/>
          <w:szCs w:val="24"/>
        </w:rPr>
        <w:t xml:space="preserve"> (IDC): The AE services program is a restricted rate</w:t>
      </w:r>
      <w:r w:rsidR="009C5ECE" w:rsidRPr="0079354F">
        <w:rPr>
          <w:rFonts w:ascii="Times New Roman" w:hAnsi="Times New Roman" w:cs="Times New Roman"/>
          <w:sz w:val="24"/>
          <w:szCs w:val="24"/>
        </w:rPr>
        <w:t xml:space="preserve"> </w:t>
      </w:r>
      <w:r w:rsidRPr="0079354F">
        <w:rPr>
          <w:rFonts w:ascii="Times New Roman" w:hAnsi="Times New Roman" w:cs="Times New Roman"/>
          <w:sz w:val="24"/>
          <w:szCs w:val="24"/>
        </w:rPr>
        <w:t xml:space="preserve">program that is subject to a statutory supplement not supplant restriction. As per </w:t>
      </w:r>
      <w:hyperlink r:id="rId241">
        <w:r w:rsidRPr="1E8607B9">
          <w:rPr>
            <w:rStyle w:val="Hyperlink"/>
            <w:rFonts w:ascii="Times New Roman" w:hAnsi="Times New Roman" w:cs="Times New Roman"/>
            <w:sz w:val="24"/>
            <w:szCs w:val="24"/>
          </w:rPr>
          <w:t>2 CRF Part 200.56</w:t>
        </w:r>
      </w:hyperlink>
      <w:r w:rsidRPr="0079354F">
        <w:rPr>
          <w:rFonts w:ascii="Times New Roman" w:hAnsi="Times New Roman" w:cs="Times New Roman"/>
          <w:sz w:val="24"/>
          <w:szCs w:val="24"/>
        </w:rPr>
        <w:t xml:space="preserve"> </w:t>
      </w:r>
      <w:r w:rsidRPr="0079354F">
        <w:rPr>
          <w:rFonts w:ascii="Times New Roman" w:hAnsi="Times New Roman" w:cs="Times New Roman"/>
          <w:color w:val="000000" w:themeColor="text1"/>
          <w:sz w:val="24"/>
          <w:szCs w:val="24"/>
        </w:rPr>
        <w:t>and</w:t>
      </w:r>
      <w:r w:rsidR="00D83EAD" w:rsidRPr="0079354F">
        <w:rPr>
          <w:rFonts w:ascii="Times New Roman" w:hAnsi="Times New Roman" w:cs="Times New Roman"/>
          <w:color w:val="000000" w:themeColor="text1"/>
          <w:sz w:val="24"/>
          <w:szCs w:val="24"/>
        </w:rPr>
        <w:t xml:space="preserve"> </w:t>
      </w:r>
      <w:hyperlink r:id="rId242">
        <w:r w:rsidRPr="1E8607B9">
          <w:rPr>
            <w:rStyle w:val="Hyperlink"/>
            <w:rFonts w:ascii="Times New Roman" w:hAnsi="Times New Roman" w:cs="Times New Roman"/>
            <w:sz w:val="24"/>
            <w:szCs w:val="24"/>
          </w:rPr>
          <w:t xml:space="preserve">34 CFR Part </w:t>
        </w:r>
        <w:r w:rsidR="00F2689B" w:rsidRPr="1E8607B9">
          <w:rPr>
            <w:rStyle w:val="Hyperlink"/>
            <w:rFonts w:ascii="Times New Roman" w:hAnsi="Times New Roman" w:cs="Times New Roman"/>
            <w:sz w:val="24"/>
            <w:szCs w:val="24"/>
          </w:rPr>
          <w:t>76.</w:t>
        </w:r>
        <w:r w:rsidRPr="1E8607B9">
          <w:rPr>
            <w:rStyle w:val="Hyperlink"/>
            <w:rFonts w:ascii="Times New Roman" w:hAnsi="Times New Roman" w:cs="Times New Roman"/>
            <w:sz w:val="24"/>
            <w:szCs w:val="24"/>
          </w:rPr>
          <w:t>56</w:t>
        </w:r>
        <w:r w:rsidR="00D94A61" w:rsidRPr="1E8607B9">
          <w:rPr>
            <w:rStyle w:val="Hyperlink"/>
            <w:rFonts w:ascii="Times New Roman" w:hAnsi="Times New Roman" w:cs="Times New Roman"/>
            <w:sz w:val="24"/>
            <w:szCs w:val="24"/>
          </w:rPr>
          <w:t>3</w:t>
        </w:r>
        <w:r w:rsidRPr="1E8607B9">
          <w:rPr>
            <w:rStyle w:val="Hyperlink"/>
            <w:rFonts w:ascii="Times New Roman" w:hAnsi="Times New Roman" w:cs="Times New Roman"/>
            <w:sz w:val="24"/>
            <w:szCs w:val="24"/>
          </w:rPr>
          <w:t>-569</w:t>
        </w:r>
      </w:hyperlink>
      <w:r w:rsidR="009C5ECE" w:rsidRPr="0079354F">
        <w:rPr>
          <w:rStyle w:val="FootnoteReference"/>
          <w:rFonts w:ascii="Times New Roman" w:hAnsi="Times New Roman" w:cs="Times New Roman"/>
          <w:sz w:val="24"/>
          <w:szCs w:val="24"/>
        </w:rPr>
        <w:footnoteReference w:id="42"/>
      </w:r>
      <w:r w:rsidRPr="0079354F">
        <w:rPr>
          <w:rFonts w:ascii="Times New Roman" w:hAnsi="Times New Roman" w:cs="Times New Roman"/>
          <w:sz w:val="24"/>
          <w:szCs w:val="24"/>
        </w:rPr>
        <w:t xml:space="preserve">, grantees are </w:t>
      </w:r>
      <w:r w:rsidRPr="0079354F">
        <w:rPr>
          <w:rFonts w:ascii="Times New Roman" w:hAnsi="Times New Roman" w:cs="Times New Roman"/>
          <w:color w:val="000000" w:themeColor="text1"/>
          <w:sz w:val="24"/>
          <w:szCs w:val="24"/>
        </w:rPr>
        <w:t>allowed</w:t>
      </w:r>
      <w:r w:rsidRPr="0079354F">
        <w:rPr>
          <w:rFonts w:ascii="Times New Roman" w:hAnsi="Times New Roman" w:cs="Times New Roman"/>
          <w:color w:val="FF0000"/>
          <w:sz w:val="24"/>
          <w:szCs w:val="24"/>
        </w:rPr>
        <w:t xml:space="preserve"> </w:t>
      </w:r>
      <w:r w:rsidRPr="0079354F">
        <w:rPr>
          <w:rFonts w:ascii="Times New Roman" w:hAnsi="Times New Roman" w:cs="Times New Roman"/>
          <w:sz w:val="24"/>
          <w:szCs w:val="24"/>
        </w:rPr>
        <w:t xml:space="preserve">a restricted IDC rate of eight (8) percent, unless their calculated </w:t>
      </w:r>
      <w:r w:rsidRPr="0079354F">
        <w:rPr>
          <w:rFonts w:ascii="Times New Roman" w:hAnsi="Times New Roman" w:cs="Times New Roman"/>
          <w:color w:val="000000" w:themeColor="text1"/>
          <w:sz w:val="24"/>
          <w:szCs w:val="24"/>
        </w:rPr>
        <w:t xml:space="preserve">restricted </w:t>
      </w:r>
      <w:r w:rsidRPr="0079354F">
        <w:rPr>
          <w:rFonts w:ascii="Times New Roman" w:hAnsi="Times New Roman" w:cs="Times New Roman"/>
          <w:sz w:val="24"/>
          <w:szCs w:val="24"/>
        </w:rPr>
        <w:t xml:space="preserve">IDC rates are less than 8%, in which case they must use the lower rate. If a grantee has an approved negotiated federal IDC rate, it must be submitted to DESE. If a grantee does not have an approved IDC rate, the grantee must </w:t>
      </w:r>
      <w:r w:rsidRPr="0079354F">
        <w:rPr>
          <w:rFonts w:ascii="Times New Roman" w:hAnsi="Times New Roman" w:cs="Times New Roman"/>
          <w:color w:val="000000" w:themeColor="text1"/>
          <w:sz w:val="24"/>
          <w:szCs w:val="24"/>
        </w:rPr>
        <w:t>negotiate a restricted indirect cost rate with DESE</w:t>
      </w:r>
      <w:r w:rsidRPr="0079354F">
        <w:rPr>
          <w:rFonts w:ascii="Times New Roman" w:hAnsi="Times New Roman" w:cs="Times New Roman"/>
          <w:sz w:val="24"/>
          <w:szCs w:val="24"/>
        </w:rPr>
        <w:t xml:space="preserve">. The IDC rate is calculated using costs specified in the grantee's IDC plan. </w:t>
      </w:r>
      <w:r w:rsidRPr="0079354F">
        <w:rPr>
          <w:rFonts w:ascii="Times New Roman" w:hAnsi="Times New Roman" w:cs="Times New Roman"/>
          <w:color w:val="000000" w:themeColor="text1"/>
          <w:sz w:val="24"/>
          <w:szCs w:val="24"/>
        </w:rPr>
        <w:t xml:space="preserve">The grantee must provide documentation to support the costs related to general administration. Other costs are the executive director and department heads that do not have organization wide duties. The costs included in the indirect cost rate proposal cannot be charged as direct costs on other federal or nonfederal programs and must be allowable costs under the cost principles of </w:t>
      </w:r>
      <w:hyperlink r:id="rId243">
        <w:r w:rsidRPr="1E8607B9">
          <w:rPr>
            <w:rStyle w:val="Hyperlink"/>
            <w:rFonts w:ascii="Times New Roman" w:hAnsi="Times New Roman" w:cs="Times New Roman"/>
            <w:sz w:val="24"/>
            <w:szCs w:val="24"/>
          </w:rPr>
          <w:t>2 CFR Part 200 Subpart E</w:t>
        </w:r>
      </w:hyperlink>
      <w:r w:rsidRPr="0079354F">
        <w:rPr>
          <w:rFonts w:ascii="Times New Roman" w:hAnsi="Times New Roman" w:cs="Times New Roman"/>
          <w:color w:val="000000" w:themeColor="text1"/>
          <w:sz w:val="24"/>
          <w:szCs w:val="24"/>
        </w:rPr>
        <w:t>.</w:t>
      </w:r>
    </w:p>
    <w:p w14:paraId="4E2B78E4" w14:textId="77777777" w:rsidR="00297F22" w:rsidRPr="0079354F" w:rsidRDefault="00297F22" w:rsidP="22CF907E"/>
    <w:p w14:paraId="74C9AC2D" w14:textId="77777777" w:rsidR="00297F22" w:rsidRPr="0079354F" w:rsidRDefault="00297F22" w:rsidP="22CF907E">
      <w:pPr>
        <w:ind w:left="360"/>
      </w:pPr>
      <w:r w:rsidRPr="0079354F">
        <w:t xml:space="preserve">Grantees must annually apply to DESE </w:t>
      </w:r>
      <w:r w:rsidRPr="0079354F">
        <w:rPr>
          <w:color w:val="000000" w:themeColor="text1"/>
        </w:rPr>
        <w:t xml:space="preserve">Audit &amp; Compliance Unit </w:t>
      </w:r>
      <w:r w:rsidRPr="0079354F">
        <w:t>for an approved IDC rate prior to submission of grant applications. Grantees that do not have an approved IDC rate will not be able to claim indirect costs.</w:t>
      </w:r>
    </w:p>
    <w:p w14:paraId="77DF2305" w14:textId="77777777" w:rsidR="00297F22" w:rsidRPr="0079354F" w:rsidRDefault="00297F22" w:rsidP="22CF907E"/>
    <w:p w14:paraId="57E1C979" w14:textId="77777777" w:rsidR="00D83EAD" w:rsidRPr="0079354F" w:rsidRDefault="00297F22" w:rsidP="22CF907E">
      <w:pPr>
        <w:ind w:left="360"/>
      </w:pPr>
      <w:r w:rsidRPr="0079354F">
        <w:t>When the direct grantee and a subcontractor both have approved DESE IDC rates, both agencies may charge indirect costs to the grant. However, the total dollar amount charged for indirect costs must not exceed the maximum IDC dollar amount for which the direct grantee is eligible.</w:t>
      </w:r>
    </w:p>
    <w:p w14:paraId="39E9C64C" w14:textId="77777777" w:rsidR="00D83EAD" w:rsidRPr="0079354F" w:rsidRDefault="00D83EAD" w:rsidP="00BA70E8"/>
    <w:p w14:paraId="543B240D" w14:textId="7F42A410" w:rsidR="00D83EAD" w:rsidRPr="0079354F" w:rsidRDefault="00297F22" w:rsidP="22CF907E">
      <w:pPr>
        <w:ind w:left="360"/>
      </w:pPr>
      <w:r w:rsidRPr="0079354F">
        <w:t xml:space="preserve">When the direct grantee has an approved IDC rate, but the </w:t>
      </w:r>
      <w:r w:rsidR="00067154" w:rsidRPr="0079354F">
        <w:t>sub awardee</w:t>
      </w:r>
      <w:r w:rsidRPr="0079354F">
        <w:t xml:space="preserve">/subcontractor does not have an approved IDC from a federal cognizant agency or DESE, the </w:t>
      </w:r>
      <w:r w:rsidR="00067154" w:rsidRPr="0079354F">
        <w:t>sub awardee</w:t>
      </w:r>
      <w:r w:rsidRPr="0079354F">
        <w:t xml:space="preserve">/subcontractor may </w:t>
      </w:r>
      <w:r w:rsidRPr="0079354F">
        <w:rPr>
          <w:color w:val="000000" w:themeColor="text1"/>
        </w:rPr>
        <w:t xml:space="preserve">not charge an IDC rate. If the </w:t>
      </w:r>
      <w:r w:rsidR="00067154" w:rsidRPr="0079354F">
        <w:rPr>
          <w:color w:val="000000" w:themeColor="text1"/>
        </w:rPr>
        <w:t>sub awardee</w:t>
      </w:r>
      <w:r w:rsidRPr="0079354F">
        <w:rPr>
          <w:color w:val="000000" w:themeColor="text1"/>
        </w:rPr>
        <w:t xml:space="preserve">/subcontractor has a federal negotiated rate agreement it must be sent to DESE Audit &amp; Compliance for review and approval. Upon approval, the </w:t>
      </w:r>
      <w:r w:rsidR="00067154" w:rsidRPr="0079354F">
        <w:rPr>
          <w:color w:val="000000" w:themeColor="text1"/>
        </w:rPr>
        <w:t>sub awardee</w:t>
      </w:r>
      <w:r w:rsidRPr="0079354F">
        <w:rPr>
          <w:color w:val="000000" w:themeColor="text1"/>
        </w:rPr>
        <w:t xml:space="preserve">/subcontractor may charge the approved IDC rate allowed which will be limited to a maximum of 8% as </w:t>
      </w:r>
      <w:r w:rsidRPr="0079354F">
        <w:t>long as the dollar amount of the total indirect charged to the grant does not exceed the maximum dollar amount for which the direct grantee is eligible.</w:t>
      </w:r>
    </w:p>
    <w:p w14:paraId="491E84E0" w14:textId="77777777" w:rsidR="00D83EAD" w:rsidRPr="0079354F" w:rsidRDefault="00D83EAD" w:rsidP="00BA70E8"/>
    <w:p w14:paraId="464F6D94" w14:textId="7BE2DBFD" w:rsidR="00297F22" w:rsidRPr="0079354F" w:rsidRDefault="00297F22" w:rsidP="22CF907E">
      <w:pPr>
        <w:ind w:left="360"/>
      </w:pPr>
      <w:r w:rsidRPr="0079354F">
        <w:t xml:space="preserve">When a subcontractor has an approved IDC rate, but the direct grantee does not, the subcontractor </w:t>
      </w:r>
      <w:r w:rsidRPr="0079354F">
        <w:rPr>
          <w:color w:val="000000" w:themeColor="text1"/>
        </w:rPr>
        <w:t xml:space="preserve">may </w:t>
      </w:r>
      <w:r w:rsidRPr="0079354F">
        <w:t>claim an IDC. Subcontractors are bound by the maximum amount the direct grantee can charge under the grantee’s approved indirect rate.</w:t>
      </w:r>
    </w:p>
    <w:p w14:paraId="702B9CDB" w14:textId="77777777" w:rsidR="00297F22" w:rsidRPr="0079354F" w:rsidRDefault="00297F22" w:rsidP="22CF907E"/>
    <w:p w14:paraId="542D7272" w14:textId="3EA1C399" w:rsidR="00297F22" w:rsidRPr="0079354F" w:rsidRDefault="00297F22" w:rsidP="00FC65BD">
      <w:pPr>
        <w:pStyle w:val="ListParagraph"/>
        <w:numPr>
          <w:ilvl w:val="0"/>
          <w:numId w:val="46"/>
        </w:numPr>
        <w:spacing w:after="0" w:line="240" w:lineRule="auto"/>
        <w:rPr>
          <w:rFonts w:ascii="Times New Roman" w:hAnsi="Times New Roman" w:cs="Times New Roman"/>
          <w:sz w:val="24"/>
          <w:szCs w:val="24"/>
        </w:rPr>
      </w:pPr>
      <w:r w:rsidRPr="1E8607B9">
        <w:rPr>
          <w:rFonts w:ascii="Times New Roman" w:hAnsi="Times New Roman" w:cs="Times New Roman"/>
          <w:sz w:val="24"/>
          <w:szCs w:val="24"/>
        </w:rPr>
        <w:t xml:space="preserve">Line 11: Equipment: As per </w:t>
      </w:r>
      <w:hyperlink r:id="rId244" w:history="1">
        <w:r w:rsidRPr="0079356D">
          <w:rPr>
            <w:rStyle w:val="Hyperlink"/>
            <w:rFonts w:ascii="Times New Roman" w:hAnsi="Times New Roman" w:cs="Times New Roman"/>
            <w:sz w:val="24"/>
            <w:szCs w:val="24"/>
          </w:rPr>
          <w:t>2 CFR Parts 200.33, 200.313, 200.453, and 200.439</w:t>
        </w:r>
      </w:hyperlink>
      <w:r w:rsidRPr="1E8607B9">
        <w:rPr>
          <w:rFonts w:ascii="Times New Roman" w:hAnsi="Times New Roman" w:cs="Times New Roman"/>
          <w:sz w:val="24"/>
          <w:szCs w:val="24"/>
        </w:rPr>
        <w:t>, equipment is tangible, nonexpendable, property having a useful life of more than one year and an acquisition cost of $5,000 or more per unit. Equipment must be used in the program for which it was acquired. Grantees must not encumber the property without prior approval from DESE.</w:t>
      </w:r>
    </w:p>
    <w:p w14:paraId="6E8C670A" w14:textId="77777777" w:rsidR="00297F22" w:rsidRPr="0079354F" w:rsidRDefault="00297F22" w:rsidP="22CF907E"/>
    <w:bookmarkEnd w:id="125"/>
    <w:p w14:paraId="5126E897" w14:textId="51FC6135" w:rsidR="00187183" w:rsidRPr="00187183" w:rsidRDefault="00297F22" w:rsidP="00D2172C">
      <w:pPr>
        <w:ind w:left="360"/>
      </w:pPr>
      <w:r w:rsidRPr="0079354F">
        <w:t xml:space="preserve">During the time that equipment is used in the program for which it was acquired, grantees must also make equipment available for use on other programs currently or previously supported by the federal government, provided that such use will not interfere with the work on the program for which it was originally acquired. First preference must be given to other programs supported by the federal awarding agency that financed the equipment and second preference must be given to programs under federal awards from other federal awarding agencies. Use for non-federally-funded programs and projects is also permissible. User fees should be considered if appropriate. (Note: The most common use of AE funds for equipment is for training equipment used in the implementation of </w:t>
      </w:r>
      <w:r w:rsidR="004D406A" w:rsidRPr="0079354F">
        <w:t xml:space="preserve">MassSTEP ABE </w:t>
      </w:r>
      <w:r w:rsidRPr="0079354F">
        <w:t xml:space="preserve">and </w:t>
      </w:r>
      <w:r w:rsidR="004D406A" w:rsidRPr="0079354F">
        <w:t>Mass STEP ESOL</w:t>
      </w:r>
      <w:r w:rsidRPr="0079354F">
        <w:t xml:space="preserve"> grants.)</w:t>
      </w:r>
    </w:p>
    <w:sectPr w:rsidR="00187183" w:rsidRPr="00187183">
      <w:headerReference w:type="default" r:id="rId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FC8DE" w14:textId="77777777" w:rsidR="00695FC4" w:rsidRDefault="00695FC4">
      <w:r>
        <w:separator/>
      </w:r>
    </w:p>
  </w:endnote>
  <w:endnote w:type="continuationSeparator" w:id="0">
    <w:p w14:paraId="71C122F8" w14:textId="77777777" w:rsidR="00695FC4" w:rsidRDefault="00695FC4">
      <w:r>
        <w:continuationSeparator/>
      </w:r>
    </w:p>
  </w:endnote>
  <w:endnote w:type="continuationNotice" w:id="1">
    <w:p w14:paraId="30A7A7AD" w14:textId="77777777" w:rsidR="00695FC4" w:rsidRDefault="0069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815B" w14:textId="77777777" w:rsidR="00CA34AD" w:rsidRPr="00E6141E" w:rsidRDefault="00CA34AD" w:rsidP="00D74AB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2317" w14:textId="77777777" w:rsidR="00CA34AD" w:rsidRPr="008A4E8F" w:rsidRDefault="00CA34AD" w:rsidP="008A4E8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7116"/>
      <w:docPartObj>
        <w:docPartGallery w:val="Page Numbers (Bottom of Page)"/>
        <w:docPartUnique/>
      </w:docPartObj>
    </w:sdtPr>
    <w:sdtEndPr/>
    <w:sdtContent>
      <w:p w14:paraId="6F899BA8" w14:textId="74608800" w:rsidR="00CA34AD" w:rsidRPr="008B471D" w:rsidRDefault="00CA34AD" w:rsidP="00D1300A">
        <w:pPr>
          <w:rPr>
            <w:sz w:val="20"/>
            <w:szCs w:val="20"/>
          </w:rPr>
        </w:pPr>
        <w:r w:rsidRPr="008B471D">
          <w:rPr>
            <w:rFonts w:eastAsia="Batang"/>
            <w:bCs/>
            <w:color w:val="0000CC"/>
            <w:sz w:val="20"/>
            <w:szCs w:val="20"/>
          </w:rPr>
          <w:t>FY</w:t>
        </w:r>
        <w:r w:rsidR="00652434" w:rsidRPr="008B471D">
          <w:rPr>
            <w:rFonts w:eastAsia="Batang"/>
            <w:bCs/>
            <w:color w:val="0000CC"/>
            <w:sz w:val="20"/>
            <w:szCs w:val="20"/>
          </w:rPr>
          <w:t>24</w:t>
        </w:r>
        <w:r w:rsidRPr="008B471D">
          <w:rPr>
            <w:rFonts w:eastAsia="Batang"/>
            <w:bCs/>
            <w:color w:val="0000CC"/>
            <w:sz w:val="20"/>
            <w:szCs w:val="20"/>
          </w:rPr>
          <w:t>-FY2</w:t>
        </w:r>
        <w:r w:rsidR="00652434" w:rsidRPr="008B471D">
          <w:rPr>
            <w:rFonts w:eastAsia="Batang"/>
            <w:bCs/>
            <w:color w:val="0000CC"/>
            <w:sz w:val="20"/>
            <w:szCs w:val="20"/>
          </w:rPr>
          <w:t>8</w:t>
        </w:r>
        <w:r w:rsidRPr="008B471D">
          <w:rPr>
            <w:rFonts w:eastAsia="Batang"/>
            <w:bCs/>
            <w:color w:val="0000CC"/>
            <w:sz w:val="20"/>
            <w:szCs w:val="20"/>
          </w:rPr>
          <w:t xml:space="preserve"> Massachusetts Policies for Effective Adult Education (</w:t>
        </w:r>
        <w:r w:rsidR="00A61EE3" w:rsidRPr="008B471D">
          <w:rPr>
            <w:rFonts w:eastAsia="Batang"/>
            <w:bCs/>
            <w:color w:val="0000CC"/>
            <w:sz w:val="20"/>
            <w:szCs w:val="20"/>
          </w:rPr>
          <w:t xml:space="preserve">Revised </w:t>
        </w:r>
        <w:r w:rsidR="00652434" w:rsidRPr="008B471D">
          <w:rPr>
            <w:rFonts w:eastAsia="Batang"/>
            <w:bCs/>
            <w:color w:val="0000CC"/>
            <w:sz w:val="20"/>
            <w:szCs w:val="20"/>
          </w:rPr>
          <w:t>July 2022</w:t>
        </w:r>
        <w:r w:rsidRPr="008B471D">
          <w:rPr>
            <w:rFonts w:eastAsia="Batang"/>
            <w:bCs/>
            <w:color w:val="0000CC"/>
            <w:sz w:val="20"/>
            <w:szCs w:val="20"/>
          </w:rPr>
          <w:t>)</w:t>
        </w:r>
      </w:p>
      <w:p w14:paraId="0D2560BD" w14:textId="6787A16E" w:rsidR="00CA34AD" w:rsidRPr="00816BD5" w:rsidRDefault="00CA34AD" w:rsidP="003471D7">
        <w:pPr>
          <w:pStyle w:val="Footer"/>
          <w:tabs>
            <w:tab w:val="clear" w:pos="4320"/>
            <w:tab w:val="clear" w:pos="8640"/>
          </w:tabs>
        </w:pPr>
        <w:r w:rsidRPr="008B471D">
          <w:rPr>
            <w:rFonts w:eastAsia="Batang"/>
            <w:bCs/>
            <w:color w:val="B85808"/>
            <w:sz w:val="20"/>
            <w:szCs w:val="20"/>
          </w:rPr>
          <w:t>in Community Adult Learning Centers and Correctional Institutions</w:t>
        </w:r>
        <w:r w:rsidRPr="00187183">
          <w:rPr>
            <w:rFonts w:eastAsia="Batang"/>
            <w:bCs/>
            <w:color w:val="B85808"/>
            <w:sz w:val="20"/>
            <w:szCs w:val="20"/>
          </w:rPr>
          <w:t xml:space="preserve">                         </w:t>
        </w:r>
        <w:r>
          <w:rPr>
            <w:rFonts w:eastAsia="Batang"/>
            <w:bCs/>
            <w:color w:val="E36C0A" w:themeColor="accent6" w:themeShade="BF"/>
            <w:sz w:val="20"/>
            <w:szCs w:val="20"/>
          </w:rPr>
          <w:t xml:space="preserve">                                                </w:t>
        </w:r>
        <w:r w:rsidRPr="00D93AD0">
          <w:rPr>
            <w:rFonts w:eastAsia="Batang"/>
            <w:bCs/>
            <w:color w:val="E36C0A" w:themeColor="accent6" w:themeShade="BF"/>
            <w:sz w:val="20"/>
            <w:szCs w:val="20"/>
          </w:rPr>
          <w:t xml:space="preserve"> </w:t>
        </w:r>
        <w:r w:rsidRPr="00D93AD0">
          <w:rPr>
            <w:color w:val="2B579A"/>
            <w:sz w:val="20"/>
            <w:szCs w:val="20"/>
            <w:shd w:val="clear" w:color="auto" w:fill="E6E6E6"/>
          </w:rPr>
          <w:fldChar w:fldCharType="begin"/>
        </w:r>
        <w:r w:rsidRPr="00D93AD0">
          <w:rPr>
            <w:sz w:val="20"/>
            <w:szCs w:val="20"/>
          </w:rPr>
          <w:instrText xml:space="preserve"> PAGE   \* MERGEFORMAT </w:instrText>
        </w:r>
        <w:r w:rsidRPr="00D93AD0">
          <w:rPr>
            <w:color w:val="2B579A"/>
            <w:sz w:val="20"/>
            <w:szCs w:val="20"/>
            <w:shd w:val="clear" w:color="auto" w:fill="E6E6E6"/>
          </w:rPr>
          <w:fldChar w:fldCharType="separate"/>
        </w:r>
        <w:r>
          <w:rPr>
            <w:noProof/>
            <w:sz w:val="20"/>
            <w:szCs w:val="20"/>
          </w:rPr>
          <w:t>9</w:t>
        </w:r>
        <w:r w:rsidRPr="00D93AD0">
          <w:rPr>
            <w:color w:val="2B579A"/>
            <w:sz w:val="20"/>
            <w:szCs w:val="20"/>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961D" w14:textId="32B48845" w:rsidR="00CA34AD" w:rsidRPr="002A5DE1" w:rsidRDefault="00CA34AD" w:rsidP="00D93AD0">
    <w:pPr>
      <w:rPr>
        <w:sz w:val="20"/>
        <w:szCs w:val="20"/>
      </w:rPr>
    </w:pPr>
    <w:r w:rsidRPr="002A5DE1">
      <w:rPr>
        <w:rFonts w:eastAsia="Batang"/>
        <w:bCs/>
        <w:color w:val="0000CC"/>
        <w:sz w:val="20"/>
        <w:szCs w:val="20"/>
      </w:rPr>
      <w:t>FY</w:t>
    </w:r>
    <w:r w:rsidR="00652434" w:rsidRPr="002A5DE1">
      <w:rPr>
        <w:rFonts w:eastAsia="Batang"/>
        <w:bCs/>
        <w:color w:val="0000CC"/>
        <w:sz w:val="20"/>
        <w:szCs w:val="20"/>
      </w:rPr>
      <w:t>24</w:t>
    </w:r>
    <w:r w:rsidRPr="002A5DE1">
      <w:rPr>
        <w:rFonts w:eastAsia="Batang"/>
        <w:bCs/>
        <w:color w:val="0000CC"/>
        <w:sz w:val="20"/>
        <w:szCs w:val="20"/>
      </w:rPr>
      <w:t>-FY2</w:t>
    </w:r>
    <w:r w:rsidR="00652434" w:rsidRPr="002A5DE1">
      <w:rPr>
        <w:rFonts w:eastAsia="Batang"/>
        <w:bCs/>
        <w:color w:val="0000CC"/>
        <w:sz w:val="20"/>
        <w:szCs w:val="20"/>
      </w:rPr>
      <w:t>8</w:t>
    </w:r>
    <w:r w:rsidRPr="002A5DE1">
      <w:rPr>
        <w:rFonts w:eastAsia="Batang"/>
        <w:bCs/>
        <w:color w:val="0000CC"/>
        <w:sz w:val="20"/>
        <w:szCs w:val="20"/>
      </w:rPr>
      <w:t xml:space="preserve"> Massachusetts Policies for Effective Adult Education </w:t>
    </w:r>
    <w:r w:rsidR="00A61EE3" w:rsidRPr="002A5DE1">
      <w:rPr>
        <w:rFonts w:eastAsia="Batang"/>
        <w:bCs/>
        <w:color w:val="0000CC"/>
        <w:sz w:val="20"/>
        <w:szCs w:val="20"/>
      </w:rPr>
      <w:t xml:space="preserve">(Revised </w:t>
    </w:r>
    <w:r w:rsidR="00652434" w:rsidRPr="002A5DE1">
      <w:rPr>
        <w:rFonts w:eastAsia="Batang"/>
        <w:bCs/>
        <w:color w:val="0000CC"/>
        <w:sz w:val="20"/>
        <w:szCs w:val="20"/>
      </w:rPr>
      <w:t>July 2022</w:t>
    </w:r>
    <w:r w:rsidRPr="002A5DE1">
      <w:rPr>
        <w:rFonts w:eastAsia="Batang"/>
        <w:bCs/>
        <w:color w:val="0000CC"/>
        <w:sz w:val="20"/>
        <w:szCs w:val="20"/>
      </w:rPr>
      <w:t>)</w:t>
    </w:r>
  </w:p>
  <w:p w14:paraId="5C048E81" w14:textId="77777777" w:rsidR="00CA34AD" w:rsidRPr="005E634C" w:rsidRDefault="00CA34AD" w:rsidP="00D93AD0">
    <w:pPr>
      <w:rPr>
        <w:rFonts w:eastAsia="Batang"/>
        <w:bCs/>
        <w:color w:val="0000CC"/>
        <w:sz w:val="22"/>
        <w:szCs w:val="22"/>
      </w:rPr>
    </w:pPr>
    <w:r w:rsidRPr="002A5DE1">
      <w:rPr>
        <w:rFonts w:eastAsia="Batang"/>
        <w:bCs/>
        <w:color w:val="B85808"/>
        <w:sz w:val="20"/>
        <w:szCs w:val="20"/>
      </w:rPr>
      <w:t>in Community Adult Learning Centers and Correctional Institutions</w:t>
    </w:r>
    <w:r w:rsidRPr="00187183">
      <w:rPr>
        <w:rFonts w:eastAsia="Batang"/>
        <w:bCs/>
        <w:color w:val="B85808"/>
        <w:sz w:val="20"/>
        <w:szCs w:val="20"/>
      </w:rPr>
      <w:t xml:space="preserve">                         </w:t>
    </w:r>
    <w:r>
      <w:rPr>
        <w:rFonts w:eastAsia="Batang"/>
        <w:bCs/>
        <w:color w:val="E36C0A" w:themeColor="accent6" w:themeShade="BF"/>
        <w:sz w:val="20"/>
        <w:szCs w:val="20"/>
      </w:rPr>
      <w:t xml:space="preserve">                                                  </w:t>
    </w:r>
    <w:r w:rsidRPr="00D93AD0">
      <w:rPr>
        <w:rFonts w:eastAsia="Batang"/>
        <w:bCs/>
        <w:color w:val="E36C0A" w:themeColor="accent6" w:themeShade="BF"/>
        <w:sz w:val="20"/>
        <w:szCs w:val="20"/>
      </w:rP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952704"/>
      <w:docPartObj>
        <w:docPartGallery w:val="Page Numbers (Bottom of Page)"/>
        <w:docPartUnique/>
      </w:docPartObj>
    </w:sdtPr>
    <w:sdtEndPr/>
    <w:sdtContent>
      <w:p w14:paraId="4F06F1AB" w14:textId="672236CC" w:rsidR="00CA34AD" w:rsidRPr="00A247BE" w:rsidRDefault="00CA34AD" w:rsidP="00040288">
        <w:pPr>
          <w:rPr>
            <w:sz w:val="16"/>
            <w:szCs w:val="16"/>
          </w:rPr>
        </w:pPr>
        <w:r w:rsidRPr="001900CD">
          <w:rPr>
            <w:rFonts w:eastAsia="Batang"/>
            <w:bCs/>
            <w:color w:val="0000CC"/>
            <w:sz w:val="20"/>
            <w:szCs w:val="20"/>
          </w:rPr>
          <w:t>FY</w:t>
        </w:r>
        <w:r w:rsidR="00D2172C" w:rsidRPr="001900CD">
          <w:rPr>
            <w:rFonts w:eastAsia="Batang"/>
            <w:bCs/>
            <w:color w:val="0000CC"/>
            <w:sz w:val="20"/>
            <w:szCs w:val="20"/>
          </w:rPr>
          <w:t>24</w:t>
        </w:r>
        <w:r w:rsidRPr="001900CD">
          <w:rPr>
            <w:rFonts w:eastAsia="Batang"/>
            <w:bCs/>
            <w:color w:val="0000CC"/>
            <w:sz w:val="20"/>
            <w:szCs w:val="20"/>
          </w:rPr>
          <w:t>-FY2</w:t>
        </w:r>
        <w:r w:rsidR="00D2172C" w:rsidRPr="001900CD">
          <w:rPr>
            <w:rFonts w:eastAsia="Batang"/>
            <w:bCs/>
            <w:color w:val="0000CC"/>
            <w:sz w:val="20"/>
            <w:szCs w:val="20"/>
          </w:rPr>
          <w:t xml:space="preserve">8 </w:t>
        </w:r>
        <w:r w:rsidRPr="001900CD">
          <w:rPr>
            <w:rFonts w:eastAsia="Batang"/>
            <w:bCs/>
            <w:color w:val="0000CC"/>
            <w:sz w:val="20"/>
            <w:szCs w:val="20"/>
          </w:rPr>
          <w:t>Massachusetts Policies for Effective Adult Education (</w:t>
        </w:r>
        <w:r w:rsidR="00D2172C" w:rsidRPr="001900CD">
          <w:rPr>
            <w:rFonts w:eastAsia="Batang"/>
            <w:bCs/>
            <w:color w:val="0000CC"/>
            <w:sz w:val="20"/>
            <w:szCs w:val="20"/>
          </w:rPr>
          <w:t>July 2022</w:t>
        </w:r>
        <w:r w:rsidRPr="001900CD">
          <w:rPr>
            <w:rFonts w:eastAsia="Batang"/>
            <w:bCs/>
            <w:color w:val="0000CC"/>
            <w:sz w:val="20"/>
            <w:szCs w:val="20"/>
          </w:rPr>
          <w:t>)</w:t>
        </w:r>
        <w:r w:rsidRPr="001900CD">
          <w:rPr>
            <w:rFonts w:eastAsia="Batang"/>
            <w:bCs/>
            <w:color w:val="0000CC"/>
            <w:sz w:val="20"/>
            <w:szCs w:val="20"/>
          </w:rPr>
          <w:br/>
        </w:r>
        <w:r w:rsidRPr="001900CD">
          <w:rPr>
            <w:rFonts w:eastAsia="Batang"/>
            <w:bCs/>
            <w:color w:val="B85808"/>
            <w:sz w:val="20"/>
            <w:szCs w:val="20"/>
          </w:rPr>
          <w:t>in Community</w:t>
        </w:r>
        <w:r w:rsidRPr="001900CD">
          <w:rPr>
            <w:rFonts w:eastAsia="Batang"/>
            <w:bCs/>
            <w:color w:val="F79646" w:themeColor="accent6"/>
            <w:sz w:val="20"/>
            <w:szCs w:val="20"/>
          </w:rPr>
          <w:t xml:space="preserve"> </w:t>
        </w:r>
        <w:r w:rsidRPr="001900CD">
          <w:rPr>
            <w:rFonts w:eastAsia="Batang"/>
            <w:bCs/>
            <w:color w:val="B85808"/>
            <w:sz w:val="20"/>
            <w:szCs w:val="20"/>
          </w:rPr>
          <w:t>Adult Learning Centers and Correctional Institutions</w:t>
        </w:r>
        <w:r w:rsidRPr="00187183">
          <w:rPr>
            <w:rFonts w:eastAsia="Batang"/>
            <w:bCs/>
            <w:color w:val="B85808"/>
            <w:sz w:val="20"/>
            <w:szCs w:val="20"/>
          </w:rPr>
          <w:t xml:space="preserve">          </w:t>
        </w:r>
        <w:r w:rsidRPr="00187183">
          <w:rPr>
            <w:rFonts w:eastAsia="Batang"/>
            <w:bCs/>
            <w:color w:val="B85808"/>
            <w:sz w:val="20"/>
            <w:szCs w:val="20"/>
          </w:rPr>
          <w:tab/>
        </w:r>
        <w:r>
          <w:rPr>
            <w:rFonts w:eastAsia="Batang"/>
            <w:bCs/>
            <w:color w:val="E36C0A" w:themeColor="accent6" w:themeShade="BF"/>
            <w:sz w:val="20"/>
            <w:szCs w:val="20"/>
          </w:rPr>
          <w:t xml:space="preserve"> </w:t>
        </w:r>
        <w:r>
          <w:rPr>
            <w:rFonts w:eastAsia="Batang"/>
            <w:bCs/>
            <w:color w:val="E36C0A" w:themeColor="accent6" w:themeShade="BF"/>
            <w:sz w:val="20"/>
            <w:szCs w:val="20"/>
          </w:rPr>
          <w:tab/>
        </w:r>
        <w:r>
          <w:rPr>
            <w:rFonts w:eastAsia="Batang"/>
            <w:bCs/>
            <w:color w:val="E36C0A" w:themeColor="accent6" w:themeShade="BF"/>
            <w:sz w:val="20"/>
            <w:szCs w:val="20"/>
          </w:rPr>
          <w:tab/>
        </w:r>
        <w:r>
          <w:rPr>
            <w:rFonts w:eastAsia="Batang"/>
            <w:bCs/>
            <w:color w:val="E36C0A" w:themeColor="accent6" w:themeShade="BF"/>
            <w:sz w:val="20"/>
            <w:szCs w:val="20"/>
          </w:rPr>
          <w:tab/>
        </w:r>
        <w:r w:rsidRPr="00BE37FE">
          <w:rPr>
            <w:color w:val="2B579A"/>
            <w:sz w:val="20"/>
            <w:szCs w:val="20"/>
            <w:shd w:val="clear" w:color="auto" w:fill="E6E6E6"/>
          </w:rPr>
          <w:fldChar w:fldCharType="begin"/>
        </w:r>
        <w:r w:rsidRPr="00BE37FE">
          <w:rPr>
            <w:sz w:val="20"/>
            <w:szCs w:val="20"/>
          </w:rPr>
          <w:instrText xml:space="preserve"> PAGE   \* MERGEFORMAT </w:instrText>
        </w:r>
        <w:r w:rsidRPr="00BE37FE">
          <w:rPr>
            <w:color w:val="2B579A"/>
            <w:sz w:val="20"/>
            <w:szCs w:val="20"/>
            <w:shd w:val="clear" w:color="auto" w:fill="E6E6E6"/>
          </w:rPr>
          <w:fldChar w:fldCharType="separate"/>
        </w:r>
        <w:r>
          <w:rPr>
            <w:noProof/>
            <w:sz w:val="20"/>
            <w:szCs w:val="20"/>
          </w:rPr>
          <w:t>40</w:t>
        </w:r>
        <w:r w:rsidRPr="00BE37FE">
          <w:rPr>
            <w:color w:val="2B579A"/>
            <w:sz w:val="20"/>
            <w:szCs w:val="20"/>
            <w:shd w:val="clear" w:color="auto" w:fill="E6E6E6"/>
          </w:rPr>
          <w:fldChar w:fldCharType="end"/>
        </w:r>
        <w:r w:rsidRPr="00BE37FE">
          <w:rPr>
            <w:rFonts w:eastAsia="Batang"/>
            <w:bCs/>
            <w:color w:val="E36C0A" w:themeColor="accent6" w:themeShade="BF"/>
            <w:sz w:val="16"/>
            <w:szCs w:val="16"/>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41299523"/>
      <w:docPartObj>
        <w:docPartGallery w:val="Page Numbers (Bottom of Page)"/>
        <w:docPartUnique/>
      </w:docPartObj>
    </w:sdtPr>
    <w:sdtEndPr/>
    <w:sdtContent>
      <w:p w14:paraId="6BEB9C2B" w14:textId="251F415C" w:rsidR="00CA34AD" w:rsidRPr="001900CD" w:rsidRDefault="00CA34AD" w:rsidP="00D1300A">
        <w:pPr>
          <w:rPr>
            <w:sz w:val="18"/>
            <w:szCs w:val="18"/>
          </w:rPr>
        </w:pPr>
        <w:r w:rsidRPr="001900CD">
          <w:rPr>
            <w:rFonts w:eastAsia="Batang"/>
            <w:bCs/>
            <w:color w:val="0000CC"/>
            <w:sz w:val="20"/>
            <w:szCs w:val="20"/>
          </w:rPr>
          <w:t>FY</w:t>
        </w:r>
        <w:r w:rsidR="00D2172C" w:rsidRPr="001900CD">
          <w:rPr>
            <w:rFonts w:eastAsia="Batang"/>
            <w:bCs/>
            <w:color w:val="0000CC"/>
            <w:sz w:val="20"/>
            <w:szCs w:val="20"/>
          </w:rPr>
          <w:t>24</w:t>
        </w:r>
        <w:r w:rsidRPr="001900CD">
          <w:rPr>
            <w:rFonts w:eastAsia="Batang"/>
            <w:bCs/>
            <w:color w:val="0000CC"/>
            <w:sz w:val="20"/>
            <w:szCs w:val="20"/>
          </w:rPr>
          <w:t>-</w:t>
        </w:r>
        <w:r w:rsidR="008E1F58" w:rsidRPr="001900CD">
          <w:rPr>
            <w:rFonts w:eastAsia="Batang"/>
            <w:bCs/>
            <w:color w:val="0000CC"/>
            <w:sz w:val="20"/>
            <w:szCs w:val="20"/>
          </w:rPr>
          <w:t>FY28</w:t>
        </w:r>
        <w:r w:rsidRPr="001900CD">
          <w:rPr>
            <w:rFonts w:eastAsia="Batang"/>
            <w:bCs/>
            <w:color w:val="0000CC"/>
            <w:sz w:val="20"/>
            <w:szCs w:val="20"/>
          </w:rPr>
          <w:t xml:space="preserve"> Massachusetts Policies for Effective Adult Education (</w:t>
        </w:r>
        <w:r w:rsidR="00D2172C" w:rsidRPr="001900CD">
          <w:rPr>
            <w:rFonts w:eastAsia="Batang"/>
            <w:bCs/>
            <w:color w:val="0000CC"/>
            <w:sz w:val="20"/>
            <w:szCs w:val="20"/>
          </w:rPr>
          <w:t xml:space="preserve">July </w:t>
        </w:r>
        <w:r w:rsidRPr="001900CD">
          <w:rPr>
            <w:rFonts w:eastAsia="Batang"/>
            <w:bCs/>
            <w:color w:val="0000CC"/>
            <w:sz w:val="20"/>
            <w:szCs w:val="20"/>
          </w:rPr>
          <w:t>202</w:t>
        </w:r>
        <w:r w:rsidR="00D2172C" w:rsidRPr="001900CD">
          <w:rPr>
            <w:rFonts w:eastAsia="Batang"/>
            <w:bCs/>
            <w:color w:val="0000CC"/>
            <w:sz w:val="20"/>
            <w:szCs w:val="20"/>
          </w:rPr>
          <w:t>2</w:t>
        </w:r>
        <w:r w:rsidRPr="001900CD">
          <w:rPr>
            <w:rFonts w:eastAsia="Batang"/>
            <w:bCs/>
            <w:color w:val="0000CC"/>
            <w:sz w:val="20"/>
            <w:szCs w:val="20"/>
          </w:rPr>
          <w:t>)</w:t>
        </w:r>
      </w:p>
      <w:p w14:paraId="48D2FBCE" w14:textId="77777777" w:rsidR="00CA34AD" w:rsidRPr="00F27644" w:rsidRDefault="00CA34AD" w:rsidP="00BD2ACD">
        <w:pPr>
          <w:pStyle w:val="Footer"/>
          <w:tabs>
            <w:tab w:val="clear" w:pos="8640"/>
          </w:tabs>
          <w:rPr>
            <w:sz w:val="18"/>
            <w:szCs w:val="18"/>
          </w:rPr>
        </w:pPr>
        <w:r w:rsidRPr="001900CD">
          <w:rPr>
            <w:rFonts w:eastAsia="Batang"/>
            <w:bCs/>
            <w:color w:val="B85808"/>
            <w:sz w:val="20"/>
            <w:szCs w:val="20"/>
          </w:rPr>
          <w:t>in Community</w:t>
        </w:r>
        <w:r w:rsidRPr="001900CD">
          <w:rPr>
            <w:rFonts w:eastAsia="Batang"/>
            <w:bCs/>
            <w:color w:val="F79646" w:themeColor="accent6"/>
            <w:sz w:val="20"/>
            <w:szCs w:val="20"/>
          </w:rPr>
          <w:t xml:space="preserve"> </w:t>
        </w:r>
        <w:r w:rsidRPr="001900CD">
          <w:rPr>
            <w:rFonts w:eastAsia="Batang"/>
            <w:bCs/>
            <w:color w:val="B85808"/>
            <w:sz w:val="20"/>
            <w:szCs w:val="20"/>
          </w:rPr>
          <w:t>Adult Learning Centers and Correctional Institutions</w:t>
        </w:r>
        <w:r w:rsidRPr="00F27644">
          <w:rPr>
            <w:rFonts w:eastAsia="Batang"/>
            <w:bCs/>
            <w:color w:val="E36C0A" w:themeColor="accent6" w:themeShade="BF"/>
            <w:sz w:val="18"/>
            <w:szCs w:val="18"/>
          </w:rPr>
          <w:t xml:space="preserve">                                                         </w:t>
        </w:r>
        <w:r>
          <w:rPr>
            <w:rFonts w:eastAsia="Batang"/>
            <w:bCs/>
            <w:color w:val="E36C0A" w:themeColor="accent6" w:themeShade="BF"/>
            <w:sz w:val="18"/>
            <w:szCs w:val="18"/>
          </w:rPr>
          <w:tab/>
          <w:t xml:space="preserve">      </w:t>
        </w:r>
        <w:r w:rsidRPr="00F27644">
          <w:rPr>
            <w:color w:val="2B579A"/>
            <w:sz w:val="18"/>
            <w:szCs w:val="18"/>
            <w:shd w:val="clear" w:color="auto" w:fill="E6E6E6"/>
          </w:rPr>
          <w:fldChar w:fldCharType="begin"/>
        </w:r>
        <w:r w:rsidRPr="00F27644">
          <w:rPr>
            <w:sz w:val="18"/>
            <w:szCs w:val="18"/>
          </w:rPr>
          <w:instrText xml:space="preserve"> PAGE   \* MERGEFORMAT </w:instrText>
        </w:r>
        <w:r w:rsidRPr="00F27644">
          <w:rPr>
            <w:color w:val="2B579A"/>
            <w:sz w:val="18"/>
            <w:szCs w:val="18"/>
            <w:shd w:val="clear" w:color="auto" w:fill="E6E6E6"/>
          </w:rPr>
          <w:fldChar w:fldCharType="separate"/>
        </w:r>
        <w:r>
          <w:rPr>
            <w:noProof/>
            <w:sz w:val="18"/>
            <w:szCs w:val="18"/>
          </w:rPr>
          <w:t>42</w:t>
        </w:r>
        <w:r w:rsidRPr="00F27644">
          <w:rPr>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6EC95" w14:textId="77777777" w:rsidR="00695FC4" w:rsidRDefault="00695FC4">
      <w:r>
        <w:separator/>
      </w:r>
    </w:p>
  </w:footnote>
  <w:footnote w:type="continuationSeparator" w:id="0">
    <w:p w14:paraId="54AFDBDA" w14:textId="77777777" w:rsidR="00695FC4" w:rsidRDefault="00695FC4">
      <w:r>
        <w:continuationSeparator/>
      </w:r>
    </w:p>
  </w:footnote>
  <w:footnote w:type="continuationNotice" w:id="1">
    <w:p w14:paraId="738D8388" w14:textId="77777777" w:rsidR="00695FC4" w:rsidRDefault="00695FC4"/>
  </w:footnote>
  <w:footnote w:id="2">
    <w:p w14:paraId="36BB175D" w14:textId="1C3A1943" w:rsidR="00CA34AD" w:rsidRDefault="00CA34AD" w:rsidP="001D0B78">
      <w:pPr>
        <w:pStyle w:val="FootnoteText"/>
      </w:pPr>
      <w:r w:rsidRPr="00B07964">
        <w:rPr>
          <w:vertAlign w:val="superscript"/>
        </w:rPr>
        <w:footnoteRef/>
      </w:r>
      <w:r w:rsidRPr="00B07964">
        <w:rPr>
          <w:vertAlign w:val="superscript"/>
        </w:rPr>
        <w:t xml:space="preserve"> </w:t>
      </w:r>
      <w:r w:rsidRPr="001D0B78">
        <w:t>Diversity: The representation of people from a wide range of races, languages, abilities, identities, experiences, values, and perspectives. And we recognize the impact of intersectionality</w:t>
      </w:r>
      <w:r>
        <w:t>.</w:t>
      </w:r>
    </w:p>
  </w:footnote>
  <w:footnote w:id="3">
    <w:p w14:paraId="7204EBA3" w14:textId="21BB8F1F" w:rsidR="00CA34AD" w:rsidRDefault="00CA34AD" w:rsidP="001D0B78">
      <w:pPr>
        <w:pStyle w:val="FootnoteText"/>
      </w:pPr>
      <w:r w:rsidRPr="00B07964">
        <w:rPr>
          <w:vertAlign w:val="superscript"/>
        </w:rPr>
        <w:footnoteRef/>
      </w:r>
      <w:r w:rsidRPr="00B07964">
        <w:rPr>
          <w:vertAlign w:val="superscript"/>
        </w:rPr>
        <w:t xml:space="preserve"> </w:t>
      </w:r>
      <w:r>
        <w:t xml:space="preserve">Equity: </w:t>
      </w:r>
      <w:r w:rsidRPr="001D0B78">
        <w:t>Placing a heightened focus on groups experiencing disproportionate impact through the development of systems to remediate disparities in their experiences and outcomes, particularly racial groups.</w:t>
      </w:r>
    </w:p>
  </w:footnote>
  <w:footnote w:id="4">
    <w:p w14:paraId="5C559C23" w14:textId="2120FA7F" w:rsidR="00CA34AD" w:rsidRPr="001D0B78" w:rsidRDefault="00CA34AD" w:rsidP="001D0B78">
      <w:pPr>
        <w:pStyle w:val="Default"/>
        <w:rPr>
          <w:color w:val="auto"/>
          <w:sz w:val="20"/>
          <w:szCs w:val="20"/>
        </w:rPr>
      </w:pPr>
      <w:r w:rsidRPr="00B07964">
        <w:rPr>
          <w:color w:val="auto"/>
          <w:sz w:val="20"/>
          <w:szCs w:val="20"/>
          <w:vertAlign w:val="superscript"/>
        </w:rPr>
        <w:footnoteRef/>
      </w:r>
      <w:r w:rsidRPr="00B07964">
        <w:rPr>
          <w:color w:val="auto"/>
          <w:sz w:val="20"/>
          <w:szCs w:val="20"/>
          <w:vertAlign w:val="superscript"/>
        </w:rPr>
        <w:t xml:space="preserve"> </w:t>
      </w:r>
      <w:r w:rsidRPr="001D0B78">
        <w:rPr>
          <w:color w:val="auto"/>
          <w:sz w:val="20"/>
          <w:szCs w:val="20"/>
        </w:rPr>
        <w:t>Inclusion: Pursuing deliberate actions to create welcoming environments and ensure differences are actively sought and heard, and that every individual feels a sense of belonging and a role in impacting decision-making, practices, and policies.</w:t>
      </w:r>
    </w:p>
  </w:footnote>
  <w:footnote w:id="5">
    <w:p w14:paraId="4E6CD115" w14:textId="7D9DBC26" w:rsidR="00CA34AD" w:rsidRPr="000A6E80" w:rsidRDefault="00CA34AD" w:rsidP="00E73CAD">
      <w:pPr>
        <w:rPr>
          <w:sz w:val="20"/>
          <w:szCs w:val="20"/>
        </w:rPr>
      </w:pPr>
      <w:r w:rsidRPr="000A6E80">
        <w:rPr>
          <w:rStyle w:val="FootnoteReference"/>
          <w:sz w:val="20"/>
          <w:szCs w:val="20"/>
        </w:rPr>
        <w:footnoteRef/>
      </w:r>
      <w:r w:rsidRPr="000A6E80">
        <w:rPr>
          <w:sz w:val="20"/>
          <w:szCs w:val="20"/>
        </w:rPr>
        <w:t xml:space="preserve"> Programs that propose a schedule not aligned with the traditional September to June academic calendar must provide a rationale for the proposed schedule.</w:t>
      </w:r>
    </w:p>
    <w:p w14:paraId="3F9DFED3" w14:textId="77777777" w:rsidR="00CA34AD" w:rsidRDefault="00CA34AD" w:rsidP="00E73CAD">
      <w:pPr>
        <w:pStyle w:val="FootnoteText"/>
      </w:pPr>
    </w:p>
  </w:footnote>
  <w:footnote w:id="6">
    <w:p w14:paraId="3DD5021A" w14:textId="77777777" w:rsidR="00CA34AD" w:rsidRDefault="00CA34AD" w:rsidP="00271D99">
      <w:pPr>
        <w:pStyle w:val="FootnoteText"/>
      </w:pPr>
      <w:r>
        <w:rPr>
          <w:rStyle w:val="FootnoteReference"/>
        </w:rPr>
        <w:footnoteRef/>
      </w:r>
      <w:r>
        <w:t xml:space="preserve"> </w:t>
      </w:r>
      <w:hyperlink r:id="rId1" w:history="1">
        <w:r w:rsidRPr="002A5122">
          <w:rPr>
            <w:rStyle w:val="Hyperlink"/>
            <w:i/>
          </w:rPr>
          <w:t>Persistence: Helping Adult Education Students Reach Their Goals</w:t>
        </w:r>
      </w:hyperlink>
      <w:r>
        <w:t xml:space="preserve"> notes that </w:t>
      </w:r>
      <w:r w:rsidRPr="00E66B2A">
        <w:t>“Program participation of 100 hou</w:t>
      </w:r>
      <w:r>
        <w:t>rs or even 150 hours …</w:t>
      </w:r>
      <w:r w:rsidRPr="00E66B2A">
        <w:t xml:space="preserve"> is probably inadequate for most </w:t>
      </w:r>
      <w:r>
        <w:t>adult education students</w:t>
      </w:r>
      <w:r w:rsidRPr="00E66B2A">
        <w:t xml:space="preserve"> to reach their learning goals.”</w:t>
      </w:r>
      <w:r>
        <w:t xml:space="preserve"> Comings. (2007)</w:t>
      </w:r>
    </w:p>
  </w:footnote>
  <w:footnote w:id="7">
    <w:p w14:paraId="339DEBA4" w14:textId="77777777" w:rsidR="00CA34AD" w:rsidRPr="00521060" w:rsidRDefault="00CA34AD" w:rsidP="00521060">
      <w:pPr>
        <w:rPr>
          <w:sz w:val="20"/>
          <w:szCs w:val="20"/>
        </w:rPr>
      </w:pPr>
      <w:r w:rsidRPr="009E7279">
        <w:rPr>
          <w:rStyle w:val="FootnoteReference"/>
          <w:sz w:val="20"/>
          <w:szCs w:val="20"/>
        </w:rPr>
        <w:footnoteRef/>
      </w:r>
      <w:r w:rsidRPr="009E7279">
        <w:rPr>
          <w:sz w:val="20"/>
          <w:szCs w:val="20"/>
        </w:rPr>
        <w:t xml:space="preserve"> Family literacy services support the educational and skill achievement of parents and family members to participate in the educational development of their children and improve economic opportunities for families. Family literacy services include but are not limited to interactive literacy activities, parenting education, and workshops and events for parents, family members, and their children.</w:t>
      </w:r>
    </w:p>
  </w:footnote>
  <w:footnote w:id="8">
    <w:p w14:paraId="7233DD9E" w14:textId="7C6FF59F" w:rsidR="00962633" w:rsidRDefault="00962633">
      <w:pPr>
        <w:pStyle w:val="FootnoteText"/>
      </w:pPr>
      <w:r>
        <w:rPr>
          <w:rStyle w:val="FootnoteReference"/>
        </w:rPr>
        <w:footnoteRef/>
      </w:r>
      <w:r>
        <w:t xml:space="preserve"> Programs do not have to create classes based on EF</w:t>
      </w:r>
      <w:r w:rsidR="00C54D15">
        <w:t>L.</w:t>
      </w:r>
      <w:r>
        <w:t xml:space="preserve"> They can structure classes flexibly to serve students with similar instructional needs.</w:t>
      </w:r>
    </w:p>
  </w:footnote>
  <w:footnote w:id="9">
    <w:p w14:paraId="491B0A25" w14:textId="6E2EE0F3" w:rsidR="00962633" w:rsidRDefault="00962633">
      <w:pPr>
        <w:pStyle w:val="FootnoteText"/>
      </w:pPr>
      <w:r>
        <w:rPr>
          <w:rStyle w:val="FootnoteReference"/>
        </w:rPr>
        <w:footnoteRef/>
      </w:r>
      <w:r>
        <w:t xml:space="preserve"> Outcome measures are based on educational functioning level (EFL) completions. For more information on EFL completion</w:t>
      </w:r>
      <w:r w:rsidR="00C54D15">
        <w:t>s</w:t>
      </w:r>
      <w:r>
        <w:t>, see the Student Progress chapter.</w:t>
      </w:r>
    </w:p>
  </w:footnote>
  <w:footnote w:id="10">
    <w:p w14:paraId="0F222C43" w14:textId="322FAE3E" w:rsidR="00C54D15" w:rsidRDefault="00C54D15">
      <w:pPr>
        <w:pStyle w:val="FootnoteText"/>
      </w:pPr>
      <w:r>
        <w:rPr>
          <w:rStyle w:val="FootnoteReference"/>
        </w:rPr>
        <w:footnoteRef/>
      </w:r>
      <w:r>
        <w:t xml:space="preserve"> ACLS requires that programs providing preparation for the Spanish HSE ensure that students receive instruction in English language acquisition. This will help students both acquire the basic and more advanced skills needed to be prepared for further education and training and improve their English language skills so they </w:t>
      </w:r>
      <w:r w:rsidR="00802CA7">
        <w:t>m</w:t>
      </w:r>
      <w:r>
        <w:t>ake gain</w:t>
      </w:r>
      <w:r w:rsidR="00802CA7">
        <w:t>s</w:t>
      </w:r>
      <w:r>
        <w:t xml:space="preserve"> on Massachusetts-approved ESOL assessments.</w:t>
      </w:r>
    </w:p>
  </w:footnote>
  <w:footnote w:id="11">
    <w:p w14:paraId="6D58873B" w14:textId="683442FE" w:rsidR="00CA34AD" w:rsidRPr="00F514D5" w:rsidRDefault="00CA34AD" w:rsidP="0057354B">
      <w:pPr>
        <w:rPr>
          <w:sz w:val="22"/>
          <w:szCs w:val="22"/>
        </w:rPr>
      </w:pPr>
      <w:r w:rsidRPr="00F514D5">
        <w:rPr>
          <w:rStyle w:val="FootnoteReference"/>
          <w:sz w:val="20"/>
          <w:szCs w:val="20"/>
        </w:rPr>
        <w:footnoteRef/>
      </w:r>
      <w:r w:rsidRPr="00F514D5">
        <w:rPr>
          <w:sz w:val="20"/>
          <w:szCs w:val="20"/>
        </w:rPr>
        <w:t xml:space="preserve"> Instruction in Spanish leading to an HSE credential can count toward a program’s ABE target. Instruction in languages other than English with the purpose of leading to English language acquisition counts toward a program’s ESOL target. For more information on program targets, see the Student Progress chapter.</w:t>
      </w:r>
    </w:p>
  </w:footnote>
  <w:footnote w:id="12">
    <w:p w14:paraId="5F1E72B5" w14:textId="77777777" w:rsidR="00CA34AD" w:rsidRPr="00043254" w:rsidRDefault="00CA34AD" w:rsidP="000C4AB6">
      <w:pPr>
        <w:pStyle w:val="FootnoteText"/>
      </w:pPr>
      <w:r w:rsidRPr="00F514D5">
        <w:rPr>
          <w:rStyle w:val="FootnoteReference"/>
        </w:rPr>
        <w:footnoteRef/>
      </w:r>
      <w:r w:rsidRPr="00F514D5">
        <w:t xml:space="preserve"> Classroom practices and sequences of lessons designed to foster the growth mindset are</w:t>
      </w:r>
      <w:r w:rsidRPr="00043254">
        <w:t xml:space="preserve"> required in any curriculum aligned to the </w:t>
      </w:r>
      <w:hyperlink r:id="rId2" w:history="1">
        <w:r w:rsidRPr="00043254">
          <w:rPr>
            <w:rStyle w:val="Hyperlink"/>
            <w:i/>
          </w:rPr>
          <w:t>College and Career Readiness Standards for Adult Education</w:t>
        </w:r>
      </w:hyperlink>
      <w:r w:rsidRPr="00043254">
        <w:t>. Additionally, the qualities and habits of mind of the growth mindset are vital for success in the college classroom and in the workplace.</w:t>
      </w:r>
    </w:p>
  </w:footnote>
  <w:footnote w:id="13">
    <w:p w14:paraId="37E42CF5" w14:textId="53032F0D" w:rsidR="00CA34AD" w:rsidRPr="00D616EE" w:rsidRDefault="00CA34AD" w:rsidP="00D616EE">
      <w:pPr>
        <w:pStyle w:val="NoSpacing"/>
        <w:rPr>
          <w:sz w:val="20"/>
          <w:szCs w:val="20"/>
        </w:rPr>
      </w:pPr>
      <w:r w:rsidRPr="00043254">
        <w:rPr>
          <w:rStyle w:val="FootnoteReference"/>
          <w:sz w:val="20"/>
          <w:szCs w:val="20"/>
        </w:rPr>
        <w:footnoteRef/>
      </w:r>
      <w:r w:rsidRPr="00043254">
        <w:rPr>
          <w:sz w:val="20"/>
          <w:szCs w:val="20"/>
        </w:rPr>
        <w:t xml:space="preserve"> Students who are preparing for the Spanish High School Equivalency (HSE) credential are pre- and post-tested using ESOL tests and therefore not automatically considered eligible for the secondary school diploma performance indicator. In order for any HSE outcomes to be captured, programs must indicate that the Spanish content and instruction is at the 9</w:t>
      </w:r>
      <w:r w:rsidRPr="00043254">
        <w:rPr>
          <w:sz w:val="20"/>
          <w:szCs w:val="20"/>
          <w:vertAlign w:val="superscript"/>
        </w:rPr>
        <w:t>th</w:t>
      </w:r>
      <w:r w:rsidRPr="00043254">
        <w:rPr>
          <w:sz w:val="20"/>
          <w:szCs w:val="20"/>
        </w:rPr>
        <w:t xml:space="preserve"> grade level or above in </w:t>
      </w:r>
      <w:hyperlink r:id="rId3" w:history="1">
        <w:r w:rsidRPr="00043254">
          <w:rPr>
            <w:rStyle w:val="Hyperlink"/>
            <w:sz w:val="20"/>
            <w:szCs w:val="20"/>
          </w:rPr>
          <w:t>LACES</w:t>
        </w:r>
      </w:hyperlink>
      <w:r w:rsidRPr="00043254">
        <w:rPr>
          <w:sz w:val="20"/>
          <w:szCs w:val="20"/>
        </w:rPr>
        <w:t xml:space="preserve"> by checking the “Instruction at the 9</w:t>
      </w:r>
      <w:r w:rsidRPr="00043254">
        <w:rPr>
          <w:sz w:val="20"/>
          <w:szCs w:val="20"/>
          <w:vertAlign w:val="superscript"/>
        </w:rPr>
        <w:t>th</w:t>
      </w:r>
      <w:r w:rsidRPr="00043254">
        <w:rPr>
          <w:sz w:val="20"/>
          <w:szCs w:val="20"/>
        </w:rPr>
        <w:t xml:space="preserve"> Grade Level or Above” box in the Class Data tab for existing classes or in the Class Intake for new classes. </w:t>
      </w:r>
    </w:p>
  </w:footnote>
  <w:footnote w:id="14">
    <w:p w14:paraId="479D8F04" w14:textId="77777777" w:rsidR="00CA34AD" w:rsidRDefault="00CA34AD" w:rsidP="00D17059">
      <w:pPr>
        <w:pStyle w:val="FootnoteText"/>
      </w:pPr>
      <w:r>
        <w:rPr>
          <w:rStyle w:val="FootnoteReference"/>
        </w:rPr>
        <w:footnoteRef/>
      </w:r>
      <w:r>
        <w:t xml:space="preserve"> Workforce preparation a</w:t>
      </w:r>
      <w:r w:rsidRPr="00910263">
        <w:t>ctivities</w:t>
      </w:r>
      <w:r>
        <w:t xml:space="preserve"> are activities</w:t>
      </w:r>
      <w:r w:rsidRPr="00910263">
        <w:t>,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w:t>
      </w:r>
      <w:r>
        <w:t>tion of postsecondary education.</w:t>
      </w:r>
    </w:p>
  </w:footnote>
  <w:footnote w:id="15">
    <w:p w14:paraId="02846865" w14:textId="77777777" w:rsidR="00CA34AD" w:rsidRPr="00157FA1" w:rsidRDefault="00CA34AD">
      <w:pPr>
        <w:pStyle w:val="FootnoteText"/>
      </w:pPr>
      <w:r w:rsidRPr="00157FA1">
        <w:rPr>
          <w:rStyle w:val="FootnoteReference"/>
        </w:rPr>
        <w:footnoteRef/>
      </w:r>
      <w:r w:rsidRPr="00157FA1">
        <w:t xml:space="preserve"> As defined in WIOA, The term ‘‘family literacy activities’’ means activities that are of s</w:t>
      </w:r>
      <w:r>
        <w:t>ufficient intensity and quality</w:t>
      </w:r>
      <w:r w:rsidRPr="00157FA1">
        <w:t xml:space="preserve"> to make sustainable improvements in the economic prospects for a family and that better enable parents or family members to support their children’s learning needs, and that integrate all of the following activities: (A) Parent or family adult education and literacy activities that lead to readiness for postsecondary education or training, career advancement, and economic self-sufficiency. (B) Interactive literacy activities between parents or family members and their children. (C) Training for parents or family members regarding how to be the primary teacher for their children and full partners in the education of their children. (D) An age-appropriate education to prepare children for success in school and life experiences.</w:t>
      </w:r>
    </w:p>
  </w:footnote>
  <w:footnote w:id="16">
    <w:p w14:paraId="2CA5994C" w14:textId="77777777" w:rsidR="00CA34AD" w:rsidRPr="00157FA1" w:rsidRDefault="00CA34AD" w:rsidP="00532088">
      <w:pPr>
        <w:pStyle w:val="FootnoteText"/>
        <w:rPr>
          <w:rFonts w:ascii="Arial Narrow" w:hAnsi="Arial Narrow"/>
        </w:rPr>
      </w:pPr>
      <w:r w:rsidRPr="00157FA1">
        <w:rPr>
          <w:rStyle w:val="FootnoteReference"/>
        </w:rPr>
        <w:footnoteRef/>
      </w:r>
      <w:r w:rsidRPr="00157FA1">
        <w:t xml:space="preserve"> Parents are defined as primary caregivers. These may include extended family members or other adults who either reside with the child or play a primary role in the child’s life.</w:t>
      </w:r>
    </w:p>
  </w:footnote>
  <w:footnote w:id="17">
    <w:p w14:paraId="07A47E79" w14:textId="4067A721" w:rsidR="00CA34AD" w:rsidRDefault="00CA34AD">
      <w:pPr>
        <w:pStyle w:val="FootnoteText"/>
      </w:pPr>
      <w:r>
        <w:rPr>
          <w:rStyle w:val="FootnoteReference"/>
        </w:rPr>
        <w:footnoteRef/>
      </w:r>
      <w:r>
        <w:t xml:space="preserve"> The terms distance education and distance learning are often used </w:t>
      </w:r>
      <w:r w:rsidRPr="00730826">
        <w:t>synonymously</w:t>
      </w:r>
      <w:r>
        <w:t>.</w:t>
      </w:r>
    </w:p>
  </w:footnote>
  <w:footnote w:id="18">
    <w:p w14:paraId="2F9CCE48" w14:textId="08DFC599" w:rsidR="00CA34AD" w:rsidRDefault="00CA34AD" w:rsidP="00EB1327">
      <w:pPr>
        <w:pStyle w:val="FootnoteText"/>
      </w:pPr>
      <w:r>
        <w:rPr>
          <w:rStyle w:val="FootnoteReference"/>
        </w:rPr>
        <w:footnoteRef/>
      </w:r>
      <w:r>
        <w:t xml:space="preserve"> </w:t>
      </w:r>
      <w:hyperlink r:id="rId4" w:history="1">
        <w:r w:rsidRPr="00737A7F">
          <w:rPr>
            <w:rStyle w:val="Hyperlink"/>
          </w:rPr>
          <w:t>NRS Technical Assistance (TA) Guide</w:t>
        </w:r>
      </w:hyperlink>
      <w:r w:rsidRPr="00737A7F">
        <w:t>, updated March 2021.</w:t>
      </w:r>
    </w:p>
  </w:footnote>
  <w:footnote w:id="19">
    <w:p w14:paraId="7A4E5839" w14:textId="298A33C5" w:rsidR="00CA34AD" w:rsidRPr="00BD3680" w:rsidRDefault="00CA34AD" w:rsidP="00BD3680">
      <w:pPr>
        <w:rPr>
          <w:sz w:val="20"/>
          <w:szCs w:val="20"/>
        </w:rPr>
      </w:pPr>
      <w:r w:rsidRPr="007D1CE9">
        <w:rPr>
          <w:rStyle w:val="FootnoteReference"/>
          <w:sz w:val="20"/>
          <w:szCs w:val="20"/>
        </w:rPr>
        <w:footnoteRef/>
      </w:r>
      <w:r w:rsidRPr="007D1CE9">
        <w:rPr>
          <w:sz w:val="20"/>
          <w:szCs w:val="20"/>
        </w:rPr>
        <w:t xml:space="preserve"> Literacy Volunteers of Massachusetts (LVM) provides adult education services to eligible adults who cannot or will not enroll in class based instructional services at a Community Adult Learning Center. For more information on LVM, see </w:t>
      </w:r>
      <w:hyperlink r:id="rId5" w:history="1">
        <w:r w:rsidRPr="007D1CE9">
          <w:rPr>
            <w:rStyle w:val="Hyperlink"/>
            <w:rFonts w:eastAsia="Batang"/>
            <w:sz w:val="20"/>
            <w:szCs w:val="20"/>
          </w:rPr>
          <w:t>http://www.lvm.org/</w:t>
        </w:r>
      </w:hyperlink>
      <w:r w:rsidRPr="007D1CE9">
        <w:rPr>
          <w:sz w:val="20"/>
          <w:szCs w:val="20"/>
        </w:rPr>
        <w:t>.</w:t>
      </w:r>
    </w:p>
  </w:footnote>
  <w:footnote w:id="20">
    <w:p w14:paraId="3E1E7683" w14:textId="77777777" w:rsidR="00A36A19" w:rsidRDefault="00A36A19" w:rsidP="00A36A19">
      <w:pPr>
        <w:pStyle w:val="FootnoteText"/>
      </w:pPr>
      <w:r>
        <w:rPr>
          <w:rStyle w:val="FootnoteReference"/>
          <w:rFonts w:eastAsiaTheme="minorHAnsi"/>
        </w:rPr>
        <w:footnoteRef/>
      </w:r>
      <w:r>
        <w:t xml:space="preserve"> </w:t>
      </w:r>
      <w:r>
        <w:rPr>
          <w:iCs/>
        </w:rPr>
        <w:t xml:space="preserve">The program must do follow-up when the student does not provide an SSN. </w:t>
      </w:r>
    </w:p>
  </w:footnote>
  <w:footnote w:id="21">
    <w:p w14:paraId="52EC7F6D" w14:textId="77777777" w:rsidR="00CA34AD" w:rsidRPr="003073C0" w:rsidRDefault="00CA34AD" w:rsidP="00FE787F">
      <w:pPr>
        <w:pStyle w:val="FootnoteText"/>
      </w:pPr>
      <w:r w:rsidRPr="003073C0">
        <w:rPr>
          <w:rStyle w:val="FootnoteReference"/>
        </w:rPr>
        <w:footnoteRef/>
      </w:r>
      <w:r w:rsidRPr="003073C0">
        <w:t xml:space="preserve"> Adapted from </w:t>
      </w:r>
      <w:hyperlink r:id="rId6" w:history="1">
        <w:r w:rsidRPr="003073C0">
          <w:rPr>
            <w:rStyle w:val="Hyperlink"/>
            <w:i/>
          </w:rPr>
          <w:t>The Glossary of Education Reform</w:t>
        </w:r>
      </w:hyperlink>
      <w:r w:rsidRPr="003073C0">
        <w:t>.</w:t>
      </w:r>
    </w:p>
  </w:footnote>
  <w:footnote w:id="22">
    <w:p w14:paraId="55E1585B" w14:textId="77777777" w:rsidR="00CA34AD" w:rsidRPr="00A804C4" w:rsidRDefault="00CA34AD" w:rsidP="00FE787F">
      <w:pPr>
        <w:pStyle w:val="FootnoteText"/>
        <w:rPr>
          <w:i/>
          <w:iCs/>
        </w:rPr>
      </w:pPr>
      <w:r w:rsidRPr="003073C0">
        <w:rPr>
          <w:rStyle w:val="FootnoteReference"/>
        </w:rPr>
        <w:footnoteRef/>
      </w:r>
      <w:r w:rsidRPr="003073C0">
        <w:t xml:space="preserve"> </w:t>
      </w:r>
      <w:r w:rsidRPr="00A804C4">
        <w:rPr>
          <w:rStyle w:val="em1"/>
          <w:i w:val="0"/>
          <w:iCs w:val="0"/>
        </w:rPr>
        <w:t>Adapted from</w:t>
      </w:r>
      <w:r w:rsidRPr="003073C0">
        <w:rPr>
          <w:rStyle w:val="em1"/>
        </w:rPr>
        <w:t xml:space="preserve"> Testing, Teaching, and Learning: A Guide for States and School Districts, </w:t>
      </w:r>
      <w:r w:rsidRPr="00A804C4">
        <w:rPr>
          <w:rStyle w:val="em1"/>
          <w:i w:val="0"/>
          <w:iCs w:val="0"/>
        </w:rPr>
        <w:t>National Research Council (1999), p. 20.</w:t>
      </w:r>
    </w:p>
  </w:footnote>
  <w:footnote w:id="23">
    <w:p w14:paraId="41077A25" w14:textId="77777777" w:rsidR="00CA34AD" w:rsidRPr="003073C0" w:rsidRDefault="00CA34AD" w:rsidP="00FE787F">
      <w:pPr>
        <w:pStyle w:val="FootnoteText"/>
      </w:pPr>
      <w:r w:rsidRPr="003073C0">
        <w:rPr>
          <w:rStyle w:val="FootnoteReference"/>
        </w:rPr>
        <w:footnoteRef/>
      </w:r>
      <w:r w:rsidRPr="003073C0">
        <w:t xml:space="preserve"> “Leading economists who have examined labor market projections note that key college and career ready knowledge and skills are closely linked to being able to get the training necessary to earn a living wage in high-growth industries. It is crucial, then, that adult education programs provide students the opportunity to acquire these skills to pursue their long-term career aspirations and goals.” Pimentel (2013). </w:t>
      </w:r>
      <w:hyperlink r:id="rId7" w:tooltip="External Link" w:history="1">
        <w:r w:rsidRPr="003073C0">
          <w:rPr>
            <w:rStyle w:val="Hyperlink"/>
            <w:i/>
          </w:rPr>
          <w:t>College and Career Readiness Standards for Adult Education</w:t>
        </w:r>
      </w:hyperlink>
      <w:r w:rsidRPr="003073C0">
        <w:t>, page 2.</w:t>
      </w:r>
    </w:p>
  </w:footnote>
  <w:footnote w:id="24">
    <w:p w14:paraId="56E5A42C" w14:textId="301297E3" w:rsidR="00CA34AD" w:rsidRPr="00791DA0" w:rsidRDefault="00CA34AD" w:rsidP="00FE787F">
      <w:pPr>
        <w:rPr>
          <w:sz w:val="20"/>
          <w:szCs w:val="20"/>
        </w:rPr>
      </w:pPr>
      <w:r w:rsidRPr="003073C0">
        <w:rPr>
          <w:rStyle w:val="FootnoteReference"/>
          <w:sz w:val="20"/>
          <w:szCs w:val="20"/>
        </w:rPr>
        <w:footnoteRef/>
      </w:r>
      <w:r w:rsidRPr="003073C0">
        <w:rPr>
          <w:sz w:val="20"/>
          <w:szCs w:val="20"/>
        </w:rPr>
        <w:t xml:space="preserve"> The </w:t>
      </w:r>
      <w:hyperlink r:id="rId8" w:history="1">
        <w:r w:rsidRPr="00A43DD9">
          <w:rPr>
            <w:rStyle w:val="Hyperlink"/>
            <w:i/>
            <w:sz w:val="20"/>
            <w:szCs w:val="20"/>
          </w:rPr>
          <w:t>MA ELPS</w:t>
        </w:r>
      </w:hyperlink>
      <w:r w:rsidRPr="00791DA0">
        <w:rPr>
          <w:sz w:val="20"/>
          <w:szCs w:val="20"/>
        </w:rPr>
        <w:t xml:space="preserve"> integrate standards from the</w:t>
      </w:r>
      <w:r w:rsidRPr="00791DA0">
        <w:rPr>
          <w:i/>
          <w:sz w:val="20"/>
          <w:szCs w:val="20"/>
        </w:rPr>
        <w:t xml:space="preserve"> </w:t>
      </w:r>
      <w:hyperlink r:id="rId9" w:history="1">
        <w:r w:rsidRPr="00791DA0">
          <w:rPr>
            <w:rStyle w:val="Hyperlink"/>
            <w:i/>
            <w:sz w:val="20"/>
            <w:szCs w:val="20"/>
          </w:rPr>
          <w:t>Massachusetts ABE Curriculum Framework for English for Speakers of Other Languages</w:t>
        </w:r>
      </w:hyperlink>
      <w:r w:rsidRPr="00791DA0">
        <w:rPr>
          <w:sz w:val="20"/>
          <w:szCs w:val="20"/>
        </w:rPr>
        <w:t xml:space="preserve"> (2005), the </w:t>
      </w:r>
      <w:hyperlink r:id="rId10" w:history="1">
        <w:r w:rsidRPr="00791DA0">
          <w:rPr>
            <w:rStyle w:val="Hyperlink"/>
            <w:i/>
            <w:sz w:val="20"/>
            <w:szCs w:val="20"/>
          </w:rPr>
          <w:t>CCRSAE</w:t>
        </w:r>
      </w:hyperlink>
      <w:r w:rsidRPr="00791DA0">
        <w:rPr>
          <w:sz w:val="20"/>
          <w:szCs w:val="20"/>
        </w:rPr>
        <w:t xml:space="preserve">, and the </w:t>
      </w:r>
      <w:hyperlink r:id="rId11" w:history="1">
        <w:r w:rsidRPr="00791DA0">
          <w:rPr>
            <w:rStyle w:val="Hyperlink"/>
            <w:i/>
            <w:iCs/>
            <w:sz w:val="20"/>
            <w:szCs w:val="20"/>
          </w:rPr>
          <w:t>Massachusetts English Language Proficiency Standards for Adult Education</w:t>
        </w:r>
      </w:hyperlink>
      <w:r w:rsidRPr="00791DA0">
        <w:rPr>
          <w:sz w:val="20"/>
          <w:szCs w:val="20"/>
        </w:rPr>
        <w:t xml:space="preserve"> (2016). </w:t>
      </w:r>
    </w:p>
  </w:footnote>
  <w:footnote w:id="25">
    <w:p w14:paraId="42D817CE" w14:textId="06FF2F4C" w:rsidR="00CA34AD" w:rsidRDefault="00CA34AD" w:rsidP="00FE787F">
      <w:r w:rsidRPr="00791DA0">
        <w:rPr>
          <w:rStyle w:val="FootnoteReference"/>
          <w:sz w:val="20"/>
          <w:szCs w:val="20"/>
        </w:rPr>
        <w:footnoteRef/>
      </w:r>
      <w:r w:rsidRPr="00791DA0">
        <w:rPr>
          <w:sz w:val="20"/>
          <w:szCs w:val="20"/>
        </w:rPr>
        <w:t xml:space="preserve"> </w:t>
      </w:r>
      <w:hyperlink r:id="rId12" w:history="1">
        <w:r w:rsidRPr="00791DA0">
          <w:rPr>
            <w:rStyle w:val="Hyperlink"/>
            <w:sz w:val="20"/>
            <w:szCs w:val="20"/>
          </w:rPr>
          <w:t>SABES</w:t>
        </w:r>
      </w:hyperlink>
      <w:r w:rsidRPr="00791DA0">
        <w:rPr>
          <w:rStyle w:val="Hyperlink"/>
          <w:sz w:val="20"/>
          <w:szCs w:val="20"/>
        </w:rPr>
        <w:t xml:space="preserve"> </w:t>
      </w:r>
      <w:r w:rsidRPr="00791DA0">
        <w:rPr>
          <w:sz w:val="20"/>
          <w:szCs w:val="20"/>
        </w:rPr>
        <w:t xml:space="preserve">offers extensive PD for curriculum development and in how to implement the </w:t>
      </w:r>
      <w:hyperlink r:id="rId13" w:history="1">
        <w:r w:rsidRPr="00791DA0">
          <w:rPr>
            <w:rStyle w:val="Hyperlink"/>
            <w:i/>
            <w:sz w:val="20"/>
            <w:szCs w:val="20"/>
          </w:rPr>
          <w:t>CCRSAE</w:t>
        </w:r>
      </w:hyperlink>
      <w:r w:rsidRPr="00791DA0">
        <w:rPr>
          <w:sz w:val="20"/>
          <w:szCs w:val="20"/>
        </w:rPr>
        <w:t>. Programs opting to submit draft curriculum materials to the</w:t>
      </w:r>
      <w:r w:rsidRPr="003073C0">
        <w:rPr>
          <w:sz w:val="20"/>
          <w:szCs w:val="20"/>
        </w:rPr>
        <w:t xml:space="preserve"> SABES ELA, mathematics, and ESOL Curriculum and Instruction PD Centers will receive feedback to inform future work. Programs are advised to inform the relevant PD centers that they plan to submit and what materials they will</w:t>
      </w:r>
      <w:r w:rsidRPr="001B79E3">
        <w:rPr>
          <w:sz w:val="20"/>
          <w:szCs w:val="20"/>
        </w:rPr>
        <w:t xml:space="preserve"> be submitting to facilitate planning and timely feedback. For contact information, see </w:t>
      </w:r>
      <w:r>
        <w:rPr>
          <w:sz w:val="20"/>
          <w:szCs w:val="20"/>
        </w:rPr>
        <w:t xml:space="preserve">the </w:t>
      </w:r>
      <w:hyperlink r:id="rId14" w:history="1">
        <w:r w:rsidRPr="00FB3045">
          <w:rPr>
            <w:rStyle w:val="Hyperlink"/>
            <w:sz w:val="20"/>
            <w:szCs w:val="20"/>
          </w:rPr>
          <w:t>SABES website</w:t>
        </w:r>
      </w:hyperlink>
      <w:r w:rsidRPr="002B3F54">
        <w:rPr>
          <w:sz w:val="20"/>
          <w:szCs w:val="20"/>
        </w:rPr>
        <w:t>.</w:t>
      </w:r>
    </w:p>
  </w:footnote>
  <w:footnote w:id="26">
    <w:p w14:paraId="77162248" w14:textId="77777777" w:rsidR="00CA34AD" w:rsidRPr="00740050" w:rsidRDefault="00CA34AD" w:rsidP="00FE787F">
      <w:pPr>
        <w:shd w:val="clear" w:color="auto" w:fill="FFFFFF"/>
        <w:rPr>
          <w:sz w:val="20"/>
          <w:szCs w:val="20"/>
        </w:rPr>
      </w:pPr>
      <w:r w:rsidRPr="00740050">
        <w:rPr>
          <w:rStyle w:val="FootnoteReference"/>
          <w:sz w:val="20"/>
          <w:szCs w:val="20"/>
        </w:rPr>
        <w:footnoteRef/>
      </w:r>
      <w:r w:rsidRPr="00740050">
        <w:rPr>
          <w:sz w:val="20"/>
          <w:szCs w:val="20"/>
        </w:rPr>
        <w:t xml:space="preserve"> </w:t>
      </w:r>
      <w:r w:rsidRPr="00740050">
        <w:rPr>
          <w:bCs/>
          <w:sz w:val="20"/>
          <w:szCs w:val="20"/>
        </w:rPr>
        <w:t>STAR students attest to the value of STAR, saying:</w:t>
      </w:r>
    </w:p>
    <w:p w14:paraId="272E2C4E" w14:textId="77777777" w:rsidR="00CA34AD" w:rsidRPr="00740050" w:rsidRDefault="00CA34AD" w:rsidP="00FE787F">
      <w:pPr>
        <w:pStyle w:val="ListParagraph"/>
        <w:shd w:val="clear" w:color="auto" w:fill="FFFFFF"/>
        <w:spacing w:after="0" w:line="240" w:lineRule="auto"/>
        <w:ind w:left="360"/>
        <w:rPr>
          <w:rFonts w:ascii="Times New Roman" w:hAnsi="Times New Roman" w:cs="Times New Roman"/>
          <w:sz w:val="20"/>
          <w:szCs w:val="20"/>
        </w:rPr>
      </w:pPr>
      <w:r w:rsidRPr="00740050">
        <w:rPr>
          <w:rFonts w:ascii="Times New Roman" w:hAnsi="Times New Roman" w:cs="Times New Roman"/>
          <w:i/>
          <w:iCs/>
          <w:sz w:val="20"/>
          <w:szCs w:val="20"/>
        </w:rPr>
        <w:t>- “Before I started to do assessment testing, I never know how much vocabulary I knew... I think it is helpful to know a lot of vocabulary not just to pass the Hi-SET test. It's helpful to communicate with friends, especially at work.”</w:t>
      </w:r>
    </w:p>
    <w:p w14:paraId="31666176" w14:textId="77777777" w:rsidR="00CA34AD" w:rsidRPr="00740050" w:rsidRDefault="00CA34AD" w:rsidP="00FE787F">
      <w:pPr>
        <w:pStyle w:val="ListParagraph"/>
        <w:shd w:val="clear" w:color="auto" w:fill="FFFFFF"/>
        <w:spacing w:after="0" w:line="240" w:lineRule="auto"/>
        <w:ind w:left="360"/>
        <w:rPr>
          <w:rFonts w:ascii="Open Sans" w:hAnsi="Open Sans"/>
        </w:rPr>
      </w:pPr>
      <w:r w:rsidRPr="00740050">
        <w:rPr>
          <w:rFonts w:ascii="Times New Roman" w:hAnsi="Times New Roman" w:cs="Times New Roman"/>
          <w:i/>
          <w:iCs/>
          <w:sz w:val="20"/>
          <w:szCs w:val="20"/>
        </w:rPr>
        <w:t>- “The best thing is how the teacher helps us, we are divided by group, and each group is helped in the most necessary way.”</w:t>
      </w:r>
    </w:p>
  </w:footnote>
  <w:footnote w:id="27">
    <w:p w14:paraId="3FB5BD64" w14:textId="5BD32D42" w:rsidR="00CA34AD" w:rsidRDefault="00CA34AD" w:rsidP="00FE787F">
      <w:pPr>
        <w:pStyle w:val="FootnoteText"/>
      </w:pPr>
      <w:r>
        <w:rPr>
          <w:rStyle w:val="FootnoteReference"/>
        </w:rPr>
        <w:footnoteRef/>
      </w:r>
      <w:r>
        <w:t xml:space="preserve"> </w:t>
      </w:r>
      <w:hyperlink r:id="rId15" w:history="1">
        <w:r w:rsidRPr="00545018">
          <w:rPr>
            <w:rStyle w:val="Hyperlink"/>
          </w:rPr>
          <w:t>Integrating Technology in WIOA</w:t>
        </w:r>
      </w:hyperlink>
      <w:r>
        <w:t>, Workforce Innovation and Opportunity Act, U.S. Department of Education, Office of Career, Technical, and Adult Education (2015)</w:t>
      </w:r>
    </w:p>
  </w:footnote>
  <w:footnote w:id="28">
    <w:p w14:paraId="19C9165E" w14:textId="77777777" w:rsidR="00CA34AD" w:rsidRDefault="00CA34AD" w:rsidP="00C0176D">
      <w:pPr>
        <w:pStyle w:val="FootnoteText"/>
      </w:pPr>
      <w:r>
        <w:rPr>
          <w:rStyle w:val="FootnoteReference"/>
        </w:rPr>
        <w:footnoteRef/>
      </w:r>
      <w:r>
        <w:t xml:space="preserve"> For English learners receiving mathematics instruction.</w:t>
      </w:r>
    </w:p>
  </w:footnote>
  <w:footnote w:id="29">
    <w:p w14:paraId="37D6232D" w14:textId="77777777" w:rsidR="00CA34AD" w:rsidRPr="008916DB" w:rsidRDefault="00CA34AD" w:rsidP="00FE787F">
      <w:pPr>
        <w:pStyle w:val="FootnoteText"/>
      </w:pPr>
      <w:r>
        <w:rPr>
          <w:rStyle w:val="FootnoteReference"/>
        </w:rPr>
        <w:footnoteRef/>
      </w:r>
      <w:r>
        <w:t xml:space="preserve"> </w:t>
      </w:r>
      <w:r w:rsidRPr="008916DB">
        <w:t>For more on the instr</w:t>
      </w:r>
      <w:r>
        <w:t>uctional shifts for ELA</w:t>
      </w:r>
      <w:r w:rsidRPr="008916DB">
        <w:t xml:space="preserve">, see Pimentel, Susan. 2013. </w:t>
      </w:r>
      <w:hyperlink r:id="rId16" w:history="1">
        <w:r w:rsidRPr="008916DB">
          <w:rPr>
            <w:rStyle w:val="Hyperlink"/>
            <w:i/>
          </w:rPr>
          <w:t>College and Career Readiness Standards for Adult Education</w:t>
        </w:r>
      </w:hyperlink>
      <w:r w:rsidRPr="008916DB">
        <w:t>, pages 9-10.</w:t>
      </w:r>
    </w:p>
  </w:footnote>
  <w:footnote w:id="30">
    <w:p w14:paraId="2D103676" w14:textId="77777777" w:rsidR="00CA34AD" w:rsidRPr="008916DB" w:rsidRDefault="00CA34AD" w:rsidP="00FE787F">
      <w:pPr>
        <w:pStyle w:val="FootnoteText"/>
      </w:pPr>
      <w:r w:rsidRPr="008916DB">
        <w:rPr>
          <w:rStyle w:val="FootnoteReference"/>
        </w:rPr>
        <w:footnoteRef/>
      </w:r>
      <w:r w:rsidRPr="008916DB">
        <w:t xml:space="preserve"> For more </w:t>
      </w:r>
      <w:r>
        <w:t xml:space="preserve">information </w:t>
      </w:r>
      <w:r w:rsidRPr="008916DB">
        <w:t xml:space="preserve">on the instructional shifts for mathematics, see Pimentel, Susan. 2013. </w:t>
      </w:r>
      <w:hyperlink r:id="rId17" w:history="1">
        <w:r w:rsidRPr="008916DB">
          <w:rPr>
            <w:rStyle w:val="Hyperlink"/>
            <w:i/>
          </w:rPr>
          <w:t>College and Career Readiness Standards for Adult Education</w:t>
        </w:r>
      </w:hyperlink>
      <w:r w:rsidRPr="008916DB">
        <w:t xml:space="preserve">, pages </w:t>
      </w:r>
      <w:r>
        <w:t>44-46</w:t>
      </w:r>
      <w:r w:rsidRPr="008916DB">
        <w:t>.</w:t>
      </w:r>
    </w:p>
  </w:footnote>
  <w:footnote w:id="31">
    <w:p w14:paraId="620620C9" w14:textId="77777777" w:rsidR="00CA34AD" w:rsidRDefault="00CA34AD" w:rsidP="00FE787F">
      <w:pPr>
        <w:pStyle w:val="FootnoteText"/>
      </w:pPr>
      <w:r>
        <w:rPr>
          <w:rStyle w:val="FootnoteReference"/>
        </w:rPr>
        <w:footnoteRef/>
      </w:r>
      <w:r>
        <w:t xml:space="preserve"> For more information on the Standards for Mathematical Practice, see Pimentel, Susan. 2013. </w:t>
      </w:r>
      <w:hyperlink r:id="rId18" w:history="1">
        <w:r>
          <w:rPr>
            <w:rStyle w:val="Hyperlink"/>
            <w:rFonts w:eastAsia="Batang"/>
            <w:i/>
          </w:rPr>
          <w:t>College and Career Readiness Standards for Adult Education</w:t>
        </w:r>
      </w:hyperlink>
      <w:r>
        <w:t>, pages 46, 48-50.</w:t>
      </w:r>
    </w:p>
  </w:footnote>
  <w:footnote w:id="32">
    <w:p w14:paraId="4CFBA8F4" w14:textId="5533CB52" w:rsidR="00CA34AD" w:rsidRDefault="00CA34AD">
      <w:pPr>
        <w:pStyle w:val="FootnoteText"/>
      </w:pPr>
      <w:r>
        <w:rPr>
          <w:rStyle w:val="FootnoteReference"/>
        </w:rPr>
        <w:footnoteRef/>
      </w:r>
      <w:r>
        <w:t xml:space="preserve"> </w:t>
      </w:r>
      <w:r w:rsidRPr="003073C0">
        <w:t xml:space="preserve">Adapted from </w:t>
      </w:r>
      <w:hyperlink r:id="rId19" w:history="1">
        <w:r w:rsidRPr="003073C0">
          <w:rPr>
            <w:rStyle w:val="Hyperlink"/>
            <w:i/>
          </w:rPr>
          <w:t>The Glossary of Education Reform</w:t>
        </w:r>
      </w:hyperlink>
      <w:r w:rsidRPr="003073C0">
        <w:t>.</w:t>
      </w:r>
    </w:p>
  </w:footnote>
  <w:footnote w:id="33">
    <w:p w14:paraId="2024A9A5" w14:textId="3C4931A8" w:rsidR="00CA34AD" w:rsidRDefault="00CA34AD" w:rsidP="00FE787F">
      <w:pPr>
        <w:pStyle w:val="FootnoteText"/>
      </w:pPr>
      <w:r>
        <w:rPr>
          <w:rStyle w:val="FootnoteReference"/>
        </w:rPr>
        <w:footnoteRef/>
      </w:r>
      <w:r>
        <w:t xml:space="preserve"> </w:t>
      </w:r>
      <w:hyperlink r:id="rId20" w:history="1">
        <w:r w:rsidRPr="00FB14ED">
          <w:rPr>
            <w:rStyle w:val="Hyperlink"/>
          </w:rPr>
          <w:t>Fact Sheet: Testing Action Plan</w:t>
        </w:r>
      </w:hyperlink>
      <w:r>
        <w:t>, U.S. Department of Education (2015)</w:t>
      </w:r>
    </w:p>
  </w:footnote>
  <w:footnote w:id="34">
    <w:p w14:paraId="7838C4AD" w14:textId="462FA21F" w:rsidR="00CA34AD" w:rsidRDefault="00CA34AD">
      <w:pPr>
        <w:pStyle w:val="FootnoteText"/>
      </w:pPr>
      <w:r>
        <w:rPr>
          <w:rStyle w:val="FootnoteReference"/>
        </w:rPr>
        <w:footnoteRef/>
      </w:r>
      <w:r>
        <w:t xml:space="preserve"> </w:t>
      </w:r>
      <w:r w:rsidRPr="003073C0">
        <w:t xml:space="preserve">Adapted from </w:t>
      </w:r>
      <w:hyperlink r:id="rId21" w:history="1">
        <w:r w:rsidRPr="003073C0">
          <w:rPr>
            <w:rStyle w:val="Hyperlink"/>
            <w:i/>
          </w:rPr>
          <w:t>The Glossary of Education Reform</w:t>
        </w:r>
      </w:hyperlink>
      <w:r w:rsidRPr="003073C0">
        <w:t>.</w:t>
      </w:r>
    </w:p>
  </w:footnote>
  <w:footnote w:id="35">
    <w:p w14:paraId="4FA72231" w14:textId="5B290492" w:rsidR="00CA34AD" w:rsidRDefault="00CA34AD">
      <w:pPr>
        <w:pStyle w:val="FootnoteText"/>
      </w:pPr>
      <w:r>
        <w:rPr>
          <w:rStyle w:val="FootnoteReference"/>
        </w:rPr>
        <w:footnoteRef/>
      </w:r>
      <w:r>
        <w:t xml:space="preserve"> </w:t>
      </w:r>
      <w:r w:rsidRPr="003073C0">
        <w:t xml:space="preserve">Adapted from </w:t>
      </w:r>
      <w:hyperlink r:id="rId22" w:history="1">
        <w:r w:rsidRPr="003073C0">
          <w:rPr>
            <w:rStyle w:val="Hyperlink"/>
            <w:i/>
          </w:rPr>
          <w:t>The Glossary of Education Reform</w:t>
        </w:r>
      </w:hyperlink>
      <w:r w:rsidRPr="003073C0">
        <w:t>.</w:t>
      </w:r>
    </w:p>
  </w:footnote>
  <w:footnote w:id="36">
    <w:p w14:paraId="50BB0B1F" w14:textId="77777777" w:rsidR="00CA34AD" w:rsidRPr="00570F2C" w:rsidRDefault="00CA34AD">
      <w:pPr>
        <w:pStyle w:val="FootnoteText"/>
      </w:pPr>
      <w:r>
        <w:rPr>
          <w:rStyle w:val="FootnoteReference"/>
        </w:rPr>
        <w:footnoteRef/>
      </w:r>
      <w:r>
        <w:t xml:space="preserve"> </w:t>
      </w:r>
      <w:r w:rsidRPr="0014170B">
        <w:t>EFL completion may also be referred to as EFL progression or EFL gain.</w:t>
      </w:r>
    </w:p>
  </w:footnote>
  <w:footnote w:id="37">
    <w:p w14:paraId="478FAB2A" w14:textId="77777777" w:rsidR="00CA34AD" w:rsidRDefault="00CA34AD" w:rsidP="002B01FB">
      <w:pPr>
        <w:pStyle w:val="FootnoteText"/>
      </w:pPr>
      <w:r>
        <w:rPr>
          <w:rStyle w:val="FootnoteReference"/>
        </w:rPr>
        <w:footnoteRef/>
      </w:r>
      <w:r>
        <w:t xml:space="preserve"> DeSousa, D.J. (2005). </w:t>
      </w:r>
      <w:r>
        <w:rPr>
          <w:i/>
          <w:iCs/>
        </w:rPr>
        <w:t>On course: Strategies for creating success in college and in life</w:t>
      </w:r>
      <w:r>
        <w:t xml:space="preserve"> (4</w:t>
      </w:r>
      <w:r>
        <w:rPr>
          <w:vertAlign w:val="superscript"/>
        </w:rPr>
        <w:t>th</w:t>
      </w:r>
      <w:r>
        <w:t xml:space="preserve"> ed.). Boston: Houghton Mifflin Company</w:t>
      </w:r>
    </w:p>
  </w:footnote>
  <w:footnote w:id="38">
    <w:p w14:paraId="6DA6454B" w14:textId="77777777" w:rsidR="00CA34AD" w:rsidRDefault="00CA34AD" w:rsidP="002B01FB">
      <w:pPr>
        <w:pStyle w:val="FootnoteText"/>
      </w:pPr>
      <w:r>
        <w:rPr>
          <w:rStyle w:val="FootnoteReference"/>
        </w:rPr>
        <w:footnoteRef/>
      </w:r>
      <w:r>
        <w:t xml:space="preserve"> Light, R. (2001). </w:t>
      </w:r>
      <w:r>
        <w:rPr>
          <w:i/>
          <w:iCs/>
        </w:rPr>
        <w:t>Making the most of college</w:t>
      </w:r>
      <w:r>
        <w:t>. Cambridge, MA: Harvard University Press.</w:t>
      </w:r>
    </w:p>
  </w:footnote>
  <w:footnote w:id="39">
    <w:p w14:paraId="1EBD42B0" w14:textId="77777777" w:rsidR="00CA34AD" w:rsidRDefault="00CA34AD" w:rsidP="002B01FB">
      <w:pPr>
        <w:pStyle w:val="FootnoteText"/>
      </w:pPr>
      <w:r>
        <w:rPr>
          <w:rStyle w:val="FootnoteReference"/>
        </w:rPr>
        <w:footnoteRef/>
      </w:r>
      <w:r>
        <w:t xml:space="preserve"> 22 is the maximum age limit to which free education must be offered.</w:t>
      </w:r>
    </w:p>
  </w:footnote>
  <w:footnote w:id="40">
    <w:p w14:paraId="7332814B" w14:textId="22D7D914" w:rsidR="00CA34AD" w:rsidRPr="00A00A93" w:rsidRDefault="00CA34AD" w:rsidP="00A00A93">
      <w:pPr>
        <w:rPr>
          <w:sz w:val="20"/>
          <w:szCs w:val="20"/>
          <w:highlight w:val="yellow"/>
        </w:rPr>
      </w:pPr>
      <w:r w:rsidRPr="00042338">
        <w:rPr>
          <w:rStyle w:val="FootnoteReference"/>
          <w:sz w:val="20"/>
          <w:szCs w:val="20"/>
        </w:rPr>
        <w:footnoteRef/>
      </w:r>
      <w:r w:rsidRPr="00042338">
        <w:rPr>
          <w:sz w:val="20"/>
          <w:szCs w:val="20"/>
        </w:rPr>
        <w:t xml:space="preserve"> The US ED policy on a subaward states that grantees must exclude the amount of each subaward costs exceeding $25,000 per subaward on a yearly basis. Therefore, indirect costs can only be recovered on the first $25,000 expended each year for each subaward. Expenditures of the subaward will not be allowed if the subaward has not been approved by DESE.</w:t>
      </w:r>
    </w:p>
  </w:footnote>
  <w:footnote w:id="41">
    <w:p w14:paraId="1CBC4B09" w14:textId="77777777" w:rsidR="00CA34AD" w:rsidRPr="000318C1" w:rsidRDefault="00CA34AD" w:rsidP="00297F22">
      <w:pPr>
        <w:pStyle w:val="FootnoteText"/>
      </w:pPr>
      <w:r w:rsidRPr="000318C1">
        <w:rPr>
          <w:rStyle w:val="FootnoteReference"/>
        </w:rPr>
        <w:footnoteRef/>
      </w:r>
      <w:r w:rsidRPr="000318C1">
        <w:t xml:space="preserve"> </w:t>
      </w:r>
      <w:r>
        <w:t>Supplies include</w:t>
      </w:r>
      <w:r w:rsidRPr="00581B93">
        <w:t xml:space="preserve"> computing devices if the acquisition cost is less than $5,000,</w:t>
      </w:r>
      <w:r>
        <w:t xml:space="preserve"> regardless of the length of their</w:t>
      </w:r>
      <w:r w:rsidRPr="00581B93">
        <w:t xml:space="preserve"> useful life. Computing devices means machines used to acquire, store, analyze, process, and publish data and other information electronically, including accessories or peripherals for printing, transmitting and receiving, or storing electronic information.</w:t>
      </w:r>
    </w:p>
  </w:footnote>
  <w:footnote w:id="42">
    <w:p w14:paraId="22DAD139" w14:textId="4226A7CB" w:rsidR="00CA34AD" w:rsidRPr="009C5ECE" w:rsidRDefault="00CA34AD" w:rsidP="009C5ECE">
      <w:pPr>
        <w:pStyle w:val="FootnoteText"/>
      </w:pPr>
      <w:r w:rsidRPr="00CA19AD">
        <w:rPr>
          <w:rStyle w:val="FootnoteReference"/>
        </w:rPr>
        <w:footnoteRef/>
      </w:r>
      <w:r w:rsidRPr="00CA19AD">
        <w:t xml:space="preserve"> </w:t>
      </w:r>
      <w:r w:rsidRPr="00553124">
        <w:t xml:space="preserve">As per </w:t>
      </w:r>
      <w:hyperlink r:id="rId23" w:history="1">
        <w:r w:rsidRPr="00553124">
          <w:rPr>
            <w:rStyle w:val="Hyperlink"/>
          </w:rPr>
          <w:t>34 CFR 76.563-569</w:t>
        </w:r>
      </w:hyperlink>
      <w:r w:rsidRPr="00553124">
        <w:t xml:space="preserve">, </w:t>
      </w:r>
      <w:r w:rsidRPr="00553124">
        <w:rPr>
          <w:color w:val="000000" w:themeColor="text1"/>
        </w:rPr>
        <w:t>the restricted rate is much lower than the unrestricted indirect cost rate which must be calculated to attain the restricted rate. Certain indirect costs allowed in the unrestricted rate determination are not allowed in the restricted rate. These costs include but are not limited to, rent and maintenance costs for space other than the space occupied by the general administration staff such as the accounting, procurement, and human resources office which are organizational wide costs.</w:t>
      </w:r>
      <w:r w:rsidRPr="00CA19AD">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68DF3162" w14:textId="77777777" w:rsidTr="22CF907E">
      <w:tc>
        <w:tcPr>
          <w:tcW w:w="3120" w:type="dxa"/>
        </w:tcPr>
        <w:p w14:paraId="7EFD6A0A" w14:textId="7B4B9EDA" w:rsidR="00CA34AD" w:rsidRDefault="00CA34AD" w:rsidP="22CF907E">
          <w:pPr>
            <w:pStyle w:val="Header"/>
            <w:ind w:left="-115"/>
          </w:pPr>
        </w:p>
      </w:tc>
      <w:tc>
        <w:tcPr>
          <w:tcW w:w="3120" w:type="dxa"/>
        </w:tcPr>
        <w:p w14:paraId="3AC8D6F9" w14:textId="6499ABC7" w:rsidR="00CA34AD" w:rsidRDefault="00CA34AD" w:rsidP="22CF907E">
          <w:pPr>
            <w:pStyle w:val="Header"/>
            <w:jc w:val="center"/>
          </w:pPr>
        </w:p>
      </w:tc>
      <w:tc>
        <w:tcPr>
          <w:tcW w:w="3120" w:type="dxa"/>
        </w:tcPr>
        <w:p w14:paraId="33C16C34" w14:textId="67EAC235" w:rsidR="00CA34AD" w:rsidRDefault="00CA34AD" w:rsidP="22CF907E">
          <w:pPr>
            <w:pStyle w:val="Header"/>
            <w:ind w:right="-115"/>
            <w:jc w:val="right"/>
          </w:pPr>
        </w:p>
      </w:tc>
    </w:tr>
  </w:tbl>
  <w:p w14:paraId="797E112F" w14:textId="34307688" w:rsidR="00CA34AD" w:rsidRDefault="00CA34AD" w:rsidP="22CF90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2946219" w14:textId="77777777" w:rsidTr="22CF907E">
      <w:tc>
        <w:tcPr>
          <w:tcW w:w="3120" w:type="dxa"/>
        </w:tcPr>
        <w:p w14:paraId="5E858BD2" w14:textId="2DC4C4A4" w:rsidR="00CA34AD" w:rsidRDefault="00CA34AD" w:rsidP="22CF907E">
          <w:pPr>
            <w:pStyle w:val="Header"/>
            <w:ind w:left="-115"/>
          </w:pPr>
        </w:p>
      </w:tc>
      <w:tc>
        <w:tcPr>
          <w:tcW w:w="3120" w:type="dxa"/>
        </w:tcPr>
        <w:p w14:paraId="2E8B6E07" w14:textId="529D13F9" w:rsidR="00CA34AD" w:rsidRDefault="00CA34AD" w:rsidP="22CF907E">
          <w:pPr>
            <w:pStyle w:val="Header"/>
            <w:jc w:val="center"/>
          </w:pPr>
        </w:p>
      </w:tc>
      <w:tc>
        <w:tcPr>
          <w:tcW w:w="3120" w:type="dxa"/>
        </w:tcPr>
        <w:p w14:paraId="7D259F82" w14:textId="58184097" w:rsidR="00CA34AD" w:rsidRDefault="00CA34AD" w:rsidP="22CF907E">
          <w:pPr>
            <w:pStyle w:val="Header"/>
            <w:ind w:right="-115"/>
            <w:jc w:val="right"/>
          </w:pPr>
        </w:p>
      </w:tc>
    </w:tr>
  </w:tbl>
  <w:p w14:paraId="09663DCD" w14:textId="25ADE0A9" w:rsidR="00CA34AD" w:rsidRDefault="00CA34AD" w:rsidP="22CF90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8042715" w14:textId="77777777" w:rsidTr="22CF907E">
      <w:tc>
        <w:tcPr>
          <w:tcW w:w="3120" w:type="dxa"/>
        </w:tcPr>
        <w:p w14:paraId="32FC8A3C" w14:textId="79BBEAC6" w:rsidR="00CA34AD" w:rsidRDefault="00CA34AD" w:rsidP="22CF907E">
          <w:pPr>
            <w:pStyle w:val="Header"/>
            <w:ind w:left="-115"/>
          </w:pPr>
        </w:p>
      </w:tc>
      <w:tc>
        <w:tcPr>
          <w:tcW w:w="3120" w:type="dxa"/>
        </w:tcPr>
        <w:p w14:paraId="3A2D81B5" w14:textId="3D779FC7" w:rsidR="00CA34AD" w:rsidRDefault="00CA34AD" w:rsidP="22CF907E">
          <w:pPr>
            <w:pStyle w:val="Header"/>
            <w:jc w:val="center"/>
          </w:pPr>
        </w:p>
      </w:tc>
      <w:tc>
        <w:tcPr>
          <w:tcW w:w="3120" w:type="dxa"/>
        </w:tcPr>
        <w:p w14:paraId="74D4FE37" w14:textId="6073748D" w:rsidR="00CA34AD" w:rsidRDefault="00CA34AD" w:rsidP="22CF907E">
          <w:pPr>
            <w:pStyle w:val="Header"/>
            <w:ind w:right="-115"/>
            <w:jc w:val="right"/>
          </w:pPr>
        </w:p>
      </w:tc>
    </w:tr>
  </w:tbl>
  <w:p w14:paraId="445A01E8" w14:textId="60E270E6" w:rsidR="00CA34AD" w:rsidRDefault="00CA34AD" w:rsidP="22CF9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16EC3487" w14:textId="77777777" w:rsidTr="22CF907E">
      <w:tc>
        <w:tcPr>
          <w:tcW w:w="3120" w:type="dxa"/>
        </w:tcPr>
        <w:p w14:paraId="5588F7AD" w14:textId="295388D5" w:rsidR="00CA34AD" w:rsidRDefault="00CA34AD" w:rsidP="22CF907E">
          <w:pPr>
            <w:pStyle w:val="Header"/>
            <w:ind w:left="-115"/>
          </w:pPr>
        </w:p>
      </w:tc>
      <w:tc>
        <w:tcPr>
          <w:tcW w:w="3120" w:type="dxa"/>
        </w:tcPr>
        <w:p w14:paraId="76BDA197" w14:textId="5B960A72" w:rsidR="00CA34AD" w:rsidRDefault="00CA34AD" w:rsidP="22CF907E">
          <w:pPr>
            <w:pStyle w:val="Header"/>
            <w:jc w:val="center"/>
          </w:pPr>
        </w:p>
      </w:tc>
      <w:tc>
        <w:tcPr>
          <w:tcW w:w="3120" w:type="dxa"/>
        </w:tcPr>
        <w:p w14:paraId="11A6CE04" w14:textId="18EC9686" w:rsidR="00CA34AD" w:rsidRDefault="00CA34AD" w:rsidP="22CF907E">
          <w:pPr>
            <w:pStyle w:val="Header"/>
            <w:ind w:right="-115"/>
            <w:jc w:val="right"/>
          </w:pPr>
        </w:p>
      </w:tc>
    </w:tr>
  </w:tbl>
  <w:p w14:paraId="4701FBD9" w14:textId="201C27A9" w:rsidR="00CA34AD" w:rsidRDefault="00CA34AD" w:rsidP="22CF9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415A530C" w14:textId="77777777" w:rsidTr="22CF907E">
      <w:tc>
        <w:tcPr>
          <w:tcW w:w="3120" w:type="dxa"/>
        </w:tcPr>
        <w:p w14:paraId="469ABCC1" w14:textId="2FBB1F51" w:rsidR="00CA34AD" w:rsidRDefault="00CA34AD" w:rsidP="22CF907E">
          <w:pPr>
            <w:pStyle w:val="Header"/>
            <w:ind w:left="-115"/>
          </w:pPr>
        </w:p>
      </w:tc>
      <w:tc>
        <w:tcPr>
          <w:tcW w:w="3120" w:type="dxa"/>
        </w:tcPr>
        <w:p w14:paraId="493B4FF8" w14:textId="50180C09" w:rsidR="00CA34AD" w:rsidRDefault="00CA34AD" w:rsidP="22CF907E">
          <w:pPr>
            <w:pStyle w:val="Header"/>
            <w:jc w:val="center"/>
          </w:pPr>
        </w:p>
      </w:tc>
      <w:tc>
        <w:tcPr>
          <w:tcW w:w="3120" w:type="dxa"/>
        </w:tcPr>
        <w:p w14:paraId="37BC95B2" w14:textId="2EB4AF50" w:rsidR="00CA34AD" w:rsidRDefault="00CA34AD" w:rsidP="22CF907E">
          <w:pPr>
            <w:pStyle w:val="Header"/>
            <w:ind w:right="-115"/>
            <w:jc w:val="right"/>
          </w:pPr>
        </w:p>
      </w:tc>
    </w:tr>
  </w:tbl>
  <w:p w14:paraId="684AA808" w14:textId="692ED487" w:rsidR="00CA34AD" w:rsidRDefault="00CA34AD" w:rsidP="22CF90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EE0E0F8" w14:textId="77777777" w:rsidTr="22CF907E">
      <w:tc>
        <w:tcPr>
          <w:tcW w:w="3120" w:type="dxa"/>
        </w:tcPr>
        <w:p w14:paraId="1D38DE20" w14:textId="52DB9562" w:rsidR="00CA34AD" w:rsidRDefault="00CA34AD" w:rsidP="22CF907E">
          <w:pPr>
            <w:pStyle w:val="Header"/>
            <w:ind w:left="-115"/>
          </w:pPr>
        </w:p>
      </w:tc>
      <w:tc>
        <w:tcPr>
          <w:tcW w:w="3120" w:type="dxa"/>
        </w:tcPr>
        <w:p w14:paraId="08731F10" w14:textId="7690D947" w:rsidR="00CA34AD" w:rsidRDefault="00CA34AD" w:rsidP="22CF907E">
          <w:pPr>
            <w:pStyle w:val="Header"/>
            <w:jc w:val="center"/>
          </w:pPr>
        </w:p>
      </w:tc>
      <w:tc>
        <w:tcPr>
          <w:tcW w:w="3120" w:type="dxa"/>
        </w:tcPr>
        <w:p w14:paraId="241A6703" w14:textId="2CA25AB7" w:rsidR="00CA34AD" w:rsidRDefault="00CA34AD" w:rsidP="22CF907E">
          <w:pPr>
            <w:pStyle w:val="Header"/>
            <w:ind w:right="-115"/>
            <w:jc w:val="right"/>
          </w:pPr>
        </w:p>
      </w:tc>
    </w:tr>
  </w:tbl>
  <w:p w14:paraId="6087430D" w14:textId="5CBB9503" w:rsidR="00CA34AD" w:rsidRDefault="00CA34AD" w:rsidP="22CF9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3D6C9E67" w14:textId="77777777" w:rsidTr="22CF907E">
      <w:tc>
        <w:tcPr>
          <w:tcW w:w="3120" w:type="dxa"/>
        </w:tcPr>
        <w:p w14:paraId="0BF70978" w14:textId="04792166" w:rsidR="00CA34AD" w:rsidRDefault="00CA34AD" w:rsidP="22CF907E">
          <w:pPr>
            <w:pStyle w:val="Header"/>
            <w:ind w:left="-115"/>
          </w:pPr>
        </w:p>
      </w:tc>
      <w:tc>
        <w:tcPr>
          <w:tcW w:w="3120" w:type="dxa"/>
        </w:tcPr>
        <w:p w14:paraId="4D076163" w14:textId="168AA047" w:rsidR="00CA34AD" w:rsidRDefault="00CA34AD" w:rsidP="22CF907E">
          <w:pPr>
            <w:pStyle w:val="Header"/>
            <w:jc w:val="center"/>
          </w:pPr>
        </w:p>
      </w:tc>
      <w:tc>
        <w:tcPr>
          <w:tcW w:w="3120" w:type="dxa"/>
        </w:tcPr>
        <w:p w14:paraId="7DD70BB2" w14:textId="4FD05000" w:rsidR="00CA34AD" w:rsidRDefault="00CA34AD" w:rsidP="22CF907E">
          <w:pPr>
            <w:pStyle w:val="Header"/>
            <w:ind w:right="-115"/>
            <w:jc w:val="right"/>
          </w:pPr>
        </w:p>
      </w:tc>
    </w:tr>
  </w:tbl>
  <w:p w14:paraId="2852E94B" w14:textId="324224B2" w:rsidR="00CA34AD" w:rsidRDefault="00CA34AD" w:rsidP="22CF90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61870F66" w14:textId="77777777" w:rsidTr="22CF907E">
      <w:tc>
        <w:tcPr>
          <w:tcW w:w="3120" w:type="dxa"/>
        </w:tcPr>
        <w:p w14:paraId="21E88543" w14:textId="0F9034A0" w:rsidR="00CA34AD" w:rsidRDefault="00CA34AD" w:rsidP="22CF907E">
          <w:pPr>
            <w:pStyle w:val="Header"/>
            <w:ind w:left="-115"/>
          </w:pPr>
        </w:p>
      </w:tc>
      <w:tc>
        <w:tcPr>
          <w:tcW w:w="3120" w:type="dxa"/>
        </w:tcPr>
        <w:p w14:paraId="7D32A660" w14:textId="0B1CFD6A" w:rsidR="00CA34AD" w:rsidRDefault="00CA34AD" w:rsidP="22CF907E">
          <w:pPr>
            <w:pStyle w:val="Header"/>
            <w:jc w:val="center"/>
          </w:pPr>
        </w:p>
      </w:tc>
      <w:tc>
        <w:tcPr>
          <w:tcW w:w="3120" w:type="dxa"/>
        </w:tcPr>
        <w:p w14:paraId="23B787A0" w14:textId="12BF24AD" w:rsidR="00CA34AD" w:rsidRDefault="00CA34AD" w:rsidP="22CF907E">
          <w:pPr>
            <w:pStyle w:val="Header"/>
            <w:ind w:right="-115"/>
            <w:jc w:val="right"/>
          </w:pPr>
        </w:p>
      </w:tc>
    </w:tr>
  </w:tbl>
  <w:p w14:paraId="52C397A8" w14:textId="52A9DC28" w:rsidR="00CA34AD" w:rsidRDefault="00CA34AD" w:rsidP="22CF90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8B29DB3" w14:textId="77777777" w:rsidTr="22CF907E">
      <w:tc>
        <w:tcPr>
          <w:tcW w:w="3120" w:type="dxa"/>
        </w:tcPr>
        <w:p w14:paraId="7AEC8CE3" w14:textId="39D19C77" w:rsidR="00CA34AD" w:rsidRDefault="00CA34AD" w:rsidP="22CF907E">
          <w:pPr>
            <w:pStyle w:val="Header"/>
            <w:ind w:left="-115"/>
          </w:pPr>
        </w:p>
      </w:tc>
      <w:tc>
        <w:tcPr>
          <w:tcW w:w="3120" w:type="dxa"/>
        </w:tcPr>
        <w:p w14:paraId="50A9BEEC" w14:textId="4575C312" w:rsidR="00CA34AD" w:rsidRDefault="00CA34AD" w:rsidP="22CF907E">
          <w:pPr>
            <w:pStyle w:val="Header"/>
            <w:jc w:val="center"/>
          </w:pPr>
        </w:p>
      </w:tc>
      <w:tc>
        <w:tcPr>
          <w:tcW w:w="3120" w:type="dxa"/>
        </w:tcPr>
        <w:p w14:paraId="0BD0CF94" w14:textId="63A055DE" w:rsidR="00CA34AD" w:rsidRDefault="00CA34AD" w:rsidP="22CF907E">
          <w:pPr>
            <w:pStyle w:val="Header"/>
            <w:ind w:right="-115"/>
            <w:jc w:val="right"/>
          </w:pPr>
        </w:p>
      </w:tc>
    </w:tr>
  </w:tbl>
  <w:p w14:paraId="167EF536" w14:textId="4241D376" w:rsidR="00CA34AD" w:rsidRDefault="00CA34AD" w:rsidP="22CF90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08F2873B" w14:textId="77777777" w:rsidTr="22CF907E">
      <w:tc>
        <w:tcPr>
          <w:tcW w:w="3120" w:type="dxa"/>
        </w:tcPr>
        <w:p w14:paraId="4D981328" w14:textId="2DBEB5D2" w:rsidR="00CA34AD" w:rsidRDefault="00CA34AD" w:rsidP="22CF907E">
          <w:pPr>
            <w:pStyle w:val="Header"/>
            <w:ind w:left="-115"/>
          </w:pPr>
        </w:p>
      </w:tc>
      <w:tc>
        <w:tcPr>
          <w:tcW w:w="3120" w:type="dxa"/>
        </w:tcPr>
        <w:p w14:paraId="3F362CF1" w14:textId="003F24AB" w:rsidR="00CA34AD" w:rsidRDefault="00CA34AD" w:rsidP="22CF907E">
          <w:pPr>
            <w:pStyle w:val="Header"/>
            <w:jc w:val="center"/>
          </w:pPr>
        </w:p>
      </w:tc>
      <w:tc>
        <w:tcPr>
          <w:tcW w:w="3120" w:type="dxa"/>
        </w:tcPr>
        <w:p w14:paraId="136332DA" w14:textId="225EC49E" w:rsidR="00CA34AD" w:rsidRDefault="00CA34AD" w:rsidP="22CF907E">
          <w:pPr>
            <w:pStyle w:val="Header"/>
            <w:ind w:right="-115"/>
            <w:jc w:val="right"/>
          </w:pPr>
        </w:p>
      </w:tc>
    </w:tr>
  </w:tbl>
  <w:p w14:paraId="6A0926A1" w14:textId="54FFD67F" w:rsidR="00CA34AD" w:rsidRDefault="00CA34AD" w:rsidP="22CF9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AC0AEF7" w14:textId="77777777" w:rsidTr="22CF907E">
      <w:tc>
        <w:tcPr>
          <w:tcW w:w="3120" w:type="dxa"/>
        </w:tcPr>
        <w:p w14:paraId="6D8CE3E1" w14:textId="49FE9181" w:rsidR="00CA34AD" w:rsidRDefault="00CA34AD" w:rsidP="22CF907E">
          <w:pPr>
            <w:pStyle w:val="Header"/>
            <w:ind w:left="-115"/>
          </w:pPr>
        </w:p>
      </w:tc>
      <w:tc>
        <w:tcPr>
          <w:tcW w:w="3120" w:type="dxa"/>
        </w:tcPr>
        <w:p w14:paraId="28D0F65F" w14:textId="1FA674F3" w:rsidR="00CA34AD" w:rsidRDefault="00CA34AD" w:rsidP="22CF907E">
          <w:pPr>
            <w:pStyle w:val="Header"/>
            <w:jc w:val="center"/>
          </w:pPr>
        </w:p>
      </w:tc>
      <w:tc>
        <w:tcPr>
          <w:tcW w:w="3120" w:type="dxa"/>
        </w:tcPr>
        <w:p w14:paraId="20881667" w14:textId="18F76E68" w:rsidR="00CA34AD" w:rsidRDefault="00CA34AD" w:rsidP="22CF907E">
          <w:pPr>
            <w:pStyle w:val="Header"/>
            <w:ind w:right="-115"/>
            <w:jc w:val="right"/>
          </w:pPr>
        </w:p>
      </w:tc>
    </w:tr>
  </w:tbl>
  <w:p w14:paraId="48754CE6" w14:textId="117DA0F6" w:rsidR="00CA34AD" w:rsidRDefault="00CA34AD" w:rsidP="22CF9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6DAE1FC" w14:textId="77777777" w:rsidTr="22CF907E">
      <w:tc>
        <w:tcPr>
          <w:tcW w:w="3120" w:type="dxa"/>
        </w:tcPr>
        <w:p w14:paraId="3C2442A6" w14:textId="677E355B" w:rsidR="00CA34AD" w:rsidRDefault="00CA34AD" w:rsidP="22CF907E">
          <w:pPr>
            <w:pStyle w:val="Header"/>
            <w:ind w:left="-115"/>
          </w:pPr>
        </w:p>
      </w:tc>
      <w:tc>
        <w:tcPr>
          <w:tcW w:w="3120" w:type="dxa"/>
        </w:tcPr>
        <w:p w14:paraId="3051AEA4" w14:textId="641C3FA5" w:rsidR="00CA34AD" w:rsidRDefault="00CA34AD" w:rsidP="22CF907E">
          <w:pPr>
            <w:pStyle w:val="Header"/>
            <w:jc w:val="center"/>
          </w:pPr>
        </w:p>
      </w:tc>
      <w:tc>
        <w:tcPr>
          <w:tcW w:w="3120" w:type="dxa"/>
        </w:tcPr>
        <w:p w14:paraId="22F52ACB" w14:textId="43532D86" w:rsidR="00CA34AD" w:rsidRDefault="00CA34AD" w:rsidP="22CF907E">
          <w:pPr>
            <w:pStyle w:val="Header"/>
            <w:ind w:right="-115"/>
            <w:jc w:val="right"/>
          </w:pPr>
        </w:p>
      </w:tc>
    </w:tr>
  </w:tbl>
  <w:p w14:paraId="147A1151" w14:textId="55EF2C7D" w:rsidR="00CA34AD" w:rsidRDefault="00CA34AD" w:rsidP="22CF90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4D1A641B" w14:textId="77777777" w:rsidTr="22CF907E">
      <w:tc>
        <w:tcPr>
          <w:tcW w:w="3120" w:type="dxa"/>
        </w:tcPr>
        <w:p w14:paraId="384481C2" w14:textId="791FF018" w:rsidR="00CA34AD" w:rsidRDefault="00CA34AD" w:rsidP="22CF907E">
          <w:pPr>
            <w:pStyle w:val="Header"/>
            <w:ind w:left="-115"/>
          </w:pPr>
        </w:p>
      </w:tc>
      <w:tc>
        <w:tcPr>
          <w:tcW w:w="3120" w:type="dxa"/>
        </w:tcPr>
        <w:p w14:paraId="06A22AF0" w14:textId="091F6310" w:rsidR="00CA34AD" w:rsidRDefault="00CA34AD" w:rsidP="22CF907E">
          <w:pPr>
            <w:pStyle w:val="Header"/>
            <w:jc w:val="center"/>
          </w:pPr>
        </w:p>
      </w:tc>
      <w:tc>
        <w:tcPr>
          <w:tcW w:w="3120" w:type="dxa"/>
        </w:tcPr>
        <w:p w14:paraId="283199F2" w14:textId="09C7F9F4" w:rsidR="00CA34AD" w:rsidRDefault="00CA34AD" w:rsidP="22CF907E">
          <w:pPr>
            <w:pStyle w:val="Header"/>
            <w:ind w:right="-115"/>
            <w:jc w:val="right"/>
          </w:pPr>
        </w:p>
      </w:tc>
    </w:tr>
  </w:tbl>
  <w:p w14:paraId="2E99E083" w14:textId="0D5AAE8C" w:rsidR="00CA34AD" w:rsidRDefault="00CA34AD" w:rsidP="00AE4C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ACB8208" w14:textId="77777777" w:rsidTr="22CF907E">
      <w:tc>
        <w:tcPr>
          <w:tcW w:w="3120" w:type="dxa"/>
        </w:tcPr>
        <w:p w14:paraId="4F175383" w14:textId="2562B982" w:rsidR="00CA34AD" w:rsidRDefault="00CA34AD" w:rsidP="22CF907E">
          <w:pPr>
            <w:pStyle w:val="Header"/>
            <w:ind w:left="-115"/>
          </w:pPr>
        </w:p>
      </w:tc>
      <w:tc>
        <w:tcPr>
          <w:tcW w:w="3120" w:type="dxa"/>
        </w:tcPr>
        <w:p w14:paraId="0D8998C5" w14:textId="4C703D17" w:rsidR="00CA34AD" w:rsidRDefault="00CA34AD" w:rsidP="22CF907E">
          <w:pPr>
            <w:pStyle w:val="Header"/>
            <w:jc w:val="center"/>
          </w:pPr>
        </w:p>
      </w:tc>
      <w:tc>
        <w:tcPr>
          <w:tcW w:w="3120" w:type="dxa"/>
        </w:tcPr>
        <w:p w14:paraId="4A96569C" w14:textId="491D2797" w:rsidR="00CA34AD" w:rsidRDefault="00CA34AD" w:rsidP="22CF907E">
          <w:pPr>
            <w:pStyle w:val="Header"/>
            <w:ind w:right="-115"/>
            <w:jc w:val="right"/>
          </w:pPr>
        </w:p>
      </w:tc>
    </w:tr>
  </w:tbl>
  <w:p w14:paraId="144FC026" w14:textId="4EADE8E3" w:rsidR="00CA34AD" w:rsidRDefault="00CA34AD" w:rsidP="22CF90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92B87B4" w14:textId="77777777" w:rsidTr="22CF907E">
      <w:tc>
        <w:tcPr>
          <w:tcW w:w="3120" w:type="dxa"/>
        </w:tcPr>
        <w:p w14:paraId="4BF38AB9" w14:textId="36B6E1A9" w:rsidR="00CA34AD" w:rsidRDefault="00CA34AD" w:rsidP="22CF907E">
          <w:pPr>
            <w:pStyle w:val="Header"/>
            <w:ind w:left="-115"/>
          </w:pPr>
        </w:p>
      </w:tc>
      <w:tc>
        <w:tcPr>
          <w:tcW w:w="3120" w:type="dxa"/>
        </w:tcPr>
        <w:p w14:paraId="6CBAC1DF" w14:textId="56B45E1F" w:rsidR="00CA34AD" w:rsidRDefault="00CA34AD" w:rsidP="22CF907E">
          <w:pPr>
            <w:pStyle w:val="Header"/>
            <w:jc w:val="center"/>
          </w:pPr>
        </w:p>
      </w:tc>
      <w:tc>
        <w:tcPr>
          <w:tcW w:w="3120" w:type="dxa"/>
        </w:tcPr>
        <w:p w14:paraId="760AF739" w14:textId="401B9915" w:rsidR="00CA34AD" w:rsidRDefault="00CA34AD" w:rsidP="22CF907E">
          <w:pPr>
            <w:pStyle w:val="Header"/>
            <w:ind w:right="-115"/>
            <w:jc w:val="right"/>
          </w:pPr>
        </w:p>
      </w:tc>
    </w:tr>
  </w:tbl>
  <w:p w14:paraId="2F3B3E65" w14:textId="1213A8F9" w:rsidR="00CA34AD" w:rsidRDefault="00CA34AD" w:rsidP="22CF9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7235847" w14:textId="77777777" w:rsidTr="22CF907E">
      <w:tc>
        <w:tcPr>
          <w:tcW w:w="3120" w:type="dxa"/>
        </w:tcPr>
        <w:p w14:paraId="2E3EA43F" w14:textId="38142562" w:rsidR="00CA34AD" w:rsidRDefault="00CA34AD" w:rsidP="22CF907E">
          <w:pPr>
            <w:pStyle w:val="Header"/>
            <w:ind w:left="-115"/>
          </w:pPr>
        </w:p>
      </w:tc>
      <w:tc>
        <w:tcPr>
          <w:tcW w:w="3120" w:type="dxa"/>
        </w:tcPr>
        <w:p w14:paraId="641DD28C" w14:textId="34BB8496" w:rsidR="00CA34AD" w:rsidRDefault="00CA34AD" w:rsidP="22CF907E">
          <w:pPr>
            <w:pStyle w:val="Header"/>
            <w:jc w:val="center"/>
          </w:pPr>
        </w:p>
      </w:tc>
      <w:tc>
        <w:tcPr>
          <w:tcW w:w="3120" w:type="dxa"/>
        </w:tcPr>
        <w:p w14:paraId="0414722B" w14:textId="1324FF66" w:rsidR="00CA34AD" w:rsidRDefault="00CA34AD" w:rsidP="22CF907E">
          <w:pPr>
            <w:pStyle w:val="Header"/>
            <w:ind w:right="-115"/>
            <w:jc w:val="right"/>
          </w:pPr>
        </w:p>
      </w:tc>
    </w:tr>
  </w:tbl>
  <w:p w14:paraId="4EBE30E9" w14:textId="0B82D5DA" w:rsidR="00CA34AD" w:rsidRDefault="00CA34AD" w:rsidP="22CF90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38F8BEE2" w14:textId="77777777" w:rsidTr="22CF907E">
      <w:tc>
        <w:tcPr>
          <w:tcW w:w="3120" w:type="dxa"/>
        </w:tcPr>
        <w:p w14:paraId="17641AD8" w14:textId="63BE1A98" w:rsidR="00CA34AD" w:rsidRDefault="00CA34AD" w:rsidP="22CF907E">
          <w:pPr>
            <w:pStyle w:val="Header"/>
            <w:ind w:left="-115"/>
          </w:pPr>
        </w:p>
      </w:tc>
      <w:tc>
        <w:tcPr>
          <w:tcW w:w="3120" w:type="dxa"/>
        </w:tcPr>
        <w:p w14:paraId="2BB6B991" w14:textId="63700B91" w:rsidR="00CA34AD" w:rsidRDefault="00CA34AD" w:rsidP="22CF907E">
          <w:pPr>
            <w:pStyle w:val="Header"/>
            <w:jc w:val="center"/>
          </w:pPr>
        </w:p>
      </w:tc>
      <w:tc>
        <w:tcPr>
          <w:tcW w:w="3120" w:type="dxa"/>
        </w:tcPr>
        <w:p w14:paraId="307690BA" w14:textId="081D9E6D" w:rsidR="00CA34AD" w:rsidRDefault="00CA34AD" w:rsidP="22CF907E">
          <w:pPr>
            <w:pStyle w:val="Header"/>
            <w:ind w:right="-115"/>
            <w:jc w:val="right"/>
          </w:pPr>
        </w:p>
      </w:tc>
    </w:tr>
  </w:tbl>
  <w:p w14:paraId="65AA3BA3" w14:textId="769D6C5E" w:rsidR="00CA34AD" w:rsidRDefault="00CA34AD" w:rsidP="22CF90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0F4A9119" w14:textId="77777777" w:rsidTr="22CF907E">
      <w:tc>
        <w:tcPr>
          <w:tcW w:w="3120" w:type="dxa"/>
        </w:tcPr>
        <w:p w14:paraId="41A77C76" w14:textId="7C5F8B65" w:rsidR="00CA34AD" w:rsidRDefault="00CA34AD" w:rsidP="22CF907E">
          <w:pPr>
            <w:pStyle w:val="Header"/>
            <w:ind w:left="-115"/>
          </w:pPr>
        </w:p>
      </w:tc>
      <w:tc>
        <w:tcPr>
          <w:tcW w:w="3120" w:type="dxa"/>
        </w:tcPr>
        <w:p w14:paraId="4F9AE91F" w14:textId="61340226" w:rsidR="00CA34AD" w:rsidRDefault="00CA34AD" w:rsidP="22CF907E">
          <w:pPr>
            <w:pStyle w:val="Header"/>
            <w:jc w:val="center"/>
          </w:pPr>
        </w:p>
      </w:tc>
      <w:tc>
        <w:tcPr>
          <w:tcW w:w="3120" w:type="dxa"/>
        </w:tcPr>
        <w:p w14:paraId="06ECFC65" w14:textId="42EDC524" w:rsidR="00CA34AD" w:rsidRDefault="00CA34AD" w:rsidP="22CF907E">
          <w:pPr>
            <w:pStyle w:val="Header"/>
            <w:ind w:right="-115"/>
            <w:jc w:val="right"/>
          </w:pPr>
        </w:p>
      </w:tc>
    </w:tr>
  </w:tbl>
  <w:p w14:paraId="0D5439FC" w14:textId="3B9D100A" w:rsidR="00CA34AD" w:rsidRDefault="00CA34AD" w:rsidP="22CF9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B7E"/>
    <w:multiLevelType w:val="hybridMultilevel"/>
    <w:tmpl w:val="1D549528"/>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46581"/>
    <w:multiLevelType w:val="hybridMultilevel"/>
    <w:tmpl w:val="930A6FD2"/>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959D3"/>
    <w:multiLevelType w:val="multilevel"/>
    <w:tmpl w:val="74F44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55825"/>
    <w:multiLevelType w:val="hybridMultilevel"/>
    <w:tmpl w:val="60E47888"/>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12A9E"/>
    <w:multiLevelType w:val="hybridMultilevel"/>
    <w:tmpl w:val="A2A4F10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F5676"/>
    <w:multiLevelType w:val="hybridMultilevel"/>
    <w:tmpl w:val="848A2124"/>
    <w:lvl w:ilvl="0" w:tplc="06E6010C">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0C0A36"/>
    <w:multiLevelType w:val="hybridMultilevel"/>
    <w:tmpl w:val="541AC404"/>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02C60"/>
    <w:multiLevelType w:val="hybridMultilevel"/>
    <w:tmpl w:val="595E03F0"/>
    <w:lvl w:ilvl="0" w:tplc="62C0BB4C">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9D6"/>
    <w:multiLevelType w:val="hybridMultilevel"/>
    <w:tmpl w:val="4174690E"/>
    <w:lvl w:ilvl="0" w:tplc="3FA2974A">
      <w:start w:val="1"/>
      <w:numFmt w:val="bullet"/>
      <w:lvlText w:val=""/>
      <w:lvlJc w:val="left"/>
      <w:pPr>
        <w:ind w:left="720" w:hanging="360"/>
      </w:pPr>
      <w:rPr>
        <w:rFonts w:ascii="Symbol" w:hAnsi="Symbol"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F08A4"/>
    <w:multiLevelType w:val="hybridMultilevel"/>
    <w:tmpl w:val="556200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BD79A0"/>
    <w:multiLevelType w:val="hybridMultilevel"/>
    <w:tmpl w:val="56127ADC"/>
    <w:lvl w:ilvl="0" w:tplc="6B5E5460">
      <w:start w:val="1"/>
      <w:numFmt w:val="bullet"/>
      <w:lvlText w:val=""/>
      <w:lvlJc w:val="left"/>
      <w:pPr>
        <w:ind w:left="1080" w:hanging="360"/>
      </w:pPr>
      <w:rPr>
        <w:rFonts w:ascii="Wingdings" w:hAnsi="Wingdings" w:hint="default"/>
        <w:b/>
        <w:i w:val="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29247A9D"/>
    <w:multiLevelType w:val="hybridMultilevel"/>
    <w:tmpl w:val="61848A5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94B58"/>
    <w:multiLevelType w:val="hybridMultilevel"/>
    <w:tmpl w:val="8DACAA20"/>
    <w:lvl w:ilvl="0" w:tplc="6B5E5460">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A43B0E"/>
    <w:multiLevelType w:val="hybridMultilevel"/>
    <w:tmpl w:val="9A7649E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728CB"/>
    <w:multiLevelType w:val="hybridMultilevel"/>
    <w:tmpl w:val="5F3293C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A0122"/>
    <w:multiLevelType w:val="hybridMultilevel"/>
    <w:tmpl w:val="53F8D02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D4B92"/>
    <w:multiLevelType w:val="multilevel"/>
    <w:tmpl w:val="D7768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86DFE"/>
    <w:multiLevelType w:val="hybridMultilevel"/>
    <w:tmpl w:val="1242D5F8"/>
    <w:lvl w:ilvl="0" w:tplc="62C0BB4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15:restartNumberingAfterBreak="0">
    <w:nsid w:val="30736EED"/>
    <w:multiLevelType w:val="hybridMultilevel"/>
    <w:tmpl w:val="92984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B168E"/>
    <w:multiLevelType w:val="hybridMultilevel"/>
    <w:tmpl w:val="1A209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6D60F4"/>
    <w:multiLevelType w:val="hybridMultilevel"/>
    <w:tmpl w:val="7164A1FC"/>
    <w:lvl w:ilvl="0" w:tplc="0B645236">
      <w:start w:val="1"/>
      <w:numFmt w:val="bullet"/>
      <w:lvlText w:val=""/>
      <w:lvlJc w:val="left"/>
      <w:pPr>
        <w:tabs>
          <w:tab w:val="num" w:pos="720"/>
        </w:tabs>
        <w:ind w:left="720" w:hanging="360"/>
      </w:pPr>
      <w:rPr>
        <w:rFonts w:ascii="Symbol" w:hAnsi="Symbol" w:hint="default"/>
        <w:sz w:val="20"/>
      </w:rPr>
    </w:lvl>
    <w:lvl w:ilvl="1" w:tplc="4BD4637C" w:tentative="1">
      <w:start w:val="1"/>
      <w:numFmt w:val="bullet"/>
      <w:lvlText w:val="o"/>
      <w:lvlJc w:val="left"/>
      <w:pPr>
        <w:tabs>
          <w:tab w:val="num" w:pos="1440"/>
        </w:tabs>
        <w:ind w:left="1440" w:hanging="360"/>
      </w:pPr>
      <w:rPr>
        <w:rFonts w:ascii="Courier New" w:hAnsi="Courier New" w:hint="default"/>
        <w:sz w:val="20"/>
      </w:rPr>
    </w:lvl>
    <w:lvl w:ilvl="2" w:tplc="FF04D066" w:tentative="1">
      <w:start w:val="1"/>
      <w:numFmt w:val="bullet"/>
      <w:lvlText w:val=""/>
      <w:lvlJc w:val="left"/>
      <w:pPr>
        <w:tabs>
          <w:tab w:val="num" w:pos="2160"/>
        </w:tabs>
        <w:ind w:left="2160" w:hanging="360"/>
      </w:pPr>
      <w:rPr>
        <w:rFonts w:ascii="Wingdings" w:hAnsi="Wingdings" w:hint="default"/>
        <w:sz w:val="20"/>
      </w:rPr>
    </w:lvl>
    <w:lvl w:ilvl="3" w:tplc="83EED404" w:tentative="1">
      <w:start w:val="1"/>
      <w:numFmt w:val="bullet"/>
      <w:lvlText w:val=""/>
      <w:lvlJc w:val="left"/>
      <w:pPr>
        <w:tabs>
          <w:tab w:val="num" w:pos="2880"/>
        </w:tabs>
        <w:ind w:left="2880" w:hanging="360"/>
      </w:pPr>
      <w:rPr>
        <w:rFonts w:ascii="Wingdings" w:hAnsi="Wingdings" w:hint="default"/>
        <w:sz w:val="20"/>
      </w:rPr>
    </w:lvl>
    <w:lvl w:ilvl="4" w:tplc="267CE18A" w:tentative="1">
      <w:start w:val="1"/>
      <w:numFmt w:val="bullet"/>
      <w:lvlText w:val=""/>
      <w:lvlJc w:val="left"/>
      <w:pPr>
        <w:tabs>
          <w:tab w:val="num" w:pos="3600"/>
        </w:tabs>
        <w:ind w:left="3600" w:hanging="360"/>
      </w:pPr>
      <w:rPr>
        <w:rFonts w:ascii="Wingdings" w:hAnsi="Wingdings" w:hint="default"/>
        <w:sz w:val="20"/>
      </w:rPr>
    </w:lvl>
    <w:lvl w:ilvl="5" w:tplc="048259A6" w:tentative="1">
      <w:start w:val="1"/>
      <w:numFmt w:val="bullet"/>
      <w:lvlText w:val=""/>
      <w:lvlJc w:val="left"/>
      <w:pPr>
        <w:tabs>
          <w:tab w:val="num" w:pos="4320"/>
        </w:tabs>
        <w:ind w:left="4320" w:hanging="360"/>
      </w:pPr>
      <w:rPr>
        <w:rFonts w:ascii="Wingdings" w:hAnsi="Wingdings" w:hint="default"/>
        <w:sz w:val="20"/>
      </w:rPr>
    </w:lvl>
    <w:lvl w:ilvl="6" w:tplc="A2262C98" w:tentative="1">
      <w:start w:val="1"/>
      <w:numFmt w:val="bullet"/>
      <w:lvlText w:val=""/>
      <w:lvlJc w:val="left"/>
      <w:pPr>
        <w:tabs>
          <w:tab w:val="num" w:pos="5040"/>
        </w:tabs>
        <w:ind w:left="5040" w:hanging="360"/>
      </w:pPr>
      <w:rPr>
        <w:rFonts w:ascii="Wingdings" w:hAnsi="Wingdings" w:hint="default"/>
        <w:sz w:val="20"/>
      </w:rPr>
    </w:lvl>
    <w:lvl w:ilvl="7" w:tplc="3CB8AA64" w:tentative="1">
      <w:start w:val="1"/>
      <w:numFmt w:val="bullet"/>
      <w:lvlText w:val=""/>
      <w:lvlJc w:val="left"/>
      <w:pPr>
        <w:tabs>
          <w:tab w:val="num" w:pos="5760"/>
        </w:tabs>
        <w:ind w:left="5760" w:hanging="360"/>
      </w:pPr>
      <w:rPr>
        <w:rFonts w:ascii="Wingdings" w:hAnsi="Wingdings" w:hint="default"/>
        <w:sz w:val="20"/>
      </w:rPr>
    </w:lvl>
    <w:lvl w:ilvl="8" w:tplc="651A33D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794364"/>
    <w:multiLevelType w:val="hybridMultilevel"/>
    <w:tmpl w:val="37B47E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A20B1"/>
    <w:multiLevelType w:val="hybridMultilevel"/>
    <w:tmpl w:val="9652718A"/>
    <w:lvl w:ilvl="0" w:tplc="62C0BB4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5" w15:restartNumberingAfterBreak="0">
    <w:nsid w:val="3B03221D"/>
    <w:multiLevelType w:val="hybridMultilevel"/>
    <w:tmpl w:val="C54CA6F2"/>
    <w:lvl w:ilvl="0" w:tplc="06E6010C">
      <w:start w:val="1"/>
      <w:numFmt w:val="bullet"/>
      <w:lvlText w:val=""/>
      <w:lvlJc w:val="left"/>
      <w:pPr>
        <w:ind w:left="720" w:hanging="360"/>
      </w:pPr>
      <w:rPr>
        <w:rFonts w:ascii="Wingdings" w:hAnsi="Wingdings" w:hint="default"/>
        <w:b/>
        <w:i w:val="0"/>
        <w:sz w:val="2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3348E"/>
    <w:multiLevelType w:val="hybridMultilevel"/>
    <w:tmpl w:val="B1C09604"/>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F4943"/>
    <w:multiLevelType w:val="hybridMultilevel"/>
    <w:tmpl w:val="8D6E22DA"/>
    <w:lvl w:ilvl="0" w:tplc="6EC26A52">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6073FCB"/>
    <w:multiLevelType w:val="hybridMultilevel"/>
    <w:tmpl w:val="805A8C94"/>
    <w:lvl w:ilvl="0" w:tplc="62C0BB4C">
      <w:start w:val="1"/>
      <w:numFmt w:val="bullet"/>
      <w:lvlText w:val=""/>
      <w:lvlJc w:val="left"/>
      <w:pPr>
        <w:ind w:left="720" w:hanging="360"/>
      </w:pPr>
      <w:rPr>
        <w:rFonts w:ascii="Wingdings" w:hAnsi="Wingdings" w:hint="default"/>
        <w:color w:val="auto"/>
        <w:sz w:val="24"/>
      </w:rPr>
    </w:lvl>
    <w:lvl w:ilvl="1" w:tplc="3FA2974A">
      <w:start w:val="1"/>
      <w:numFmt w:val="bullet"/>
      <w:lvlText w:val=""/>
      <w:lvlJc w:val="left"/>
      <w:pPr>
        <w:ind w:left="720" w:hanging="360"/>
      </w:pPr>
      <w:rPr>
        <w:rFonts w:ascii="Symbol" w:hAnsi="Symbol" w:hint="default"/>
      </w:rPr>
    </w:lvl>
    <w:lvl w:ilvl="2" w:tplc="6EC26A52">
      <w:start w:val="1"/>
      <w:numFmt w:val="bullet"/>
      <w:lvlText w:val=""/>
      <w:lvlJc w:val="left"/>
      <w:pPr>
        <w:tabs>
          <w:tab w:val="num" w:pos="2160"/>
        </w:tabs>
        <w:ind w:left="2160" w:hanging="360"/>
      </w:pPr>
      <w:rPr>
        <w:rFonts w:ascii="Wingdings" w:hAnsi="Wingdings" w:hint="default"/>
        <w:color w:val="auto"/>
      </w:rPr>
    </w:lvl>
    <w:lvl w:ilvl="3" w:tplc="9DA2C4A8">
      <w:numFmt w:val="bullet"/>
      <w:lvlText w:val="-"/>
      <w:lvlJc w:val="left"/>
      <w:pPr>
        <w:tabs>
          <w:tab w:val="num" w:pos="2880"/>
        </w:tabs>
        <w:ind w:left="2880" w:hanging="360"/>
      </w:pPr>
      <w:rPr>
        <w:rFonts w:ascii="Cambria" w:hAnsi="Cambria" w:cs="Microsoft Sans Serif" w:hint="default"/>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6F90F70"/>
    <w:multiLevelType w:val="hybridMultilevel"/>
    <w:tmpl w:val="F15CF592"/>
    <w:lvl w:ilvl="0" w:tplc="9112F836">
      <w:start w:val="1"/>
      <w:numFmt w:val="bullet"/>
      <w:lvlText w:val=""/>
      <w:lvlJc w:val="left"/>
      <w:pPr>
        <w:ind w:left="1080" w:hanging="360"/>
      </w:pPr>
      <w:rPr>
        <w:rFonts w:ascii="Wingdings" w:hAnsi="Wingdings" w:hint="default"/>
      </w:rPr>
    </w:lvl>
    <w:lvl w:ilvl="1" w:tplc="E938A100">
      <w:start w:val="1"/>
      <w:numFmt w:val="bullet"/>
      <w:lvlText w:val="o"/>
      <w:lvlJc w:val="left"/>
      <w:pPr>
        <w:ind w:left="1800" w:hanging="360"/>
      </w:pPr>
      <w:rPr>
        <w:rFonts w:ascii="Courier New" w:hAnsi="Courier New" w:hint="default"/>
      </w:rPr>
    </w:lvl>
    <w:lvl w:ilvl="2" w:tplc="2D22C368">
      <w:start w:val="1"/>
      <w:numFmt w:val="bullet"/>
      <w:lvlText w:val=""/>
      <w:lvlJc w:val="left"/>
      <w:pPr>
        <w:ind w:left="2520" w:hanging="360"/>
      </w:pPr>
      <w:rPr>
        <w:rFonts w:ascii="Wingdings" w:hAnsi="Wingdings" w:hint="default"/>
      </w:rPr>
    </w:lvl>
    <w:lvl w:ilvl="3" w:tplc="1122AD0A">
      <w:start w:val="1"/>
      <w:numFmt w:val="bullet"/>
      <w:lvlText w:val=""/>
      <w:lvlJc w:val="left"/>
      <w:pPr>
        <w:ind w:left="3240" w:hanging="360"/>
      </w:pPr>
      <w:rPr>
        <w:rFonts w:ascii="Symbol" w:hAnsi="Symbol" w:hint="default"/>
      </w:rPr>
    </w:lvl>
    <w:lvl w:ilvl="4" w:tplc="01EAF12A">
      <w:start w:val="1"/>
      <w:numFmt w:val="bullet"/>
      <w:lvlText w:val="o"/>
      <w:lvlJc w:val="left"/>
      <w:pPr>
        <w:ind w:left="3960" w:hanging="360"/>
      </w:pPr>
      <w:rPr>
        <w:rFonts w:ascii="Courier New" w:hAnsi="Courier New" w:hint="default"/>
      </w:rPr>
    </w:lvl>
    <w:lvl w:ilvl="5" w:tplc="83C48110">
      <w:start w:val="1"/>
      <w:numFmt w:val="bullet"/>
      <w:lvlText w:val=""/>
      <w:lvlJc w:val="left"/>
      <w:pPr>
        <w:ind w:left="4680" w:hanging="360"/>
      </w:pPr>
      <w:rPr>
        <w:rFonts w:ascii="Wingdings" w:hAnsi="Wingdings" w:hint="default"/>
      </w:rPr>
    </w:lvl>
    <w:lvl w:ilvl="6" w:tplc="D856E908">
      <w:start w:val="1"/>
      <w:numFmt w:val="bullet"/>
      <w:lvlText w:val=""/>
      <w:lvlJc w:val="left"/>
      <w:pPr>
        <w:ind w:left="5400" w:hanging="360"/>
      </w:pPr>
      <w:rPr>
        <w:rFonts w:ascii="Symbol" w:hAnsi="Symbol" w:hint="default"/>
      </w:rPr>
    </w:lvl>
    <w:lvl w:ilvl="7" w:tplc="578889CA">
      <w:start w:val="1"/>
      <w:numFmt w:val="bullet"/>
      <w:lvlText w:val="o"/>
      <w:lvlJc w:val="left"/>
      <w:pPr>
        <w:ind w:left="6120" w:hanging="360"/>
      </w:pPr>
      <w:rPr>
        <w:rFonts w:ascii="Courier New" w:hAnsi="Courier New" w:hint="default"/>
      </w:rPr>
    </w:lvl>
    <w:lvl w:ilvl="8" w:tplc="6B46BF10">
      <w:start w:val="1"/>
      <w:numFmt w:val="bullet"/>
      <w:lvlText w:val=""/>
      <w:lvlJc w:val="left"/>
      <w:pPr>
        <w:ind w:left="6840" w:hanging="360"/>
      </w:pPr>
      <w:rPr>
        <w:rFonts w:ascii="Wingdings" w:hAnsi="Wingdings" w:hint="default"/>
      </w:rPr>
    </w:lvl>
  </w:abstractNum>
  <w:abstractNum w:abstractNumId="30" w15:restartNumberingAfterBreak="0">
    <w:nsid w:val="47107939"/>
    <w:multiLevelType w:val="hybridMultilevel"/>
    <w:tmpl w:val="C5B0991C"/>
    <w:lvl w:ilvl="0" w:tplc="366AD4A6">
      <w:start w:val="1"/>
      <w:numFmt w:val="bullet"/>
      <w:lvlText w:val=""/>
      <w:lvlJc w:val="left"/>
      <w:pPr>
        <w:tabs>
          <w:tab w:val="num" w:pos="720"/>
        </w:tabs>
        <w:ind w:left="720" w:hanging="360"/>
      </w:pPr>
      <w:rPr>
        <w:rFonts w:ascii="Symbol" w:hAnsi="Symbol" w:hint="default"/>
        <w:color w:val="auto"/>
        <w:sz w:val="20"/>
      </w:rPr>
    </w:lvl>
    <w:lvl w:ilvl="1" w:tplc="DA3E0E50" w:tentative="1">
      <w:start w:val="1"/>
      <w:numFmt w:val="bullet"/>
      <w:lvlText w:val="o"/>
      <w:lvlJc w:val="left"/>
      <w:pPr>
        <w:tabs>
          <w:tab w:val="num" w:pos="1440"/>
        </w:tabs>
        <w:ind w:left="1440" w:hanging="360"/>
      </w:pPr>
      <w:rPr>
        <w:rFonts w:ascii="Courier New" w:hAnsi="Courier New" w:hint="default"/>
        <w:sz w:val="20"/>
      </w:rPr>
    </w:lvl>
    <w:lvl w:ilvl="2" w:tplc="97426450" w:tentative="1">
      <w:start w:val="1"/>
      <w:numFmt w:val="bullet"/>
      <w:lvlText w:val=""/>
      <w:lvlJc w:val="left"/>
      <w:pPr>
        <w:tabs>
          <w:tab w:val="num" w:pos="2160"/>
        </w:tabs>
        <w:ind w:left="2160" w:hanging="360"/>
      </w:pPr>
      <w:rPr>
        <w:rFonts w:ascii="Wingdings" w:hAnsi="Wingdings" w:hint="default"/>
        <w:sz w:val="20"/>
      </w:rPr>
    </w:lvl>
    <w:lvl w:ilvl="3" w:tplc="D8945D22" w:tentative="1">
      <w:start w:val="1"/>
      <w:numFmt w:val="bullet"/>
      <w:lvlText w:val=""/>
      <w:lvlJc w:val="left"/>
      <w:pPr>
        <w:tabs>
          <w:tab w:val="num" w:pos="2880"/>
        </w:tabs>
        <w:ind w:left="2880" w:hanging="360"/>
      </w:pPr>
      <w:rPr>
        <w:rFonts w:ascii="Wingdings" w:hAnsi="Wingdings" w:hint="default"/>
        <w:sz w:val="20"/>
      </w:rPr>
    </w:lvl>
    <w:lvl w:ilvl="4" w:tplc="59407D94" w:tentative="1">
      <w:start w:val="1"/>
      <w:numFmt w:val="bullet"/>
      <w:lvlText w:val=""/>
      <w:lvlJc w:val="left"/>
      <w:pPr>
        <w:tabs>
          <w:tab w:val="num" w:pos="3600"/>
        </w:tabs>
        <w:ind w:left="3600" w:hanging="360"/>
      </w:pPr>
      <w:rPr>
        <w:rFonts w:ascii="Wingdings" w:hAnsi="Wingdings" w:hint="default"/>
        <w:sz w:val="20"/>
      </w:rPr>
    </w:lvl>
    <w:lvl w:ilvl="5" w:tplc="04BA8C46" w:tentative="1">
      <w:start w:val="1"/>
      <w:numFmt w:val="bullet"/>
      <w:lvlText w:val=""/>
      <w:lvlJc w:val="left"/>
      <w:pPr>
        <w:tabs>
          <w:tab w:val="num" w:pos="4320"/>
        </w:tabs>
        <w:ind w:left="4320" w:hanging="360"/>
      </w:pPr>
      <w:rPr>
        <w:rFonts w:ascii="Wingdings" w:hAnsi="Wingdings" w:hint="default"/>
        <w:sz w:val="20"/>
      </w:rPr>
    </w:lvl>
    <w:lvl w:ilvl="6" w:tplc="D778A216" w:tentative="1">
      <w:start w:val="1"/>
      <w:numFmt w:val="bullet"/>
      <w:lvlText w:val=""/>
      <w:lvlJc w:val="left"/>
      <w:pPr>
        <w:tabs>
          <w:tab w:val="num" w:pos="5040"/>
        </w:tabs>
        <w:ind w:left="5040" w:hanging="360"/>
      </w:pPr>
      <w:rPr>
        <w:rFonts w:ascii="Wingdings" w:hAnsi="Wingdings" w:hint="default"/>
        <w:sz w:val="20"/>
      </w:rPr>
    </w:lvl>
    <w:lvl w:ilvl="7" w:tplc="9AC2A032" w:tentative="1">
      <w:start w:val="1"/>
      <w:numFmt w:val="bullet"/>
      <w:lvlText w:val=""/>
      <w:lvlJc w:val="left"/>
      <w:pPr>
        <w:tabs>
          <w:tab w:val="num" w:pos="5760"/>
        </w:tabs>
        <w:ind w:left="5760" w:hanging="360"/>
      </w:pPr>
      <w:rPr>
        <w:rFonts w:ascii="Wingdings" w:hAnsi="Wingdings" w:hint="default"/>
        <w:sz w:val="20"/>
      </w:rPr>
    </w:lvl>
    <w:lvl w:ilvl="8" w:tplc="16E482D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E17F5"/>
    <w:multiLevelType w:val="hybridMultilevel"/>
    <w:tmpl w:val="85BA99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4EBD5F26"/>
    <w:multiLevelType w:val="hybridMultilevel"/>
    <w:tmpl w:val="17C8A81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520AE"/>
    <w:multiLevelType w:val="hybridMultilevel"/>
    <w:tmpl w:val="E0A488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071AE"/>
    <w:multiLevelType w:val="hybridMultilevel"/>
    <w:tmpl w:val="C1C66A94"/>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12703"/>
    <w:multiLevelType w:val="hybridMultilevel"/>
    <w:tmpl w:val="C1A09ACE"/>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F2842"/>
    <w:multiLevelType w:val="hybridMultilevel"/>
    <w:tmpl w:val="42901426"/>
    <w:lvl w:ilvl="0" w:tplc="62C0BB4C">
      <w:start w:val="1"/>
      <w:numFmt w:val="bullet"/>
      <w:lvlText w:val=""/>
      <w:lvlJc w:val="left"/>
      <w:pPr>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8D1248E"/>
    <w:multiLevelType w:val="hybridMultilevel"/>
    <w:tmpl w:val="16A414F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1215E"/>
    <w:multiLevelType w:val="hybridMultilevel"/>
    <w:tmpl w:val="BCF216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14D61"/>
    <w:multiLevelType w:val="hybridMultilevel"/>
    <w:tmpl w:val="925A232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854ED7"/>
    <w:multiLevelType w:val="hybridMultilevel"/>
    <w:tmpl w:val="8F9012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164FB6"/>
    <w:multiLevelType w:val="hybridMultilevel"/>
    <w:tmpl w:val="7E668AC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A25197"/>
    <w:multiLevelType w:val="hybridMultilevel"/>
    <w:tmpl w:val="F85EC482"/>
    <w:lvl w:ilvl="0" w:tplc="6B5E5460">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6A56C3"/>
    <w:multiLevelType w:val="hybridMultilevel"/>
    <w:tmpl w:val="729063E6"/>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A52EC7"/>
    <w:multiLevelType w:val="hybridMultilevel"/>
    <w:tmpl w:val="7FFA15D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D537CA"/>
    <w:multiLevelType w:val="hybridMultilevel"/>
    <w:tmpl w:val="E5B85F52"/>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415448"/>
    <w:multiLevelType w:val="hybridMultilevel"/>
    <w:tmpl w:val="37284416"/>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DB289B"/>
    <w:multiLevelType w:val="hybridMultilevel"/>
    <w:tmpl w:val="ECBCB03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4293"/>
    <w:multiLevelType w:val="hybridMultilevel"/>
    <w:tmpl w:val="A83EC7C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E51D6"/>
    <w:multiLevelType w:val="hybridMultilevel"/>
    <w:tmpl w:val="5240C95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6127AA1"/>
    <w:multiLevelType w:val="hybridMultilevel"/>
    <w:tmpl w:val="51A0F6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B71D0A"/>
    <w:multiLevelType w:val="hybridMultilevel"/>
    <w:tmpl w:val="998621A6"/>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D90D4D"/>
    <w:multiLevelType w:val="hybridMultilevel"/>
    <w:tmpl w:val="E722830E"/>
    <w:lvl w:ilvl="0" w:tplc="CFFED550">
      <w:start w:val="1"/>
      <w:numFmt w:val="lowerLetter"/>
      <w:lvlText w:val="%1."/>
      <w:lvlJc w:val="left"/>
      <w:pPr>
        <w:tabs>
          <w:tab w:val="num" w:pos="720"/>
        </w:tabs>
        <w:ind w:left="720" w:hanging="360"/>
      </w:pPr>
    </w:lvl>
    <w:lvl w:ilvl="1" w:tplc="E53E09EE" w:tentative="1">
      <w:start w:val="1"/>
      <w:numFmt w:val="lowerLetter"/>
      <w:lvlText w:val="%2."/>
      <w:lvlJc w:val="left"/>
      <w:pPr>
        <w:tabs>
          <w:tab w:val="num" w:pos="1440"/>
        </w:tabs>
        <w:ind w:left="1440" w:hanging="360"/>
      </w:pPr>
    </w:lvl>
    <w:lvl w:ilvl="2" w:tplc="38824D62" w:tentative="1">
      <w:start w:val="1"/>
      <w:numFmt w:val="lowerLetter"/>
      <w:lvlText w:val="%3."/>
      <w:lvlJc w:val="left"/>
      <w:pPr>
        <w:tabs>
          <w:tab w:val="num" w:pos="2160"/>
        </w:tabs>
        <w:ind w:left="2160" w:hanging="360"/>
      </w:pPr>
    </w:lvl>
    <w:lvl w:ilvl="3" w:tplc="2EBC552E" w:tentative="1">
      <w:start w:val="1"/>
      <w:numFmt w:val="lowerLetter"/>
      <w:lvlText w:val="%4."/>
      <w:lvlJc w:val="left"/>
      <w:pPr>
        <w:tabs>
          <w:tab w:val="num" w:pos="2880"/>
        </w:tabs>
        <w:ind w:left="2880" w:hanging="360"/>
      </w:pPr>
    </w:lvl>
    <w:lvl w:ilvl="4" w:tplc="1A768188" w:tentative="1">
      <w:start w:val="1"/>
      <w:numFmt w:val="lowerLetter"/>
      <w:lvlText w:val="%5."/>
      <w:lvlJc w:val="left"/>
      <w:pPr>
        <w:tabs>
          <w:tab w:val="num" w:pos="3600"/>
        </w:tabs>
        <w:ind w:left="3600" w:hanging="360"/>
      </w:pPr>
    </w:lvl>
    <w:lvl w:ilvl="5" w:tplc="A0AC6AFA" w:tentative="1">
      <w:start w:val="1"/>
      <w:numFmt w:val="lowerLetter"/>
      <w:lvlText w:val="%6."/>
      <w:lvlJc w:val="left"/>
      <w:pPr>
        <w:tabs>
          <w:tab w:val="num" w:pos="4320"/>
        </w:tabs>
        <w:ind w:left="4320" w:hanging="360"/>
      </w:pPr>
    </w:lvl>
    <w:lvl w:ilvl="6" w:tplc="58F4DDD4" w:tentative="1">
      <w:start w:val="1"/>
      <w:numFmt w:val="lowerLetter"/>
      <w:lvlText w:val="%7."/>
      <w:lvlJc w:val="left"/>
      <w:pPr>
        <w:tabs>
          <w:tab w:val="num" w:pos="5040"/>
        </w:tabs>
        <w:ind w:left="5040" w:hanging="360"/>
      </w:pPr>
    </w:lvl>
    <w:lvl w:ilvl="7" w:tplc="BBB0E9BC" w:tentative="1">
      <w:start w:val="1"/>
      <w:numFmt w:val="lowerLetter"/>
      <w:lvlText w:val="%8."/>
      <w:lvlJc w:val="left"/>
      <w:pPr>
        <w:tabs>
          <w:tab w:val="num" w:pos="5760"/>
        </w:tabs>
        <w:ind w:left="5760" w:hanging="360"/>
      </w:pPr>
    </w:lvl>
    <w:lvl w:ilvl="8" w:tplc="667E689E" w:tentative="1">
      <w:start w:val="1"/>
      <w:numFmt w:val="lowerLetter"/>
      <w:lvlText w:val="%9."/>
      <w:lvlJc w:val="left"/>
      <w:pPr>
        <w:tabs>
          <w:tab w:val="num" w:pos="6480"/>
        </w:tabs>
        <w:ind w:left="6480" w:hanging="360"/>
      </w:pPr>
    </w:lvl>
  </w:abstractNum>
  <w:abstractNum w:abstractNumId="53" w15:restartNumberingAfterBreak="0">
    <w:nsid w:val="6B3A5967"/>
    <w:multiLevelType w:val="hybridMultilevel"/>
    <w:tmpl w:val="FE8AADCE"/>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7C71A2"/>
    <w:multiLevelType w:val="hybridMultilevel"/>
    <w:tmpl w:val="2D00D64E"/>
    <w:lvl w:ilvl="0" w:tplc="6B5E5460">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F6523D"/>
    <w:multiLevelType w:val="hybridMultilevel"/>
    <w:tmpl w:val="64B02164"/>
    <w:lvl w:ilvl="0" w:tplc="62C0BB4C">
      <w:start w:val="1"/>
      <w:numFmt w:val="bullet"/>
      <w:lvlText w:val=""/>
      <w:lvlJc w:val="left"/>
      <w:pPr>
        <w:ind w:left="720" w:hanging="360"/>
      </w:pPr>
      <w:rPr>
        <w:rFonts w:ascii="Wingdings" w:hAnsi="Wingdings" w:hint="default"/>
        <w:color w:val="auto"/>
        <w:sz w:val="24"/>
      </w:rPr>
    </w:lvl>
    <w:lvl w:ilvl="1" w:tplc="BB508818">
      <w:start w:val="1"/>
      <w:numFmt w:val="decimal"/>
      <w:lvlText w:val="%2."/>
      <w:lvlJc w:val="left"/>
      <w:pPr>
        <w:tabs>
          <w:tab w:val="num" w:pos="1440"/>
        </w:tabs>
        <w:ind w:left="1440" w:hanging="360"/>
      </w:pPr>
    </w:lvl>
    <w:lvl w:ilvl="2" w:tplc="8A5A1B98">
      <w:start w:val="1"/>
      <w:numFmt w:val="decimal"/>
      <w:lvlText w:val="%3."/>
      <w:lvlJc w:val="left"/>
      <w:pPr>
        <w:tabs>
          <w:tab w:val="num" w:pos="2160"/>
        </w:tabs>
        <w:ind w:left="2160" w:hanging="360"/>
      </w:pPr>
    </w:lvl>
    <w:lvl w:ilvl="3" w:tplc="F6C2281E">
      <w:start w:val="1"/>
      <w:numFmt w:val="decimal"/>
      <w:lvlText w:val="%4."/>
      <w:lvlJc w:val="left"/>
      <w:pPr>
        <w:tabs>
          <w:tab w:val="num" w:pos="2880"/>
        </w:tabs>
        <w:ind w:left="2880" w:hanging="360"/>
      </w:pPr>
    </w:lvl>
    <w:lvl w:ilvl="4" w:tplc="74045EBC">
      <w:start w:val="1"/>
      <w:numFmt w:val="decimal"/>
      <w:lvlText w:val="%5."/>
      <w:lvlJc w:val="left"/>
      <w:pPr>
        <w:tabs>
          <w:tab w:val="num" w:pos="3600"/>
        </w:tabs>
        <w:ind w:left="3600" w:hanging="360"/>
      </w:pPr>
    </w:lvl>
    <w:lvl w:ilvl="5" w:tplc="D48EC280">
      <w:start w:val="1"/>
      <w:numFmt w:val="decimal"/>
      <w:lvlText w:val="%6."/>
      <w:lvlJc w:val="left"/>
      <w:pPr>
        <w:tabs>
          <w:tab w:val="num" w:pos="4320"/>
        </w:tabs>
        <w:ind w:left="4320" w:hanging="360"/>
      </w:pPr>
    </w:lvl>
    <w:lvl w:ilvl="6" w:tplc="3704E89A">
      <w:start w:val="1"/>
      <w:numFmt w:val="decimal"/>
      <w:lvlText w:val="%7."/>
      <w:lvlJc w:val="left"/>
      <w:pPr>
        <w:tabs>
          <w:tab w:val="num" w:pos="5040"/>
        </w:tabs>
        <w:ind w:left="5040" w:hanging="360"/>
      </w:pPr>
    </w:lvl>
    <w:lvl w:ilvl="7" w:tplc="0CA2DCF4">
      <w:start w:val="1"/>
      <w:numFmt w:val="decimal"/>
      <w:lvlText w:val="%8."/>
      <w:lvlJc w:val="left"/>
      <w:pPr>
        <w:tabs>
          <w:tab w:val="num" w:pos="5760"/>
        </w:tabs>
        <w:ind w:left="5760" w:hanging="360"/>
      </w:pPr>
    </w:lvl>
    <w:lvl w:ilvl="8" w:tplc="207ED930">
      <w:start w:val="1"/>
      <w:numFmt w:val="decimal"/>
      <w:lvlText w:val="%9."/>
      <w:lvlJc w:val="left"/>
      <w:pPr>
        <w:tabs>
          <w:tab w:val="num" w:pos="6480"/>
        </w:tabs>
        <w:ind w:left="6480" w:hanging="360"/>
      </w:pPr>
    </w:lvl>
  </w:abstractNum>
  <w:abstractNum w:abstractNumId="56" w15:restartNumberingAfterBreak="0">
    <w:nsid w:val="6E6B4D77"/>
    <w:multiLevelType w:val="hybridMultilevel"/>
    <w:tmpl w:val="CCA0C438"/>
    <w:lvl w:ilvl="0" w:tplc="0ADA9204">
      <w:start w:val="1"/>
      <w:numFmt w:val="bullet"/>
      <w:lvlText w:val=""/>
      <w:lvlJc w:val="left"/>
      <w:pPr>
        <w:ind w:left="360" w:hanging="360"/>
      </w:pPr>
      <w:rPr>
        <w:rFonts w:ascii="Wingdings 2" w:hAnsi="Wingdings 2" w:hint="default"/>
        <w:vertAlign w:val="superscrip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2D413C"/>
    <w:multiLevelType w:val="hybridMultilevel"/>
    <w:tmpl w:val="A94AF2A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5701C2"/>
    <w:multiLevelType w:val="hybridMultilevel"/>
    <w:tmpl w:val="5578778A"/>
    <w:lvl w:ilvl="0" w:tplc="62C0BB4C">
      <w:start w:val="1"/>
      <w:numFmt w:val="bullet"/>
      <w:lvlText w:val=""/>
      <w:lvlJc w:val="left"/>
      <w:pPr>
        <w:tabs>
          <w:tab w:val="num" w:pos="720"/>
        </w:tabs>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4971EBA"/>
    <w:multiLevelType w:val="hybridMultilevel"/>
    <w:tmpl w:val="9300DF74"/>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4D2B39"/>
    <w:multiLevelType w:val="hybridMultilevel"/>
    <w:tmpl w:val="D89A3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12438B"/>
    <w:multiLevelType w:val="hybridMultilevel"/>
    <w:tmpl w:val="D66EBB94"/>
    <w:lvl w:ilvl="0" w:tplc="62C0BB4C">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62"/>
  </w:num>
  <w:num w:numId="4">
    <w:abstractNumId w:val="19"/>
  </w:num>
  <w:num w:numId="5">
    <w:abstractNumId w:val="28"/>
  </w:num>
  <w:num w:numId="6">
    <w:abstractNumId w:val="27"/>
  </w:num>
  <w:num w:numId="7">
    <w:abstractNumId w:val="8"/>
  </w:num>
  <w:num w:numId="8">
    <w:abstractNumId w:val="45"/>
  </w:num>
  <w:num w:numId="9">
    <w:abstractNumId w:val="53"/>
  </w:num>
  <w:num w:numId="10">
    <w:abstractNumId w:val="39"/>
  </w:num>
  <w:num w:numId="11">
    <w:abstractNumId w:val="24"/>
  </w:num>
  <w:num w:numId="12">
    <w:abstractNumId w:val="18"/>
  </w:num>
  <w:num w:numId="13">
    <w:abstractNumId w:val="51"/>
  </w:num>
  <w:num w:numId="14">
    <w:abstractNumId w:val="37"/>
  </w:num>
  <w:num w:numId="15">
    <w:abstractNumId w:val="57"/>
  </w:num>
  <w:num w:numId="16">
    <w:abstractNumId w:val="14"/>
  </w:num>
  <w:num w:numId="17">
    <w:abstractNumId w:val="61"/>
  </w:num>
  <w:num w:numId="18">
    <w:abstractNumId w:val="58"/>
  </w:num>
  <w:num w:numId="19">
    <w:abstractNumId w:val="48"/>
  </w:num>
  <w:num w:numId="20">
    <w:abstractNumId w:val="31"/>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1"/>
  </w:num>
  <w:num w:numId="24">
    <w:abstractNumId w:val="0"/>
  </w:num>
  <w:num w:numId="25">
    <w:abstractNumId w:val="46"/>
  </w:num>
  <w:num w:numId="26">
    <w:abstractNumId w:val="5"/>
  </w:num>
  <w:num w:numId="27">
    <w:abstractNumId w:val="43"/>
  </w:num>
  <w:num w:numId="28">
    <w:abstractNumId w:val="49"/>
  </w:num>
  <w:num w:numId="29">
    <w:abstractNumId w:val="41"/>
  </w:num>
  <w:num w:numId="30">
    <w:abstractNumId w:val="7"/>
  </w:num>
  <w:num w:numId="31">
    <w:abstractNumId w:val="56"/>
  </w:num>
  <w:num w:numId="32">
    <w:abstractNumId w:val="20"/>
  </w:num>
  <w:num w:numId="33">
    <w:abstractNumId w:val="60"/>
  </w:num>
  <w:num w:numId="34">
    <w:abstractNumId w:val="4"/>
  </w:num>
  <w:num w:numId="35">
    <w:abstractNumId w:val="55"/>
  </w:num>
  <w:num w:numId="36">
    <w:abstractNumId w:val="25"/>
  </w:num>
  <w:num w:numId="37">
    <w:abstractNumId w:val="16"/>
  </w:num>
  <w:num w:numId="38">
    <w:abstractNumId w:val="38"/>
  </w:num>
  <w:num w:numId="39">
    <w:abstractNumId w:val="32"/>
  </w:num>
  <w:num w:numId="40">
    <w:abstractNumId w:val="47"/>
  </w:num>
  <w:num w:numId="41">
    <w:abstractNumId w:val="12"/>
  </w:num>
  <w:num w:numId="42">
    <w:abstractNumId w:val="15"/>
  </w:num>
  <w:num w:numId="43">
    <w:abstractNumId w:val="50"/>
  </w:num>
  <w:num w:numId="44">
    <w:abstractNumId w:val="44"/>
  </w:num>
  <w:num w:numId="45">
    <w:abstractNumId w:val="3"/>
  </w:num>
  <w:num w:numId="46">
    <w:abstractNumId w:val="42"/>
  </w:num>
  <w:num w:numId="47">
    <w:abstractNumId w:val="40"/>
  </w:num>
  <w:num w:numId="48">
    <w:abstractNumId w:val="33"/>
  </w:num>
  <w:num w:numId="49">
    <w:abstractNumId w:val="52"/>
  </w:num>
  <w:num w:numId="50">
    <w:abstractNumId w:val="30"/>
  </w:num>
  <w:num w:numId="51">
    <w:abstractNumId w:val="6"/>
  </w:num>
  <w:num w:numId="52">
    <w:abstractNumId w:val="44"/>
  </w:num>
  <w:num w:numId="53">
    <w:abstractNumId w:val="3"/>
  </w:num>
  <w:num w:numId="54">
    <w:abstractNumId w:val="23"/>
  </w:num>
  <w:num w:numId="55">
    <w:abstractNumId w:val="10"/>
  </w:num>
  <w:num w:numId="56">
    <w:abstractNumId w:val="22"/>
  </w:num>
  <w:num w:numId="57">
    <w:abstractNumId w:val="35"/>
  </w:num>
  <w:num w:numId="58">
    <w:abstractNumId w:val="2"/>
  </w:num>
  <w:num w:numId="59">
    <w:abstractNumId w:val="17"/>
  </w:num>
  <w:num w:numId="60">
    <w:abstractNumId w:val="26"/>
  </w:num>
  <w:num w:numId="61">
    <w:abstractNumId w:val="13"/>
  </w:num>
  <w:num w:numId="62">
    <w:abstractNumId w:val="34"/>
  </w:num>
  <w:num w:numId="63">
    <w:abstractNumId w:val="11"/>
  </w:num>
  <w:num w:numId="64">
    <w:abstractNumId w:val="54"/>
  </w:num>
  <w:num w:numId="65">
    <w:abstractNumId w:val="28"/>
  </w:num>
  <w:num w:numId="66">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D"/>
    <w:rsid w:val="00001CA0"/>
    <w:rsid w:val="00001CB1"/>
    <w:rsid w:val="00001EFD"/>
    <w:rsid w:val="00002214"/>
    <w:rsid w:val="000023C9"/>
    <w:rsid w:val="0000242D"/>
    <w:rsid w:val="000024FD"/>
    <w:rsid w:val="000026A7"/>
    <w:rsid w:val="00002D07"/>
    <w:rsid w:val="000033C3"/>
    <w:rsid w:val="00003797"/>
    <w:rsid w:val="00003CEB"/>
    <w:rsid w:val="00003DF0"/>
    <w:rsid w:val="0000467D"/>
    <w:rsid w:val="000046DC"/>
    <w:rsid w:val="0000473C"/>
    <w:rsid w:val="00004A56"/>
    <w:rsid w:val="00004D1D"/>
    <w:rsid w:val="00005505"/>
    <w:rsid w:val="00005C63"/>
    <w:rsid w:val="000063EE"/>
    <w:rsid w:val="00006AE4"/>
    <w:rsid w:val="00006C1A"/>
    <w:rsid w:val="0000749F"/>
    <w:rsid w:val="00007E21"/>
    <w:rsid w:val="00007E7C"/>
    <w:rsid w:val="000100F0"/>
    <w:rsid w:val="00010246"/>
    <w:rsid w:val="0001034A"/>
    <w:rsid w:val="00010616"/>
    <w:rsid w:val="0001070E"/>
    <w:rsid w:val="00010852"/>
    <w:rsid w:val="000109AD"/>
    <w:rsid w:val="00010A17"/>
    <w:rsid w:val="0001106D"/>
    <w:rsid w:val="00011464"/>
    <w:rsid w:val="00011811"/>
    <w:rsid w:val="000124A4"/>
    <w:rsid w:val="00012658"/>
    <w:rsid w:val="00012B76"/>
    <w:rsid w:val="00012E65"/>
    <w:rsid w:val="00014484"/>
    <w:rsid w:val="00014B89"/>
    <w:rsid w:val="00014D96"/>
    <w:rsid w:val="00014DC5"/>
    <w:rsid w:val="000150E7"/>
    <w:rsid w:val="0001536C"/>
    <w:rsid w:val="0001568D"/>
    <w:rsid w:val="000157C6"/>
    <w:rsid w:val="000161DB"/>
    <w:rsid w:val="00016270"/>
    <w:rsid w:val="00016746"/>
    <w:rsid w:val="00016B69"/>
    <w:rsid w:val="00016D90"/>
    <w:rsid w:val="00017090"/>
    <w:rsid w:val="000172AD"/>
    <w:rsid w:val="0001739B"/>
    <w:rsid w:val="00017A67"/>
    <w:rsid w:val="00017AF6"/>
    <w:rsid w:val="00017B50"/>
    <w:rsid w:val="00017CDD"/>
    <w:rsid w:val="00020891"/>
    <w:rsid w:val="000209BC"/>
    <w:rsid w:val="0002124D"/>
    <w:rsid w:val="000212EE"/>
    <w:rsid w:val="000214A6"/>
    <w:rsid w:val="00021C34"/>
    <w:rsid w:val="00021F59"/>
    <w:rsid w:val="000225A0"/>
    <w:rsid w:val="000225F1"/>
    <w:rsid w:val="00022942"/>
    <w:rsid w:val="00023179"/>
    <w:rsid w:val="00023CA1"/>
    <w:rsid w:val="0002455F"/>
    <w:rsid w:val="000245DA"/>
    <w:rsid w:val="00024670"/>
    <w:rsid w:val="00024994"/>
    <w:rsid w:val="00024DF7"/>
    <w:rsid w:val="000261D4"/>
    <w:rsid w:val="00026AD9"/>
    <w:rsid w:val="00026AF6"/>
    <w:rsid w:val="00026B0C"/>
    <w:rsid w:val="00026C26"/>
    <w:rsid w:val="00027273"/>
    <w:rsid w:val="00027CCE"/>
    <w:rsid w:val="00027D98"/>
    <w:rsid w:val="000302EB"/>
    <w:rsid w:val="0003151C"/>
    <w:rsid w:val="00031DFB"/>
    <w:rsid w:val="00031E6E"/>
    <w:rsid w:val="00032093"/>
    <w:rsid w:val="00032636"/>
    <w:rsid w:val="0003288B"/>
    <w:rsid w:val="000331B5"/>
    <w:rsid w:val="00033324"/>
    <w:rsid w:val="00033985"/>
    <w:rsid w:val="00033E7B"/>
    <w:rsid w:val="00033F26"/>
    <w:rsid w:val="0003434B"/>
    <w:rsid w:val="00034D22"/>
    <w:rsid w:val="00034FEB"/>
    <w:rsid w:val="00034FF9"/>
    <w:rsid w:val="0003690C"/>
    <w:rsid w:val="00036926"/>
    <w:rsid w:val="00036BAF"/>
    <w:rsid w:val="00036F37"/>
    <w:rsid w:val="000374B8"/>
    <w:rsid w:val="00037548"/>
    <w:rsid w:val="00037C76"/>
    <w:rsid w:val="00037F35"/>
    <w:rsid w:val="00040031"/>
    <w:rsid w:val="00040288"/>
    <w:rsid w:val="000405D4"/>
    <w:rsid w:val="00040977"/>
    <w:rsid w:val="000410A3"/>
    <w:rsid w:val="00041245"/>
    <w:rsid w:val="000415C4"/>
    <w:rsid w:val="00041A9A"/>
    <w:rsid w:val="00041AB6"/>
    <w:rsid w:val="00041B6C"/>
    <w:rsid w:val="00041CF2"/>
    <w:rsid w:val="00041DCF"/>
    <w:rsid w:val="00041F05"/>
    <w:rsid w:val="00041FBA"/>
    <w:rsid w:val="00042068"/>
    <w:rsid w:val="00042338"/>
    <w:rsid w:val="00042376"/>
    <w:rsid w:val="00042528"/>
    <w:rsid w:val="00042E31"/>
    <w:rsid w:val="00042EB6"/>
    <w:rsid w:val="00043254"/>
    <w:rsid w:val="000433DC"/>
    <w:rsid w:val="000433E3"/>
    <w:rsid w:val="00043472"/>
    <w:rsid w:val="000434BE"/>
    <w:rsid w:val="000434E2"/>
    <w:rsid w:val="00043B1F"/>
    <w:rsid w:val="00043E6F"/>
    <w:rsid w:val="00044324"/>
    <w:rsid w:val="00044417"/>
    <w:rsid w:val="00044603"/>
    <w:rsid w:val="000447DB"/>
    <w:rsid w:val="00044814"/>
    <w:rsid w:val="00044CCD"/>
    <w:rsid w:val="00045B48"/>
    <w:rsid w:val="00045B51"/>
    <w:rsid w:val="000465F9"/>
    <w:rsid w:val="00047464"/>
    <w:rsid w:val="0004793B"/>
    <w:rsid w:val="00047959"/>
    <w:rsid w:val="00047963"/>
    <w:rsid w:val="00047FC3"/>
    <w:rsid w:val="000500FB"/>
    <w:rsid w:val="00050315"/>
    <w:rsid w:val="000503C5"/>
    <w:rsid w:val="00050988"/>
    <w:rsid w:val="00051245"/>
    <w:rsid w:val="00051792"/>
    <w:rsid w:val="00051A93"/>
    <w:rsid w:val="00051AB5"/>
    <w:rsid w:val="000521D6"/>
    <w:rsid w:val="00052369"/>
    <w:rsid w:val="000523B2"/>
    <w:rsid w:val="00053049"/>
    <w:rsid w:val="000538E2"/>
    <w:rsid w:val="00053D4A"/>
    <w:rsid w:val="0005420B"/>
    <w:rsid w:val="00054836"/>
    <w:rsid w:val="00054ED5"/>
    <w:rsid w:val="00054F4D"/>
    <w:rsid w:val="00055034"/>
    <w:rsid w:val="00055062"/>
    <w:rsid w:val="0005526E"/>
    <w:rsid w:val="00055273"/>
    <w:rsid w:val="000552E7"/>
    <w:rsid w:val="00055500"/>
    <w:rsid w:val="000559F2"/>
    <w:rsid w:val="00055E2A"/>
    <w:rsid w:val="000566E7"/>
    <w:rsid w:val="000567FA"/>
    <w:rsid w:val="00056BA6"/>
    <w:rsid w:val="00056BBF"/>
    <w:rsid w:val="00056D46"/>
    <w:rsid w:val="00056FEC"/>
    <w:rsid w:val="000575A6"/>
    <w:rsid w:val="00057727"/>
    <w:rsid w:val="0005789F"/>
    <w:rsid w:val="000578E8"/>
    <w:rsid w:val="00057A93"/>
    <w:rsid w:val="00057F5E"/>
    <w:rsid w:val="00060016"/>
    <w:rsid w:val="0006018D"/>
    <w:rsid w:val="00060845"/>
    <w:rsid w:val="00060EB3"/>
    <w:rsid w:val="00061AF6"/>
    <w:rsid w:val="00061E05"/>
    <w:rsid w:val="000622B6"/>
    <w:rsid w:val="00062C25"/>
    <w:rsid w:val="00062E5B"/>
    <w:rsid w:val="000630ED"/>
    <w:rsid w:val="00063419"/>
    <w:rsid w:val="00064170"/>
    <w:rsid w:val="00064249"/>
    <w:rsid w:val="000643AC"/>
    <w:rsid w:val="000644FA"/>
    <w:rsid w:val="00064AEE"/>
    <w:rsid w:val="0006526A"/>
    <w:rsid w:val="000652F8"/>
    <w:rsid w:val="000653AC"/>
    <w:rsid w:val="00065A1A"/>
    <w:rsid w:val="0006601B"/>
    <w:rsid w:val="0006632D"/>
    <w:rsid w:val="00067154"/>
    <w:rsid w:val="00067230"/>
    <w:rsid w:val="00067383"/>
    <w:rsid w:val="000675BA"/>
    <w:rsid w:val="000676E6"/>
    <w:rsid w:val="00067D39"/>
    <w:rsid w:val="00067D71"/>
    <w:rsid w:val="000706FE"/>
    <w:rsid w:val="00070B40"/>
    <w:rsid w:val="00070C06"/>
    <w:rsid w:val="00070D78"/>
    <w:rsid w:val="00070DD2"/>
    <w:rsid w:val="00070E43"/>
    <w:rsid w:val="000728E1"/>
    <w:rsid w:val="00073543"/>
    <w:rsid w:val="00073735"/>
    <w:rsid w:val="00074155"/>
    <w:rsid w:val="000741ED"/>
    <w:rsid w:val="0007420C"/>
    <w:rsid w:val="00074774"/>
    <w:rsid w:val="000748B1"/>
    <w:rsid w:val="0007494A"/>
    <w:rsid w:val="0007494F"/>
    <w:rsid w:val="00074EBF"/>
    <w:rsid w:val="00074FFE"/>
    <w:rsid w:val="000752EE"/>
    <w:rsid w:val="00075B00"/>
    <w:rsid w:val="00076057"/>
    <w:rsid w:val="00076234"/>
    <w:rsid w:val="000763F2"/>
    <w:rsid w:val="000766D9"/>
    <w:rsid w:val="000767D0"/>
    <w:rsid w:val="00076A0D"/>
    <w:rsid w:val="00077584"/>
    <w:rsid w:val="0007764F"/>
    <w:rsid w:val="000777BC"/>
    <w:rsid w:val="00077939"/>
    <w:rsid w:val="00077CC6"/>
    <w:rsid w:val="00080052"/>
    <w:rsid w:val="00080108"/>
    <w:rsid w:val="0008050F"/>
    <w:rsid w:val="00080B34"/>
    <w:rsid w:val="00080E4D"/>
    <w:rsid w:val="00081248"/>
    <w:rsid w:val="00081280"/>
    <w:rsid w:val="000816C7"/>
    <w:rsid w:val="00081EE1"/>
    <w:rsid w:val="000820C8"/>
    <w:rsid w:val="00082C1D"/>
    <w:rsid w:val="00082D00"/>
    <w:rsid w:val="00083529"/>
    <w:rsid w:val="000856CF"/>
    <w:rsid w:val="00085EFC"/>
    <w:rsid w:val="0008649F"/>
    <w:rsid w:val="0008663A"/>
    <w:rsid w:val="00086B16"/>
    <w:rsid w:val="00086E9E"/>
    <w:rsid w:val="0008730B"/>
    <w:rsid w:val="000876AC"/>
    <w:rsid w:val="00087889"/>
    <w:rsid w:val="00087C6F"/>
    <w:rsid w:val="00087CC6"/>
    <w:rsid w:val="00090391"/>
    <w:rsid w:val="000904C0"/>
    <w:rsid w:val="0009058B"/>
    <w:rsid w:val="000905F5"/>
    <w:rsid w:val="00090745"/>
    <w:rsid w:val="000915A8"/>
    <w:rsid w:val="000916AD"/>
    <w:rsid w:val="00091939"/>
    <w:rsid w:val="000926DA"/>
    <w:rsid w:val="00093798"/>
    <w:rsid w:val="00093D62"/>
    <w:rsid w:val="000940C2"/>
    <w:rsid w:val="000944EC"/>
    <w:rsid w:val="0009650B"/>
    <w:rsid w:val="000966AB"/>
    <w:rsid w:val="00096861"/>
    <w:rsid w:val="0009727E"/>
    <w:rsid w:val="000A03A1"/>
    <w:rsid w:val="000A0797"/>
    <w:rsid w:val="000A0A1A"/>
    <w:rsid w:val="000A0EF9"/>
    <w:rsid w:val="000A1751"/>
    <w:rsid w:val="000A1A9C"/>
    <w:rsid w:val="000A1C6E"/>
    <w:rsid w:val="000A1DAF"/>
    <w:rsid w:val="000A20EE"/>
    <w:rsid w:val="000A2C06"/>
    <w:rsid w:val="000A3465"/>
    <w:rsid w:val="000A38CF"/>
    <w:rsid w:val="000A3BDE"/>
    <w:rsid w:val="000A3EB3"/>
    <w:rsid w:val="000A3EB8"/>
    <w:rsid w:val="000A501C"/>
    <w:rsid w:val="000A5787"/>
    <w:rsid w:val="000A5894"/>
    <w:rsid w:val="000A5FC4"/>
    <w:rsid w:val="000A6432"/>
    <w:rsid w:val="000A6484"/>
    <w:rsid w:val="000A6B4B"/>
    <w:rsid w:val="000A6B9D"/>
    <w:rsid w:val="000A6E80"/>
    <w:rsid w:val="000A708A"/>
    <w:rsid w:val="000A7469"/>
    <w:rsid w:val="000A7A58"/>
    <w:rsid w:val="000A7C1A"/>
    <w:rsid w:val="000B0445"/>
    <w:rsid w:val="000B0537"/>
    <w:rsid w:val="000B0CBF"/>
    <w:rsid w:val="000B0FD4"/>
    <w:rsid w:val="000B116A"/>
    <w:rsid w:val="000B16CB"/>
    <w:rsid w:val="000B1D0D"/>
    <w:rsid w:val="000B20E1"/>
    <w:rsid w:val="000B2869"/>
    <w:rsid w:val="000B2ABB"/>
    <w:rsid w:val="000B2AC6"/>
    <w:rsid w:val="000B2CC6"/>
    <w:rsid w:val="000B2CC9"/>
    <w:rsid w:val="000B2FC7"/>
    <w:rsid w:val="000B30B3"/>
    <w:rsid w:val="000B3333"/>
    <w:rsid w:val="000B356C"/>
    <w:rsid w:val="000B45A6"/>
    <w:rsid w:val="000B4E8F"/>
    <w:rsid w:val="000B4F31"/>
    <w:rsid w:val="000B5294"/>
    <w:rsid w:val="000B5496"/>
    <w:rsid w:val="000B5682"/>
    <w:rsid w:val="000B587E"/>
    <w:rsid w:val="000B593E"/>
    <w:rsid w:val="000B6438"/>
    <w:rsid w:val="000B664E"/>
    <w:rsid w:val="000B6D28"/>
    <w:rsid w:val="000B79F3"/>
    <w:rsid w:val="000B7C6A"/>
    <w:rsid w:val="000B7FB6"/>
    <w:rsid w:val="000C0546"/>
    <w:rsid w:val="000C0954"/>
    <w:rsid w:val="000C0B81"/>
    <w:rsid w:val="000C116D"/>
    <w:rsid w:val="000C12E7"/>
    <w:rsid w:val="000C1594"/>
    <w:rsid w:val="000C159E"/>
    <w:rsid w:val="000C1937"/>
    <w:rsid w:val="000C1D39"/>
    <w:rsid w:val="000C1DFF"/>
    <w:rsid w:val="000C220E"/>
    <w:rsid w:val="000C2970"/>
    <w:rsid w:val="000C2C88"/>
    <w:rsid w:val="000C303F"/>
    <w:rsid w:val="000C375D"/>
    <w:rsid w:val="000C4AB6"/>
    <w:rsid w:val="000C566E"/>
    <w:rsid w:val="000C58A1"/>
    <w:rsid w:val="000C5DC5"/>
    <w:rsid w:val="000C5E25"/>
    <w:rsid w:val="000C6C59"/>
    <w:rsid w:val="000C6DF8"/>
    <w:rsid w:val="000C7910"/>
    <w:rsid w:val="000D0847"/>
    <w:rsid w:val="000D0E31"/>
    <w:rsid w:val="000D17D7"/>
    <w:rsid w:val="000D1BA6"/>
    <w:rsid w:val="000D25FC"/>
    <w:rsid w:val="000D2C2F"/>
    <w:rsid w:val="000D2E84"/>
    <w:rsid w:val="000D3E56"/>
    <w:rsid w:val="000D48B1"/>
    <w:rsid w:val="000D4FC5"/>
    <w:rsid w:val="000D571A"/>
    <w:rsid w:val="000D63BC"/>
    <w:rsid w:val="000D76F7"/>
    <w:rsid w:val="000D7F49"/>
    <w:rsid w:val="000E018A"/>
    <w:rsid w:val="000E10A1"/>
    <w:rsid w:val="000E1128"/>
    <w:rsid w:val="000E1A2E"/>
    <w:rsid w:val="000E1BFD"/>
    <w:rsid w:val="000E210E"/>
    <w:rsid w:val="000E27DF"/>
    <w:rsid w:val="000E2B07"/>
    <w:rsid w:val="000E364B"/>
    <w:rsid w:val="000E3B26"/>
    <w:rsid w:val="000E3C04"/>
    <w:rsid w:val="000E3D80"/>
    <w:rsid w:val="000E415B"/>
    <w:rsid w:val="000E4A6B"/>
    <w:rsid w:val="000E4CD9"/>
    <w:rsid w:val="000E4E90"/>
    <w:rsid w:val="000E51C3"/>
    <w:rsid w:val="000E5B94"/>
    <w:rsid w:val="000E632A"/>
    <w:rsid w:val="000E6752"/>
    <w:rsid w:val="000E6902"/>
    <w:rsid w:val="000E6B78"/>
    <w:rsid w:val="000E7241"/>
    <w:rsid w:val="000E732F"/>
    <w:rsid w:val="000E7467"/>
    <w:rsid w:val="000E749D"/>
    <w:rsid w:val="000F0365"/>
    <w:rsid w:val="000F0883"/>
    <w:rsid w:val="000F0983"/>
    <w:rsid w:val="000F0CF4"/>
    <w:rsid w:val="000F0F73"/>
    <w:rsid w:val="000F11F2"/>
    <w:rsid w:val="000F1566"/>
    <w:rsid w:val="000F15AA"/>
    <w:rsid w:val="000F1768"/>
    <w:rsid w:val="000F18BF"/>
    <w:rsid w:val="000F1FF8"/>
    <w:rsid w:val="000F2579"/>
    <w:rsid w:val="000F2CE5"/>
    <w:rsid w:val="000F2E1B"/>
    <w:rsid w:val="000F2EC8"/>
    <w:rsid w:val="000F35B6"/>
    <w:rsid w:val="000F3C94"/>
    <w:rsid w:val="000F404F"/>
    <w:rsid w:val="000F4F75"/>
    <w:rsid w:val="000F549B"/>
    <w:rsid w:val="000F54FD"/>
    <w:rsid w:val="000F575B"/>
    <w:rsid w:val="000F5A5E"/>
    <w:rsid w:val="000F5DE5"/>
    <w:rsid w:val="000F5E67"/>
    <w:rsid w:val="000F5EE3"/>
    <w:rsid w:val="000F6598"/>
    <w:rsid w:val="000F665C"/>
    <w:rsid w:val="000F6B8D"/>
    <w:rsid w:val="000F7524"/>
    <w:rsid w:val="00100520"/>
    <w:rsid w:val="0010063A"/>
    <w:rsid w:val="00100BA7"/>
    <w:rsid w:val="00100F32"/>
    <w:rsid w:val="0010111E"/>
    <w:rsid w:val="00101400"/>
    <w:rsid w:val="00101907"/>
    <w:rsid w:val="00101BEE"/>
    <w:rsid w:val="001021AF"/>
    <w:rsid w:val="00102383"/>
    <w:rsid w:val="001023D5"/>
    <w:rsid w:val="001028D4"/>
    <w:rsid w:val="00102E84"/>
    <w:rsid w:val="00102F66"/>
    <w:rsid w:val="00103124"/>
    <w:rsid w:val="00105912"/>
    <w:rsid w:val="00105C48"/>
    <w:rsid w:val="001060C7"/>
    <w:rsid w:val="00106C6E"/>
    <w:rsid w:val="001073B4"/>
    <w:rsid w:val="001078C2"/>
    <w:rsid w:val="00107A3D"/>
    <w:rsid w:val="00107CA6"/>
    <w:rsid w:val="001101FA"/>
    <w:rsid w:val="00110291"/>
    <w:rsid w:val="001104EF"/>
    <w:rsid w:val="0011073C"/>
    <w:rsid w:val="00111264"/>
    <w:rsid w:val="0011147D"/>
    <w:rsid w:val="001116A3"/>
    <w:rsid w:val="001116FC"/>
    <w:rsid w:val="00111811"/>
    <w:rsid w:val="00111A87"/>
    <w:rsid w:val="00111CA7"/>
    <w:rsid w:val="00112060"/>
    <w:rsid w:val="001121C8"/>
    <w:rsid w:val="0011220B"/>
    <w:rsid w:val="001123BD"/>
    <w:rsid w:val="00112A5A"/>
    <w:rsid w:val="00112ACF"/>
    <w:rsid w:val="00112EE4"/>
    <w:rsid w:val="00113C94"/>
    <w:rsid w:val="00113E0B"/>
    <w:rsid w:val="00114134"/>
    <w:rsid w:val="00114296"/>
    <w:rsid w:val="0011442C"/>
    <w:rsid w:val="00114588"/>
    <w:rsid w:val="001149DD"/>
    <w:rsid w:val="00114C24"/>
    <w:rsid w:val="001150F4"/>
    <w:rsid w:val="001154A3"/>
    <w:rsid w:val="00115750"/>
    <w:rsid w:val="001161A6"/>
    <w:rsid w:val="0011650E"/>
    <w:rsid w:val="00116AB5"/>
    <w:rsid w:val="00116D83"/>
    <w:rsid w:val="00116E95"/>
    <w:rsid w:val="001175AF"/>
    <w:rsid w:val="0011774F"/>
    <w:rsid w:val="00117906"/>
    <w:rsid w:val="00117A1F"/>
    <w:rsid w:val="00117EB6"/>
    <w:rsid w:val="001201AD"/>
    <w:rsid w:val="00120CB2"/>
    <w:rsid w:val="0012158C"/>
    <w:rsid w:val="00121731"/>
    <w:rsid w:val="00121A34"/>
    <w:rsid w:val="00122510"/>
    <w:rsid w:val="001225C8"/>
    <w:rsid w:val="0012264B"/>
    <w:rsid w:val="001229D5"/>
    <w:rsid w:val="001235B9"/>
    <w:rsid w:val="00123AEA"/>
    <w:rsid w:val="0012452A"/>
    <w:rsid w:val="0012491D"/>
    <w:rsid w:val="00124A07"/>
    <w:rsid w:val="001250E4"/>
    <w:rsid w:val="00125570"/>
    <w:rsid w:val="0012582E"/>
    <w:rsid w:val="00125BFA"/>
    <w:rsid w:val="00125EA8"/>
    <w:rsid w:val="0012650B"/>
    <w:rsid w:val="00127232"/>
    <w:rsid w:val="001302F9"/>
    <w:rsid w:val="00130A37"/>
    <w:rsid w:val="0013229F"/>
    <w:rsid w:val="00132546"/>
    <w:rsid w:val="00132E71"/>
    <w:rsid w:val="00132F5C"/>
    <w:rsid w:val="00133377"/>
    <w:rsid w:val="00133593"/>
    <w:rsid w:val="001339B5"/>
    <w:rsid w:val="00134B6D"/>
    <w:rsid w:val="00135033"/>
    <w:rsid w:val="00135168"/>
    <w:rsid w:val="0013544C"/>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474"/>
    <w:rsid w:val="00141591"/>
    <w:rsid w:val="0014170B"/>
    <w:rsid w:val="00141BC3"/>
    <w:rsid w:val="00141C32"/>
    <w:rsid w:val="00141C99"/>
    <w:rsid w:val="00142362"/>
    <w:rsid w:val="00142391"/>
    <w:rsid w:val="00142CA3"/>
    <w:rsid w:val="00142FD9"/>
    <w:rsid w:val="001431B6"/>
    <w:rsid w:val="001431FF"/>
    <w:rsid w:val="001432DD"/>
    <w:rsid w:val="001433D3"/>
    <w:rsid w:val="00143CBA"/>
    <w:rsid w:val="00143EDE"/>
    <w:rsid w:val="00144037"/>
    <w:rsid w:val="001441AD"/>
    <w:rsid w:val="0014423B"/>
    <w:rsid w:val="00144246"/>
    <w:rsid w:val="00144306"/>
    <w:rsid w:val="00144940"/>
    <w:rsid w:val="00144CC8"/>
    <w:rsid w:val="00145180"/>
    <w:rsid w:val="001452EE"/>
    <w:rsid w:val="00145680"/>
    <w:rsid w:val="00145BCE"/>
    <w:rsid w:val="00146CAB"/>
    <w:rsid w:val="001473E8"/>
    <w:rsid w:val="001476DB"/>
    <w:rsid w:val="00147763"/>
    <w:rsid w:val="0014784F"/>
    <w:rsid w:val="00147926"/>
    <w:rsid w:val="00150AEC"/>
    <w:rsid w:val="00150DEA"/>
    <w:rsid w:val="00151455"/>
    <w:rsid w:val="00151700"/>
    <w:rsid w:val="0015193B"/>
    <w:rsid w:val="00151D4E"/>
    <w:rsid w:val="00151F0F"/>
    <w:rsid w:val="001528BD"/>
    <w:rsid w:val="00153375"/>
    <w:rsid w:val="0015347C"/>
    <w:rsid w:val="001534C1"/>
    <w:rsid w:val="00153E03"/>
    <w:rsid w:val="00154077"/>
    <w:rsid w:val="00154469"/>
    <w:rsid w:val="00154669"/>
    <w:rsid w:val="00154A8B"/>
    <w:rsid w:val="0015512D"/>
    <w:rsid w:val="00155529"/>
    <w:rsid w:val="0015564C"/>
    <w:rsid w:val="00155BB5"/>
    <w:rsid w:val="001562B7"/>
    <w:rsid w:val="00156345"/>
    <w:rsid w:val="00156693"/>
    <w:rsid w:val="00156868"/>
    <w:rsid w:val="00156C1D"/>
    <w:rsid w:val="00156CA3"/>
    <w:rsid w:val="00156DB1"/>
    <w:rsid w:val="00156E72"/>
    <w:rsid w:val="0015704E"/>
    <w:rsid w:val="001574DA"/>
    <w:rsid w:val="00157585"/>
    <w:rsid w:val="0015780B"/>
    <w:rsid w:val="00157BC5"/>
    <w:rsid w:val="00157FA1"/>
    <w:rsid w:val="00157FA9"/>
    <w:rsid w:val="0016031A"/>
    <w:rsid w:val="001608E2"/>
    <w:rsid w:val="00162058"/>
    <w:rsid w:val="00162AFF"/>
    <w:rsid w:val="00162DEC"/>
    <w:rsid w:val="00162F63"/>
    <w:rsid w:val="0016306F"/>
    <w:rsid w:val="0016318B"/>
    <w:rsid w:val="00163340"/>
    <w:rsid w:val="00163457"/>
    <w:rsid w:val="00164820"/>
    <w:rsid w:val="00164CA3"/>
    <w:rsid w:val="00164DAB"/>
    <w:rsid w:val="00164E82"/>
    <w:rsid w:val="00164EEF"/>
    <w:rsid w:val="00165155"/>
    <w:rsid w:val="0016520B"/>
    <w:rsid w:val="00165CFC"/>
    <w:rsid w:val="00166569"/>
    <w:rsid w:val="00166ACA"/>
    <w:rsid w:val="00166BBD"/>
    <w:rsid w:val="00166BCA"/>
    <w:rsid w:val="00166E16"/>
    <w:rsid w:val="0016799F"/>
    <w:rsid w:val="00167D41"/>
    <w:rsid w:val="00167D57"/>
    <w:rsid w:val="00167ECF"/>
    <w:rsid w:val="00167FE1"/>
    <w:rsid w:val="001706F0"/>
    <w:rsid w:val="00170E62"/>
    <w:rsid w:val="0017123B"/>
    <w:rsid w:val="00171649"/>
    <w:rsid w:val="001723DF"/>
    <w:rsid w:val="00172733"/>
    <w:rsid w:val="00172B3A"/>
    <w:rsid w:val="00172C17"/>
    <w:rsid w:val="00172F2C"/>
    <w:rsid w:val="001734E9"/>
    <w:rsid w:val="001748C5"/>
    <w:rsid w:val="00174A09"/>
    <w:rsid w:val="00174D1B"/>
    <w:rsid w:val="00175730"/>
    <w:rsid w:val="00175BE1"/>
    <w:rsid w:val="00175DB3"/>
    <w:rsid w:val="00175E0E"/>
    <w:rsid w:val="0017603B"/>
    <w:rsid w:val="0017604A"/>
    <w:rsid w:val="0017634C"/>
    <w:rsid w:val="00176D36"/>
    <w:rsid w:val="001772B2"/>
    <w:rsid w:val="00177440"/>
    <w:rsid w:val="0017744B"/>
    <w:rsid w:val="001778E8"/>
    <w:rsid w:val="001801B9"/>
    <w:rsid w:val="00180312"/>
    <w:rsid w:val="0018037A"/>
    <w:rsid w:val="00180643"/>
    <w:rsid w:val="00180B40"/>
    <w:rsid w:val="00181385"/>
    <w:rsid w:val="0018191D"/>
    <w:rsid w:val="00181F14"/>
    <w:rsid w:val="001825F4"/>
    <w:rsid w:val="00182AAB"/>
    <w:rsid w:val="00182AAE"/>
    <w:rsid w:val="00182F84"/>
    <w:rsid w:val="001833E6"/>
    <w:rsid w:val="0018362E"/>
    <w:rsid w:val="00183723"/>
    <w:rsid w:val="00183A6F"/>
    <w:rsid w:val="0018453D"/>
    <w:rsid w:val="0018463A"/>
    <w:rsid w:val="00184AC3"/>
    <w:rsid w:val="0018620D"/>
    <w:rsid w:val="00186222"/>
    <w:rsid w:val="001866C8"/>
    <w:rsid w:val="001869C4"/>
    <w:rsid w:val="001870EB"/>
    <w:rsid w:val="00187183"/>
    <w:rsid w:val="001874C1"/>
    <w:rsid w:val="00187F94"/>
    <w:rsid w:val="001900CD"/>
    <w:rsid w:val="001900E3"/>
    <w:rsid w:val="001904CC"/>
    <w:rsid w:val="00190577"/>
    <w:rsid w:val="00190BCF"/>
    <w:rsid w:val="00190C4D"/>
    <w:rsid w:val="00190DB0"/>
    <w:rsid w:val="00190FDD"/>
    <w:rsid w:val="00191269"/>
    <w:rsid w:val="001913E5"/>
    <w:rsid w:val="001915E6"/>
    <w:rsid w:val="00191DDE"/>
    <w:rsid w:val="00191EDE"/>
    <w:rsid w:val="001920EF"/>
    <w:rsid w:val="00192532"/>
    <w:rsid w:val="001928EB"/>
    <w:rsid w:val="00192DD3"/>
    <w:rsid w:val="00193650"/>
    <w:rsid w:val="00193859"/>
    <w:rsid w:val="0019434C"/>
    <w:rsid w:val="00194A08"/>
    <w:rsid w:val="00195326"/>
    <w:rsid w:val="001958EE"/>
    <w:rsid w:val="001968E5"/>
    <w:rsid w:val="001968F9"/>
    <w:rsid w:val="00197105"/>
    <w:rsid w:val="00197413"/>
    <w:rsid w:val="001978C0"/>
    <w:rsid w:val="00197CCF"/>
    <w:rsid w:val="00197D7E"/>
    <w:rsid w:val="001A01DD"/>
    <w:rsid w:val="001A026C"/>
    <w:rsid w:val="001A048F"/>
    <w:rsid w:val="001A13C7"/>
    <w:rsid w:val="001A14AD"/>
    <w:rsid w:val="001A1560"/>
    <w:rsid w:val="001A19E2"/>
    <w:rsid w:val="001A1CC1"/>
    <w:rsid w:val="001A1EA4"/>
    <w:rsid w:val="001A21FF"/>
    <w:rsid w:val="001A29EF"/>
    <w:rsid w:val="001A2DEB"/>
    <w:rsid w:val="001A4273"/>
    <w:rsid w:val="001A4398"/>
    <w:rsid w:val="001A49A6"/>
    <w:rsid w:val="001A57F5"/>
    <w:rsid w:val="001A5836"/>
    <w:rsid w:val="001A6381"/>
    <w:rsid w:val="001A66E4"/>
    <w:rsid w:val="001A7535"/>
    <w:rsid w:val="001A753B"/>
    <w:rsid w:val="001A788B"/>
    <w:rsid w:val="001A7BD5"/>
    <w:rsid w:val="001A7EA5"/>
    <w:rsid w:val="001B005F"/>
    <w:rsid w:val="001B099B"/>
    <w:rsid w:val="001B1134"/>
    <w:rsid w:val="001B145A"/>
    <w:rsid w:val="001B1A61"/>
    <w:rsid w:val="001B1E9A"/>
    <w:rsid w:val="001B24F9"/>
    <w:rsid w:val="001B2622"/>
    <w:rsid w:val="001B2B00"/>
    <w:rsid w:val="001B2C0A"/>
    <w:rsid w:val="001B3491"/>
    <w:rsid w:val="001B3511"/>
    <w:rsid w:val="001B3608"/>
    <w:rsid w:val="001B37B4"/>
    <w:rsid w:val="001B39B0"/>
    <w:rsid w:val="001B3DA7"/>
    <w:rsid w:val="001B43C2"/>
    <w:rsid w:val="001B49C6"/>
    <w:rsid w:val="001B4BFD"/>
    <w:rsid w:val="001B4F5A"/>
    <w:rsid w:val="001B545D"/>
    <w:rsid w:val="001B5A34"/>
    <w:rsid w:val="001B5A9B"/>
    <w:rsid w:val="001B6B91"/>
    <w:rsid w:val="001B792C"/>
    <w:rsid w:val="001B79E3"/>
    <w:rsid w:val="001B7E1F"/>
    <w:rsid w:val="001B7E80"/>
    <w:rsid w:val="001B7FD6"/>
    <w:rsid w:val="001C03C0"/>
    <w:rsid w:val="001C0996"/>
    <w:rsid w:val="001C1929"/>
    <w:rsid w:val="001C1B99"/>
    <w:rsid w:val="001C2184"/>
    <w:rsid w:val="001C24FC"/>
    <w:rsid w:val="001C36AD"/>
    <w:rsid w:val="001C37F6"/>
    <w:rsid w:val="001C3943"/>
    <w:rsid w:val="001C4077"/>
    <w:rsid w:val="001C44B7"/>
    <w:rsid w:val="001C48CA"/>
    <w:rsid w:val="001C52B5"/>
    <w:rsid w:val="001C59CF"/>
    <w:rsid w:val="001C5CC7"/>
    <w:rsid w:val="001C673C"/>
    <w:rsid w:val="001C69C0"/>
    <w:rsid w:val="001C7C34"/>
    <w:rsid w:val="001C7DE5"/>
    <w:rsid w:val="001D0112"/>
    <w:rsid w:val="001D01B4"/>
    <w:rsid w:val="001D024B"/>
    <w:rsid w:val="001D06AA"/>
    <w:rsid w:val="001D0B78"/>
    <w:rsid w:val="001D0C61"/>
    <w:rsid w:val="001D0E4E"/>
    <w:rsid w:val="001D1012"/>
    <w:rsid w:val="001D13E9"/>
    <w:rsid w:val="001D1859"/>
    <w:rsid w:val="001D1F10"/>
    <w:rsid w:val="001D1FD3"/>
    <w:rsid w:val="001D2A8C"/>
    <w:rsid w:val="001D2FD8"/>
    <w:rsid w:val="001D3205"/>
    <w:rsid w:val="001D3EF9"/>
    <w:rsid w:val="001D4042"/>
    <w:rsid w:val="001D40F5"/>
    <w:rsid w:val="001D4138"/>
    <w:rsid w:val="001D4410"/>
    <w:rsid w:val="001D4473"/>
    <w:rsid w:val="001D4C3B"/>
    <w:rsid w:val="001D4F9F"/>
    <w:rsid w:val="001D507C"/>
    <w:rsid w:val="001D5193"/>
    <w:rsid w:val="001D52A2"/>
    <w:rsid w:val="001D53D7"/>
    <w:rsid w:val="001D5CD0"/>
    <w:rsid w:val="001D5CDD"/>
    <w:rsid w:val="001D612D"/>
    <w:rsid w:val="001D6CD4"/>
    <w:rsid w:val="001D70A6"/>
    <w:rsid w:val="001D7552"/>
    <w:rsid w:val="001D7938"/>
    <w:rsid w:val="001D7B34"/>
    <w:rsid w:val="001E001C"/>
    <w:rsid w:val="001E04B3"/>
    <w:rsid w:val="001E053A"/>
    <w:rsid w:val="001E0968"/>
    <w:rsid w:val="001E148F"/>
    <w:rsid w:val="001E1E05"/>
    <w:rsid w:val="001E1F05"/>
    <w:rsid w:val="001E2188"/>
    <w:rsid w:val="001E2194"/>
    <w:rsid w:val="001E25F9"/>
    <w:rsid w:val="001E278F"/>
    <w:rsid w:val="001E2A64"/>
    <w:rsid w:val="001E2ADF"/>
    <w:rsid w:val="001E3264"/>
    <w:rsid w:val="001E41E4"/>
    <w:rsid w:val="001E426B"/>
    <w:rsid w:val="001E439C"/>
    <w:rsid w:val="001E490A"/>
    <w:rsid w:val="001E4A66"/>
    <w:rsid w:val="001E5158"/>
    <w:rsid w:val="001E518C"/>
    <w:rsid w:val="001E52DF"/>
    <w:rsid w:val="001E53F7"/>
    <w:rsid w:val="001E5508"/>
    <w:rsid w:val="001E560A"/>
    <w:rsid w:val="001E5754"/>
    <w:rsid w:val="001E5762"/>
    <w:rsid w:val="001E57C0"/>
    <w:rsid w:val="001E5F8B"/>
    <w:rsid w:val="001E614E"/>
    <w:rsid w:val="001E628C"/>
    <w:rsid w:val="001E6448"/>
    <w:rsid w:val="001E64D8"/>
    <w:rsid w:val="001E6CFD"/>
    <w:rsid w:val="001E7195"/>
    <w:rsid w:val="001E77E2"/>
    <w:rsid w:val="001E7F9F"/>
    <w:rsid w:val="001F0087"/>
    <w:rsid w:val="001F0362"/>
    <w:rsid w:val="001F03F5"/>
    <w:rsid w:val="001F0668"/>
    <w:rsid w:val="001F08A8"/>
    <w:rsid w:val="001F1041"/>
    <w:rsid w:val="001F1227"/>
    <w:rsid w:val="001F13E5"/>
    <w:rsid w:val="001F1937"/>
    <w:rsid w:val="001F1AE1"/>
    <w:rsid w:val="001F1AE3"/>
    <w:rsid w:val="001F1D71"/>
    <w:rsid w:val="001F1EDB"/>
    <w:rsid w:val="001F1F85"/>
    <w:rsid w:val="001F23A1"/>
    <w:rsid w:val="001F2600"/>
    <w:rsid w:val="001F2725"/>
    <w:rsid w:val="001F2921"/>
    <w:rsid w:val="001F2C1D"/>
    <w:rsid w:val="001F2E83"/>
    <w:rsid w:val="001F326A"/>
    <w:rsid w:val="001F367F"/>
    <w:rsid w:val="001F3690"/>
    <w:rsid w:val="001F3953"/>
    <w:rsid w:val="001F3975"/>
    <w:rsid w:val="001F3D9C"/>
    <w:rsid w:val="001F4EC0"/>
    <w:rsid w:val="001F5C09"/>
    <w:rsid w:val="001F63DC"/>
    <w:rsid w:val="001F6C79"/>
    <w:rsid w:val="001F6CA9"/>
    <w:rsid w:val="001F703E"/>
    <w:rsid w:val="001F70B6"/>
    <w:rsid w:val="001F73E1"/>
    <w:rsid w:val="001F7541"/>
    <w:rsid w:val="001F7755"/>
    <w:rsid w:val="001F7B2D"/>
    <w:rsid w:val="001F7DEA"/>
    <w:rsid w:val="00201350"/>
    <w:rsid w:val="00201444"/>
    <w:rsid w:val="00201474"/>
    <w:rsid w:val="00201D89"/>
    <w:rsid w:val="00201E34"/>
    <w:rsid w:val="00201FA6"/>
    <w:rsid w:val="002021FD"/>
    <w:rsid w:val="00202569"/>
    <w:rsid w:val="002026FA"/>
    <w:rsid w:val="0020281F"/>
    <w:rsid w:val="00202A25"/>
    <w:rsid w:val="00202BA2"/>
    <w:rsid w:val="00202E8C"/>
    <w:rsid w:val="002030C2"/>
    <w:rsid w:val="00203366"/>
    <w:rsid w:val="00203631"/>
    <w:rsid w:val="002036CC"/>
    <w:rsid w:val="002039A7"/>
    <w:rsid w:val="00203B45"/>
    <w:rsid w:val="00203C5F"/>
    <w:rsid w:val="00204189"/>
    <w:rsid w:val="002041D2"/>
    <w:rsid w:val="002041FA"/>
    <w:rsid w:val="002050CB"/>
    <w:rsid w:val="002053B2"/>
    <w:rsid w:val="002058A9"/>
    <w:rsid w:val="00205A41"/>
    <w:rsid w:val="0020644E"/>
    <w:rsid w:val="00206810"/>
    <w:rsid w:val="00206975"/>
    <w:rsid w:val="00206B46"/>
    <w:rsid w:val="00206B73"/>
    <w:rsid w:val="0020715B"/>
    <w:rsid w:val="002111E7"/>
    <w:rsid w:val="0021156F"/>
    <w:rsid w:val="002115DD"/>
    <w:rsid w:val="00211698"/>
    <w:rsid w:val="002116E1"/>
    <w:rsid w:val="00211AD6"/>
    <w:rsid w:val="00211B19"/>
    <w:rsid w:val="00211E9F"/>
    <w:rsid w:val="00211FAB"/>
    <w:rsid w:val="0021218A"/>
    <w:rsid w:val="0021301F"/>
    <w:rsid w:val="00213060"/>
    <w:rsid w:val="002139F9"/>
    <w:rsid w:val="00213AB6"/>
    <w:rsid w:val="00213C4B"/>
    <w:rsid w:val="00213FA4"/>
    <w:rsid w:val="00214CA5"/>
    <w:rsid w:val="002152C2"/>
    <w:rsid w:val="00215CD1"/>
    <w:rsid w:val="00216213"/>
    <w:rsid w:val="00217542"/>
    <w:rsid w:val="0021783A"/>
    <w:rsid w:val="00217912"/>
    <w:rsid w:val="00220443"/>
    <w:rsid w:val="0022049E"/>
    <w:rsid w:val="00220511"/>
    <w:rsid w:val="002205CD"/>
    <w:rsid w:val="00220643"/>
    <w:rsid w:val="00220A58"/>
    <w:rsid w:val="00221F16"/>
    <w:rsid w:val="0022204F"/>
    <w:rsid w:val="00222C64"/>
    <w:rsid w:val="002231F5"/>
    <w:rsid w:val="002232AE"/>
    <w:rsid w:val="00223337"/>
    <w:rsid w:val="0022358A"/>
    <w:rsid w:val="00223790"/>
    <w:rsid w:val="00223A19"/>
    <w:rsid w:val="002244D1"/>
    <w:rsid w:val="002255C8"/>
    <w:rsid w:val="002257F3"/>
    <w:rsid w:val="00225BF4"/>
    <w:rsid w:val="00225C71"/>
    <w:rsid w:val="00225CB1"/>
    <w:rsid w:val="00225D47"/>
    <w:rsid w:val="00225F90"/>
    <w:rsid w:val="00226284"/>
    <w:rsid w:val="0022634D"/>
    <w:rsid w:val="00226750"/>
    <w:rsid w:val="0022692E"/>
    <w:rsid w:val="00226A78"/>
    <w:rsid w:val="002271EB"/>
    <w:rsid w:val="00227597"/>
    <w:rsid w:val="00227A4B"/>
    <w:rsid w:val="00230222"/>
    <w:rsid w:val="002304B5"/>
    <w:rsid w:val="002308B1"/>
    <w:rsid w:val="002309B3"/>
    <w:rsid w:val="00230A34"/>
    <w:rsid w:val="00231621"/>
    <w:rsid w:val="00231687"/>
    <w:rsid w:val="00231D9E"/>
    <w:rsid w:val="00231DFA"/>
    <w:rsid w:val="00231EC2"/>
    <w:rsid w:val="00231F5C"/>
    <w:rsid w:val="00232376"/>
    <w:rsid w:val="00232AA8"/>
    <w:rsid w:val="00232E2F"/>
    <w:rsid w:val="002332DF"/>
    <w:rsid w:val="00233473"/>
    <w:rsid w:val="002334BA"/>
    <w:rsid w:val="0023359D"/>
    <w:rsid w:val="002337E0"/>
    <w:rsid w:val="00233884"/>
    <w:rsid w:val="00233F85"/>
    <w:rsid w:val="00234A39"/>
    <w:rsid w:val="00234A7B"/>
    <w:rsid w:val="00234E0F"/>
    <w:rsid w:val="0023516F"/>
    <w:rsid w:val="00235233"/>
    <w:rsid w:val="002356AC"/>
    <w:rsid w:val="00235CF0"/>
    <w:rsid w:val="0023714A"/>
    <w:rsid w:val="00237BF7"/>
    <w:rsid w:val="00237ED8"/>
    <w:rsid w:val="00237F72"/>
    <w:rsid w:val="0024022B"/>
    <w:rsid w:val="002402B8"/>
    <w:rsid w:val="002405AB"/>
    <w:rsid w:val="0024062A"/>
    <w:rsid w:val="00241C4B"/>
    <w:rsid w:val="002429D4"/>
    <w:rsid w:val="00242D34"/>
    <w:rsid w:val="002430E7"/>
    <w:rsid w:val="0024332E"/>
    <w:rsid w:val="00243BDC"/>
    <w:rsid w:val="00243CEA"/>
    <w:rsid w:val="00243CFD"/>
    <w:rsid w:val="00243D17"/>
    <w:rsid w:val="002445C3"/>
    <w:rsid w:val="00244D7B"/>
    <w:rsid w:val="00244E59"/>
    <w:rsid w:val="00244F4B"/>
    <w:rsid w:val="00245B57"/>
    <w:rsid w:val="00246131"/>
    <w:rsid w:val="0024673B"/>
    <w:rsid w:val="0024673E"/>
    <w:rsid w:val="00246742"/>
    <w:rsid w:val="00250003"/>
    <w:rsid w:val="002503F0"/>
    <w:rsid w:val="002506EF"/>
    <w:rsid w:val="002513B7"/>
    <w:rsid w:val="002513BB"/>
    <w:rsid w:val="0025229E"/>
    <w:rsid w:val="0025361C"/>
    <w:rsid w:val="00253675"/>
    <w:rsid w:val="00253E2D"/>
    <w:rsid w:val="00253FB3"/>
    <w:rsid w:val="002546AD"/>
    <w:rsid w:val="00255570"/>
    <w:rsid w:val="002556CC"/>
    <w:rsid w:val="0025690B"/>
    <w:rsid w:val="00257071"/>
    <w:rsid w:val="002575D9"/>
    <w:rsid w:val="002579C0"/>
    <w:rsid w:val="00257D03"/>
    <w:rsid w:val="002600AC"/>
    <w:rsid w:val="0026048C"/>
    <w:rsid w:val="00260659"/>
    <w:rsid w:val="00260CF2"/>
    <w:rsid w:val="00260E89"/>
    <w:rsid w:val="00261397"/>
    <w:rsid w:val="00261417"/>
    <w:rsid w:val="00261665"/>
    <w:rsid w:val="002618A4"/>
    <w:rsid w:val="002618FB"/>
    <w:rsid w:val="0026190B"/>
    <w:rsid w:val="00261D61"/>
    <w:rsid w:val="00261FBB"/>
    <w:rsid w:val="00262E54"/>
    <w:rsid w:val="00262EF6"/>
    <w:rsid w:val="0026319A"/>
    <w:rsid w:val="00263892"/>
    <w:rsid w:val="0026461C"/>
    <w:rsid w:val="00264A40"/>
    <w:rsid w:val="002652B4"/>
    <w:rsid w:val="00265A9E"/>
    <w:rsid w:val="00265BC8"/>
    <w:rsid w:val="002663E6"/>
    <w:rsid w:val="00267422"/>
    <w:rsid w:val="00267B11"/>
    <w:rsid w:val="002702C3"/>
    <w:rsid w:val="00270ABF"/>
    <w:rsid w:val="00270E8E"/>
    <w:rsid w:val="002710BA"/>
    <w:rsid w:val="002710F2"/>
    <w:rsid w:val="00271D8B"/>
    <w:rsid w:val="00271D99"/>
    <w:rsid w:val="00272217"/>
    <w:rsid w:val="0027275F"/>
    <w:rsid w:val="002731C4"/>
    <w:rsid w:val="00273344"/>
    <w:rsid w:val="0027386F"/>
    <w:rsid w:val="002738CF"/>
    <w:rsid w:val="00275187"/>
    <w:rsid w:val="0027523D"/>
    <w:rsid w:val="002752FF"/>
    <w:rsid w:val="00275502"/>
    <w:rsid w:val="00275B44"/>
    <w:rsid w:val="00277536"/>
    <w:rsid w:val="00280760"/>
    <w:rsid w:val="0028115B"/>
    <w:rsid w:val="002818BE"/>
    <w:rsid w:val="00281922"/>
    <w:rsid w:val="002819F2"/>
    <w:rsid w:val="00281A47"/>
    <w:rsid w:val="00282176"/>
    <w:rsid w:val="00282CC8"/>
    <w:rsid w:val="00282CD4"/>
    <w:rsid w:val="00282EE4"/>
    <w:rsid w:val="00282F7A"/>
    <w:rsid w:val="0028365D"/>
    <w:rsid w:val="00283688"/>
    <w:rsid w:val="00283957"/>
    <w:rsid w:val="002839BB"/>
    <w:rsid w:val="0028483E"/>
    <w:rsid w:val="00284854"/>
    <w:rsid w:val="00284D61"/>
    <w:rsid w:val="002852E3"/>
    <w:rsid w:val="00285601"/>
    <w:rsid w:val="002857D8"/>
    <w:rsid w:val="002858A5"/>
    <w:rsid w:val="00285D5A"/>
    <w:rsid w:val="002862E5"/>
    <w:rsid w:val="00287396"/>
    <w:rsid w:val="002874B5"/>
    <w:rsid w:val="002876D9"/>
    <w:rsid w:val="002879A4"/>
    <w:rsid w:val="0029003A"/>
    <w:rsid w:val="00290105"/>
    <w:rsid w:val="00290B60"/>
    <w:rsid w:val="00290BCA"/>
    <w:rsid w:val="0029125E"/>
    <w:rsid w:val="002919C6"/>
    <w:rsid w:val="00291CA4"/>
    <w:rsid w:val="002929F0"/>
    <w:rsid w:val="00292D64"/>
    <w:rsid w:val="00293360"/>
    <w:rsid w:val="002936A8"/>
    <w:rsid w:val="0029373E"/>
    <w:rsid w:val="00293847"/>
    <w:rsid w:val="00293B56"/>
    <w:rsid w:val="002943BA"/>
    <w:rsid w:val="0029478A"/>
    <w:rsid w:val="00294CBC"/>
    <w:rsid w:val="00294F2C"/>
    <w:rsid w:val="00294F3E"/>
    <w:rsid w:val="00294FF0"/>
    <w:rsid w:val="0029521C"/>
    <w:rsid w:val="00295394"/>
    <w:rsid w:val="002958C6"/>
    <w:rsid w:val="00295E57"/>
    <w:rsid w:val="00295F52"/>
    <w:rsid w:val="00296031"/>
    <w:rsid w:val="00296099"/>
    <w:rsid w:val="002964B3"/>
    <w:rsid w:val="00296827"/>
    <w:rsid w:val="00296B41"/>
    <w:rsid w:val="00296CFA"/>
    <w:rsid w:val="00297067"/>
    <w:rsid w:val="00297571"/>
    <w:rsid w:val="002977EF"/>
    <w:rsid w:val="002977F4"/>
    <w:rsid w:val="00297A0E"/>
    <w:rsid w:val="00297D77"/>
    <w:rsid w:val="00297F22"/>
    <w:rsid w:val="002A0833"/>
    <w:rsid w:val="002A0CD7"/>
    <w:rsid w:val="002A1651"/>
    <w:rsid w:val="002A1A32"/>
    <w:rsid w:val="002A1BDF"/>
    <w:rsid w:val="002A204B"/>
    <w:rsid w:val="002A2821"/>
    <w:rsid w:val="002A31D6"/>
    <w:rsid w:val="002A3758"/>
    <w:rsid w:val="002A377B"/>
    <w:rsid w:val="002A4D35"/>
    <w:rsid w:val="002A4F3A"/>
    <w:rsid w:val="002A5097"/>
    <w:rsid w:val="002A5122"/>
    <w:rsid w:val="002A5556"/>
    <w:rsid w:val="002A5826"/>
    <w:rsid w:val="002A5CA1"/>
    <w:rsid w:val="002A5DE1"/>
    <w:rsid w:val="002A623C"/>
    <w:rsid w:val="002A6304"/>
    <w:rsid w:val="002A6341"/>
    <w:rsid w:val="002A6774"/>
    <w:rsid w:val="002A74C6"/>
    <w:rsid w:val="002A7785"/>
    <w:rsid w:val="002A789C"/>
    <w:rsid w:val="002A7AD5"/>
    <w:rsid w:val="002A7BB1"/>
    <w:rsid w:val="002B00A8"/>
    <w:rsid w:val="002B01FB"/>
    <w:rsid w:val="002B038E"/>
    <w:rsid w:val="002B03C6"/>
    <w:rsid w:val="002B0AE9"/>
    <w:rsid w:val="002B1433"/>
    <w:rsid w:val="002B181A"/>
    <w:rsid w:val="002B1975"/>
    <w:rsid w:val="002B1989"/>
    <w:rsid w:val="002B1BC1"/>
    <w:rsid w:val="002B1ECD"/>
    <w:rsid w:val="002B1EE8"/>
    <w:rsid w:val="002B226C"/>
    <w:rsid w:val="002B2703"/>
    <w:rsid w:val="002B2754"/>
    <w:rsid w:val="002B2E1E"/>
    <w:rsid w:val="002B355F"/>
    <w:rsid w:val="002B3AA7"/>
    <w:rsid w:val="002B3F54"/>
    <w:rsid w:val="002B40D8"/>
    <w:rsid w:val="002B4819"/>
    <w:rsid w:val="002B4F0D"/>
    <w:rsid w:val="002B4F1A"/>
    <w:rsid w:val="002B54E6"/>
    <w:rsid w:val="002B5546"/>
    <w:rsid w:val="002B57C1"/>
    <w:rsid w:val="002B5B2D"/>
    <w:rsid w:val="002B6305"/>
    <w:rsid w:val="002B63A2"/>
    <w:rsid w:val="002B63D3"/>
    <w:rsid w:val="002B72BA"/>
    <w:rsid w:val="002B7D89"/>
    <w:rsid w:val="002B7EFF"/>
    <w:rsid w:val="002C0F87"/>
    <w:rsid w:val="002C1390"/>
    <w:rsid w:val="002C15D1"/>
    <w:rsid w:val="002C1C71"/>
    <w:rsid w:val="002C210F"/>
    <w:rsid w:val="002C2435"/>
    <w:rsid w:val="002C272F"/>
    <w:rsid w:val="002C339B"/>
    <w:rsid w:val="002C3633"/>
    <w:rsid w:val="002C4029"/>
    <w:rsid w:val="002C4BE8"/>
    <w:rsid w:val="002C4C2C"/>
    <w:rsid w:val="002C5056"/>
    <w:rsid w:val="002C5067"/>
    <w:rsid w:val="002C52AE"/>
    <w:rsid w:val="002C5601"/>
    <w:rsid w:val="002C5E7F"/>
    <w:rsid w:val="002C6600"/>
    <w:rsid w:val="002C6733"/>
    <w:rsid w:val="002C6B33"/>
    <w:rsid w:val="002C6F26"/>
    <w:rsid w:val="002C7294"/>
    <w:rsid w:val="002C76DF"/>
    <w:rsid w:val="002C7A71"/>
    <w:rsid w:val="002C7CE3"/>
    <w:rsid w:val="002D0070"/>
    <w:rsid w:val="002D0D4C"/>
    <w:rsid w:val="002D14B0"/>
    <w:rsid w:val="002D15B7"/>
    <w:rsid w:val="002D171F"/>
    <w:rsid w:val="002D1CC2"/>
    <w:rsid w:val="002D1D47"/>
    <w:rsid w:val="002D2103"/>
    <w:rsid w:val="002D24F8"/>
    <w:rsid w:val="002D2A9E"/>
    <w:rsid w:val="002D2D05"/>
    <w:rsid w:val="002D2EF1"/>
    <w:rsid w:val="002D3284"/>
    <w:rsid w:val="002D3330"/>
    <w:rsid w:val="002D3487"/>
    <w:rsid w:val="002D39D8"/>
    <w:rsid w:val="002D3A61"/>
    <w:rsid w:val="002D3CEC"/>
    <w:rsid w:val="002D47E0"/>
    <w:rsid w:val="002D4B39"/>
    <w:rsid w:val="002D506E"/>
    <w:rsid w:val="002D552E"/>
    <w:rsid w:val="002D5872"/>
    <w:rsid w:val="002D648D"/>
    <w:rsid w:val="002D6B8C"/>
    <w:rsid w:val="002D78C2"/>
    <w:rsid w:val="002D792B"/>
    <w:rsid w:val="002E0117"/>
    <w:rsid w:val="002E0326"/>
    <w:rsid w:val="002E0829"/>
    <w:rsid w:val="002E0D1C"/>
    <w:rsid w:val="002E0F06"/>
    <w:rsid w:val="002E0F38"/>
    <w:rsid w:val="002E12D7"/>
    <w:rsid w:val="002E1692"/>
    <w:rsid w:val="002E259B"/>
    <w:rsid w:val="002E2766"/>
    <w:rsid w:val="002E2A8E"/>
    <w:rsid w:val="002E2D28"/>
    <w:rsid w:val="002E33CE"/>
    <w:rsid w:val="002E34ED"/>
    <w:rsid w:val="002E35A0"/>
    <w:rsid w:val="002E40DE"/>
    <w:rsid w:val="002E4619"/>
    <w:rsid w:val="002E468E"/>
    <w:rsid w:val="002E5A17"/>
    <w:rsid w:val="002E5A68"/>
    <w:rsid w:val="002E5C13"/>
    <w:rsid w:val="002E5D59"/>
    <w:rsid w:val="002E65A5"/>
    <w:rsid w:val="002E6F30"/>
    <w:rsid w:val="002E7303"/>
    <w:rsid w:val="002E7336"/>
    <w:rsid w:val="002E78D2"/>
    <w:rsid w:val="002E7FCE"/>
    <w:rsid w:val="002F0034"/>
    <w:rsid w:val="002F0252"/>
    <w:rsid w:val="002F12E8"/>
    <w:rsid w:val="002F130B"/>
    <w:rsid w:val="002F18D9"/>
    <w:rsid w:val="002F1B1C"/>
    <w:rsid w:val="002F1D0B"/>
    <w:rsid w:val="002F21C8"/>
    <w:rsid w:val="002F2843"/>
    <w:rsid w:val="002F32F2"/>
    <w:rsid w:val="002F3739"/>
    <w:rsid w:val="002F3ABE"/>
    <w:rsid w:val="002F3B85"/>
    <w:rsid w:val="002F3F6A"/>
    <w:rsid w:val="002F3FDB"/>
    <w:rsid w:val="002F4396"/>
    <w:rsid w:val="002F56FC"/>
    <w:rsid w:val="002F5AF4"/>
    <w:rsid w:val="002F5BBF"/>
    <w:rsid w:val="002F5EE6"/>
    <w:rsid w:val="002F6028"/>
    <w:rsid w:val="002F61D6"/>
    <w:rsid w:val="002F6293"/>
    <w:rsid w:val="002F698A"/>
    <w:rsid w:val="002F6C66"/>
    <w:rsid w:val="002F6DF6"/>
    <w:rsid w:val="002F7038"/>
    <w:rsid w:val="002F712C"/>
    <w:rsid w:val="002F73FA"/>
    <w:rsid w:val="002F747F"/>
    <w:rsid w:val="002F761E"/>
    <w:rsid w:val="002F7687"/>
    <w:rsid w:val="002F7A5F"/>
    <w:rsid w:val="003005D5"/>
    <w:rsid w:val="00300E1A"/>
    <w:rsid w:val="00300FF1"/>
    <w:rsid w:val="00301497"/>
    <w:rsid w:val="00301F0A"/>
    <w:rsid w:val="00302610"/>
    <w:rsid w:val="003027FB"/>
    <w:rsid w:val="00302882"/>
    <w:rsid w:val="003028F5"/>
    <w:rsid w:val="003029A3"/>
    <w:rsid w:val="00302B5B"/>
    <w:rsid w:val="00303140"/>
    <w:rsid w:val="00303195"/>
    <w:rsid w:val="00303BA4"/>
    <w:rsid w:val="00303F98"/>
    <w:rsid w:val="00305C47"/>
    <w:rsid w:val="00305DD2"/>
    <w:rsid w:val="0030601C"/>
    <w:rsid w:val="003068A1"/>
    <w:rsid w:val="003068A9"/>
    <w:rsid w:val="003069C7"/>
    <w:rsid w:val="003069E1"/>
    <w:rsid w:val="00306A07"/>
    <w:rsid w:val="00306F96"/>
    <w:rsid w:val="00307144"/>
    <w:rsid w:val="00307290"/>
    <w:rsid w:val="003073C0"/>
    <w:rsid w:val="00307BE4"/>
    <w:rsid w:val="00307E68"/>
    <w:rsid w:val="00310997"/>
    <w:rsid w:val="00310BDB"/>
    <w:rsid w:val="00310E76"/>
    <w:rsid w:val="0031125D"/>
    <w:rsid w:val="00311564"/>
    <w:rsid w:val="00311AFB"/>
    <w:rsid w:val="00311C03"/>
    <w:rsid w:val="00311C21"/>
    <w:rsid w:val="00311C99"/>
    <w:rsid w:val="00312539"/>
    <w:rsid w:val="0031289B"/>
    <w:rsid w:val="003129A1"/>
    <w:rsid w:val="00312A26"/>
    <w:rsid w:val="003130B2"/>
    <w:rsid w:val="0031335E"/>
    <w:rsid w:val="0031348B"/>
    <w:rsid w:val="003137D0"/>
    <w:rsid w:val="00313B09"/>
    <w:rsid w:val="003153DA"/>
    <w:rsid w:val="003153E8"/>
    <w:rsid w:val="003158BB"/>
    <w:rsid w:val="00315D89"/>
    <w:rsid w:val="003162F6"/>
    <w:rsid w:val="003163A6"/>
    <w:rsid w:val="003163B7"/>
    <w:rsid w:val="00316D23"/>
    <w:rsid w:val="003171D6"/>
    <w:rsid w:val="00317274"/>
    <w:rsid w:val="00317644"/>
    <w:rsid w:val="00317743"/>
    <w:rsid w:val="00317D40"/>
    <w:rsid w:val="003201E0"/>
    <w:rsid w:val="00320431"/>
    <w:rsid w:val="00320917"/>
    <w:rsid w:val="00320A53"/>
    <w:rsid w:val="00320BF5"/>
    <w:rsid w:val="00320E1A"/>
    <w:rsid w:val="003217D4"/>
    <w:rsid w:val="00321A50"/>
    <w:rsid w:val="003226DE"/>
    <w:rsid w:val="00322B28"/>
    <w:rsid w:val="00323591"/>
    <w:rsid w:val="00323A05"/>
    <w:rsid w:val="00323A5F"/>
    <w:rsid w:val="00324342"/>
    <w:rsid w:val="00324771"/>
    <w:rsid w:val="00324AE3"/>
    <w:rsid w:val="003253A0"/>
    <w:rsid w:val="00325A53"/>
    <w:rsid w:val="00325E21"/>
    <w:rsid w:val="003261EA"/>
    <w:rsid w:val="00326B68"/>
    <w:rsid w:val="00326CFA"/>
    <w:rsid w:val="00327088"/>
    <w:rsid w:val="0032733C"/>
    <w:rsid w:val="0032766E"/>
    <w:rsid w:val="003277A2"/>
    <w:rsid w:val="003278F8"/>
    <w:rsid w:val="00330071"/>
    <w:rsid w:val="00330094"/>
    <w:rsid w:val="00330624"/>
    <w:rsid w:val="003309EF"/>
    <w:rsid w:val="0033119B"/>
    <w:rsid w:val="003315CE"/>
    <w:rsid w:val="00331BE3"/>
    <w:rsid w:val="00332E5A"/>
    <w:rsid w:val="00332E89"/>
    <w:rsid w:val="00332F6E"/>
    <w:rsid w:val="003330E3"/>
    <w:rsid w:val="0033353D"/>
    <w:rsid w:val="00333962"/>
    <w:rsid w:val="003348CD"/>
    <w:rsid w:val="00335271"/>
    <w:rsid w:val="003359B5"/>
    <w:rsid w:val="00335E61"/>
    <w:rsid w:val="0033638B"/>
    <w:rsid w:val="0033652A"/>
    <w:rsid w:val="003365BC"/>
    <w:rsid w:val="00336796"/>
    <w:rsid w:val="00336E04"/>
    <w:rsid w:val="00337DAD"/>
    <w:rsid w:val="00337E7B"/>
    <w:rsid w:val="0034074F"/>
    <w:rsid w:val="00340D56"/>
    <w:rsid w:val="00340FC6"/>
    <w:rsid w:val="003422A4"/>
    <w:rsid w:val="003423FA"/>
    <w:rsid w:val="003432E9"/>
    <w:rsid w:val="0034366D"/>
    <w:rsid w:val="00343B22"/>
    <w:rsid w:val="00343EEC"/>
    <w:rsid w:val="00343F09"/>
    <w:rsid w:val="003441A7"/>
    <w:rsid w:val="00345C64"/>
    <w:rsid w:val="00346086"/>
    <w:rsid w:val="0034692E"/>
    <w:rsid w:val="00346A8F"/>
    <w:rsid w:val="003471D7"/>
    <w:rsid w:val="003475B7"/>
    <w:rsid w:val="0034787E"/>
    <w:rsid w:val="00347B2B"/>
    <w:rsid w:val="0035028C"/>
    <w:rsid w:val="003504C9"/>
    <w:rsid w:val="003508AA"/>
    <w:rsid w:val="00350A0E"/>
    <w:rsid w:val="00350C66"/>
    <w:rsid w:val="00350D29"/>
    <w:rsid w:val="003513A3"/>
    <w:rsid w:val="00351C87"/>
    <w:rsid w:val="003527B5"/>
    <w:rsid w:val="00352A9D"/>
    <w:rsid w:val="00352CE7"/>
    <w:rsid w:val="00353A50"/>
    <w:rsid w:val="003541E0"/>
    <w:rsid w:val="0035482C"/>
    <w:rsid w:val="00354B28"/>
    <w:rsid w:val="00354C8B"/>
    <w:rsid w:val="00354EC3"/>
    <w:rsid w:val="003551BA"/>
    <w:rsid w:val="00355F18"/>
    <w:rsid w:val="003561CF"/>
    <w:rsid w:val="003562C2"/>
    <w:rsid w:val="00356390"/>
    <w:rsid w:val="003566C0"/>
    <w:rsid w:val="00356938"/>
    <w:rsid w:val="003600B2"/>
    <w:rsid w:val="00360878"/>
    <w:rsid w:val="00360D29"/>
    <w:rsid w:val="00360F4C"/>
    <w:rsid w:val="0036114B"/>
    <w:rsid w:val="003612BA"/>
    <w:rsid w:val="003615AF"/>
    <w:rsid w:val="00361AF0"/>
    <w:rsid w:val="00361EC3"/>
    <w:rsid w:val="00364BF6"/>
    <w:rsid w:val="00364D7D"/>
    <w:rsid w:val="00365436"/>
    <w:rsid w:val="00366098"/>
    <w:rsid w:val="00366A1F"/>
    <w:rsid w:val="00367323"/>
    <w:rsid w:val="00367A5C"/>
    <w:rsid w:val="00370EDB"/>
    <w:rsid w:val="00371031"/>
    <w:rsid w:val="00371034"/>
    <w:rsid w:val="00371042"/>
    <w:rsid w:val="00371A78"/>
    <w:rsid w:val="00371DBF"/>
    <w:rsid w:val="003720AE"/>
    <w:rsid w:val="003721DE"/>
    <w:rsid w:val="0037230B"/>
    <w:rsid w:val="0037298A"/>
    <w:rsid w:val="003730F1"/>
    <w:rsid w:val="003731CE"/>
    <w:rsid w:val="00373344"/>
    <w:rsid w:val="0037346F"/>
    <w:rsid w:val="00373AF6"/>
    <w:rsid w:val="003745D8"/>
    <w:rsid w:val="003749B2"/>
    <w:rsid w:val="003749CF"/>
    <w:rsid w:val="00374CA2"/>
    <w:rsid w:val="00374EE6"/>
    <w:rsid w:val="003753F2"/>
    <w:rsid w:val="0037546B"/>
    <w:rsid w:val="0037554E"/>
    <w:rsid w:val="003756D4"/>
    <w:rsid w:val="00375D04"/>
    <w:rsid w:val="00375F6F"/>
    <w:rsid w:val="003760A6"/>
    <w:rsid w:val="003760EA"/>
    <w:rsid w:val="00376323"/>
    <w:rsid w:val="00377129"/>
    <w:rsid w:val="0037736B"/>
    <w:rsid w:val="00377778"/>
    <w:rsid w:val="00377CC9"/>
    <w:rsid w:val="00377E95"/>
    <w:rsid w:val="00377EF6"/>
    <w:rsid w:val="003801B1"/>
    <w:rsid w:val="003801E7"/>
    <w:rsid w:val="003803E3"/>
    <w:rsid w:val="00380AF6"/>
    <w:rsid w:val="00381413"/>
    <w:rsid w:val="0038193E"/>
    <w:rsid w:val="003824EA"/>
    <w:rsid w:val="00382596"/>
    <w:rsid w:val="003827AC"/>
    <w:rsid w:val="00382FFC"/>
    <w:rsid w:val="003833A8"/>
    <w:rsid w:val="00383662"/>
    <w:rsid w:val="00383772"/>
    <w:rsid w:val="003839B5"/>
    <w:rsid w:val="00383F5A"/>
    <w:rsid w:val="0038446D"/>
    <w:rsid w:val="00384845"/>
    <w:rsid w:val="003848B2"/>
    <w:rsid w:val="0038598E"/>
    <w:rsid w:val="00385A65"/>
    <w:rsid w:val="0038628F"/>
    <w:rsid w:val="00386880"/>
    <w:rsid w:val="00386943"/>
    <w:rsid w:val="003869AF"/>
    <w:rsid w:val="00386A80"/>
    <w:rsid w:val="00386CA0"/>
    <w:rsid w:val="00387089"/>
    <w:rsid w:val="003871C1"/>
    <w:rsid w:val="003873CF"/>
    <w:rsid w:val="0038761B"/>
    <w:rsid w:val="00387893"/>
    <w:rsid w:val="00387EF6"/>
    <w:rsid w:val="00387FDF"/>
    <w:rsid w:val="003902ED"/>
    <w:rsid w:val="00391278"/>
    <w:rsid w:val="00391718"/>
    <w:rsid w:val="00391A54"/>
    <w:rsid w:val="003921F7"/>
    <w:rsid w:val="003924FC"/>
    <w:rsid w:val="0039280E"/>
    <w:rsid w:val="00392874"/>
    <w:rsid w:val="0039292F"/>
    <w:rsid w:val="00392BB5"/>
    <w:rsid w:val="00393CDC"/>
    <w:rsid w:val="00393D20"/>
    <w:rsid w:val="00393EDC"/>
    <w:rsid w:val="0039413C"/>
    <w:rsid w:val="0039422C"/>
    <w:rsid w:val="003943AB"/>
    <w:rsid w:val="00394807"/>
    <w:rsid w:val="00395616"/>
    <w:rsid w:val="00395750"/>
    <w:rsid w:val="00395E32"/>
    <w:rsid w:val="003960FA"/>
    <w:rsid w:val="003963ED"/>
    <w:rsid w:val="00396D71"/>
    <w:rsid w:val="00396DA0"/>
    <w:rsid w:val="00396EF1"/>
    <w:rsid w:val="00396FDD"/>
    <w:rsid w:val="00397230"/>
    <w:rsid w:val="0039793F"/>
    <w:rsid w:val="00397C5D"/>
    <w:rsid w:val="00397E34"/>
    <w:rsid w:val="003A0463"/>
    <w:rsid w:val="003A07BE"/>
    <w:rsid w:val="003A08F4"/>
    <w:rsid w:val="003A0FF1"/>
    <w:rsid w:val="003A135E"/>
    <w:rsid w:val="003A188C"/>
    <w:rsid w:val="003A1E4B"/>
    <w:rsid w:val="003A24FE"/>
    <w:rsid w:val="003A251A"/>
    <w:rsid w:val="003A3271"/>
    <w:rsid w:val="003A3C08"/>
    <w:rsid w:val="003A40DA"/>
    <w:rsid w:val="003A460D"/>
    <w:rsid w:val="003A4E57"/>
    <w:rsid w:val="003A507A"/>
    <w:rsid w:val="003A5179"/>
    <w:rsid w:val="003A51C0"/>
    <w:rsid w:val="003A5331"/>
    <w:rsid w:val="003A567D"/>
    <w:rsid w:val="003A5703"/>
    <w:rsid w:val="003A57F9"/>
    <w:rsid w:val="003A5D93"/>
    <w:rsid w:val="003A636B"/>
    <w:rsid w:val="003A717E"/>
    <w:rsid w:val="003A72F6"/>
    <w:rsid w:val="003A7C06"/>
    <w:rsid w:val="003B02EA"/>
    <w:rsid w:val="003B05CD"/>
    <w:rsid w:val="003B1119"/>
    <w:rsid w:val="003B1C85"/>
    <w:rsid w:val="003B1EBB"/>
    <w:rsid w:val="003B1F2E"/>
    <w:rsid w:val="003B2084"/>
    <w:rsid w:val="003B21E2"/>
    <w:rsid w:val="003B2643"/>
    <w:rsid w:val="003B2D24"/>
    <w:rsid w:val="003B32DD"/>
    <w:rsid w:val="003B33B5"/>
    <w:rsid w:val="003B3571"/>
    <w:rsid w:val="003B362D"/>
    <w:rsid w:val="003B3BEA"/>
    <w:rsid w:val="003B3CC6"/>
    <w:rsid w:val="003B4346"/>
    <w:rsid w:val="003B477D"/>
    <w:rsid w:val="003B481E"/>
    <w:rsid w:val="003B4B25"/>
    <w:rsid w:val="003B4B74"/>
    <w:rsid w:val="003B4DA9"/>
    <w:rsid w:val="003B4FB2"/>
    <w:rsid w:val="003B5A8D"/>
    <w:rsid w:val="003B5EC9"/>
    <w:rsid w:val="003B5F3C"/>
    <w:rsid w:val="003B6B8B"/>
    <w:rsid w:val="003B70E6"/>
    <w:rsid w:val="003B7366"/>
    <w:rsid w:val="003B7A0C"/>
    <w:rsid w:val="003B7ED8"/>
    <w:rsid w:val="003C0036"/>
    <w:rsid w:val="003C0049"/>
    <w:rsid w:val="003C089B"/>
    <w:rsid w:val="003C1038"/>
    <w:rsid w:val="003C1400"/>
    <w:rsid w:val="003C145F"/>
    <w:rsid w:val="003C1BD9"/>
    <w:rsid w:val="003C1C56"/>
    <w:rsid w:val="003C1CDD"/>
    <w:rsid w:val="003C1EEF"/>
    <w:rsid w:val="003C3E31"/>
    <w:rsid w:val="003C3E7E"/>
    <w:rsid w:val="003C3FE1"/>
    <w:rsid w:val="003C4438"/>
    <w:rsid w:val="003C4911"/>
    <w:rsid w:val="003C4BD3"/>
    <w:rsid w:val="003C5CB5"/>
    <w:rsid w:val="003C5E06"/>
    <w:rsid w:val="003C5E37"/>
    <w:rsid w:val="003C61FE"/>
    <w:rsid w:val="003C6251"/>
    <w:rsid w:val="003C6332"/>
    <w:rsid w:val="003C68B2"/>
    <w:rsid w:val="003C6986"/>
    <w:rsid w:val="003C6A56"/>
    <w:rsid w:val="003C6B80"/>
    <w:rsid w:val="003C6DBA"/>
    <w:rsid w:val="003C716C"/>
    <w:rsid w:val="003C7430"/>
    <w:rsid w:val="003C7FBB"/>
    <w:rsid w:val="003D05D9"/>
    <w:rsid w:val="003D0B03"/>
    <w:rsid w:val="003D0E11"/>
    <w:rsid w:val="003D114A"/>
    <w:rsid w:val="003D1547"/>
    <w:rsid w:val="003D1781"/>
    <w:rsid w:val="003D17FA"/>
    <w:rsid w:val="003D19EA"/>
    <w:rsid w:val="003D1BFD"/>
    <w:rsid w:val="003D280F"/>
    <w:rsid w:val="003D2AD7"/>
    <w:rsid w:val="003D2F2C"/>
    <w:rsid w:val="003D3E3A"/>
    <w:rsid w:val="003D3E8D"/>
    <w:rsid w:val="003D3EEB"/>
    <w:rsid w:val="003D3F32"/>
    <w:rsid w:val="003D3F47"/>
    <w:rsid w:val="003D41DF"/>
    <w:rsid w:val="003D44C4"/>
    <w:rsid w:val="003D450D"/>
    <w:rsid w:val="003D5430"/>
    <w:rsid w:val="003D54F7"/>
    <w:rsid w:val="003D55A3"/>
    <w:rsid w:val="003D56C2"/>
    <w:rsid w:val="003D581D"/>
    <w:rsid w:val="003D5C62"/>
    <w:rsid w:val="003D5F78"/>
    <w:rsid w:val="003D641E"/>
    <w:rsid w:val="003D66FA"/>
    <w:rsid w:val="003D681B"/>
    <w:rsid w:val="003D724B"/>
    <w:rsid w:val="003D759B"/>
    <w:rsid w:val="003D76D4"/>
    <w:rsid w:val="003D7E1B"/>
    <w:rsid w:val="003E00AA"/>
    <w:rsid w:val="003E00BC"/>
    <w:rsid w:val="003E052E"/>
    <w:rsid w:val="003E088E"/>
    <w:rsid w:val="003E0900"/>
    <w:rsid w:val="003E09A8"/>
    <w:rsid w:val="003E0BEF"/>
    <w:rsid w:val="003E0D4A"/>
    <w:rsid w:val="003E1771"/>
    <w:rsid w:val="003E26B1"/>
    <w:rsid w:val="003E2A04"/>
    <w:rsid w:val="003E2AAF"/>
    <w:rsid w:val="003E2B89"/>
    <w:rsid w:val="003E2E3A"/>
    <w:rsid w:val="003E465E"/>
    <w:rsid w:val="003E4C0D"/>
    <w:rsid w:val="003E4FAA"/>
    <w:rsid w:val="003E57EC"/>
    <w:rsid w:val="003E5F9B"/>
    <w:rsid w:val="003E620A"/>
    <w:rsid w:val="003E6454"/>
    <w:rsid w:val="003E67D0"/>
    <w:rsid w:val="003E6CBE"/>
    <w:rsid w:val="003E6DA2"/>
    <w:rsid w:val="003E718C"/>
    <w:rsid w:val="003E7A1F"/>
    <w:rsid w:val="003E7B31"/>
    <w:rsid w:val="003E7BBA"/>
    <w:rsid w:val="003F0436"/>
    <w:rsid w:val="003F0646"/>
    <w:rsid w:val="003F0EF9"/>
    <w:rsid w:val="003F123E"/>
    <w:rsid w:val="003F1DC1"/>
    <w:rsid w:val="003F20AB"/>
    <w:rsid w:val="003F2B36"/>
    <w:rsid w:val="003F33A0"/>
    <w:rsid w:val="003F3527"/>
    <w:rsid w:val="003F3607"/>
    <w:rsid w:val="003F39C9"/>
    <w:rsid w:val="003F3CB3"/>
    <w:rsid w:val="003F4A76"/>
    <w:rsid w:val="003F4D4E"/>
    <w:rsid w:val="003F4E16"/>
    <w:rsid w:val="003F5738"/>
    <w:rsid w:val="003F5B3A"/>
    <w:rsid w:val="003F6198"/>
    <w:rsid w:val="003F6236"/>
    <w:rsid w:val="003F6741"/>
    <w:rsid w:val="003F6DDF"/>
    <w:rsid w:val="003F6F84"/>
    <w:rsid w:val="003F7F5A"/>
    <w:rsid w:val="004000EE"/>
    <w:rsid w:val="00400105"/>
    <w:rsid w:val="0040012F"/>
    <w:rsid w:val="004001F3"/>
    <w:rsid w:val="00400479"/>
    <w:rsid w:val="00400556"/>
    <w:rsid w:val="00400685"/>
    <w:rsid w:val="004012DA"/>
    <w:rsid w:val="0040144E"/>
    <w:rsid w:val="004014E0"/>
    <w:rsid w:val="00401C50"/>
    <w:rsid w:val="00401FE1"/>
    <w:rsid w:val="00402064"/>
    <w:rsid w:val="00402121"/>
    <w:rsid w:val="0040242C"/>
    <w:rsid w:val="004026FE"/>
    <w:rsid w:val="00402738"/>
    <w:rsid w:val="00402DA3"/>
    <w:rsid w:val="00402DC6"/>
    <w:rsid w:val="00403043"/>
    <w:rsid w:val="00403AD6"/>
    <w:rsid w:val="00404025"/>
    <w:rsid w:val="0040489C"/>
    <w:rsid w:val="00404C6A"/>
    <w:rsid w:val="00406400"/>
    <w:rsid w:val="0040666A"/>
    <w:rsid w:val="004067AA"/>
    <w:rsid w:val="00406993"/>
    <w:rsid w:val="00406B50"/>
    <w:rsid w:val="00406D3F"/>
    <w:rsid w:val="00407398"/>
    <w:rsid w:val="00407782"/>
    <w:rsid w:val="004078FB"/>
    <w:rsid w:val="00407C07"/>
    <w:rsid w:val="0041000A"/>
    <w:rsid w:val="00410385"/>
    <w:rsid w:val="00410794"/>
    <w:rsid w:val="00410C2F"/>
    <w:rsid w:val="0041170E"/>
    <w:rsid w:val="00411AE8"/>
    <w:rsid w:val="00411B55"/>
    <w:rsid w:val="00411B6C"/>
    <w:rsid w:val="00411D59"/>
    <w:rsid w:val="00411EB2"/>
    <w:rsid w:val="004120DF"/>
    <w:rsid w:val="004128F7"/>
    <w:rsid w:val="00412A53"/>
    <w:rsid w:val="00412F79"/>
    <w:rsid w:val="0041328E"/>
    <w:rsid w:val="00413529"/>
    <w:rsid w:val="004139BD"/>
    <w:rsid w:val="00413B62"/>
    <w:rsid w:val="00413CCC"/>
    <w:rsid w:val="00413EEF"/>
    <w:rsid w:val="00413F43"/>
    <w:rsid w:val="0041447F"/>
    <w:rsid w:val="00414486"/>
    <w:rsid w:val="0041461D"/>
    <w:rsid w:val="0041481C"/>
    <w:rsid w:val="00414936"/>
    <w:rsid w:val="0041524B"/>
    <w:rsid w:val="004156CA"/>
    <w:rsid w:val="00415AAC"/>
    <w:rsid w:val="00415CDB"/>
    <w:rsid w:val="00416CA8"/>
    <w:rsid w:val="00416EBA"/>
    <w:rsid w:val="0041758A"/>
    <w:rsid w:val="00417B15"/>
    <w:rsid w:val="00420654"/>
    <w:rsid w:val="00420D50"/>
    <w:rsid w:val="00420EF3"/>
    <w:rsid w:val="004210A5"/>
    <w:rsid w:val="004210B0"/>
    <w:rsid w:val="00421E1F"/>
    <w:rsid w:val="00422307"/>
    <w:rsid w:val="00422F27"/>
    <w:rsid w:val="0042340C"/>
    <w:rsid w:val="00423D45"/>
    <w:rsid w:val="004248B1"/>
    <w:rsid w:val="00424BEA"/>
    <w:rsid w:val="00424E93"/>
    <w:rsid w:val="00425F43"/>
    <w:rsid w:val="00426953"/>
    <w:rsid w:val="00426AFB"/>
    <w:rsid w:val="00426E38"/>
    <w:rsid w:val="00426E59"/>
    <w:rsid w:val="004273AC"/>
    <w:rsid w:val="00427548"/>
    <w:rsid w:val="00427592"/>
    <w:rsid w:val="004301BF"/>
    <w:rsid w:val="0043080C"/>
    <w:rsid w:val="00431584"/>
    <w:rsid w:val="00431622"/>
    <w:rsid w:val="00431A57"/>
    <w:rsid w:val="00431C06"/>
    <w:rsid w:val="00431E50"/>
    <w:rsid w:val="00432674"/>
    <w:rsid w:val="00432D5C"/>
    <w:rsid w:val="00432DB4"/>
    <w:rsid w:val="00432E57"/>
    <w:rsid w:val="004335AD"/>
    <w:rsid w:val="004335D4"/>
    <w:rsid w:val="00433C15"/>
    <w:rsid w:val="00433E7E"/>
    <w:rsid w:val="004341D9"/>
    <w:rsid w:val="00434348"/>
    <w:rsid w:val="00434654"/>
    <w:rsid w:val="004346C0"/>
    <w:rsid w:val="0043495F"/>
    <w:rsid w:val="00434C3C"/>
    <w:rsid w:val="00434E51"/>
    <w:rsid w:val="004352A7"/>
    <w:rsid w:val="004354B9"/>
    <w:rsid w:val="004357DF"/>
    <w:rsid w:val="00435A5C"/>
    <w:rsid w:val="00435CD1"/>
    <w:rsid w:val="00435F77"/>
    <w:rsid w:val="004367C0"/>
    <w:rsid w:val="00436F47"/>
    <w:rsid w:val="00437100"/>
    <w:rsid w:val="00437588"/>
    <w:rsid w:val="004379A6"/>
    <w:rsid w:val="00437A39"/>
    <w:rsid w:val="00437B84"/>
    <w:rsid w:val="00437BF6"/>
    <w:rsid w:val="00437E87"/>
    <w:rsid w:val="00437F65"/>
    <w:rsid w:val="00440BC4"/>
    <w:rsid w:val="00440C17"/>
    <w:rsid w:val="00440F4A"/>
    <w:rsid w:val="004411D0"/>
    <w:rsid w:val="00441375"/>
    <w:rsid w:val="00441673"/>
    <w:rsid w:val="00441715"/>
    <w:rsid w:val="00441A45"/>
    <w:rsid w:val="00442454"/>
    <w:rsid w:val="00442A3C"/>
    <w:rsid w:val="00442ABF"/>
    <w:rsid w:val="004436CF"/>
    <w:rsid w:val="004439F1"/>
    <w:rsid w:val="00443C89"/>
    <w:rsid w:val="00443E5F"/>
    <w:rsid w:val="004451F3"/>
    <w:rsid w:val="004452FC"/>
    <w:rsid w:val="004459F0"/>
    <w:rsid w:val="00445DE9"/>
    <w:rsid w:val="00446CC2"/>
    <w:rsid w:val="00446DC1"/>
    <w:rsid w:val="00446FEA"/>
    <w:rsid w:val="0044754E"/>
    <w:rsid w:val="00450312"/>
    <w:rsid w:val="0045055B"/>
    <w:rsid w:val="004509CE"/>
    <w:rsid w:val="004509D6"/>
    <w:rsid w:val="00450D50"/>
    <w:rsid w:val="00450D87"/>
    <w:rsid w:val="00450E96"/>
    <w:rsid w:val="00450F88"/>
    <w:rsid w:val="004519F0"/>
    <w:rsid w:val="00453042"/>
    <w:rsid w:val="00453176"/>
    <w:rsid w:val="004532C0"/>
    <w:rsid w:val="00453B29"/>
    <w:rsid w:val="00453C43"/>
    <w:rsid w:val="00453E60"/>
    <w:rsid w:val="00453F2C"/>
    <w:rsid w:val="00453F72"/>
    <w:rsid w:val="00454504"/>
    <w:rsid w:val="004549A0"/>
    <w:rsid w:val="00454C37"/>
    <w:rsid w:val="00454C50"/>
    <w:rsid w:val="00455036"/>
    <w:rsid w:val="00455185"/>
    <w:rsid w:val="0045599D"/>
    <w:rsid w:val="00455C77"/>
    <w:rsid w:val="00455EBE"/>
    <w:rsid w:val="00455F3C"/>
    <w:rsid w:val="00456155"/>
    <w:rsid w:val="004568E4"/>
    <w:rsid w:val="004569C9"/>
    <w:rsid w:val="0045752C"/>
    <w:rsid w:val="00457E35"/>
    <w:rsid w:val="00457F72"/>
    <w:rsid w:val="00457F91"/>
    <w:rsid w:val="0046006B"/>
    <w:rsid w:val="00461383"/>
    <w:rsid w:val="00461941"/>
    <w:rsid w:val="00461D18"/>
    <w:rsid w:val="00462938"/>
    <w:rsid w:val="0046293A"/>
    <w:rsid w:val="0046297B"/>
    <w:rsid w:val="004637E6"/>
    <w:rsid w:val="00463C67"/>
    <w:rsid w:val="00464BC1"/>
    <w:rsid w:val="00464E2F"/>
    <w:rsid w:val="00465755"/>
    <w:rsid w:val="00465A14"/>
    <w:rsid w:val="00465C84"/>
    <w:rsid w:val="00466886"/>
    <w:rsid w:val="00466C13"/>
    <w:rsid w:val="00466EEF"/>
    <w:rsid w:val="00466F2E"/>
    <w:rsid w:val="00467B0F"/>
    <w:rsid w:val="00467BCD"/>
    <w:rsid w:val="00467D62"/>
    <w:rsid w:val="00470037"/>
    <w:rsid w:val="00470D60"/>
    <w:rsid w:val="00470FE0"/>
    <w:rsid w:val="00471091"/>
    <w:rsid w:val="004717F6"/>
    <w:rsid w:val="00471F60"/>
    <w:rsid w:val="00471F9E"/>
    <w:rsid w:val="004729B5"/>
    <w:rsid w:val="00472A6D"/>
    <w:rsid w:val="00472B68"/>
    <w:rsid w:val="00472CBA"/>
    <w:rsid w:val="00472E9B"/>
    <w:rsid w:val="00473489"/>
    <w:rsid w:val="00473A43"/>
    <w:rsid w:val="00473BC9"/>
    <w:rsid w:val="00475495"/>
    <w:rsid w:val="004754C4"/>
    <w:rsid w:val="004761CF"/>
    <w:rsid w:val="004761D9"/>
    <w:rsid w:val="0047675C"/>
    <w:rsid w:val="00476CD4"/>
    <w:rsid w:val="00477310"/>
    <w:rsid w:val="00477475"/>
    <w:rsid w:val="00477754"/>
    <w:rsid w:val="004777C8"/>
    <w:rsid w:val="0047794C"/>
    <w:rsid w:val="00480150"/>
    <w:rsid w:val="0048058E"/>
    <w:rsid w:val="00480971"/>
    <w:rsid w:val="00480E0C"/>
    <w:rsid w:val="00480F42"/>
    <w:rsid w:val="004818C0"/>
    <w:rsid w:val="00481F42"/>
    <w:rsid w:val="00481F78"/>
    <w:rsid w:val="004820C6"/>
    <w:rsid w:val="004821E3"/>
    <w:rsid w:val="00482527"/>
    <w:rsid w:val="00482934"/>
    <w:rsid w:val="004829A6"/>
    <w:rsid w:val="004829DF"/>
    <w:rsid w:val="004838B5"/>
    <w:rsid w:val="004839A6"/>
    <w:rsid w:val="00484604"/>
    <w:rsid w:val="00484B1A"/>
    <w:rsid w:val="00484F3A"/>
    <w:rsid w:val="00485549"/>
    <w:rsid w:val="0048624E"/>
    <w:rsid w:val="0048665A"/>
    <w:rsid w:val="00487534"/>
    <w:rsid w:val="00487A01"/>
    <w:rsid w:val="00487B90"/>
    <w:rsid w:val="00487FC9"/>
    <w:rsid w:val="00490209"/>
    <w:rsid w:val="0049023B"/>
    <w:rsid w:val="004908CB"/>
    <w:rsid w:val="00490C16"/>
    <w:rsid w:val="004912DF"/>
    <w:rsid w:val="004914A5"/>
    <w:rsid w:val="00491555"/>
    <w:rsid w:val="00491624"/>
    <w:rsid w:val="0049184D"/>
    <w:rsid w:val="00491A00"/>
    <w:rsid w:val="00492662"/>
    <w:rsid w:val="00492AB3"/>
    <w:rsid w:val="00492FA9"/>
    <w:rsid w:val="0049310A"/>
    <w:rsid w:val="00493344"/>
    <w:rsid w:val="00493619"/>
    <w:rsid w:val="004939A1"/>
    <w:rsid w:val="00493DA6"/>
    <w:rsid w:val="00493F6C"/>
    <w:rsid w:val="0049412C"/>
    <w:rsid w:val="00494396"/>
    <w:rsid w:val="00494918"/>
    <w:rsid w:val="00494CE4"/>
    <w:rsid w:val="00494ECF"/>
    <w:rsid w:val="00494FC6"/>
    <w:rsid w:val="004954D1"/>
    <w:rsid w:val="00495A00"/>
    <w:rsid w:val="00495E3E"/>
    <w:rsid w:val="0049626A"/>
    <w:rsid w:val="004965C6"/>
    <w:rsid w:val="00496C05"/>
    <w:rsid w:val="00496D4B"/>
    <w:rsid w:val="00496E37"/>
    <w:rsid w:val="0049785A"/>
    <w:rsid w:val="004979E1"/>
    <w:rsid w:val="00497D1E"/>
    <w:rsid w:val="00497D88"/>
    <w:rsid w:val="00497DE0"/>
    <w:rsid w:val="004A00AB"/>
    <w:rsid w:val="004A023C"/>
    <w:rsid w:val="004A0D53"/>
    <w:rsid w:val="004A14FE"/>
    <w:rsid w:val="004A1D2A"/>
    <w:rsid w:val="004A2213"/>
    <w:rsid w:val="004A2709"/>
    <w:rsid w:val="004A27C9"/>
    <w:rsid w:val="004A2E37"/>
    <w:rsid w:val="004A2EF1"/>
    <w:rsid w:val="004A321F"/>
    <w:rsid w:val="004A3915"/>
    <w:rsid w:val="004A3C47"/>
    <w:rsid w:val="004A3D6A"/>
    <w:rsid w:val="004A3F0C"/>
    <w:rsid w:val="004A428D"/>
    <w:rsid w:val="004A4BD3"/>
    <w:rsid w:val="004A4C3D"/>
    <w:rsid w:val="004A4E6E"/>
    <w:rsid w:val="004A51CD"/>
    <w:rsid w:val="004A55D8"/>
    <w:rsid w:val="004A62A6"/>
    <w:rsid w:val="004A6872"/>
    <w:rsid w:val="004A7C3C"/>
    <w:rsid w:val="004A7DAD"/>
    <w:rsid w:val="004A7FA7"/>
    <w:rsid w:val="004B0291"/>
    <w:rsid w:val="004B089F"/>
    <w:rsid w:val="004B12FA"/>
    <w:rsid w:val="004B1825"/>
    <w:rsid w:val="004B1851"/>
    <w:rsid w:val="004B18E9"/>
    <w:rsid w:val="004B1B5B"/>
    <w:rsid w:val="004B2788"/>
    <w:rsid w:val="004B2F59"/>
    <w:rsid w:val="004B3083"/>
    <w:rsid w:val="004B3217"/>
    <w:rsid w:val="004B3301"/>
    <w:rsid w:val="004B3463"/>
    <w:rsid w:val="004B3516"/>
    <w:rsid w:val="004B3858"/>
    <w:rsid w:val="004B3D6D"/>
    <w:rsid w:val="004B4B21"/>
    <w:rsid w:val="004B4B43"/>
    <w:rsid w:val="004B509F"/>
    <w:rsid w:val="004B5AC5"/>
    <w:rsid w:val="004B65C5"/>
    <w:rsid w:val="004B723B"/>
    <w:rsid w:val="004C0D0C"/>
    <w:rsid w:val="004C12DB"/>
    <w:rsid w:val="004C1E82"/>
    <w:rsid w:val="004C2299"/>
    <w:rsid w:val="004C2C1C"/>
    <w:rsid w:val="004C2C90"/>
    <w:rsid w:val="004C2EF2"/>
    <w:rsid w:val="004C3043"/>
    <w:rsid w:val="004C305B"/>
    <w:rsid w:val="004C31ED"/>
    <w:rsid w:val="004C3941"/>
    <w:rsid w:val="004C4496"/>
    <w:rsid w:val="004C4739"/>
    <w:rsid w:val="004C4BC0"/>
    <w:rsid w:val="004C529E"/>
    <w:rsid w:val="004C552D"/>
    <w:rsid w:val="004C5BE1"/>
    <w:rsid w:val="004C5F19"/>
    <w:rsid w:val="004C6182"/>
    <w:rsid w:val="004C6568"/>
    <w:rsid w:val="004C67A2"/>
    <w:rsid w:val="004C68D9"/>
    <w:rsid w:val="004C6932"/>
    <w:rsid w:val="004C6DB6"/>
    <w:rsid w:val="004C7409"/>
    <w:rsid w:val="004C746D"/>
    <w:rsid w:val="004D102F"/>
    <w:rsid w:val="004D1297"/>
    <w:rsid w:val="004D166F"/>
    <w:rsid w:val="004D1776"/>
    <w:rsid w:val="004D214E"/>
    <w:rsid w:val="004D23CC"/>
    <w:rsid w:val="004D2504"/>
    <w:rsid w:val="004D2706"/>
    <w:rsid w:val="004D2B5C"/>
    <w:rsid w:val="004D3022"/>
    <w:rsid w:val="004D36FB"/>
    <w:rsid w:val="004D38AE"/>
    <w:rsid w:val="004D38B4"/>
    <w:rsid w:val="004D3916"/>
    <w:rsid w:val="004D406A"/>
    <w:rsid w:val="004D4741"/>
    <w:rsid w:val="004D49D4"/>
    <w:rsid w:val="004D4B5C"/>
    <w:rsid w:val="004D5296"/>
    <w:rsid w:val="004D5434"/>
    <w:rsid w:val="004D5A48"/>
    <w:rsid w:val="004D6086"/>
    <w:rsid w:val="004D60D4"/>
    <w:rsid w:val="004D6A76"/>
    <w:rsid w:val="004D700C"/>
    <w:rsid w:val="004D7015"/>
    <w:rsid w:val="004D72A7"/>
    <w:rsid w:val="004D7523"/>
    <w:rsid w:val="004D7872"/>
    <w:rsid w:val="004D7CD3"/>
    <w:rsid w:val="004D7F53"/>
    <w:rsid w:val="004E0BD2"/>
    <w:rsid w:val="004E1008"/>
    <w:rsid w:val="004E16BF"/>
    <w:rsid w:val="004E178A"/>
    <w:rsid w:val="004E1C1F"/>
    <w:rsid w:val="004E20A6"/>
    <w:rsid w:val="004E2583"/>
    <w:rsid w:val="004E3879"/>
    <w:rsid w:val="004E4960"/>
    <w:rsid w:val="004E5B28"/>
    <w:rsid w:val="004E5FEA"/>
    <w:rsid w:val="004E6231"/>
    <w:rsid w:val="004E6293"/>
    <w:rsid w:val="004E65DD"/>
    <w:rsid w:val="004E68BB"/>
    <w:rsid w:val="004E6ED5"/>
    <w:rsid w:val="004E747B"/>
    <w:rsid w:val="004E7873"/>
    <w:rsid w:val="004F02A4"/>
    <w:rsid w:val="004F0325"/>
    <w:rsid w:val="004F0965"/>
    <w:rsid w:val="004F1268"/>
    <w:rsid w:val="004F1599"/>
    <w:rsid w:val="004F1634"/>
    <w:rsid w:val="004F1F0D"/>
    <w:rsid w:val="004F22B3"/>
    <w:rsid w:val="004F23A7"/>
    <w:rsid w:val="004F2A25"/>
    <w:rsid w:val="004F336F"/>
    <w:rsid w:val="004F4248"/>
    <w:rsid w:val="004F4625"/>
    <w:rsid w:val="004F4F3C"/>
    <w:rsid w:val="004F5528"/>
    <w:rsid w:val="004F5760"/>
    <w:rsid w:val="004F6398"/>
    <w:rsid w:val="004F67BF"/>
    <w:rsid w:val="004F6AB9"/>
    <w:rsid w:val="004F6C13"/>
    <w:rsid w:val="004F6C22"/>
    <w:rsid w:val="004F7034"/>
    <w:rsid w:val="004F7138"/>
    <w:rsid w:val="004F760C"/>
    <w:rsid w:val="004F7D34"/>
    <w:rsid w:val="0050086B"/>
    <w:rsid w:val="005008F8"/>
    <w:rsid w:val="00500C26"/>
    <w:rsid w:val="00500D59"/>
    <w:rsid w:val="00500FCC"/>
    <w:rsid w:val="00500FDE"/>
    <w:rsid w:val="00501016"/>
    <w:rsid w:val="0050199D"/>
    <w:rsid w:val="00501AAD"/>
    <w:rsid w:val="00501C76"/>
    <w:rsid w:val="00501E0C"/>
    <w:rsid w:val="005021C8"/>
    <w:rsid w:val="00502BD0"/>
    <w:rsid w:val="00502DE4"/>
    <w:rsid w:val="00503053"/>
    <w:rsid w:val="00503250"/>
    <w:rsid w:val="005034A4"/>
    <w:rsid w:val="00503B63"/>
    <w:rsid w:val="00504039"/>
    <w:rsid w:val="0050436C"/>
    <w:rsid w:val="00504891"/>
    <w:rsid w:val="00504E61"/>
    <w:rsid w:val="00505254"/>
    <w:rsid w:val="0050555E"/>
    <w:rsid w:val="00505741"/>
    <w:rsid w:val="005059E2"/>
    <w:rsid w:val="00505B6D"/>
    <w:rsid w:val="00506023"/>
    <w:rsid w:val="0050621C"/>
    <w:rsid w:val="005063B1"/>
    <w:rsid w:val="005066AB"/>
    <w:rsid w:val="005066ED"/>
    <w:rsid w:val="005067F8"/>
    <w:rsid w:val="00506899"/>
    <w:rsid w:val="0050694D"/>
    <w:rsid w:val="0050729B"/>
    <w:rsid w:val="0050758E"/>
    <w:rsid w:val="00507615"/>
    <w:rsid w:val="00507904"/>
    <w:rsid w:val="00507950"/>
    <w:rsid w:val="00507978"/>
    <w:rsid w:val="00507E97"/>
    <w:rsid w:val="0051018B"/>
    <w:rsid w:val="005103F2"/>
    <w:rsid w:val="00510466"/>
    <w:rsid w:val="005104BF"/>
    <w:rsid w:val="00510E60"/>
    <w:rsid w:val="00511E8D"/>
    <w:rsid w:val="00511F8B"/>
    <w:rsid w:val="00512201"/>
    <w:rsid w:val="00512C53"/>
    <w:rsid w:val="00512F9D"/>
    <w:rsid w:val="0051318A"/>
    <w:rsid w:val="00513434"/>
    <w:rsid w:val="00513506"/>
    <w:rsid w:val="0051354B"/>
    <w:rsid w:val="005137CA"/>
    <w:rsid w:val="00513BA7"/>
    <w:rsid w:val="00513BD5"/>
    <w:rsid w:val="00513BF4"/>
    <w:rsid w:val="00514904"/>
    <w:rsid w:val="00514BFE"/>
    <w:rsid w:val="00515D26"/>
    <w:rsid w:val="00515F21"/>
    <w:rsid w:val="0051603D"/>
    <w:rsid w:val="00516189"/>
    <w:rsid w:val="005166F0"/>
    <w:rsid w:val="0051689C"/>
    <w:rsid w:val="00517654"/>
    <w:rsid w:val="00517C30"/>
    <w:rsid w:val="0052014E"/>
    <w:rsid w:val="00520306"/>
    <w:rsid w:val="00520514"/>
    <w:rsid w:val="00521060"/>
    <w:rsid w:val="005215DB"/>
    <w:rsid w:val="00522519"/>
    <w:rsid w:val="005225C7"/>
    <w:rsid w:val="0052278A"/>
    <w:rsid w:val="00522B26"/>
    <w:rsid w:val="00522BB8"/>
    <w:rsid w:val="00522F57"/>
    <w:rsid w:val="00522F9A"/>
    <w:rsid w:val="00522FC9"/>
    <w:rsid w:val="005232CB"/>
    <w:rsid w:val="00523743"/>
    <w:rsid w:val="005238EB"/>
    <w:rsid w:val="00523A67"/>
    <w:rsid w:val="00523D3E"/>
    <w:rsid w:val="00524238"/>
    <w:rsid w:val="00524581"/>
    <w:rsid w:val="00524BB5"/>
    <w:rsid w:val="00524DD1"/>
    <w:rsid w:val="005259F8"/>
    <w:rsid w:val="00525D89"/>
    <w:rsid w:val="0052621D"/>
    <w:rsid w:val="005263A9"/>
    <w:rsid w:val="005264E3"/>
    <w:rsid w:val="00526B67"/>
    <w:rsid w:val="0052717F"/>
    <w:rsid w:val="0052738C"/>
    <w:rsid w:val="005300F8"/>
    <w:rsid w:val="00530271"/>
    <w:rsid w:val="0053065C"/>
    <w:rsid w:val="00530B14"/>
    <w:rsid w:val="00530C86"/>
    <w:rsid w:val="00530D93"/>
    <w:rsid w:val="00531780"/>
    <w:rsid w:val="00531C67"/>
    <w:rsid w:val="00531EB9"/>
    <w:rsid w:val="0053200A"/>
    <w:rsid w:val="00532021"/>
    <w:rsid w:val="00532088"/>
    <w:rsid w:val="00532198"/>
    <w:rsid w:val="005325F8"/>
    <w:rsid w:val="0053263D"/>
    <w:rsid w:val="00532B11"/>
    <w:rsid w:val="00532B63"/>
    <w:rsid w:val="0053344F"/>
    <w:rsid w:val="005339B7"/>
    <w:rsid w:val="00533B52"/>
    <w:rsid w:val="0053479F"/>
    <w:rsid w:val="00534F47"/>
    <w:rsid w:val="00535FD1"/>
    <w:rsid w:val="005366E0"/>
    <w:rsid w:val="00537ACC"/>
    <w:rsid w:val="00537D2C"/>
    <w:rsid w:val="00537E11"/>
    <w:rsid w:val="00540217"/>
    <w:rsid w:val="00540D29"/>
    <w:rsid w:val="005417C3"/>
    <w:rsid w:val="0054213D"/>
    <w:rsid w:val="00542AC9"/>
    <w:rsid w:val="0054304C"/>
    <w:rsid w:val="00543781"/>
    <w:rsid w:val="0054485C"/>
    <w:rsid w:val="0054534F"/>
    <w:rsid w:val="0054543B"/>
    <w:rsid w:val="00545A32"/>
    <w:rsid w:val="00545B5A"/>
    <w:rsid w:val="00546D22"/>
    <w:rsid w:val="00546DB2"/>
    <w:rsid w:val="00547202"/>
    <w:rsid w:val="005476C2"/>
    <w:rsid w:val="00547704"/>
    <w:rsid w:val="005503E9"/>
    <w:rsid w:val="00550477"/>
    <w:rsid w:val="00550CE4"/>
    <w:rsid w:val="00550F7A"/>
    <w:rsid w:val="005511FD"/>
    <w:rsid w:val="005517BA"/>
    <w:rsid w:val="00551B36"/>
    <w:rsid w:val="00551C43"/>
    <w:rsid w:val="00552178"/>
    <w:rsid w:val="00552AB1"/>
    <w:rsid w:val="00552B51"/>
    <w:rsid w:val="00552B62"/>
    <w:rsid w:val="00552C02"/>
    <w:rsid w:val="00552C80"/>
    <w:rsid w:val="00552DC2"/>
    <w:rsid w:val="00552EF0"/>
    <w:rsid w:val="0055307C"/>
    <w:rsid w:val="00553124"/>
    <w:rsid w:val="00553282"/>
    <w:rsid w:val="005532A3"/>
    <w:rsid w:val="0055350B"/>
    <w:rsid w:val="00553DB7"/>
    <w:rsid w:val="00553FE0"/>
    <w:rsid w:val="005543F4"/>
    <w:rsid w:val="00554C39"/>
    <w:rsid w:val="00554C9F"/>
    <w:rsid w:val="0055532D"/>
    <w:rsid w:val="00555495"/>
    <w:rsid w:val="0055555D"/>
    <w:rsid w:val="0055566D"/>
    <w:rsid w:val="00555749"/>
    <w:rsid w:val="00555E21"/>
    <w:rsid w:val="00555FDE"/>
    <w:rsid w:val="00556154"/>
    <w:rsid w:val="00557328"/>
    <w:rsid w:val="0055732A"/>
    <w:rsid w:val="005578A0"/>
    <w:rsid w:val="005578C5"/>
    <w:rsid w:val="00557AA7"/>
    <w:rsid w:val="00557B76"/>
    <w:rsid w:val="0056069A"/>
    <w:rsid w:val="005606BB"/>
    <w:rsid w:val="005608C3"/>
    <w:rsid w:val="00560987"/>
    <w:rsid w:val="00560D2E"/>
    <w:rsid w:val="00560F0A"/>
    <w:rsid w:val="00561033"/>
    <w:rsid w:val="005615DF"/>
    <w:rsid w:val="00561C87"/>
    <w:rsid w:val="00561F56"/>
    <w:rsid w:val="00562460"/>
    <w:rsid w:val="005627B6"/>
    <w:rsid w:val="005628AC"/>
    <w:rsid w:val="00562A9F"/>
    <w:rsid w:val="00562C5A"/>
    <w:rsid w:val="00562FBE"/>
    <w:rsid w:val="0056305A"/>
    <w:rsid w:val="00563103"/>
    <w:rsid w:val="005632C8"/>
    <w:rsid w:val="00563519"/>
    <w:rsid w:val="00563E5D"/>
    <w:rsid w:val="005648F2"/>
    <w:rsid w:val="00564B31"/>
    <w:rsid w:val="00564B9E"/>
    <w:rsid w:val="005657BA"/>
    <w:rsid w:val="00565AB4"/>
    <w:rsid w:val="00565C30"/>
    <w:rsid w:val="00565FC1"/>
    <w:rsid w:val="0056608D"/>
    <w:rsid w:val="00566607"/>
    <w:rsid w:val="00566722"/>
    <w:rsid w:val="00567545"/>
    <w:rsid w:val="00567F21"/>
    <w:rsid w:val="005703EF"/>
    <w:rsid w:val="0057043C"/>
    <w:rsid w:val="00570D5A"/>
    <w:rsid w:val="00570F2C"/>
    <w:rsid w:val="0057109E"/>
    <w:rsid w:val="00571301"/>
    <w:rsid w:val="005718DF"/>
    <w:rsid w:val="00571B49"/>
    <w:rsid w:val="0057227B"/>
    <w:rsid w:val="0057336D"/>
    <w:rsid w:val="0057354B"/>
    <w:rsid w:val="005735A4"/>
    <w:rsid w:val="0057375F"/>
    <w:rsid w:val="00573E40"/>
    <w:rsid w:val="00574F22"/>
    <w:rsid w:val="00575385"/>
    <w:rsid w:val="00575BAC"/>
    <w:rsid w:val="00576055"/>
    <w:rsid w:val="005760F4"/>
    <w:rsid w:val="00576425"/>
    <w:rsid w:val="005765BB"/>
    <w:rsid w:val="0057723D"/>
    <w:rsid w:val="0058018C"/>
    <w:rsid w:val="00580943"/>
    <w:rsid w:val="00580C61"/>
    <w:rsid w:val="00581331"/>
    <w:rsid w:val="005817A5"/>
    <w:rsid w:val="005819F2"/>
    <w:rsid w:val="0058272C"/>
    <w:rsid w:val="005828BA"/>
    <w:rsid w:val="00582B97"/>
    <w:rsid w:val="00582D7A"/>
    <w:rsid w:val="00582F2D"/>
    <w:rsid w:val="0058408E"/>
    <w:rsid w:val="00584946"/>
    <w:rsid w:val="00584FF3"/>
    <w:rsid w:val="00585B9E"/>
    <w:rsid w:val="00586123"/>
    <w:rsid w:val="005864C7"/>
    <w:rsid w:val="00586576"/>
    <w:rsid w:val="00586A31"/>
    <w:rsid w:val="00586C2E"/>
    <w:rsid w:val="00586E36"/>
    <w:rsid w:val="00587003"/>
    <w:rsid w:val="005878E3"/>
    <w:rsid w:val="00590588"/>
    <w:rsid w:val="00590592"/>
    <w:rsid w:val="005908BD"/>
    <w:rsid w:val="00590DA9"/>
    <w:rsid w:val="005911B8"/>
    <w:rsid w:val="00591DEA"/>
    <w:rsid w:val="0059223E"/>
    <w:rsid w:val="0059295E"/>
    <w:rsid w:val="00592F90"/>
    <w:rsid w:val="0059340D"/>
    <w:rsid w:val="00593887"/>
    <w:rsid w:val="00593A53"/>
    <w:rsid w:val="00593CE7"/>
    <w:rsid w:val="00593DB8"/>
    <w:rsid w:val="00593F14"/>
    <w:rsid w:val="00595299"/>
    <w:rsid w:val="0059543A"/>
    <w:rsid w:val="00595823"/>
    <w:rsid w:val="00596071"/>
    <w:rsid w:val="00597178"/>
    <w:rsid w:val="005972B2"/>
    <w:rsid w:val="00597A14"/>
    <w:rsid w:val="00597C22"/>
    <w:rsid w:val="00597C2A"/>
    <w:rsid w:val="005A0054"/>
    <w:rsid w:val="005A00B3"/>
    <w:rsid w:val="005A05EA"/>
    <w:rsid w:val="005A13B9"/>
    <w:rsid w:val="005A1966"/>
    <w:rsid w:val="005A1F7E"/>
    <w:rsid w:val="005A255D"/>
    <w:rsid w:val="005A28C1"/>
    <w:rsid w:val="005A2A24"/>
    <w:rsid w:val="005A2BEA"/>
    <w:rsid w:val="005A2C8A"/>
    <w:rsid w:val="005A3219"/>
    <w:rsid w:val="005A32E2"/>
    <w:rsid w:val="005A3719"/>
    <w:rsid w:val="005A3745"/>
    <w:rsid w:val="005A3CA1"/>
    <w:rsid w:val="005A3CAE"/>
    <w:rsid w:val="005A3E38"/>
    <w:rsid w:val="005A3F4D"/>
    <w:rsid w:val="005A4481"/>
    <w:rsid w:val="005A46A5"/>
    <w:rsid w:val="005A50FA"/>
    <w:rsid w:val="005A5182"/>
    <w:rsid w:val="005A518E"/>
    <w:rsid w:val="005A53B5"/>
    <w:rsid w:val="005A5D50"/>
    <w:rsid w:val="005A5EBF"/>
    <w:rsid w:val="005A606A"/>
    <w:rsid w:val="005A622E"/>
    <w:rsid w:val="005A6A78"/>
    <w:rsid w:val="005A6B75"/>
    <w:rsid w:val="005A6FB2"/>
    <w:rsid w:val="005A7C48"/>
    <w:rsid w:val="005A7F1C"/>
    <w:rsid w:val="005B05BC"/>
    <w:rsid w:val="005B0AE2"/>
    <w:rsid w:val="005B12E3"/>
    <w:rsid w:val="005B146B"/>
    <w:rsid w:val="005B157F"/>
    <w:rsid w:val="005B1843"/>
    <w:rsid w:val="005B189C"/>
    <w:rsid w:val="005B1C2F"/>
    <w:rsid w:val="005B27B6"/>
    <w:rsid w:val="005B2951"/>
    <w:rsid w:val="005B2E4D"/>
    <w:rsid w:val="005B2EE3"/>
    <w:rsid w:val="005B32AA"/>
    <w:rsid w:val="005B37D3"/>
    <w:rsid w:val="005B39E6"/>
    <w:rsid w:val="005B3C08"/>
    <w:rsid w:val="005B4093"/>
    <w:rsid w:val="005B46E6"/>
    <w:rsid w:val="005B5060"/>
    <w:rsid w:val="005B51A5"/>
    <w:rsid w:val="005B5311"/>
    <w:rsid w:val="005B56B7"/>
    <w:rsid w:val="005B5FE1"/>
    <w:rsid w:val="005B6238"/>
    <w:rsid w:val="005B736B"/>
    <w:rsid w:val="005B73D4"/>
    <w:rsid w:val="005B74CF"/>
    <w:rsid w:val="005B75DD"/>
    <w:rsid w:val="005B7F6C"/>
    <w:rsid w:val="005C0A4B"/>
    <w:rsid w:val="005C0DEB"/>
    <w:rsid w:val="005C1654"/>
    <w:rsid w:val="005C26E3"/>
    <w:rsid w:val="005C2B7A"/>
    <w:rsid w:val="005C2C80"/>
    <w:rsid w:val="005C343F"/>
    <w:rsid w:val="005C39B8"/>
    <w:rsid w:val="005C49F7"/>
    <w:rsid w:val="005C5C12"/>
    <w:rsid w:val="005C5C8A"/>
    <w:rsid w:val="005C601E"/>
    <w:rsid w:val="005C64E3"/>
    <w:rsid w:val="005D0263"/>
    <w:rsid w:val="005D03B4"/>
    <w:rsid w:val="005D0BEF"/>
    <w:rsid w:val="005D181C"/>
    <w:rsid w:val="005D1906"/>
    <w:rsid w:val="005D19AC"/>
    <w:rsid w:val="005D1AC1"/>
    <w:rsid w:val="005D258C"/>
    <w:rsid w:val="005D295B"/>
    <w:rsid w:val="005D2B5F"/>
    <w:rsid w:val="005D2FD3"/>
    <w:rsid w:val="005D3053"/>
    <w:rsid w:val="005D32C3"/>
    <w:rsid w:val="005D36D4"/>
    <w:rsid w:val="005D3AF9"/>
    <w:rsid w:val="005D401D"/>
    <w:rsid w:val="005D4B81"/>
    <w:rsid w:val="005D4B98"/>
    <w:rsid w:val="005D4B9A"/>
    <w:rsid w:val="005D4C7A"/>
    <w:rsid w:val="005D5827"/>
    <w:rsid w:val="005D5A1A"/>
    <w:rsid w:val="005D6045"/>
    <w:rsid w:val="005D633F"/>
    <w:rsid w:val="005D6533"/>
    <w:rsid w:val="005D6608"/>
    <w:rsid w:val="005D6681"/>
    <w:rsid w:val="005D696E"/>
    <w:rsid w:val="005D6D71"/>
    <w:rsid w:val="005D6F93"/>
    <w:rsid w:val="005D70E0"/>
    <w:rsid w:val="005D74D0"/>
    <w:rsid w:val="005D7BC9"/>
    <w:rsid w:val="005D7DC9"/>
    <w:rsid w:val="005E052E"/>
    <w:rsid w:val="005E0891"/>
    <w:rsid w:val="005E098C"/>
    <w:rsid w:val="005E0B94"/>
    <w:rsid w:val="005E1157"/>
    <w:rsid w:val="005E1AE5"/>
    <w:rsid w:val="005E1D83"/>
    <w:rsid w:val="005E20BC"/>
    <w:rsid w:val="005E2821"/>
    <w:rsid w:val="005E2C41"/>
    <w:rsid w:val="005E3325"/>
    <w:rsid w:val="005E33A0"/>
    <w:rsid w:val="005E3593"/>
    <w:rsid w:val="005E3A4E"/>
    <w:rsid w:val="005E3AAC"/>
    <w:rsid w:val="005E3C66"/>
    <w:rsid w:val="005E4A46"/>
    <w:rsid w:val="005E4C6C"/>
    <w:rsid w:val="005E4DF2"/>
    <w:rsid w:val="005E5C16"/>
    <w:rsid w:val="005E5CC6"/>
    <w:rsid w:val="005E5E16"/>
    <w:rsid w:val="005E5FFA"/>
    <w:rsid w:val="005E634C"/>
    <w:rsid w:val="005E66B5"/>
    <w:rsid w:val="005E69B2"/>
    <w:rsid w:val="005E6A72"/>
    <w:rsid w:val="005E711D"/>
    <w:rsid w:val="005E7707"/>
    <w:rsid w:val="005E7B27"/>
    <w:rsid w:val="005E7BC5"/>
    <w:rsid w:val="005E7EAD"/>
    <w:rsid w:val="005F05C4"/>
    <w:rsid w:val="005F0653"/>
    <w:rsid w:val="005F0BE1"/>
    <w:rsid w:val="005F0EFA"/>
    <w:rsid w:val="005F1263"/>
    <w:rsid w:val="005F1264"/>
    <w:rsid w:val="005F12BF"/>
    <w:rsid w:val="005F187D"/>
    <w:rsid w:val="005F1AF4"/>
    <w:rsid w:val="005F2BB6"/>
    <w:rsid w:val="005F3B8D"/>
    <w:rsid w:val="005F4B37"/>
    <w:rsid w:val="005F4C7E"/>
    <w:rsid w:val="005F4CDA"/>
    <w:rsid w:val="005F4EEC"/>
    <w:rsid w:val="005F4FF1"/>
    <w:rsid w:val="005F5AD2"/>
    <w:rsid w:val="005F5B18"/>
    <w:rsid w:val="005F5F82"/>
    <w:rsid w:val="005F6196"/>
    <w:rsid w:val="005F62BF"/>
    <w:rsid w:val="005F6492"/>
    <w:rsid w:val="005F6696"/>
    <w:rsid w:val="005F6993"/>
    <w:rsid w:val="005F6BEC"/>
    <w:rsid w:val="005F71C0"/>
    <w:rsid w:val="005F774B"/>
    <w:rsid w:val="005F7D97"/>
    <w:rsid w:val="005F7EE9"/>
    <w:rsid w:val="0060011A"/>
    <w:rsid w:val="00600888"/>
    <w:rsid w:val="006018EC"/>
    <w:rsid w:val="0060199D"/>
    <w:rsid w:val="00601B26"/>
    <w:rsid w:val="00601DB6"/>
    <w:rsid w:val="00601E14"/>
    <w:rsid w:val="0060202E"/>
    <w:rsid w:val="0060225C"/>
    <w:rsid w:val="0060235D"/>
    <w:rsid w:val="00602684"/>
    <w:rsid w:val="00602E2F"/>
    <w:rsid w:val="006030CF"/>
    <w:rsid w:val="006035B9"/>
    <w:rsid w:val="00603758"/>
    <w:rsid w:val="00603D34"/>
    <w:rsid w:val="00604502"/>
    <w:rsid w:val="006045A4"/>
    <w:rsid w:val="006046B0"/>
    <w:rsid w:val="00604A4B"/>
    <w:rsid w:val="00604A75"/>
    <w:rsid w:val="00604B8E"/>
    <w:rsid w:val="00604FE4"/>
    <w:rsid w:val="006055F5"/>
    <w:rsid w:val="0060579B"/>
    <w:rsid w:val="00605FFA"/>
    <w:rsid w:val="00607025"/>
    <w:rsid w:val="00607096"/>
    <w:rsid w:val="00607778"/>
    <w:rsid w:val="00607928"/>
    <w:rsid w:val="006079D7"/>
    <w:rsid w:val="00607C00"/>
    <w:rsid w:val="00610861"/>
    <w:rsid w:val="00610DBD"/>
    <w:rsid w:val="00610E1D"/>
    <w:rsid w:val="00611015"/>
    <w:rsid w:val="006110C5"/>
    <w:rsid w:val="00611116"/>
    <w:rsid w:val="006112B9"/>
    <w:rsid w:val="00611456"/>
    <w:rsid w:val="006114D2"/>
    <w:rsid w:val="006116F2"/>
    <w:rsid w:val="00611CAD"/>
    <w:rsid w:val="006120D6"/>
    <w:rsid w:val="00612371"/>
    <w:rsid w:val="006124D8"/>
    <w:rsid w:val="0061267F"/>
    <w:rsid w:val="0061274A"/>
    <w:rsid w:val="00612777"/>
    <w:rsid w:val="00612B14"/>
    <w:rsid w:val="00612C29"/>
    <w:rsid w:val="00612C52"/>
    <w:rsid w:val="00612FA7"/>
    <w:rsid w:val="006138B3"/>
    <w:rsid w:val="00613AE5"/>
    <w:rsid w:val="00613B7D"/>
    <w:rsid w:val="00613EAF"/>
    <w:rsid w:val="00614429"/>
    <w:rsid w:val="00614848"/>
    <w:rsid w:val="0061492D"/>
    <w:rsid w:val="0061509C"/>
    <w:rsid w:val="00615212"/>
    <w:rsid w:val="006155B9"/>
    <w:rsid w:val="006160A5"/>
    <w:rsid w:val="006161B7"/>
    <w:rsid w:val="006165BC"/>
    <w:rsid w:val="00616790"/>
    <w:rsid w:val="0061684E"/>
    <w:rsid w:val="00617133"/>
    <w:rsid w:val="006173DF"/>
    <w:rsid w:val="00617412"/>
    <w:rsid w:val="006178FB"/>
    <w:rsid w:val="00617F0C"/>
    <w:rsid w:val="00620076"/>
    <w:rsid w:val="00620528"/>
    <w:rsid w:val="00620B69"/>
    <w:rsid w:val="00620D93"/>
    <w:rsid w:val="00621002"/>
    <w:rsid w:val="00621466"/>
    <w:rsid w:val="006215F0"/>
    <w:rsid w:val="0062164C"/>
    <w:rsid w:val="006219FC"/>
    <w:rsid w:val="00621E3B"/>
    <w:rsid w:val="006223C8"/>
    <w:rsid w:val="006228C4"/>
    <w:rsid w:val="00622BA0"/>
    <w:rsid w:val="006231EE"/>
    <w:rsid w:val="00623BB6"/>
    <w:rsid w:val="00624513"/>
    <w:rsid w:val="00624554"/>
    <w:rsid w:val="00624967"/>
    <w:rsid w:val="006256D0"/>
    <w:rsid w:val="006261DC"/>
    <w:rsid w:val="00626658"/>
    <w:rsid w:val="00626D4D"/>
    <w:rsid w:val="006273E6"/>
    <w:rsid w:val="00627836"/>
    <w:rsid w:val="00627A4C"/>
    <w:rsid w:val="00627E24"/>
    <w:rsid w:val="006305C1"/>
    <w:rsid w:val="00630CC3"/>
    <w:rsid w:val="0063130B"/>
    <w:rsid w:val="00631450"/>
    <w:rsid w:val="00631521"/>
    <w:rsid w:val="006326FF"/>
    <w:rsid w:val="0063279D"/>
    <w:rsid w:val="006327AC"/>
    <w:rsid w:val="00633D50"/>
    <w:rsid w:val="00634940"/>
    <w:rsid w:val="00634953"/>
    <w:rsid w:val="00634962"/>
    <w:rsid w:val="00634C99"/>
    <w:rsid w:val="00634E34"/>
    <w:rsid w:val="00636579"/>
    <w:rsid w:val="006366A9"/>
    <w:rsid w:val="006367B5"/>
    <w:rsid w:val="006369F1"/>
    <w:rsid w:val="00636DC2"/>
    <w:rsid w:val="006372C8"/>
    <w:rsid w:val="006374AC"/>
    <w:rsid w:val="00637719"/>
    <w:rsid w:val="00637722"/>
    <w:rsid w:val="00637D85"/>
    <w:rsid w:val="0064083C"/>
    <w:rsid w:val="00640CB2"/>
    <w:rsid w:val="00640F03"/>
    <w:rsid w:val="006417F7"/>
    <w:rsid w:val="00641DE0"/>
    <w:rsid w:val="006427A0"/>
    <w:rsid w:val="0064282A"/>
    <w:rsid w:val="00642D4A"/>
    <w:rsid w:val="00643127"/>
    <w:rsid w:val="00643325"/>
    <w:rsid w:val="00643865"/>
    <w:rsid w:val="00643FB5"/>
    <w:rsid w:val="0064445A"/>
    <w:rsid w:val="0064496C"/>
    <w:rsid w:val="0064508A"/>
    <w:rsid w:val="006457E5"/>
    <w:rsid w:val="0064634C"/>
    <w:rsid w:val="0064679F"/>
    <w:rsid w:val="00647837"/>
    <w:rsid w:val="006501C3"/>
    <w:rsid w:val="00650345"/>
    <w:rsid w:val="006506C9"/>
    <w:rsid w:val="00650958"/>
    <w:rsid w:val="00650E3C"/>
    <w:rsid w:val="00651079"/>
    <w:rsid w:val="00651134"/>
    <w:rsid w:val="006512EF"/>
    <w:rsid w:val="00651D24"/>
    <w:rsid w:val="00651EA1"/>
    <w:rsid w:val="00652135"/>
    <w:rsid w:val="00652434"/>
    <w:rsid w:val="006526ED"/>
    <w:rsid w:val="0065284A"/>
    <w:rsid w:val="00652E5E"/>
    <w:rsid w:val="00653266"/>
    <w:rsid w:val="006536C3"/>
    <w:rsid w:val="00653896"/>
    <w:rsid w:val="00653CF3"/>
    <w:rsid w:val="00653DD2"/>
    <w:rsid w:val="006542D0"/>
    <w:rsid w:val="00654F39"/>
    <w:rsid w:val="00655110"/>
    <w:rsid w:val="00655365"/>
    <w:rsid w:val="0065544F"/>
    <w:rsid w:val="0065546D"/>
    <w:rsid w:val="0065547E"/>
    <w:rsid w:val="00655859"/>
    <w:rsid w:val="00656167"/>
    <w:rsid w:val="00656351"/>
    <w:rsid w:val="00656463"/>
    <w:rsid w:val="0065BBEB"/>
    <w:rsid w:val="00660077"/>
    <w:rsid w:val="0066020F"/>
    <w:rsid w:val="0066023D"/>
    <w:rsid w:val="00660381"/>
    <w:rsid w:val="00660396"/>
    <w:rsid w:val="00660753"/>
    <w:rsid w:val="0066077A"/>
    <w:rsid w:val="00660C34"/>
    <w:rsid w:val="00660E99"/>
    <w:rsid w:val="0066194B"/>
    <w:rsid w:val="00661B8F"/>
    <w:rsid w:val="00662632"/>
    <w:rsid w:val="006627B2"/>
    <w:rsid w:val="00662BB7"/>
    <w:rsid w:val="00662E7B"/>
    <w:rsid w:val="0066318E"/>
    <w:rsid w:val="00663613"/>
    <w:rsid w:val="006636FB"/>
    <w:rsid w:val="00663CB6"/>
    <w:rsid w:val="00664469"/>
    <w:rsid w:val="00664B99"/>
    <w:rsid w:val="00664D61"/>
    <w:rsid w:val="00664ED9"/>
    <w:rsid w:val="00664F87"/>
    <w:rsid w:val="00664FA1"/>
    <w:rsid w:val="0066525B"/>
    <w:rsid w:val="00665B1C"/>
    <w:rsid w:val="006662A8"/>
    <w:rsid w:val="006667F0"/>
    <w:rsid w:val="00666CC2"/>
    <w:rsid w:val="006672DF"/>
    <w:rsid w:val="00667423"/>
    <w:rsid w:val="0066770A"/>
    <w:rsid w:val="00667743"/>
    <w:rsid w:val="006678AF"/>
    <w:rsid w:val="00667B57"/>
    <w:rsid w:val="00667FC7"/>
    <w:rsid w:val="00667FDF"/>
    <w:rsid w:val="0067084F"/>
    <w:rsid w:val="006709F5"/>
    <w:rsid w:val="00670A67"/>
    <w:rsid w:val="00670AD6"/>
    <w:rsid w:val="00671048"/>
    <w:rsid w:val="006712B5"/>
    <w:rsid w:val="00671416"/>
    <w:rsid w:val="0067156D"/>
    <w:rsid w:val="00671E0E"/>
    <w:rsid w:val="00672055"/>
    <w:rsid w:val="006723FB"/>
    <w:rsid w:val="0067286F"/>
    <w:rsid w:val="006730DC"/>
    <w:rsid w:val="0067347F"/>
    <w:rsid w:val="00673675"/>
    <w:rsid w:val="00673D33"/>
    <w:rsid w:val="00674229"/>
    <w:rsid w:val="006743F6"/>
    <w:rsid w:val="006747A3"/>
    <w:rsid w:val="006747EC"/>
    <w:rsid w:val="00675466"/>
    <w:rsid w:val="00675D06"/>
    <w:rsid w:val="00675E85"/>
    <w:rsid w:val="00676BB3"/>
    <w:rsid w:val="00677303"/>
    <w:rsid w:val="00677452"/>
    <w:rsid w:val="00677AF5"/>
    <w:rsid w:val="006805B3"/>
    <w:rsid w:val="00680A02"/>
    <w:rsid w:val="00680A0C"/>
    <w:rsid w:val="00681345"/>
    <w:rsid w:val="006815D2"/>
    <w:rsid w:val="00681A93"/>
    <w:rsid w:val="006824F4"/>
    <w:rsid w:val="006827E9"/>
    <w:rsid w:val="00682E36"/>
    <w:rsid w:val="006831A7"/>
    <w:rsid w:val="00683F29"/>
    <w:rsid w:val="00683F9D"/>
    <w:rsid w:val="00684403"/>
    <w:rsid w:val="006844A6"/>
    <w:rsid w:val="0068457F"/>
    <w:rsid w:val="00684B56"/>
    <w:rsid w:val="00684D16"/>
    <w:rsid w:val="00684D3C"/>
    <w:rsid w:val="00684D7A"/>
    <w:rsid w:val="00685110"/>
    <w:rsid w:val="0068528F"/>
    <w:rsid w:val="0068550F"/>
    <w:rsid w:val="00685591"/>
    <w:rsid w:val="00685AFD"/>
    <w:rsid w:val="00685BD8"/>
    <w:rsid w:val="00685E6D"/>
    <w:rsid w:val="00686407"/>
    <w:rsid w:val="0068648E"/>
    <w:rsid w:val="00686B53"/>
    <w:rsid w:val="00686BD4"/>
    <w:rsid w:val="00686DA6"/>
    <w:rsid w:val="00687182"/>
    <w:rsid w:val="0068730E"/>
    <w:rsid w:val="00687566"/>
    <w:rsid w:val="00687C72"/>
    <w:rsid w:val="00687DD8"/>
    <w:rsid w:val="0069012B"/>
    <w:rsid w:val="00690B07"/>
    <w:rsid w:val="00690F33"/>
    <w:rsid w:val="00691686"/>
    <w:rsid w:val="006917CE"/>
    <w:rsid w:val="00691B97"/>
    <w:rsid w:val="00691FFF"/>
    <w:rsid w:val="00692E85"/>
    <w:rsid w:val="006930E1"/>
    <w:rsid w:val="0069385D"/>
    <w:rsid w:val="00693F49"/>
    <w:rsid w:val="00694637"/>
    <w:rsid w:val="00694882"/>
    <w:rsid w:val="00694D12"/>
    <w:rsid w:val="00694F29"/>
    <w:rsid w:val="00695230"/>
    <w:rsid w:val="00695ADB"/>
    <w:rsid w:val="00695CA7"/>
    <w:rsid w:val="00695FC4"/>
    <w:rsid w:val="006961BD"/>
    <w:rsid w:val="00696526"/>
    <w:rsid w:val="00696A11"/>
    <w:rsid w:val="0069790D"/>
    <w:rsid w:val="00697A8D"/>
    <w:rsid w:val="00697DC3"/>
    <w:rsid w:val="006A088B"/>
    <w:rsid w:val="006A0A52"/>
    <w:rsid w:val="006A14ED"/>
    <w:rsid w:val="006A1D70"/>
    <w:rsid w:val="006A22EF"/>
    <w:rsid w:val="006A231C"/>
    <w:rsid w:val="006A26AE"/>
    <w:rsid w:val="006A2E96"/>
    <w:rsid w:val="006A3FC0"/>
    <w:rsid w:val="006A4B41"/>
    <w:rsid w:val="006A4BDC"/>
    <w:rsid w:val="006A4D9C"/>
    <w:rsid w:val="006A53D4"/>
    <w:rsid w:val="006A53DF"/>
    <w:rsid w:val="006A54C0"/>
    <w:rsid w:val="006A55BA"/>
    <w:rsid w:val="006A5F3F"/>
    <w:rsid w:val="006A6666"/>
    <w:rsid w:val="006A70EE"/>
    <w:rsid w:val="006A7334"/>
    <w:rsid w:val="006A794A"/>
    <w:rsid w:val="006A7C2D"/>
    <w:rsid w:val="006A7CCB"/>
    <w:rsid w:val="006A7D08"/>
    <w:rsid w:val="006A7D14"/>
    <w:rsid w:val="006B02CC"/>
    <w:rsid w:val="006B03DA"/>
    <w:rsid w:val="006B06A5"/>
    <w:rsid w:val="006B0BC9"/>
    <w:rsid w:val="006B10D7"/>
    <w:rsid w:val="006B1245"/>
    <w:rsid w:val="006B1FA2"/>
    <w:rsid w:val="006B2743"/>
    <w:rsid w:val="006B2A4B"/>
    <w:rsid w:val="006B2BC8"/>
    <w:rsid w:val="006B2D8C"/>
    <w:rsid w:val="006B2FB1"/>
    <w:rsid w:val="006B30B8"/>
    <w:rsid w:val="006B3170"/>
    <w:rsid w:val="006B31FA"/>
    <w:rsid w:val="006B3F6A"/>
    <w:rsid w:val="006B3F73"/>
    <w:rsid w:val="006B48EF"/>
    <w:rsid w:val="006B4A76"/>
    <w:rsid w:val="006B5462"/>
    <w:rsid w:val="006B5768"/>
    <w:rsid w:val="006B5A26"/>
    <w:rsid w:val="006B631B"/>
    <w:rsid w:val="006B6784"/>
    <w:rsid w:val="006B68D3"/>
    <w:rsid w:val="006B6A7F"/>
    <w:rsid w:val="006B6C8D"/>
    <w:rsid w:val="006B6D0C"/>
    <w:rsid w:val="006B6D27"/>
    <w:rsid w:val="006B79F4"/>
    <w:rsid w:val="006C0190"/>
    <w:rsid w:val="006C023A"/>
    <w:rsid w:val="006C045B"/>
    <w:rsid w:val="006C0606"/>
    <w:rsid w:val="006C08DF"/>
    <w:rsid w:val="006C0D9E"/>
    <w:rsid w:val="006C124D"/>
    <w:rsid w:val="006C1649"/>
    <w:rsid w:val="006C176E"/>
    <w:rsid w:val="006C1A08"/>
    <w:rsid w:val="006C1BA2"/>
    <w:rsid w:val="006C1C43"/>
    <w:rsid w:val="006C1E17"/>
    <w:rsid w:val="006C2662"/>
    <w:rsid w:val="006C2E22"/>
    <w:rsid w:val="006C33A3"/>
    <w:rsid w:val="006C34AB"/>
    <w:rsid w:val="006C3ACD"/>
    <w:rsid w:val="006C3BDC"/>
    <w:rsid w:val="006C3C31"/>
    <w:rsid w:val="006C3E01"/>
    <w:rsid w:val="006C403B"/>
    <w:rsid w:val="006C4B6F"/>
    <w:rsid w:val="006C4C7F"/>
    <w:rsid w:val="006C4E1B"/>
    <w:rsid w:val="006C4FD4"/>
    <w:rsid w:val="006C500B"/>
    <w:rsid w:val="006C531E"/>
    <w:rsid w:val="006C54E7"/>
    <w:rsid w:val="006C56B2"/>
    <w:rsid w:val="006C5910"/>
    <w:rsid w:val="006C5A5F"/>
    <w:rsid w:val="006C5DB0"/>
    <w:rsid w:val="006C621F"/>
    <w:rsid w:val="006C6333"/>
    <w:rsid w:val="006C6452"/>
    <w:rsid w:val="006C7819"/>
    <w:rsid w:val="006C79EC"/>
    <w:rsid w:val="006C7C94"/>
    <w:rsid w:val="006D03AF"/>
    <w:rsid w:val="006D05EC"/>
    <w:rsid w:val="006D08B9"/>
    <w:rsid w:val="006D08FE"/>
    <w:rsid w:val="006D0933"/>
    <w:rsid w:val="006D1A26"/>
    <w:rsid w:val="006D1D0B"/>
    <w:rsid w:val="006D1F31"/>
    <w:rsid w:val="006D24F9"/>
    <w:rsid w:val="006D26BD"/>
    <w:rsid w:val="006D30F9"/>
    <w:rsid w:val="006D366C"/>
    <w:rsid w:val="006D384F"/>
    <w:rsid w:val="006D4D85"/>
    <w:rsid w:val="006D4ECE"/>
    <w:rsid w:val="006D4FEA"/>
    <w:rsid w:val="006D5118"/>
    <w:rsid w:val="006D519A"/>
    <w:rsid w:val="006D51E7"/>
    <w:rsid w:val="006D5983"/>
    <w:rsid w:val="006D6000"/>
    <w:rsid w:val="006D65D1"/>
    <w:rsid w:val="006D678F"/>
    <w:rsid w:val="006D6B7B"/>
    <w:rsid w:val="006D6DAB"/>
    <w:rsid w:val="006D73F9"/>
    <w:rsid w:val="006E0406"/>
    <w:rsid w:val="006E0568"/>
    <w:rsid w:val="006E06A4"/>
    <w:rsid w:val="006E0DF2"/>
    <w:rsid w:val="006E14C2"/>
    <w:rsid w:val="006E1734"/>
    <w:rsid w:val="006E1D43"/>
    <w:rsid w:val="006E256A"/>
    <w:rsid w:val="006E3099"/>
    <w:rsid w:val="006E3466"/>
    <w:rsid w:val="006E3572"/>
    <w:rsid w:val="006E3FAE"/>
    <w:rsid w:val="006E4181"/>
    <w:rsid w:val="006E4242"/>
    <w:rsid w:val="006E4D85"/>
    <w:rsid w:val="006E4F4B"/>
    <w:rsid w:val="006E532D"/>
    <w:rsid w:val="006E541C"/>
    <w:rsid w:val="006E5561"/>
    <w:rsid w:val="006E55BF"/>
    <w:rsid w:val="006E5765"/>
    <w:rsid w:val="006E5922"/>
    <w:rsid w:val="006E5C26"/>
    <w:rsid w:val="006E63C7"/>
    <w:rsid w:val="006E7A49"/>
    <w:rsid w:val="006F0461"/>
    <w:rsid w:val="006F0465"/>
    <w:rsid w:val="006F0717"/>
    <w:rsid w:val="006F0CCF"/>
    <w:rsid w:val="006F12A6"/>
    <w:rsid w:val="006F1E23"/>
    <w:rsid w:val="006F1EFB"/>
    <w:rsid w:val="006F1F9B"/>
    <w:rsid w:val="006F221A"/>
    <w:rsid w:val="006F23CF"/>
    <w:rsid w:val="006F2658"/>
    <w:rsid w:val="006F27FC"/>
    <w:rsid w:val="006F2963"/>
    <w:rsid w:val="006F31FA"/>
    <w:rsid w:val="006F3646"/>
    <w:rsid w:val="006F375C"/>
    <w:rsid w:val="006F383B"/>
    <w:rsid w:val="006F3C9D"/>
    <w:rsid w:val="006F411E"/>
    <w:rsid w:val="006F429C"/>
    <w:rsid w:val="006F4344"/>
    <w:rsid w:val="006F461F"/>
    <w:rsid w:val="006F5880"/>
    <w:rsid w:val="006F62FB"/>
    <w:rsid w:val="006F65DA"/>
    <w:rsid w:val="006F689D"/>
    <w:rsid w:val="006F6976"/>
    <w:rsid w:val="006F6A09"/>
    <w:rsid w:val="006F6B62"/>
    <w:rsid w:val="006F6B64"/>
    <w:rsid w:val="006F6DD9"/>
    <w:rsid w:val="006F7032"/>
    <w:rsid w:val="006F7522"/>
    <w:rsid w:val="006F782C"/>
    <w:rsid w:val="006F7BA7"/>
    <w:rsid w:val="00700663"/>
    <w:rsid w:val="00700B4E"/>
    <w:rsid w:val="00700EAE"/>
    <w:rsid w:val="007011CC"/>
    <w:rsid w:val="007013B5"/>
    <w:rsid w:val="0070152D"/>
    <w:rsid w:val="00701590"/>
    <w:rsid w:val="007015BE"/>
    <w:rsid w:val="00701930"/>
    <w:rsid w:val="00701B3D"/>
    <w:rsid w:val="00701F65"/>
    <w:rsid w:val="00702DD1"/>
    <w:rsid w:val="00702E59"/>
    <w:rsid w:val="00703C89"/>
    <w:rsid w:val="00703F2A"/>
    <w:rsid w:val="00704252"/>
    <w:rsid w:val="0070454B"/>
    <w:rsid w:val="00704656"/>
    <w:rsid w:val="007046E9"/>
    <w:rsid w:val="007049B6"/>
    <w:rsid w:val="00704E1F"/>
    <w:rsid w:val="007053F7"/>
    <w:rsid w:val="00706061"/>
    <w:rsid w:val="00706810"/>
    <w:rsid w:val="00706E6E"/>
    <w:rsid w:val="00707025"/>
    <w:rsid w:val="007070C6"/>
    <w:rsid w:val="0070737E"/>
    <w:rsid w:val="00707564"/>
    <w:rsid w:val="00707E54"/>
    <w:rsid w:val="00710511"/>
    <w:rsid w:val="00710CAC"/>
    <w:rsid w:val="00710D59"/>
    <w:rsid w:val="00711DA1"/>
    <w:rsid w:val="00712258"/>
    <w:rsid w:val="0071227B"/>
    <w:rsid w:val="00712ABA"/>
    <w:rsid w:val="007134C5"/>
    <w:rsid w:val="007139CB"/>
    <w:rsid w:val="00713A68"/>
    <w:rsid w:val="00713C7A"/>
    <w:rsid w:val="0071423E"/>
    <w:rsid w:val="00714A04"/>
    <w:rsid w:val="00714B7F"/>
    <w:rsid w:val="00714E99"/>
    <w:rsid w:val="00715051"/>
    <w:rsid w:val="007150C0"/>
    <w:rsid w:val="007154F3"/>
    <w:rsid w:val="00715ED7"/>
    <w:rsid w:val="00715FC3"/>
    <w:rsid w:val="00716062"/>
    <w:rsid w:val="0071624A"/>
    <w:rsid w:val="00717B5E"/>
    <w:rsid w:val="00720138"/>
    <w:rsid w:val="00720E38"/>
    <w:rsid w:val="00720F67"/>
    <w:rsid w:val="007210D0"/>
    <w:rsid w:val="007211B7"/>
    <w:rsid w:val="00721650"/>
    <w:rsid w:val="007221ED"/>
    <w:rsid w:val="007248E3"/>
    <w:rsid w:val="00724CE2"/>
    <w:rsid w:val="007251C4"/>
    <w:rsid w:val="00725288"/>
    <w:rsid w:val="00725ED0"/>
    <w:rsid w:val="00725F0A"/>
    <w:rsid w:val="0072610B"/>
    <w:rsid w:val="007268A7"/>
    <w:rsid w:val="0072718D"/>
    <w:rsid w:val="00727564"/>
    <w:rsid w:val="007276B3"/>
    <w:rsid w:val="00727A40"/>
    <w:rsid w:val="00727B6F"/>
    <w:rsid w:val="00727E07"/>
    <w:rsid w:val="007303EA"/>
    <w:rsid w:val="00730826"/>
    <w:rsid w:val="00730A1D"/>
    <w:rsid w:val="00730DE8"/>
    <w:rsid w:val="00730E49"/>
    <w:rsid w:val="00731444"/>
    <w:rsid w:val="00731B99"/>
    <w:rsid w:val="00731F37"/>
    <w:rsid w:val="00732354"/>
    <w:rsid w:val="0073291C"/>
    <w:rsid w:val="00732DE3"/>
    <w:rsid w:val="007331B1"/>
    <w:rsid w:val="007331E7"/>
    <w:rsid w:val="007334BD"/>
    <w:rsid w:val="00733B25"/>
    <w:rsid w:val="00733F00"/>
    <w:rsid w:val="0073423E"/>
    <w:rsid w:val="00734495"/>
    <w:rsid w:val="0073469A"/>
    <w:rsid w:val="00734A1D"/>
    <w:rsid w:val="00734B0A"/>
    <w:rsid w:val="0073547F"/>
    <w:rsid w:val="007357C2"/>
    <w:rsid w:val="007365A5"/>
    <w:rsid w:val="007370C2"/>
    <w:rsid w:val="007372B0"/>
    <w:rsid w:val="00737850"/>
    <w:rsid w:val="00737A7F"/>
    <w:rsid w:val="00740050"/>
    <w:rsid w:val="007402C3"/>
    <w:rsid w:val="007416BA"/>
    <w:rsid w:val="00741DFE"/>
    <w:rsid w:val="00742887"/>
    <w:rsid w:val="00742AEF"/>
    <w:rsid w:val="00742D6E"/>
    <w:rsid w:val="00742ECA"/>
    <w:rsid w:val="00743798"/>
    <w:rsid w:val="00743E21"/>
    <w:rsid w:val="0074471C"/>
    <w:rsid w:val="0074540A"/>
    <w:rsid w:val="00745498"/>
    <w:rsid w:val="00745D45"/>
    <w:rsid w:val="00746421"/>
    <w:rsid w:val="0074686F"/>
    <w:rsid w:val="00746EA3"/>
    <w:rsid w:val="00746FB6"/>
    <w:rsid w:val="00747716"/>
    <w:rsid w:val="007502DA"/>
    <w:rsid w:val="007503F9"/>
    <w:rsid w:val="0075060C"/>
    <w:rsid w:val="007506A0"/>
    <w:rsid w:val="007508BA"/>
    <w:rsid w:val="007509B8"/>
    <w:rsid w:val="007512D3"/>
    <w:rsid w:val="007514A9"/>
    <w:rsid w:val="00751C26"/>
    <w:rsid w:val="00751C9B"/>
    <w:rsid w:val="00751CBA"/>
    <w:rsid w:val="007523DA"/>
    <w:rsid w:val="00752EC6"/>
    <w:rsid w:val="007531E7"/>
    <w:rsid w:val="007532F5"/>
    <w:rsid w:val="00753DE2"/>
    <w:rsid w:val="0075430E"/>
    <w:rsid w:val="00754534"/>
    <w:rsid w:val="00754A79"/>
    <w:rsid w:val="00754C95"/>
    <w:rsid w:val="00754F6E"/>
    <w:rsid w:val="00755BFE"/>
    <w:rsid w:val="00755DC8"/>
    <w:rsid w:val="0075698B"/>
    <w:rsid w:val="00756C28"/>
    <w:rsid w:val="00756F05"/>
    <w:rsid w:val="007570E0"/>
    <w:rsid w:val="007602CD"/>
    <w:rsid w:val="0076044A"/>
    <w:rsid w:val="00760C09"/>
    <w:rsid w:val="007613C4"/>
    <w:rsid w:val="00761D97"/>
    <w:rsid w:val="007623DF"/>
    <w:rsid w:val="00762615"/>
    <w:rsid w:val="00762CA2"/>
    <w:rsid w:val="00762D65"/>
    <w:rsid w:val="00762D89"/>
    <w:rsid w:val="00762F2C"/>
    <w:rsid w:val="00763D7C"/>
    <w:rsid w:val="00763EBD"/>
    <w:rsid w:val="00763F68"/>
    <w:rsid w:val="007643C8"/>
    <w:rsid w:val="00764461"/>
    <w:rsid w:val="00764806"/>
    <w:rsid w:val="007648C8"/>
    <w:rsid w:val="00764AC1"/>
    <w:rsid w:val="00764ADC"/>
    <w:rsid w:val="00764B8F"/>
    <w:rsid w:val="00764DC9"/>
    <w:rsid w:val="0076506D"/>
    <w:rsid w:val="00765598"/>
    <w:rsid w:val="007657CA"/>
    <w:rsid w:val="0076597E"/>
    <w:rsid w:val="00765B86"/>
    <w:rsid w:val="00766711"/>
    <w:rsid w:val="00766777"/>
    <w:rsid w:val="00766916"/>
    <w:rsid w:val="007673FA"/>
    <w:rsid w:val="00767B0E"/>
    <w:rsid w:val="00767D12"/>
    <w:rsid w:val="007701FF"/>
    <w:rsid w:val="00770313"/>
    <w:rsid w:val="007707A9"/>
    <w:rsid w:val="0077103A"/>
    <w:rsid w:val="00771419"/>
    <w:rsid w:val="0077173B"/>
    <w:rsid w:val="0077189B"/>
    <w:rsid w:val="00772599"/>
    <w:rsid w:val="00772AE8"/>
    <w:rsid w:val="00772E2B"/>
    <w:rsid w:val="00772EF1"/>
    <w:rsid w:val="00772FCB"/>
    <w:rsid w:val="00773FE2"/>
    <w:rsid w:val="00774089"/>
    <w:rsid w:val="0077428E"/>
    <w:rsid w:val="007748C9"/>
    <w:rsid w:val="00775C3D"/>
    <w:rsid w:val="00776031"/>
    <w:rsid w:val="0077672B"/>
    <w:rsid w:val="00776A01"/>
    <w:rsid w:val="00777149"/>
    <w:rsid w:val="007775DD"/>
    <w:rsid w:val="007776D1"/>
    <w:rsid w:val="00777773"/>
    <w:rsid w:val="00777CB6"/>
    <w:rsid w:val="00777FAD"/>
    <w:rsid w:val="00780169"/>
    <w:rsid w:val="00780AEC"/>
    <w:rsid w:val="00780C08"/>
    <w:rsid w:val="00780C36"/>
    <w:rsid w:val="00780D1E"/>
    <w:rsid w:val="00780DB8"/>
    <w:rsid w:val="00780F49"/>
    <w:rsid w:val="00780F52"/>
    <w:rsid w:val="00781176"/>
    <w:rsid w:val="007818E4"/>
    <w:rsid w:val="00781924"/>
    <w:rsid w:val="00781E26"/>
    <w:rsid w:val="00781FE0"/>
    <w:rsid w:val="0078215E"/>
    <w:rsid w:val="0078385C"/>
    <w:rsid w:val="0078398F"/>
    <w:rsid w:val="00783C14"/>
    <w:rsid w:val="00783C23"/>
    <w:rsid w:val="00783C96"/>
    <w:rsid w:val="00783DC5"/>
    <w:rsid w:val="007842DB"/>
    <w:rsid w:val="00784493"/>
    <w:rsid w:val="007849CB"/>
    <w:rsid w:val="00785242"/>
    <w:rsid w:val="00785EAF"/>
    <w:rsid w:val="00786642"/>
    <w:rsid w:val="00786C00"/>
    <w:rsid w:val="00787139"/>
    <w:rsid w:val="007874C5"/>
    <w:rsid w:val="00790074"/>
    <w:rsid w:val="007901B4"/>
    <w:rsid w:val="007906C2"/>
    <w:rsid w:val="00790855"/>
    <w:rsid w:val="00790A13"/>
    <w:rsid w:val="00790B4F"/>
    <w:rsid w:val="00790FC4"/>
    <w:rsid w:val="007915D4"/>
    <w:rsid w:val="00791DA0"/>
    <w:rsid w:val="00791EA8"/>
    <w:rsid w:val="0079271B"/>
    <w:rsid w:val="00792931"/>
    <w:rsid w:val="00792BA2"/>
    <w:rsid w:val="00792E39"/>
    <w:rsid w:val="00792EEE"/>
    <w:rsid w:val="007930EA"/>
    <w:rsid w:val="0079354F"/>
    <w:rsid w:val="0079356D"/>
    <w:rsid w:val="007940A8"/>
    <w:rsid w:val="0079457F"/>
    <w:rsid w:val="0079467E"/>
    <w:rsid w:val="0079487F"/>
    <w:rsid w:val="007948AF"/>
    <w:rsid w:val="007948CC"/>
    <w:rsid w:val="00795142"/>
    <w:rsid w:val="00795573"/>
    <w:rsid w:val="00795FF3"/>
    <w:rsid w:val="007967CC"/>
    <w:rsid w:val="00797681"/>
    <w:rsid w:val="00797C6A"/>
    <w:rsid w:val="007A0344"/>
    <w:rsid w:val="007A086C"/>
    <w:rsid w:val="007A0CF7"/>
    <w:rsid w:val="007A0DEF"/>
    <w:rsid w:val="007A1839"/>
    <w:rsid w:val="007A1973"/>
    <w:rsid w:val="007A26FE"/>
    <w:rsid w:val="007A29A7"/>
    <w:rsid w:val="007A2AD9"/>
    <w:rsid w:val="007A2E17"/>
    <w:rsid w:val="007A3359"/>
    <w:rsid w:val="007A3406"/>
    <w:rsid w:val="007A3643"/>
    <w:rsid w:val="007A3A6B"/>
    <w:rsid w:val="007A3FBE"/>
    <w:rsid w:val="007A422E"/>
    <w:rsid w:val="007A4404"/>
    <w:rsid w:val="007A44BA"/>
    <w:rsid w:val="007A5108"/>
    <w:rsid w:val="007A512A"/>
    <w:rsid w:val="007A5A6F"/>
    <w:rsid w:val="007A5AA7"/>
    <w:rsid w:val="007A5B7A"/>
    <w:rsid w:val="007A5D46"/>
    <w:rsid w:val="007A5DAB"/>
    <w:rsid w:val="007A5E4D"/>
    <w:rsid w:val="007A70E3"/>
    <w:rsid w:val="007A74B6"/>
    <w:rsid w:val="007A77F5"/>
    <w:rsid w:val="007A7C6E"/>
    <w:rsid w:val="007A7DBF"/>
    <w:rsid w:val="007B03C1"/>
    <w:rsid w:val="007B0967"/>
    <w:rsid w:val="007B145B"/>
    <w:rsid w:val="007B1685"/>
    <w:rsid w:val="007B1D89"/>
    <w:rsid w:val="007B2590"/>
    <w:rsid w:val="007B26CC"/>
    <w:rsid w:val="007B2B35"/>
    <w:rsid w:val="007B3019"/>
    <w:rsid w:val="007B3061"/>
    <w:rsid w:val="007B3329"/>
    <w:rsid w:val="007B3512"/>
    <w:rsid w:val="007B3559"/>
    <w:rsid w:val="007B3919"/>
    <w:rsid w:val="007B4098"/>
    <w:rsid w:val="007B439B"/>
    <w:rsid w:val="007B44A1"/>
    <w:rsid w:val="007B4AB5"/>
    <w:rsid w:val="007B4B80"/>
    <w:rsid w:val="007B53BD"/>
    <w:rsid w:val="007B5AF9"/>
    <w:rsid w:val="007B65A9"/>
    <w:rsid w:val="007B681A"/>
    <w:rsid w:val="007B6908"/>
    <w:rsid w:val="007B6B30"/>
    <w:rsid w:val="007B6C0E"/>
    <w:rsid w:val="007B6CAD"/>
    <w:rsid w:val="007B6CD5"/>
    <w:rsid w:val="007B75C0"/>
    <w:rsid w:val="007B76F1"/>
    <w:rsid w:val="007B79EF"/>
    <w:rsid w:val="007B7BFA"/>
    <w:rsid w:val="007C04F1"/>
    <w:rsid w:val="007C058F"/>
    <w:rsid w:val="007C06C6"/>
    <w:rsid w:val="007C162C"/>
    <w:rsid w:val="007C1A2F"/>
    <w:rsid w:val="007C1BD1"/>
    <w:rsid w:val="007C259F"/>
    <w:rsid w:val="007C2941"/>
    <w:rsid w:val="007C2BE8"/>
    <w:rsid w:val="007C2D44"/>
    <w:rsid w:val="007C4889"/>
    <w:rsid w:val="007C49F3"/>
    <w:rsid w:val="007C4DF2"/>
    <w:rsid w:val="007C4EC0"/>
    <w:rsid w:val="007C5202"/>
    <w:rsid w:val="007C5242"/>
    <w:rsid w:val="007C5588"/>
    <w:rsid w:val="007C565F"/>
    <w:rsid w:val="007C67A4"/>
    <w:rsid w:val="007C67A5"/>
    <w:rsid w:val="007C680A"/>
    <w:rsid w:val="007C684F"/>
    <w:rsid w:val="007C6919"/>
    <w:rsid w:val="007C6AA3"/>
    <w:rsid w:val="007C6DBD"/>
    <w:rsid w:val="007C7071"/>
    <w:rsid w:val="007C7200"/>
    <w:rsid w:val="007C7207"/>
    <w:rsid w:val="007D0022"/>
    <w:rsid w:val="007D05AD"/>
    <w:rsid w:val="007D05DA"/>
    <w:rsid w:val="007D09C8"/>
    <w:rsid w:val="007D0E33"/>
    <w:rsid w:val="007D10DD"/>
    <w:rsid w:val="007D12DE"/>
    <w:rsid w:val="007D1898"/>
    <w:rsid w:val="007D1A35"/>
    <w:rsid w:val="007D1CE9"/>
    <w:rsid w:val="007D1E5F"/>
    <w:rsid w:val="007D21DA"/>
    <w:rsid w:val="007D2606"/>
    <w:rsid w:val="007D28DA"/>
    <w:rsid w:val="007D2E3D"/>
    <w:rsid w:val="007D346A"/>
    <w:rsid w:val="007D346B"/>
    <w:rsid w:val="007D37A8"/>
    <w:rsid w:val="007D3FDF"/>
    <w:rsid w:val="007D46E2"/>
    <w:rsid w:val="007D4E39"/>
    <w:rsid w:val="007D5719"/>
    <w:rsid w:val="007D611B"/>
    <w:rsid w:val="007D6D53"/>
    <w:rsid w:val="007D6E93"/>
    <w:rsid w:val="007D6FE6"/>
    <w:rsid w:val="007D7312"/>
    <w:rsid w:val="007D74B8"/>
    <w:rsid w:val="007D751F"/>
    <w:rsid w:val="007D7D7D"/>
    <w:rsid w:val="007E0419"/>
    <w:rsid w:val="007E12CF"/>
    <w:rsid w:val="007E13EE"/>
    <w:rsid w:val="007E1905"/>
    <w:rsid w:val="007E1A83"/>
    <w:rsid w:val="007E1B84"/>
    <w:rsid w:val="007E1D36"/>
    <w:rsid w:val="007E20C3"/>
    <w:rsid w:val="007E21D4"/>
    <w:rsid w:val="007E23C3"/>
    <w:rsid w:val="007E29FF"/>
    <w:rsid w:val="007E2B00"/>
    <w:rsid w:val="007E2C3D"/>
    <w:rsid w:val="007E2F55"/>
    <w:rsid w:val="007E2FB3"/>
    <w:rsid w:val="007E3105"/>
    <w:rsid w:val="007E3647"/>
    <w:rsid w:val="007E3B3E"/>
    <w:rsid w:val="007E3C56"/>
    <w:rsid w:val="007E41EE"/>
    <w:rsid w:val="007E45F5"/>
    <w:rsid w:val="007E4A46"/>
    <w:rsid w:val="007E4B8E"/>
    <w:rsid w:val="007E4BD1"/>
    <w:rsid w:val="007E4CD3"/>
    <w:rsid w:val="007E5F18"/>
    <w:rsid w:val="007E5F26"/>
    <w:rsid w:val="007E64FB"/>
    <w:rsid w:val="007E6635"/>
    <w:rsid w:val="007E688D"/>
    <w:rsid w:val="007E6B1E"/>
    <w:rsid w:val="007E6B58"/>
    <w:rsid w:val="007E6D84"/>
    <w:rsid w:val="007E7150"/>
    <w:rsid w:val="007E752C"/>
    <w:rsid w:val="007E77F3"/>
    <w:rsid w:val="007E7EAD"/>
    <w:rsid w:val="007F0FB9"/>
    <w:rsid w:val="007F1AC5"/>
    <w:rsid w:val="007F1E51"/>
    <w:rsid w:val="007F27FD"/>
    <w:rsid w:val="007F2CB4"/>
    <w:rsid w:val="007F2EFF"/>
    <w:rsid w:val="007F2F2B"/>
    <w:rsid w:val="007F30B6"/>
    <w:rsid w:val="007F362C"/>
    <w:rsid w:val="007F36C8"/>
    <w:rsid w:val="007F3B76"/>
    <w:rsid w:val="007F4985"/>
    <w:rsid w:val="007F49D3"/>
    <w:rsid w:val="007F5272"/>
    <w:rsid w:val="007F6B37"/>
    <w:rsid w:val="007F7488"/>
    <w:rsid w:val="007F7C9D"/>
    <w:rsid w:val="00800A6D"/>
    <w:rsid w:val="0080142F"/>
    <w:rsid w:val="0080149F"/>
    <w:rsid w:val="00801D4A"/>
    <w:rsid w:val="00801F7A"/>
    <w:rsid w:val="0080220D"/>
    <w:rsid w:val="008026E4"/>
    <w:rsid w:val="00802CA7"/>
    <w:rsid w:val="00803379"/>
    <w:rsid w:val="00803400"/>
    <w:rsid w:val="00803651"/>
    <w:rsid w:val="008037A1"/>
    <w:rsid w:val="008037A4"/>
    <w:rsid w:val="00803A6C"/>
    <w:rsid w:val="0080425A"/>
    <w:rsid w:val="008047A7"/>
    <w:rsid w:val="00804887"/>
    <w:rsid w:val="008048E2"/>
    <w:rsid w:val="00804A50"/>
    <w:rsid w:val="00804D7C"/>
    <w:rsid w:val="008055DD"/>
    <w:rsid w:val="008056FE"/>
    <w:rsid w:val="00805BD0"/>
    <w:rsid w:val="0080622C"/>
    <w:rsid w:val="00806270"/>
    <w:rsid w:val="008067AD"/>
    <w:rsid w:val="008069EC"/>
    <w:rsid w:val="00806C1F"/>
    <w:rsid w:val="00806D0E"/>
    <w:rsid w:val="008078FD"/>
    <w:rsid w:val="00807DD9"/>
    <w:rsid w:val="00807F15"/>
    <w:rsid w:val="00807F93"/>
    <w:rsid w:val="0080A371"/>
    <w:rsid w:val="008116FD"/>
    <w:rsid w:val="00811D37"/>
    <w:rsid w:val="00812223"/>
    <w:rsid w:val="0081239F"/>
    <w:rsid w:val="00812AD9"/>
    <w:rsid w:val="00812D72"/>
    <w:rsid w:val="00812DD6"/>
    <w:rsid w:val="008132AE"/>
    <w:rsid w:val="0081367D"/>
    <w:rsid w:val="00813782"/>
    <w:rsid w:val="0081391E"/>
    <w:rsid w:val="00813B52"/>
    <w:rsid w:val="00814812"/>
    <w:rsid w:val="00814DBE"/>
    <w:rsid w:val="008157EC"/>
    <w:rsid w:val="00815D25"/>
    <w:rsid w:val="00815FA2"/>
    <w:rsid w:val="00816249"/>
    <w:rsid w:val="008167AA"/>
    <w:rsid w:val="0081690E"/>
    <w:rsid w:val="00816BD5"/>
    <w:rsid w:val="00816D05"/>
    <w:rsid w:val="00817183"/>
    <w:rsid w:val="00817A5D"/>
    <w:rsid w:val="00817B0C"/>
    <w:rsid w:val="00817DC6"/>
    <w:rsid w:val="0082009F"/>
    <w:rsid w:val="00820303"/>
    <w:rsid w:val="00820666"/>
    <w:rsid w:val="008208E4"/>
    <w:rsid w:val="008209D4"/>
    <w:rsid w:val="00821259"/>
    <w:rsid w:val="00821C68"/>
    <w:rsid w:val="00821DFD"/>
    <w:rsid w:val="0082201D"/>
    <w:rsid w:val="008227B5"/>
    <w:rsid w:val="008232C9"/>
    <w:rsid w:val="008232EC"/>
    <w:rsid w:val="0082383C"/>
    <w:rsid w:val="008244B3"/>
    <w:rsid w:val="00824983"/>
    <w:rsid w:val="008249D4"/>
    <w:rsid w:val="00824BD3"/>
    <w:rsid w:val="00825A8C"/>
    <w:rsid w:val="00825CF3"/>
    <w:rsid w:val="0082675D"/>
    <w:rsid w:val="00827208"/>
    <w:rsid w:val="00827278"/>
    <w:rsid w:val="00827398"/>
    <w:rsid w:val="008278C4"/>
    <w:rsid w:val="00827B9F"/>
    <w:rsid w:val="00827DAA"/>
    <w:rsid w:val="00830974"/>
    <w:rsid w:val="00830B71"/>
    <w:rsid w:val="00830F75"/>
    <w:rsid w:val="008315D0"/>
    <w:rsid w:val="008318BE"/>
    <w:rsid w:val="008319C9"/>
    <w:rsid w:val="00831C7A"/>
    <w:rsid w:val="0083300D"/>
    <w:rsid w:val="00833CC2"/>
    <w:rsid w:val="00833F1A"/>
    <w:rsid w:val="00834834"/>
    <w:rsid w:val="0083568D"/>
    <w:rsid w:val="00835F9E"/>
    <w:rsid w:val="00836C3E"/>
    <w:rsid w:val="008373B5"/>
    <w:rsid w:val="008376F9"/>
    <w:rsid w:val="0084087B"/>
    <w:rsid w:val="00840A46"/>
    <w:rsid w:val="00840ED5"/>
    <w:rsid w:val="00841709"/>
    <w:rsid w:val="008425F8"/>
    <w:rsid w:val="0084310E"/>
    <w:rsid w:val="0084312E"/>
    <w:rsid w:val="00843632"/>
    <w:rsid w:val="008436ED"/>
    <w:rsid w:val="0084433F"/>
    <w:rsid w:val="00844D10"/>
    <w:rsid w:val="00845518"/>
    <w:rsid w:val="00845875"/>
    <w:rsid w:val="00845F47"/>
    <w:rsid w:val="00846144"/>
    <w:rsid w:val="0084627A"/>
    <w:rsid w:val="0084685C"/>
    <w:rsid w:val="00846B8C"/>
    <w:rsid w:val="00846C6B"/>
    <w:rsid w:val="00846C8E"/>
    <w:rsid w:val="00846EF1"/>
    <w:rsid w:val="00847459"/>
    <w:rsid w:val="008474D8"/>
    <w:rsid w:val="00847EDC"/>
    <w:rsid w:val="00847FD9"/>
    <w:rsid w:val="00850052"/>
    <w:rsid w:val="008503A5"/>
    <w:rsid w:val="00850624"/>
    <w:rsid w:val="00850CED"/>
    <w:rsid w:val="00850DDD"/>
    <w:rsid w:val="00851415"/>
    <w:rsid w:val="00851723"/>
    <w:rsid w:val="0085211E"/>
    <w:rsid w:val="00852125"/>
    <w:rsid w:val="008522E0"/>
    <w:rsid w:val="0085244A"/>
    <w:rsid w:val="0085265F"/>
    <w:rsid w:val="008527B1"/>
    <w:rsid w:val="008530DE"/>
    <w:rsid w:val="008537E9"/>
    <w:rsid w:val="008538EA"/>
    <w:rsid w:val="00853BB2"/>
    <w:rsid w:val="00854248"/>
    <w:rsid w:val="00854382"/>
    <w:rsid w:val="00854A18"/>
    <w:rsid w:val="00854E37"/>
    <w:rsid w:val="00855230"/>
    <w:rsid w:val="00855716"/>
    <w:rsid w:val="0085609B"/>
    <w:rsid w:val="008568EA"/>
    <w:rsid w:val="00856BF2"/>
    <w:rsid w:val="00856CAE"/>
    <w:rsid w:val="00856FDC"/>
    <w:rsid w:val="008573DD"/>
    <w:rsid w:val="00857451"/>
    <w:rsid w:val="0086026E"/>
    <w:rsid w:val="0086045C"/>
    <w:rsid w:val="00860574"/>
    <w:rsid w:val="00860B5F"/>
    <w:rsid w:val="00861BA1"/>
    <w:rsid w:val="00861CBF"/>
    <w:rsid w:val="00862C58"/>
    <w:rsid w:val="00863626"/>
    <w:rsid w:val="008637F3"/>
    <w:rsid w:val="00863856"/>
    <w:rsid w:val="00863E55"/>
    <w:rsid w:val="00864700"/>
    <w:rsid w:val="0086474E"/>
    <w:rsid w:val="008647A8"/>
    <w:rsid w:val="008647E3"/>
    <w:rsid w:val="00864B93"/>
    <w:rsid w:val="00864CDD"/>
    <w:rsid w:val="0086551F"/>
    <w:rsid w:val="008659AF"/>
    <w:rsid w:val="00865E22"/>
    <w:rsid w:val="008660A8"/>
    <w:rsid w:val="00866ECD"/>
    <w:rsid w:val="00867318"/>
    <w:rsid w:val="0086750F"/>
    <w:rsid w:val="0086783C"/>
    <w:rsid w:val="008678CB"/>
    <w:rsid w:val="00867C41"/>
    <w:rsid w:val="00870839"/>
    <w:rsid w:val="00870B17"/>
    <w:rsid w:val="00870DD7"/>
    <w:rsid w:val="0087119F"/>
    <w:rsid w:val="00871DE7"/>
    <w:rsid w:val="0087264E"/>
    <w:rsid w:val="008727C7"/>
    <w:rsid w:val="0087331B"/>
    <w:rsid w:val="00873BF9"/>
    <w:rsid w:val="00873D29"/>
    <w:rsid w:val="00873F0A"/>
    <w:rsid w:val="008740C5"/>
    <w:rsid w:val="0087478A"/>
    <w:rsid w:val="008752FE"/>
    <w:rsid w:val="00875706"/>
    <w:rsid w:val="00876864"/>
    <w:rsid w:val="008768EB"/>
    <w:rsid w:val="0087764E"/>
    <w:rsid w:val="008805EB"/>
    <w:rsid w:val="008805FE"/>
    <w:rsid w:val="0088067C"/>
    <w:rsid w:val="00880817"/>
    <w:rsid w:val="00880C88"/>
    <w:rsid w:val="00880F6C"/>
    <w:rsid w:val="00881087"/>
    <w:rsid w:val="00881901"/>
    <w:rsid w:val="00881DEB"/>
    <w:rsid w:val="00881E8E"/>
    <w:rsid w:val="00881F68"/>
    <w:rsid w:val="00881FA9"/>
    <w:rsid w:val="00882510"/>
    <w:rsid w:val="00882C82"/>
    <w:rsid w:val="0088307E"/>
    <w:rsid w:val="00883A4C"/>
    <w:rsid w:val="00884186"/>
    <w:rsid w:val="00884728"/>
    <w:rsid w:val="0088552C"/>
    <w:rsid w:val="008855D9"/>
    <w:rsid w:val="008856AD"/>
    <w:rsid w:val="008858DB"/>
    <w:rsid w:val="008859E8"/>
    <w:rsid w:val="00885BD9"/>
    <w:rsid w:val="00885D03"/>
    <w:rsid w:val="00885ED7"/>
    <w:rsid w:val="00885FCB"/>
    <w:rsid w:val="008866A7"/>
    <w:rsid w:val="0088698E"/>
    <w:rsid w:val="008875BF"/>
    <w:rsid w:val="00887DE6"/>
    <w:rsid w:val="008901F1"/>
    <w:rsid w:val="0089037A"/>
    <w:rsid w:val="0089048A"/>
    <w:rsid w:val="00890F70"/>
    <w:rsid w:val="008912FF"/>
    <w:rsid w:val="00891A48"/>
    <w:rsid w:val="00892376"/>
    <w:rsid w:val="00892578"/>
    <w:rsid w:val="008927C9"/>
    <w:rsid w:val="00892F90"/>
    <w:rsid w:val="008930F2"/>
    <w:rsid w:val="00893990"/>
    <w:rsid w:val="008945E3"/>
    <w:rsid w:val="00894B5A"/>
    <w:rsid w:val="00894FE8"/>
    <w:rsid w:val="00895708"/>
    <w:rsid w:val="00895C5B"/>
    <w:rsid w:val="00895ED2"/>
    <w:rsid w:val="0089621A"/>
    <w:rsid w:val="0089663F"/>
    <w:rsid w:val="0089665F"/>
    <w:rsid w:val="00896B5C"/>
    <w:rsid w:val="00896F4E"/>
    <w:rsid w:val="00897210"/>
    <w:rsid w:val="00897223"/>
    <w:rsid w:val="00897F50"/>
    <w:rsid w:val="008A0038"/>
    <w:rsid w:val="008A013A"/>
    <w:rsid w:val="008A07EF"/>
    <w:rsid w:val="008A089F"/>
    <w:rsid w:val="008A1BA1"/>
    <w:rsid w:val="008A1BB7"/>
    <w:rsid w:val="008A2677"/>
    <w:rsid w:val="008A294A"/>
    <w:rsid w:val="008A29C0"/>
    <w:rsid w:val="008A2A73"/>
    <w:rsid w:val="008A3533"/>
    <w:rsid w:val="008A35C8"/>
    <w:rsid w:val="008A3940"/>
    <w:rsid w:val="008A3AED"/>
    <w:rsid w:val="008A49E9"/>
    <w:rsid w:val="008A4E8F"/>
    <w:rsid w:val="008A5823"/>
    <w:rsid w:val="008A592D"/>
    <w:rsid w:val="008A5C6C"/>
    <w:rsid w:val="008A5EE6"/>
    <w:rsid w:val="008A614F"/>
    <w:rsid w:val="008A650C"/>
    <w:rsid w:val="008A6513"/>
    <w:rsid w:val="008A65AA"/>
    <w:rsid w:val="008A6796"/>
    <w:rsid w:val="008A6927"/>
    <w:rsid w:val="008A6EDF"/>
    <w:rsid w:val="008A71A1"/>
    <w:rsid w:val="008A74DB"/>
    <w:rsid w:val="008B061F"/>
    <w:rsid w:val="008B06F4"/>
    <w:rsid w:val="008B0FB2"/>
    <w:rsid w:val="008B144C"/>
    <w:rsid w:val="008B1BBD"/>
    <w:rsid w:val="008B1D39"/>
    <w:rsid w:val="008B1D7B"/>
    <w:rsid w:val="008B1DF3"/>
    <w:rsid w:val="008B20F7"/>
    <w:rsid w:val="008B259A"/>
    <w:rsid w:val="008B2887"/>
    <w:rsid w:val="008B29BC"/>
    <w:rsid w:val="008B2A59"/>
    <w:rsid w:val="008B2BD9"/>
    <w:rsid w:val="008B3009"/>
    <w:rsid w:val="008B33C6"/>
    <w:rsid w:val="008B3994"/>
    <w:rsid w:val="008B399C"/>
    <w:rsid w:val="008B471D"/>
    <w:rsid w:val="008B4C3A"/>
    <w:rsid w:val="008B4E05"/>
    <w:rsid w:val="008B524A"/>
    <w:rsid w:val="008B52F9"/>
    <w:rsid w:val="008B5406"/>
    <w:rsid w:val="008B59DC"/>
    <w:rsid w:val="008B60A3"/>
    <w:rsid w:val="008B60D2"/>
    <w:rsid w:val="008B691D"/>
    <w:rsid w:val="008B6F3A"/>
    <w:rsid w:val="008B7213"/>
    <w:rsid w:val="008B7785"/>
    <w:rsid w:val="008B7B84"/>
    <w:rsid w:val="008C0FC0"/>
    <w:rsid w:val="008C10A6"/>
    <w:rsid w:val="008C136C"/>
    <w:rsid w:val="008C19D6"/>
    <w:rsid w:val="008C20AD"/>
    <w:rsid w:val="008C24A8"/>
    <w:rsid w:val="008C250C"/>
    <w:rsid w:val="008C263A"/>
    <w:rsid w:val="008C327A"/>
    <w:rsid w:val="008C401B"/>
    <w:rsid w:val="008C403E"/>
    <w:rsid w:val="008C42B0"/>
    <w:rsid w:val="008C4628"/>
    <w:rsid w:val="008C47AC"/>
    <w:rsid w:val="008C48B6"/>
    <w:rsid w:val="008C59A1"/>
    <w:rsid w:val="008C5DBE"/>
    <w:rsid w:val="008C5E62"/>
    <w:rsid w:val="008C6CDC"/>
    <w:rsid w:val="008C71AB"/>
    <w:rsid w:val="008C7299"/>
    <w:rsid w:val="008C7589"/>
    <w:rsid w:val="008C75D7"/>
    <w:rsid w:val="008C7782"/>
    <w:rsid w:val="008C7B9A"/>
    <w:rsid w:val="008D002D"/>
    <w:rsid w:val="008D04E4"/>
    <w:rsid w:val="008D0CA7"/>
    <w:rsid w:val="008D0CE7"/>
    <w:rsid w:val="008D0D10"/>
    <w:rsid w:val="008D1165"/>
    <w:rsid w:val="008D13B1"/>
    <w:rsid w:val="008D1946"/>
    <w:rsid w:val="008D1961"/>
    <w:rsid w:val="008D1A2D"/>
    <w:rsid w:val="008D1A9E"/>
    <w:rsid w:val="008D1B45"/>
    <w:rsid w:val="008D1B7B"/>
    <w:rsid w:val="008D1C82"/>
    <w:rsid w:val="008D1E29"/>
    <w:rsid w:val="008D23EF"/>
    <w:rsid w:val="008D262A"/>
    <w:rsid w:val="008D34E5"/>
    <w:rsid w:val="008D4252"/>
    <w:rsid w:val="008D42CB"/>
    <w:rsid w:val="008D46BD"/>
    <w:rsid w:val="008D4937"/>
    <w:rsid w:val="008D49EF"/>
    <w:rsid w:val="008D4AA3"/>
    <w:rsid w:val="008D5888"/>
    <w:rsid w:val="008D5B73"/>
    <w:rsid w:val="008D636F"/>
    <w:rsid w:val="008D65E2"/>
    <w:rsid w:val="008D6632"/>
    <w:rsid w:val="008D6669"/>
    <w:rsid w:val="008D6B81"/>
    <w:rsid w:val="008D7A19"/>
    <w:rsid w:val="008E03D7"/>
    <w:rsid w:val="008E091A"/>
    <w:rsid w:val="008E0930"/>
    <w:rsid w:val="008E0FC8"/>
    <w:rsid w:val="008E1007"/>
    <w:rsid w:val="008E14A5"/>
    <w:rsid w:val="008E1D25"/>
    <w:rsid w:val="008E1ED2"/>
    <w:rsid w:val="008E1F58"/>
    <w:rsid w:val="008E21EF"/>
    <w:rsid w:val="008E23BA"/>
    <w:rsid w:val="008E251B"/>
    <w:rsid w:val="008E2537"/>
    <w:rsid w:val="008E27CA"/>
    <w:rsid w:val="008E2D9F"/>
    <w:rsid w:val="008E3104"/>
    <w:rsid w:val="008E3521"/>
    <w:rsid w:val="008E3904"/>
    <w:rsid w:val="008E471C"/>
    <w:rsid w:val="008E4B17"/>
    <w:rsid w:val="008E4F05"/>
    <w:rsid w:val="008E50F0"/>
    <w:rsid w:val="008E5B3B"/>
    <w:rsid w:val="008E5DC7"/>
    <w:rsid w:val="008E5DDA"/>
    <w:rsid w:val="008E618E"/>
    <w:rsid w:val="008E622E"/>
    <w:rsid w:val="008E6CA3"/>
    <w:rsid w:val="008E6EB2"/>
    <w:rsid w:val="008E74FA"/>
    <w:rsid w:val="008F009F"/>
    <w:rsid w:val="008F0393"/>
    <w:rsid w:val="008F06A7"/>
    <w:rsid w:val="008F06AD"/>
    <w:rsid w:val="008F077F"/>
    <w:rsid w:val="008F0A61"/>
    <w:rsid w:val="008F145C"/>
    <w:rsid w:val="008F1588"/>
    <w:rsid w:val="008F159F"/>
    <w:rsid w:val="008F16DA"/>
    <w:rsid w:val="008F1759"/>
    <w:rsid w:val="008F1A9F"/>
    <w:rsid w:val="008F1FCC"/>
    <w:rsid w:val="008F2121"/>
    <w:rsid w:val="008F3C34"/>
    <w:rsid w:val="008F4479"/>
    <w:rsid w:val="008F476A"/>
    <w:rsid w:val="008F4F2D"/>
    <w:rsid w:val="008F56B6"/>
    <w:rsid w:val="008F6AF4"/>
    <w:rsid w:val="008F7186"/>
    <w:rsid w:val="008F75C1"/>
    <w:rsid w:val="00900097"/>
    <w:rsid w:val="009002EA"/>
    <w:rsid w:val="00900404"/>
    <w:rsid w:val="00900628"/>
    <w:rsid w:val="00900985"/>
    <w:rsid w:val="009009F6"/>
    <w:rsid w:val="00900C5D"/>
    <w:rsid w:val="00901180"/>
    <w:rsid w:val="00901548"/>
    <w:rsid w:val="00901FC9"/>
    <w:rsid w:val="00902071"/>
    <w:rsid w:val="009024D0"/>
    <w:rsid w:val="009028F5"/>
    <w:rsid w:val="00902BF6"/>
    <w:rsid w:val="00903003"/>
    <w:rsid w:val="0090311B"/>
    <w:rsid w:val="009034C2"/>
    <w:rsid w:val="0090373D"/>
    <w:rsid w:val="00903820"/>
    <w:rsid w:val="009038C1"/>
    <w:rsid w:val="00903B61"/>
    <w:rsid w:val="00904EE5"/>
    <w:rsid w:val="00905216"/>
    <w:rsid w:val="009062B2"/>
    <w:rsid w:val="00906396"/>
    <w:rsid w:val="0090673D"/>
    <w:rsid w:val="009068C9"/>
    <w:rsid w:val="00906A3F"/>
    <w:rsid w:val="00906C5B"/>
    <w:rsid w:val="0090701D"/>
    <w:rsid w:val="0090763E"/>
    <w:rsid w:val="00907959"/>
    <w:rsid w:val="00907A3A"/>
    <w:rsid w:val="00907ABD"/>
    <w:rsid w:val="00907ADB"/>
    <w:rsid w:val="009102C5"/>
    <w:rsid w:val="009104C5"/>
    <w:rsid w:val="0091064A"/>
    <w:rsid w:val="00910D57"/>
    <w:rsid w:val="009113CE"/>
    <w:rsid w:val="009116DC"/>
    <w:rsid w:val="009118C1"/>
    <w:rsid w:val="00911C9B"/>
    <w:rsid w:val="00911E40"/>
    <w:rsid w:val="00912106"/>
    <w:rsid w:val="00912632"/>
    <w:rsid w:val="009128DA"/>
    <w:rsid w:val="00913075"/>
    <w:rsid w:val="00913375"/>
    <w:rsid w:val="009135D9"/>
    <w:rsid w:val="00913BB1"/>
    <w:rsid w:val="0091404C"/>
    <w:rsid w:val="009142AE"/>
    <w:rsid w:val="0091445A"/>
    <w:rsid w:val="00914703"/>
    <w:rsid w:val="00914D9C"/>
    <w:rsid w:val="00914E05"/>
    <w:rsid w:val="00914F12"/>
    <w:rsid w:val="0091573D"/>
    <w:rsid w:val="009157E3"/>
    <w:rsid w:val="00915984"/>
    <w:rsid w:val="00916482"/>
    <w:rsid w:val="0091703F"/>
    <w:rsid w:val="0091756C"/>
    <w:rsid w:val="00917613"/>
    <w:rsid w:val="00917B6F"/>
    <w:rsid w:val="00917BA3"/>
    <w:rsid w:val="00917CC9"/>
    <w:rsid w:val="009209EA"/>
    <w:rsid w:val="00920AD5"/>
    <w:rsid w:val="0092107A"/>
    <w:rsid w:val="0092112B"/>
    <w:rsid w:val="0092172C"/>
    <w:rsid w:val="00921ABA"/>
    <w:rsid w:val="00921E99"/>
    <w:rsid w:val="009225C1"/>
    <w:rsid w:val="0092289B"/>
    <w:rsid w:val="00922DB7"/>
    <w:rsid w:val="00923427"/>
    <w:rsid w:val="00923785"/>
    <w:rsid w:val="009237D2"/>
    <w:rsid w:val="009241A2"/>
    <w:rsid w:val="00924516"/>
    <w:rsid w:val="009249A7"/>
    <w:rsid w:val="0092552F"/>
    <w:rsid w:val="00925887"/>
    <w:rsid w:val="00925AD6"/>
    <w:rsid w:val="00925B58"/>
    <w:rsid w:val="0092625F"/>
    <w:rsid w:val="00926395"/>
    <w:rsid w:val="00926FC9"/>
    <w:rsid w:val="009275EE"/>
    <w:rsid w:val="0093041D"/>
    <w:rsid w:val="00930475"/>
    <w:rsid w:val="009304B7"/>
    <w:rsid w:val="009311C1"/>
    <w:rsid w:val="00931454"/>
    <w:rsid w:val="009316BE"/>
    <w:rsid w:val="009318F9"/>
    <w:rsid w:val="00931C31"/>
    <w:rsid w:val="0093322D"/>
    <w:rsid w:val="009333AF"/>
    <w:rsid w:val="00933744"/>
    <w:rsid w:val="009338F9"/>
    <w:rsid w:val="0093406D"/>
    <w:rsid w:val="009343D9"/>
    <w:rsid w:val="0093445F"/>
    <w:rsid w:val="009345CF"/>
    <w:rsid w:val="009347CC"/>
    <w:rsid w:val="00934B2F"/>
    <w:rsid w:val="00934D0B"/>
    <w:rsid w:val="00934EB8"/>
    <w:rsid w:val="00935286"/>
    <w:rsid w:val="009352CD"/>
    <w:rsid w:val="00935514"/>
    <w:rsid w:val="00935F1B"/>
    <w:rsid w:val="00936051"/>
    <w:rsid w:val="00936066"/>
    <w:rsid w:val="009361E1"/>
    <w:rsid w:val="00936232"/>
    <w:rsid w:val="00936D48"/>
    <w:rsid w:val="009371FC"/>
    <w:rsid w:val="0093723B"/>
    <w:rsid w:val="009372A1"/>
    <w:rsid w:val="00937392"/>
    <w:rsid w:val="00937436"/>
    <w:rsid w:val="009402E5"/>
    <w:rsid w:val="009403AA"/>
    <w:rsid w:val="009407CA"/>
    <w:rsid w:val="009411C7"/>
    <w:rsid w:val="00941253"/>
    <w:rsid w:val="009418D2"/>
    <w:rsid w:val="00941FEB"/>
    <w:rsid w:val="00942237"/>
    <w:rsid w:val="009422AB"/>
    <w:rsid w:val="00942508"/>
    <w:rsid w:val="009430C7"/>
    <w:rsid w:val="009434D3"/>
    <w:rsid w:val="00943725"/>
    <w:rsid w:val="00943B76"/>
    <w:rsid w:val="00944063"/>
    <w:rsid w:val="0094406B"/>
    <w:rsid w:val="0094484C"/>
    <w:rsid w:val="009449B9"/>
    <w:rsid w:val="00945637"/>
    <w:rsid w:val="0094568A"/>
    <w:rsid w:val="00945D0D"/>
    <w:rsid w:val="00945EBD"/>
    <w:rsid w:val="00945FC7"/>
    <w:rsid w:val="0094621D"/>
    <w:rsid w:val="0094783D"/>
    <w:rsid w:val="00947FFE"/>
    <w:rsid w:val="00950C08"/>
    <w:rsid w:val="00950E85"/>
    <w:rsid w:val="009519F8"/>
    <w:rsid w:val="0095287C"/>
    <w:rsid w:val="00953404"/>
    <w:rsid w:val="00953456"/>
    <w:rsid w:val="00954463"/>
    <w:rsid w:val="0095461A"/>
    <w:rsid w:val="00954C21"/>
    <w:rsid w:val="00954D7F"/>
    <w:rsid w:val="00954E62"/>
    <w:rsid w:val="00954FDC"/>
    <w:rsid w:val="00954FF6"/>
    <w:rsid w:val="009557D6"/>
    <w:rsid w:val="00955A59"/>
    <w:rsid w:val="00955A5E"/>
    <w:rsid w:val="00955F02"/>
    <w:rsid w:val="00956452"/>
    <w:rsid w:val="0095648D"/>
    <w:rsid w:val="009566F8"/>
    <w:rsid w:val="00956A6D"/>
    <w:rsid w:val="00956AF8"/>
    <w:rsid w:val="00956E30"/>
    <w:rsid w:val="009578C6"/>
    <w:rsid w:val="00960016"/>
    <w:rsid w:val="00960278"/>
    <w:rsid w:val="00960535"/>
    <w:rsid w:val="00960630"/>
    <w:rsid w:val="009606D5"/>
    <w:rsid w:val="00960BA3"/>
    <w:rsid w:val="00960EC5"/>
    <w:rsid w:val="00961998"/>
    <w:rsid w:val="00961D23"/>
    <w:rsid w:val="00961D41"/>
    <w:rsid w:val="009621A6"/>
    <w:rsid w:val="00962633"/>
    <w:rsid w:val="0096331C"/>
    <w:rsid w:val="0096357C"/>
    <w:rsid w:val="0096394B"/>
    <w:rsid w:val="00964760"/>
    <w:rsid w:val="00964B47"/>
    <w:rsid w:val="00964BA5"/>
    <w:rsid w:val="00964EB6"/>
    <w:rsid w:val="009651A2"/>
    <w:rsid w:val="00965296"/>
    <w:rsid w:val="009653D1"/>
    <w:rsid w:val="00965DDE"/>
    <w:rsid w:val="00966EA9"/>
    <w:rsid w:val="009670FC"/>
    <w:rsid w:val="009672DC"/>
    <w:rsid w:val="009674E6"/>
    <w:rsid w:val="00967858"/>
    <w:rsid w:val="00967A19"/>
    <w:rsid w:val="00967D4F"/>
    <w:rsid w:val="00970DFA"/>
    <w:rsid w:val="00970F71"/>
    <w:rsid w:val="009710DF"/>
    <w:rsid w:val="00971669"/>
    <w:rsid w:val="00971E69"/>
    <w:rsid w:val="0097210A"/>
    <w:rsid w:val="00972176"/>
    <w:rsid w:val="00972334"/>
    <w:rsid w:val="00972523"/>
    <w:rsid w:val="009725BB"/>
    <w:rsid w:val="00972679"/>
    <w:rsid w:val="00972BC3"/>
    <w:rsid w:val="00973629"/>
    <w:rsid w:val="00973EF9"/>
    <w:rsid w:val="009749A1"/>
    <w:rsid w:val="009754B9"/>
    <w:rsid w:val="00976600"/>
    <w:rsid w:val="0097662D"/>
    <w:rsid w:val="00976644"/>
    <w:rsid w:val="00976A4D"/>
    <w:rsid w:val="00976AAE"/>
    <w:rsid w:val="00976E91"/>
    <w:rsid w:val="00977523"/>
    <w:rsid w:val="0097755F"/>
    <w:rsid w:val="00977605"/>
    <w:rsid w:val="00977682"/>
    <w:rsid w:val="0098068C"/>
    <w:rsid w:val="009813F4"/>
    <w:rsid w:val="009819C6"/>
    <w:rsid w:val="00982955"/>
    <w:rsid w:val="00982C17"/>
    <w:rsid w:val="00982D35"/>
    <w:rsid w:val="00983343"/>
    <w:rsid w:val="00983C54"/>
    <w:rsid w:val="00983E37"/>
    <w:rsid w:val="00983F63"/>
    <w:rsid w:val="009842A9"/>
    <w:rsid w:val="009846F1"/>
    <w:rsid w:val="00984786"/>
    <w:rsid w:val="0098494B"/>
    <w:rsid w:val="00984DA9"/>
    <w:rsid w:val="00984E63"/>
    <w:rsid w:val="00984F17"/>
    <w:rsid w:val="00984FD8"/>
    <w:rsid w:val="00985549"/>
    <w:rsid w:val="00985637"/>
    <w:rsid w:val="00985669"/>
    <w:rsid w:val="00985774"/>
    <w:rsid w:val="00985E37"/>
    <w:rsid w:val="00986CED"/>
    <w:rsid w:val="009873DA"/>
    <w:rsid w:val="009877EE"/>
    <w:rsid w:val="00987892"/>
    <w:rsid w:val="00990E40"/>
    <w:rsid w:val="00991811"/>
    <w:rsid w:val="00991B3E"/>
    <w:rsid w:val="00992273"/>
    <w:rsid w:val="009923A2"/>
    <w:rsid w:val="00992612"/>
    <w:rsid w:val="0099288E"/>
    <w:rsid w:val="00992D70"/>
    <w:rsid w:val="00992F98"/>
    <w:rsid w:val="00993647"/>
    <w:rsid w:val="00993B75"/>
    <w:rsid w:val="00993B9B"/>
    <w:rsid w:val="00993EAF"/>
    <w:rsid w:val="0099444D"/>
    <w:rsid w:val="0099571C"/>
    <w:rsid w:val="00995CC9"/>
    <w:rsid w:val="00996172"/>
    <w:rsid w:val="00996308"/>
    <w:rsid w:val="00996554"/>
    <w:rsid w:val="00996FEF"/>
    <w:rsid w:val="0099794A"/>
    <w:rsid w:val="00997F93"/>
    <w:rsid w:val="009A0320"/>
    <w:rsid w:val="009A0729"/>
    <w:rsid w:val="009A0839"/>
    <w:rsid w:val="009A0AFF"/>
    <w:rsid w:val="009A0C2D"/>
    <w:rsid w:val="009A0E8A"/>
    <w:rsid w:val="009A17D9"/>
    <w:rsid w:val="009A1846"/>
    <w:rsid w:val="009A211A"/>
    <w:rsid w:val="009A2297"/>
    <w:rsid w:val="009A2FF0"/>
    <w:rsid w:val="009A3082"/>
    <w:rsid w:val="009A3205"/>
    <w:rsid w:val="009A32D1"/>
    <w:rsid w:val="009A3542"/>
    <w:rsid w:val="009A3620"/>
    <w:rsid w:val="009A3DC4"/>
    <w:rsid w:val="009A491A"/>
    <w:rsid w:val="009A4A03"/>
    <w:rsid w:val="009A4B04"/>
    <w:rsid w:val="009A4BC9"/>
    <w:rsid w:val="009A4E35"/>
    <w:rsid w:val="009A4FD0"/>
    <w:rsid w:val="009A50E5"/>
    <w:rsid w:val="009A522F"/>
    <w:rsid w:val="009A5656"/>
    <w:rsid w:val="009A5A35"/>
    <w:rsid w:val="009A6211"/>
    <w:rsid w:val="009A721B"/>
    <w:rsid w:val="009A740C"/>
    <w:rsid w:val="009A748F"/>
    <w:rsid w:val="009A7A01"/>
    <w:rsid w:val="009A7BE9"/>
    <w:rsid w:val="009B0A6E"/>
    <w:rsid w:val="009B0C25"/>
    <w:rsid w:val="009B1034"/>
    <w:rsid w:val="009B1040"/>
    <w:rsid w:val="009B117B"/>
    <w:rsid w:val="009B12AC"/>
    <w:rsid w:val="009B1524"/>
    <w:rsid w:val="009B2D70"/>
    <w:rsid w:val="009B2FA6"/>
    <w:rsid w:val="009B30DC"/>
    <w:rsid w:val="009B3443"/>
    <w:rsid w:val="009B37F3"/>
    <w:rsid w:val="009B3E89"/>
    <w:rsid w:val="009B4210"/>
    <w:rsid w:val="009B4989"/>
    <w:rsid w:val="009B582C"/>
    <w:rsid w:val="009B6A65"/>
    <w:rsid w:val="009B6B0A"/>
    <w:rsid w:val="009B752A"/>
    <w:rsid w:val="009B7C5A"/>
    <w:rsid w:val="009B7CA1"/>
    <w:rsid w:val="009B7D1B"/>
    <w:rsid w:val="009B7E6E"/>
    <w:rsid w:val="009C004D"/>
    <w:rsid w:val="009C083B"/>
    <w:rsid w:val="009C084F"/>
    <w:rsid w:val="009C0A31"/>
    <w:rsid w:val="009C14D4"/>
    <w:rsid w:val="009C21AB"/>
    <w:rsid w:val="009C2537"/>
    <w:rsid w:val="009C276D"/>
    <w:rsid w:val="009C284A"/>
    <w:rsid w:val="009C2A2B"/>
    <w:rsid w:val="009C2C26"/>
    <w:rsid w:val="009C2F34"/>
    <w:rsid w:val="009C3205"/>
    <w:rsid w:val="009C32A6"/>
    <w:rsid w:val="009C3B6F"/>
    <w:rsid w:val="009C3E09"/>
    <w:rsid w:val="009C4365"/>
    <w:rsid w:val="009C4723"/>
    <w:rsid w:val="009C4DDA"/>
    <w:rsid w:val="009C4E82"/>
    <w:rsid w:val="009C5508"/>
    <w:rsid w:val="009C5754"/>
    <w:rsid w:val="009C5ECE"/>
    <w:rsid w:val="009C6577"/>
    <w:rsid w:val="009C6728"/>
    <w:rsid w:val="009C7B00"/>
    <w:rsid w:val="009C7DBF"/>
    <w:rsid w:val="009D051E"/>
    <w:rsid w:val="009D11B9"/>
    <w:rsid w:val="009D138D"/>
    <w:rsid w:val="009D1819"/>
    <w:rsid w:val="009D1E67"/>
    <w:rsid w:val="009D1FCE"/>
    <w:rsid w:val="009D2445"/>
    <w:rsid w:val="009D2612"/>
    <w:rsid w:val="009D2759"/>
    <w:rsid w:val="009D31BD"/>
    <w:rsid w:val="009D35A9"/>
    <w:rsid w:val="009D3D0C"/>
    <w:rsid w:val="009D3D26"/>
    <w:rsid w:val="009D40F6"/>
    <w:rsid w:val="009D41F4"/>
    <w:rsid w:val="009D46A5"/>
    <w:rsid w:val="009D4815"/>
    <w:rsid w:val="009D48AE"/>
    <w:rsid w:val="009D490C"/>
    <w:rsid w:val="009D4C18"/>
    <w:rsid w:val="009D4FB7"/>
    <w:rsid w:val="009D5BEE"/>
    <w:rsid w:val="009D66E8"/>
    <w:rsid w:val="009D6E3D"/>
    <w:rsid w:val="009D7042"/>
    <w:rsid w:val="009D754A"/>
    <w:rsid w:val="009D7C11"/>
    <w:rsid w:val="009D7E13"/>
    <w:rsid w:val="009E05E6"/>
    <w:rsid w:val="009E0C53"/>
    <w:rsid w:val="009E0CAD"/>
    <w:rsid w:val="009E0D16"/>
    <w:rsid w:val="009E131A"/>
    <w:rsid w:val="009E1856"/>
    <w:rsid w:val="009E185E"/>
    <w:rsid w:val="009E1D20"/>
    <w:rsid w:val="009E253B"/>
    <w:rsid w:val="009E2AD6"/>
    <w:rsid w:val="009E2B8A"/>
    <w:rsid w:val="009E2D92"/>
    <w:rsid w:val="009E2E09"/>
    <w:rsid w:val="009E3409"/>
    <w:rsid w:val="009E35D2"/>
    <w:rsid w:val="009E3612"/>
    <w:rsid w:val="009E416B"/>
    <w:rsid w:val="009E4230"/>
    <w:rsid w:val="009E456F"/>
    <w:rsid w:val="009E4749"/>
    <w:rsid w:val="009E48D9"/>
    <w:rsid w:val="009E4C49"/>
    <w:rsid w:val="009E4C6A"/>
    <w:rsid w:val="009E4DDF"/>
    <w:rsid w:val="009E52AB"/>
    <w:rsid w:val="009E52F2"/>
    <w:rsid w:val="009E54E5"/>
    <w:rsid w:val="009E55B0"/>
    <w:rsid w:val="009E60CF"/>
    <w:rsid w:val="009E6F23"/>
    <w:rsid w:val="009E7090"/>
    <w:rsid w:val="009E70EA"/>
    <w:rsid w:val="009E7279"/>
    <w:rsid w:val="009E79F8"/>
    <w:rsid w:val="009E7C3F"/>
    <w:rsid w:val="009F083B"/>
    <w:rsid w:val="009F09E5"/>
    <w:rsid w:val="009F11F4"/>
    <w:rsid w:val="009F14A5"/>
    <w:rsid w:val="009F1556"/>
    <w:rsid w:val="009F1DEA"/>
    <w:rsid w:val="009F2498"/>
    <w:rsid w:val="009F259D"/>
    <w:rsid w:val="009F2FC2"/>
    <w:rsid w:val="009F300E"/>
    <w:rsid w:val="009F3628"/>
    <w:rsid w:val="009F3EDC"/>
    <w:rsid w:val="009F418B"/>
    <w:rsid w:val="009F4774"/>
    <w:rsid w:val="009F4908"/>
    <w:rsid w:val="009F4AE2"/>
    <w:rsid w:val="009F4CDA"/>
    <w:rsid w:val="009F4E02"/>
    <w:rsid w:val="009F5008"/>
    <w:rsid w:val="009F56F0"/>
    <w:rsid w:val="009F5886"/>
    <w:rsid w:val="009F5CBF"/>
    <w:rsid w:val="009F6288"/>
    <w:rsid w:val="009F6611"/>
    <w:rsid w:val="009F66EA"/>
    <w:rsid w:val="009F6840"/>
    <w:rsid w:val="009F68F2"/>
    <w:rsid w:val="009F69FA"/>
    <w:rsid w:val="009F72C5"/>
    <w:rsid w:val="009F7AF7"/>
    <w:rsid w:val="009F7F19"/>
    <w:rsid w:val="00A00313"/>
    <w:rsid w:val="00A004BC"/>
    <w:rsid w:val="00A0051B"/>
    <w:rsid w:val="00A00A93"/>
    <w:rsid w:val="00A00ABF"/>
    <w:rsid w:val="00A00F40"/>
    <w:rsid w:val="00A01A74"/>
    <w:rsid w:val="00A01BE5"/>
    <w:rsid w:val="00A026CA"/>
    <w:rsid w:val="00A02B7A"/>
    <w:rsid w:val="00A02D73"/>
    <w:rsid w:val="00A03347"/>
    <w:rsid w:val="00A03E4B"/>
    <w:rsid w:val="00A04477"/>
    <w:rsid w:val="00A0528D"/>
    <w:rsid w:val="00A053F8"/>
    <w:rsid w:val="00A0587C"/>
    <w:rsid w:val="00A059D5"/>
    <w:rsid w:val="00A05BAD"/>
    <w:rsid w:val="00A064F8"/>
    <w:rsid w:val="00A078E1"/>
    <w:rsid w:val="00A10509"/>
    <w:rsid w:val="00A10884"/>
    <w:rsid w:val="00A10C8C"/>
    <w:rsid w:val="00A1176F"/>
    <w:rsid w:val="00A11976"/>
    <w:rsid w:val="00A11AE5"/>
    <w:rsid w:val="00A11E7C"/>
    <w:rsid w:val="00A11F70"/>
    <w:rsid w:val="00A11FDC"/>
    <w:rsid w:val="00A12314"/>
    <w:rsid w:val="00A1277A"/>
    <w:rsid w:val="00A12A45"/>
    <w:rsid w:val="00A12EBA"/>
    <w:rsid w:val="00A12EC6"/>
    <w:rsid w:val="00A13356"/>
    <w:rsid w:val="00A15A25"/>
    <w:rsid w:val="00A15E7A"/>
    <w:rsid w:val="00A15FB1"/>
    <w:rsid w:val="00A169B1"/>
    <w:rsid w:val="00A16BC2"/>
    <w:rsid w:val="00A177DD"/>
    <w:rsid w:val="00A17C53"/>
    <w:rsid w:val="00A17CE8"/>
    <w:rsid w:val="00A17DAD"/>
    <w:rsid w:val="00A17E88"/>
    <w:rsid w:val="00A205BF"/>
    <w:rsid w:val="00A21C83"/>
    <w:rsid w:val="00A21E27"/>
    <w:rsid w:val="00A226CA"/>
    <w:rsid w:val="00A237B7"/>
    <w:rsid w:val="00A23A6A"/>
    <w:rsid w:val="00A241E2"/>
    <w:rsid w:val="00A243ED"/>
    <w:rsid w:val="00A247BE"/>
    <w:rsid w:val="00A25079"/>
    <w:rsid w:val="00A250F0"/>
    <w:rsid w:val="00A25605"/>
    <w:rsid w:val="00A2599E"/>
    <w:rsid w:val="00A25CF4"/>
    <w:rsid w:val="00A2624A"/>
    <w:rsid w:val="00A26473"/>
    <w:rsid w:val="00A273EF"/>
    <w:rsid w:val="00A27446"/>
    <w:rsid w:val="00A27748"/>
    <w:rsid w:val="00A27B1E"/>
    <w:rsid w:val="00A27DED"/>
    <w:rsid w:val="00A2EFCB"/>
    <w:rsid w:val="00A301DA"/>
    <w:rsid w:val="00A3028E"/>
    <w:rsid w:val="00A303A2"/>
    <w:rsid w:val="00A304AE"/>
    <w:rsid w:val="00A315E4"/>
    <w:rsid w:val="00A31AFF"/>
    <w:rsid w:val="00A3284C"/>
    <w:rsid w:val="00A32953"/>
    <w:rsid w:val="00A32B27"/>
    <w:rsid w:val="00A330A5"/>
    <w:rsid w:val="00A334A8"/>
    <w:rsid w:val="00A335F9"/>
    <w:rsid w:val="00A341D0"/>
    <w:rsid w:val="00A34353"/>
    <w:rsid w:val="00A34763"/>
    <w:rsid w:val="00A34871"/>
    <w:rsid w:val="00A3491E"/>
    <w:rsid w:val="00A34937"/>
    <w:rsid w:val="00A34B35"/>
    <w:rsid w:val="00A34BAB"/>
    <w:rsid w:val="00A34DBB"/>
    <w:rsid w:val="00A34F12"/>
    <w:rsid w:val="00A355F1"/>
    <w:rsid w:val="00A3567A"/>
    <w:rsid w:val="00A35AAF"/>
    <w:rsid w:val="00A3632B"/>
    <w:rsid w:val="00A363A7"/>
    <w:rsid w:val="00A365DA"/>
    <w:rsid w:val="00A3678D"/>
    <w:rsid w:val="00A36A19"/>
    <w:rsid w:val="00A36AE4"/>
    <w:rsid w:val="00A400EE"/>
    <w:rsid w:val="00A405C6"/>
    <w:rsid w:val="00A40669"/>
    <w:rsid w:val="00A40807"/>
    <w:rsid w:val="00A40A3A"/>
    <w:rsid w:val="00A40BBF"/>
    <w:rsid w:val="00A40D1F"/>
    <w:rsid w:val="00A412A4"/>
    <w:rsid w:val="00A413B8"/>
    <w:rsid w:val="00A41589"/>
    <w:rsid w:val="00A416DC"/>
    <w:rsid w:val="00A417DA"/>
    <w:rsid w:val="00A4227F"/>
    <w:rsid w:val="00A42563"/>
    <w:rsid w:val="00A42573"/>
    <w:rsid w:val="00A426B8"/>
    <w:rsid w:val="00A4286B"/>
    <w:rsid w:val="00A42D91"/>
    <w:rsid w:val="00A42DAA"/>
    <w:rsid w:val="00A42DB9"/>
    <w:rsid w:val="00A435E2"/>
    <w:rsid w:val="00A438AD"/>
    <w:rsid w:val="00A438B4"/>
    <w:rsid w:val="00A43DD9"/>
    <w:rsid w:val="00A4423B"/>
    <w:rsid w:val="00A44277"/>
    <w:rsid w:val="00A4577B"/>
    <w:rsid w:val="00A45D2D"/>
    <w:rsid w:val="00A45EC3"/>
    <w:rsid w:val="00A46016"/>
    <w:rsid w:val="00A46360"/>
    <w:rsid w:val="00A4647D"/>
    <w:rsid w:val="00A4660F"/>
    <w:rsid w:val="00A46624"/>
    <w:rsid w:val="00A46C3F"/>
    <w:rsid w:val="00A46C47"/>
    <w:rsid w:val="00A4724D"/>
    <w:rsid w:val="00A476BD"/>
    <w:rsid w:val="00A4779D"/>
    <w:rsid w:val="00A5007B"/>
    <w:rsid w:val="00A500C0"/>
    <w:rsid w:val="00A50995"/>
    <w:rsid w:val="00A50A53"/>
    <w:rsid w:val="00A50F15"/>
    <w:rsid w:val="00A51E55"/>
    <w:rsid w:val="00A5211F"/>
    <w:rsid w:val="00A527F0"/>
    <w:rsid w:val="00A5280F"/>
    <w:rsid w:val="00A52D3B"/>
    <w:rsid w:val="00A52F69"/>
    <w:rsid w:val="00A5305F"/>
    <w:rsid w:val="00A53128"/>
    <w:rsid w:val="00A53566"/>
    <w:rsid w:val="00A535EC"/>
    <w:rsid w:val="00A53604"/>
    <w:rsid w:val="00A53617"/>
    <w:rsid w:val="00A53F75"/>
    <w:rsid w:val="00A54471"/>
    <w:rsid w:val="00A54E0A"/>
    <w:rsid w:val="00A55518"/>
    <w:rsid w:val="00A55D22"/>
    <w:rsid w:val="00A55E7D"/>
    <w:rsid w:val="00A55FDA"/>
    <w:rsid w:val="00A56E74"/>
    <w:rsid w:val="00A57FE5"/>
    <w:rsid w:val="00A60E2D"/>
    <w:rsid w:val="00A61710"/>
    <w:rsid w:val="00A61EE3"/>
    <w:rsid w:val="00A62F49"/>
    <w:rsid w:val="00A6314C"/>
    <w:rsid w:val="00A63F99"/>
    <w:rsid w:val="00A642C7"/>
    <w:rsid w:val="00A64C85"/>
    <w:rsid w:val="00A64CDE"/>
    <w:rsid w:val="00A65BB4"/>
    <w:rsid w:val="00A65CAE"/>
    <w:rsid w:val="00A65EC6"/>
    <w:rsid w:val="00A660BE"/>
    <w:rsid w:val="00A66834"/>
    <w:rsid w:val="00A668B3"/>
    <w:rsid w:val="00A669AB"/>
    <w:rsid w:val="00A67461"/>
    <w:rsid w:val="00A6791F"/>
    <w:rsid w:val="00A67F24"/>
    <w:rsid w:val="00A70A4A"/>
    <w:rsid w:val="00A713E2"/>
    <w:rsid w:val="00A7187C"/>
    <w:rsid w:val="00A71CF8"/>
    <w:rsid w:val="00A71E0A"/>
    <w:rsid w:val="00A724FC"/>
    <w:rsid w:val="00A72D68"/>
    <w:rsid w:val="00A72EE8"/>
    <w:rsid w:val="00A736C4"/>
    <w:rsid w:val="00A73BF4"/>
    <w:rsid w:val="00A73C96"/>
    <w:rsid w:val="00A74379"/>
    <w:rsid w:val="00A748F9"/>
    <w:rsid w:val="00A74C6E"/>
    <w:rsid w:val="00A751EC"/>
    <w:rsid w:val="00A75354"/>
    <w:rsid w:val="00A7587A"/>
    <w:rsid w:val="00A75972"/>
    <w:rsid w:val="00A75C4D"/>
    <w:rsid w:val="00A75F10"/>
    <w:rsid w:val="00A7619D"/>
    <w:rsid w:val="00A76B09"/>
    <w:rsid w:val="00A76D87"/>
    <w:rsid w:val="00A76ED7"/>
    <w:rsid w:val="00A76F24"/>
    <w:rsid w:val="00A77AC0"/>
    <w:rsid w:val="00A77C06"/>
    <w:rsid w:val="00A80195"/>
    <w:rsid w:val="00A804C4"/>
    <w:rsid w:val="00A807A6"/>
    <w:rsid w:val="00A812DA"/>
    <w:rsid w:val="00A81B09"/>
    <w:rsid w:val="00A8201D"/>
    <w:rsid w:val="00A82BE4"/>
    <w:rsid w:val="00A82C62"/>
    <w:rsid w:val="00A83281"/>
    <w:rsid w:val="00A83283"/>
    <w:rsid w:val="00A837A4"/>
    <w:rsid w:val="00A83B25"/>
    <w:rsid w:val="00A83CB9"/>
    <w:rsid w:val="00A840EE"/>
    <w:rsid w:val="00A84147"/>
    <w:rsid w:val="00A844C4"/>
    <w:rsid w:val="00A845B0"/>
    <w:rsid w:val="00A84A78"/>
    <w:rsid w:val="00A84B3C"/>
    <w:rsid w:val="00A85074"/>
    <w:rsid w:val="00A85438"/>
    <w:rsid w:val="00A85651"/>
    <w:rsid w:val="00A859C3"/>
    <w:rsid w:val="00A85BDA"/>
    <w:rsid w:val="00A868BB"/>
    <w:rsid w:val="00A86985"/>
    <w:rsid w:val="00A871AE"/>
    <w:rsid w:val="00A87915"/>
    <w:rsid w:val="00A87A7F"/>
    <w:rsid w:val="00A87F2B"/>
    <w:rsid w:val="00A9059C"/>
    <w:rsid w:val="00A9059F"/>
    <w:rsid w:val="00A90782"/>
    <w:rsid w:val="00A912E3"/>
    <w:rsid w:val="00A917DC"/>
    <w:rsid w:val="00A91A4C"/>
    <w:rsid w:val="00A91C20"/>
    <w:rsid w:val="00A9222F"/>
    <w:rsid w:val="00A922E6"/>
    <w:rsid w:val="00A9275D"/>
    <w:rsid w:val="00A92975"/>
    <w:rsid w:val="00A92C88"/>
    <w:rsid w:val="00A9321C"/>
    <w:rsid w:val="00A936C4"/>
    <w:rsid w:val="00A93A42"/>
    <w:rsid w:val="00A93EBB"/>
    <w:rsid w:val="00A93F5B"/>
    <w:rsid w:val="00A93F99"/>
    <w:rsid w:val="00A9412A"/>
    <w:rsid w:val="00A94212"/>
    <w:rsid w:val="00A94EEA"/>
    <w:rsid w:val="00A9511B"/>
    <w:rsid w:val="00A95220"/>
    <w:rsid w:val="00A953AA"/>
    <w:rsid w:val="00A9548B"/>
    <w:rsid w:val="00A954A0"/>
    <w:rsid w:val="00A9555E"/>
    <w:rsid w:val="00A95822"/>
    <w:rsid w:val="00A95DB1"/>
    <w:rsid w:val="00A96108"/>
    <w:rsid w:val="00A963DE"/>
    <w:rsid w:val="00A9660A"/>
    <w:rsid w:val="00A967A1"/>
    <w:rsid w:val="00A969C0"/>
    <w:rsid w:val="00A96BE4"/>
    <w:rsid w:val="00A96DC2"/>
    <w:rsid w:val="00A97A7F"/>
    <w:rsid w:val="00AA00A9"/>
    <w:rsid w:val="00AA00FF"/>
    <w:rsid w:val="00AA091C"/>
    <w:rsid w:val="00AA0EC6"/>
    <w:rsid w:val="00AA11B7"/>
    <w:rsid w:val="00AA1634"/>
    <w:rsid w:val="00AA163F"/>
    <w:rsid w:val="00AA23C4"/>
    <w:rsid w:val="00AA2584"/>
    <w:rsid w:val="00AA27A3"/>
    <w:rsid w:val="00AA2CE1"/>
    <w:rsid w:val="00AA2D80"/>
    <w:rsid w:val="00AA2F80"/>
    <w:rsid w:val="00AA3263"/>
    <w:rsid w:val="00AA3315"/>
    <w:rsid w:val="00AA3493"/>
    <w:rsid w:val="00AA351E"/>
    <w:rsid w:val="00AA3C03"/>
    <w:rsid w:val="00AA3C60"/>
    <w:rsid w:val="00AA4458"/>
    <w:rsid w:val="00AA4766"/>
    <w:rsid w:val="00AA5136"/>
    <w:rsid w:val="00AA51BC"/>
    <w:rsid w:val="00AA5627"/>
    <w:rsid w:val="00AA602C"/>
    <w:rsid w:val="00AA6030"/>
    <w:rsid w:val="00AA61C5"/>
    <w:rsid w:val="00AA6E34"/>
    <w:rsid w:val="00AA750C"/>
    <w:rsid w:val="00AB0541"/>
    <w:rsid w:val="00AB0730"/>
    <w:rsid w:val="00AB0FD2"/>
    <w:rsid w:val="00AB10A3"/>
    <w:rsid w:val="00AB1E61"/>
    <w:rsid w:val="00AB20E7"/>
    <w:rsid w:val="00AB269E"/>
    <w:rsid w:val="00AB29E5"/>
    <w:rsid w:val="00AB2CC6"/>
    <w:rsid w:val="00AB4A6D"/>
    <w:rsid w:val="00AB4C59"/>
    <w:rsid w:val="00AB5495"/>
    <w:rsid w:val="00AB5BDB"/>
    <w:rsid w:val="00AB5E31"/>
    <w:rsid w:val="00AB65EB"/>
    <w:rsid w:val="00AB702F"/>
    <w:rsid w:val="00AB7707"/>
    <w:rsid w:val="00AC0052"/>
    <w:rsid w:val="00AC0ACD"/>
    <w:rsid w:val="00AC11B1"/>
    <w:rsid w:val="00AC17D0"/>
    <w:rsid w:val="00AC1AE9"/>
    <w:rsid w:val="00AC1CB8"/>
    <w:rsid w:val="00AC1FA2"/>
    <w:rsid w:val="00AC25F1"/>
    <w:rsid w:val="00AC264C"/>
    <w:rsid w:val="00AC271C"/>
    <w:rsid w:val="00AC2ACF"/>
    <w:rsid w:val="00AC34D3"/>
    <w:rsid w:val="00AC35E8"/>
    <w:rsid w:val="00AC392B"/>
    <w:rsid w:val="00AC3C2C"/>
    <w:rsid w:val="00AC444E"/>
    <w:rsid w:val="00AC471A"/>
    <w:rsid w:val="00AC4933"/>
    <w:rsid w:val="00AC514E"/>
    <w:rsid w:val="00AC55D6"/>
    <w:rsid w:val="00AC5781"/>
    <w:rsid w:val="00AC60C0"/>
    <w:rsid w:val="00AD079F"/>
    <w:rsid w:val="00AD07DD"/>
    <w:rsid w:val="00AD0D84"/>
    <w:rsid w:val="00AD11A0"/>
    <w:rsid w:val="00AD11A3"/>
    <w:rsid w:val="00AD131C"/>
    <w:rsid w:val="00AD165F"/>
    <w:rsid w:val="00AD16EB"/>
    <w:rsid w:val="00AD189C"/>
    <w:rsid w:val="00AD2960"/>
    <w:rsid w:val="00AD2D40"/>
    <w:rsid w:val="00AD3170"/>
    <w:rsid w:val="00AD31AD"/>
    <w:rsid w:val="00AD3213"/>
    <w:rsid w:val="00AD3535"/>
    <w:rsid w:val="00AD39FE"/>
    <w:rsid w:val="00AD3E79"/>
    <w:rsid w:val="00AD44AE"/>
    <w:rsid w:val="00AD47CE"/>
    <w:rsid w:val="00AD4B25"/>
    <w:rsid w:val="00AD4C08"/>
    <w:rsid w:val="00AD4F55"/>
    <w:rsid w:val="00AD5C42"/>
    <w:rsid w:val="00AD5D1C"/>
    <w:rsid w:val="00AD5FCC"/>
    <w:rsid w:val="00AD611D"/>
    <w:rsid w:val="00AD6431"/>
    <w:rsid w:val="00AD6768"/>
    <w:rsid w:val="00AD78C1"/>
    <w:rsid w:val="00AD7B26"/>
    <w:rsid w:val="00AE033A"/>
    <w:rsid w:val="00AE0370"/>
    <w:rsid w:val="00AE04C8"/>
    <w:rsid w:val="00AE05FB"/>
    <w:rsid w:val="00AE0F69"/>
    <w:rsid w:val="00AE11A4"/>
    <w:rsid w:val="00AE165F"/>
    <w:rsid w:val="00AE1686"/>
    <w:rsid w:val="00AE2574"/>
    <w:rsid w:val="00AE2611"/>
    <w:rsid w:val="00AE2D88"/>
    <w:rsid w:val="00AE3086"/>
    <w:rsid w:val="00AE3B0C"/>
    <w:rsid w:val="00AE4315"/>
    <w:rsid w:val="00AE44B4"/>
    <w:rsid w:val="00AE4CE6"/>
    <w:rsid w:val="00AE50BD"/>
    <w:rsid w:val="00AE53D6"/>
    <w:rsid w:val="00AE5AD8"/>
    <w:rsid w:val="00AE5D2B"/>
    <w:rsid w:val="00AE5DDC"/>
    <w:rsid w:val="00AE618D"/>
    <w:rsid w:val="00AE638C"/>
    <w:rsid w:val="00AE668D"/>
    <w:rsid w:val="00AE6696"/>
    <w:rsid w:val="00AE66D1"/>
    <w:rsid w:val="00AE6FDB"/>
    <w:rsid w:val="00AE7110"/>
    <w:rsid w:val="00AE71C2"/>
    <w:rsid w:val="00AE7468"/>
    <w:rsid w:val="00AE7B56"/>
    <w:rsid w:val="00AF00BE"/>
    <w:rsid w:val="00AF0482"/>
    <w:rsid w:val="00AF08CC"/>
    <w:rsid w:val="00AF0A63"/>
    <w:rsid w:val="00AF0B57"/>
    <w:rsid w:val="00AF17F0"/>
    <w:rsid w:val="00AF1EDF"/>
    <w:rsid w:val="00AF2125"/>
    <w:rsid w:val="00AF22D9"/>
    <w:rsid w:val="00AF28C9"/>
    <w:rsid w:val="00AF2BD6"/>
    <w:rsid w:val="00AF3266"/>
    <w:rsid w:val="00AF336A"/>
    <w:rsid w:val="00AF35B5"/>
    <w:rsid w:val="00AF373C"/>
    <w:rsid w:val="00AF3A25"/>
    <w:rsid w:val="00AF3F6F"/>
    <w:rsid w:val="00AF4190"/>
    <w:rsid w:val="00AF4DF9"/>
    <w:rsid w:val="00AF542A"/>
    <w:rsid w:val="00AF5596"/>
    <w:rsid w:val="00AF58CE"/>
    <w:rsid w:val="00AF59F6"/>
    <w:rsid w:val="00AF5F5D"/>
    <w:rsid w:val="00AF6164"/>
    <w:rsid w:val="00AF63F6"/>
    <w:rsid w:val="00AF6B98"/>
    <w:rsid w:val="00AF7062"/>
    <w:rsid w:val="00AF793B"/>
    <w:rsid w:val="00AF7C8A"/>
    <w:rsid w:val="00B00BB9"/>
    <w:rsid w:val="00B00D9E"/>
    <w:rsid w:val="00B00E76"/>
    <w:rsid w:val="00B019D8"/>
    <w:rsid w:val="00B01C89"/>
    <w:rsid w:val="00B033C3"/>
    <w:rsid w:val="00B035F4"/>
    <w:rsid w:val="00B0374B"/>
    <w:rsid w:val="00B03A6B"/>
    <w:rsid w:val="00B03C79"/>
    <w:rsid w:val="00B03F67"/>
    <w:rsid w:val="00B044DF"/>
    <w:rsid w:val="00B04BCF"/>
    <w:rsid w:val="00B04EF1"/>
    <w:rsid w:val="00B050B5"/>
    <w:rsid w:val="00B050F7"/>
    <w:rsid w:val="00B055AB"/>
    <w:rsid w:val="00B057D6"/>
    <w:rsid w:val="00B06519"/>
    <w:rsid w:val="00B06943"/>
    <w:rsid w:val="00B06A27"/>
    <w:rsid w:val="00B06F7A"/>
    <w:rsid w:val="00B072C3"/>
    <w:rsid w:val="00B07964"/>
    <w:rsid w:val="00B07D34"/>
    <w:rsid w:val="00B100D2"/>
    <w:rsid w:val="00B101D6"/>
    <w:rsid w:val="00B104D3"/>
    <w:rsid w:val="00B1091C"/>
    <w:rsid w:val="00B10F3E"/>
    <w:rsid w:val="00B11073"/>
    <w:rsid w:val="00B11740"/>
    <w:rsid w:val="00B12084"/>
    <w:rsid w:val="00B1234A"/>
    <w:rsid w:val="00B125D6"/>
    <w:rsid w:val="00B13245"/>
    <w:rsid w:val="00B13910"/>
    <w:rsid w:val="00B13CAB"/>
    <w:rsid w:val="00B13F4A"/>
    <w:rsid w:val="00B140E4"/>
    <w:rsid w:val="00B14206"/>
    <w:rsid w:val="00B143FB"/>
    <w:rsid w:val="00B1472D"/>
    <w:rsid w:val="00B149F2"/>
    <w:rsid w:val="00B14E7F"/>
    <w:rsid w:val="00B1547F"/>
    <w:rsid w:val="00B154CB"/>
    <w:rsid w:val="00B1573E"/>
    <w:rsid w:val="00B159F5"/>
    <w:rsid w:val="00B15B65"/>
    <w:rsid w:val="00B15C50"/>
    <w:rsid w:val="00B16237"/>
    <w:rsid w:val="00B16505"/>
    <w:rsid w:val="00B1713D"/>
    <w:rsid w:val="00B17228"/>
    <w:rsid w:val="00B1767D"/>
    <w:rsid w:val="00B17CB9"/>
    <w:rsid w:val="00B2033B"/>
    <w:rsid w:val="00B2086C"/>
    <w:rsid w:val="00B20A6C"/>
    <w:rsid w:val="00B20CF5"/>
    <w:rsid w:val="00B20F84"/>
    <w:rsid w:val="00B21044"/>
    <w:rsid w:val="00B21756"/>
    <w:rsid w:val="00B21908"/>
    <w:rsid w:val="00B2191E"/>
    <w:rsid w:val="00B22BDD"/>
    <w:rsid w:val="00B234CC"/>
    <w:rsid w:val="00B23E9A"/>
    <w:rsid w:val="00B24599"/>
    <w:rsid w:val="00B24629"/>
    <w:rsid w:val="00B24CAD"/>
    <w:rsid w:val="00B24F02"/>
    <w:rsid w:val="00B24F3B"/>
    <w:rsid w:val="00B252C7"/>
    <w:rsid w:val="00B2542F"/>
    <w:rsid w:val="00B25C50"/>
    <w:rsid w:val="00B260B9"/>
    <w:rsid w:val="00B267A4"/>
    <w:rsid w:val="00B27A56"/>
    <w:rsid w:val="00B27D10"/>
    <w:rsid w:val="00B3078D"/>
    <w:rsid w:val="00B30883"/>
    <w:rsid w:val="00B30A0B"/>
    <w:rsid w:val="00B3105A"/>
    <w:rsid w:val="00B3197A"/>
    <w:rsid w:val="00B31A65"/>
    <w:rsid w:val="00B31EE2"/>
    <w:rsid w:val="00B3319A"/>
    <w:rsid w:val="00B332CD"/>
    <w:rsid w:val="00B339C0"/>
    <w:rsid w:val="00B33CF0"/>
    <w:rsid w:val="00B33D00"/>
    <w:rsid w:val="00B3425F"/>
    <w:rsid w:val="00B34AFE"/>
    <w:rsid w:val="00B358E2"/>
    <w:rsid w:val="00B364BA"/>
    <w:rsid w:val="00B36553"/>
    <w:rsid w:val="00B37326"/>
    <w:rsid w:val="00B37C08"/>
    <w:rsid w:val="00B37D54"/>
    <w:rsid w:val="00B37F3B"/>
    <w:rsid w:val="00B401C3"/>
    <w:rsid w:val="00B4063A"/>
    <w:rsid w:val="00B407E8"/>
    <w:rsid w:val="00B41255"/>
    <w:rsid w:val="00B42ADA"/>
    <w:rsid w:val="00B42CC8"/>
    <w:rsid w:val="00B432DB"/>
    <w:rsid w:val="00B43581"/>
    <w:rsid w:val="00B43738"/>
    <w:rsid w:val="00B438D8"/>
    <w:rsid w:val="00B43974"/>
    <w:rsid w:val="00B439A9"/>
    <w:rsid w:val="00B43C67"/>
    <w:rsid w:val="00B444D0"/>
    <w:rsid w:val="00B455B7"/>
    <w:rsid w:val="00B458B9"/>
    <w:rsid w:val="00B462E1"/>
    <w:rsid w:val="00B4637D"/>
    <w:rsid w:val="00B46909"/>
    <w:rsid w:val="00B46C8F"/>
    <w:rsid w:val="00B46DA7"/>
    <w:rsid w:val="00B46DBF"/>
    <w:rsid w:val="00B47477"/>
    <w:rsid w:val="00B47C47"/>
    <w:rsid w:val="00B5073B"/>
    <w:rsid w:val="00B50821"/>
    <w:rsid w:val="00B50B57"/>
    <w:rsid w:val="00B50D90"/>
    <w:rsid w:val="00B50E20"/>
    <w:rsid w:val="00B51193"/>
    <w:rsid w:val="00B51317"/>
    <w:rsid w:val="00B51430"/>
    <w:rsid w:val="00B5144A"/>
    <w:rsid w:val="00B5157B"/>
    <w:rsid w:val="00B51A3D"/>
    <w:rsid w:val="00B52CEF"/>
    <w:rsid w:val="00B53369"/>
    <w:rsid w:val="00B533EF"/>
    <w:rsid w:val="00B53989"/>
    <w:rsid w:val="00B542A6"/>
    <w:rsid w:val="00B549E2"/>
    <w:rsid w:val="00B54D3E"/>
    <w:rsid w:val="00B55684"/>
    <w:rsid w:val="00B55B73"/>
    <w:rsid w:val="00B56321"/>
    <w:rsid w:val="00B5689A"/>
    <w:rsid w:val="00B56E80"/>
    <w:rsid w:val="00B5769A"/>
    <w:rsid w:val="00B579FB"/>
    <w:rsid w:val="00B57AD0"/>
    <w:rsid w:val="00B57AE4"/>
    <w:rsid w:val="00B57CA8"/>
    <w:rsid w:val="00B604B4"/>
    <w:rsid w:val="00B60506"/>
    <w:rsid w:val="00B609CE"/>
    <w:rsid w:val="00B60BDC"/>
    <w:rsid w:val="00B60C9F"/>
    <w:rsid w:val="00B6126D"/>
    <w:rsid w:val="00B612B7"/>
    <w:rsid w:val="00B6151B"/>
    <w:rsid w:val="00B61715"/>
    <w:rsid w:val="00B61CD4"/>
    <w:rsid w:val="00B621C0"/>
    <w:rsid w:val="00B62BEC"/>
    <w:rsid w:val="00B62C13"/>
    <w:rsid w:val="00B6359E"/>
    <w:rsid w:val="00B63898"/>
    <w:rsid w:val="00B646A9"/>
    <w:rsid w:val="00B64AF1"/>
    <w:rsid w:val="00B654B4"/>
    <w:rsid w:val="00B65546"/>
    <w:rsid w:val="00B65550"/>
    <w:rsid w:val="00B65841"/>
    <w:rsid w:val="00B6588A"/>
    <w:rsid w:val="00B65CE1"/>
    <w:rsid w:val="00B65D14"/>
    <w:rsid w:val="00B65EAE"/>
    <w:rsid w:val="00B660C2"/>
    <w:rsid w:val="00B660DA"/>
    <w:rsid w:val="00B66AE9"/>
    <w:rsid w:val="00B67067"/>
    <w:rsid w:val="00B6745C"/>
    <w:rsid w:val="00B674BE"/>
    <w:rsid w:val="00B67DFF"/>
    <w:rsid w:val="00B709C1"/>
    <w:rsid w:val="00B70C7C"/>
    <w:rsid w:val="00B711CE"/>
    <w:rsid w:val="00B715D3"/>
    <w:rsid w:val="00B716F1"/>
    <w:rsid w:val="00B71A57"/>
    <w:rsid w:val="00B71DD4"/>
    <w:rsid w:val="00B72272"/>
    <w:rsid w:val="00B728D7"/>
    <w:rsid w:val="00B72AC0"/>
    <w:rsid w:val="00B72F13"/>
    <w:rsid w:val="00B73125"/>
    <w:rsid w:val="00B738E0"/>
    <w:rsid w:val="00B73FDC"/>
    <w:rsid w:val="00B74668"/>
    <w:rsid w:val="00B74B8A"/>
    <w:rsid w:val="00B74FCC"/>
    <w:rsid w:val="00B75332"/>
    <w:rsid w:val="00B75346"/>
    <w:rsid w:val="00B75BA3"/>
    <w:rsid w:val="00B76042"/>
    <w:rsid w:val="00B76699"/>
    <w:rsid w:val="00B7671B"/>
    <w:rsid w:val="00B774D7"/>
    <w:rsid w:val="00B7796D"/>
    <w:rsid w:val="00B77A1A"/>
    <w:rsid w:val="00B77A53"/>
    <w:rsid w:val="00B77DD2"/>
    <w:rsid w:val="00B80696"/>
    <w:rsid w:val="00B80AF5"/>
    <w:rsid w:val="00B80E85"/>
    <w:rsid w:val="00B81294"/>
    <w:rsid w:val="00B8182D"/>
    <w:rsid w:val="00B81A68"/>
    <w:rsid w:val="00B81DB9"/>
    <w:rsid w:val="00B82226"/>
    <w:rsid w:val="00B82513"/>
    <w:rsid w:val="00B82580"/>
    <w:rsid w:val="00B828E1"/>
    <w:rsid w:val="00B82A92"/>
    <w:rsid w:val="00B82F00"/>
    <w:rsid w:val="00B831D5"/>
    <w:rsid w:val="00B83CE0"/>
    <w:rsid w:val="00B83E47"/>
    <w:rsid w:val="00B84097"/>
    <w:rsid w:val="00B8420D"/>
    <w:rsid w:val="00B84545"/>
    <w:rsid w:val="00B847C1"/>
    <w:rsid w:val="00B84A11"/>
    <w:rsid w:val="00B84BEE"/>
    <w:rsid w:val="00B85140"/>
    <w:rsid w:val="00B85F58"/>
    <w:rsid w:val="00B8603C"/>
    <w:rsid w:val="00B862C4"/>
    <w:rsid w:val="00B862D5"/>
    <w:rsid w:val="00B8651B"/>
    <w:rsid w:val="00B8653D"/>
    <w:rsid w:val="00B8658F"/>
    <w:rsid w:val="00B865E8"/>
    <w:rsid w:val="00B8684F"/>
    <w:rsid w:val="00B86854"/>
    <w:rsid w:val="00B86C40"/>
    <w:rsid w:val="00B86CD5"/>
    <w:rsid w:val="00B87125"/>
    <w:rsid w:val="00B8714C"/>
    <w:rsid w:val="00B875DC"/>
    <w:rsid w:val="00B87845"/>
    <w:rsid w:val="00B879A3"/>
    <w:rsid w:val="00B87E67"/>
    <w:rsid w:val="00B9020B"/>
    <w:rsid w:val="00B90704"/>
    <w:rsid w:val="00B90956"/>
    <w:rsid w:val="00B90D0B"/>
    <w:rsid w:val="00B9142A"/>
    <w:rsid w:val="00B91909"/>
    <w:rsid w:val="00B9196D"/>
    <w:rsid w:val="00B91C1A"/>
    <w:rsid w:val="00B91FB7"/>
    <w:rsid w:val="00B923D7"/>
    <w:rsid w:val="00B92916"/>
    <w:rsid w:val="00B92AB5"/>
    <w:rsid w:val="00B92B7E"/>
    <w:rsid w:val="00B92D87"/>
    <w:rsid w:val="00B92DD3"/>
    <w:rsid w:val="00B94326"/>
    <w:rsid w:val="00B94F84"/>
    <w:rsid w:val="00B951E5"/>
    <w:rsid w:val="00B958B6"/>
    <w:rsid w:val="00B95C89"/>
    <w:rsid w:val="00B95EFA"/>
    <w:rsid w:val="00B96D28"/>
    <w:rsid w:val="00B9741C"/>
    <w:rsid w:val="00B9742D"/>
    <w:rsid w:val="00B97966"/>
    <w:rsid w:val="00B97A26"/>
    <w:rsid w:val="00BA03C0"/>
    <w:rsid w:val="00BA082A"/>
    <w:rsid w:val="00BA09B2"/>
    <w:rsid w:val="00BA1835"/>
    <w:rsid w:val="00BA1B47"/>
    <w:rsid w:val="00BA284D"/>
    <w:rsid w:val="00BA319C"/>
    <w:rsid w:val="00BA40F1"/>
    <w:rsid w:val="00BA52AD"/>
    <w:rsid w:val="00BA52B4"/>
    <w:rsid w:val="00BA584D"/>
    <w:rsid w:val="00BA5B25"/>
    <w:rsid w:val="00BA60C7"/>
    <w:rsid w:val="00BA6115"/>
    <w:rsid w:val="00BA6323"/>
    <w:rsid w:val="00BA6420"/>
    <w:rsid w:val="00BA6EAA"/>
    <w:rsid w:val="00BA701D"/>
    <w:rsid w:val="00BA70E8"/>
    <w:rsid w:val="00BA7C41"/>
    <w:rsid w:val="00BA7C8E"/>
    <w:rsid w:val="00BA7EC9"/>
    <w:rsid w:val="00BB0456"/>
    <w:rsid w:val="00BB0B02"/>
    <w:rsid w:val="00BB0BB9"/>
    <w:rsid w:val="00BB1013"/>
    <w:rsid w:val="00BB182B"/>
    <w:rsid w:val="00BB200D"/>
    <w:rsid w:val="00BB2324"/>
    <w:rsid w:val="00BB2AD9"/>
    <w:rsid w:val="00BB3855"/>
    <w:rsid w:val="00BB3D10"/>
    <w:rsid w:val="00BB3F5E"/>
    <w:rsid w:val="00BB434C"/>
    <w:rsid w:val="00BB45E9"/>
    <w:rsid w:val="00BB4750"/>
    <w:rsid w:val="00BB4A4A"/>
    <w:rsid w:val="00BB5034"/>
    <w:rsid w:val="00BB52D6"/>
    <w:rsid w:val="00BB566A"/>
    <w:rsid w:val="00BB56FA"/>
    <w:rsid w:val="00BB5D43"/>
    <w:rsid w:val="00BB6336"/>
    <w:rsid w:val="00BB653D"/>
    <w:rsid w:val="00BB754A"/>
    <w:rsid w:val="00BB77EE"/>
    <w:rsid w:val="00BB7C64"/>
    <w:rsid w:val="00BB7FDE"/>
    <w:rsid w:val="00BC0323"/>
    <w:rsid w:val="00BC0410"/>
    <w:rsid w:val="00BC0488"/>
    <w:rsid w:val="00BC13A9"/>
    <w:rsid w:val="00BC1632"/>
    <w:rsid w:val="00BC1E72"/>
    <w:rsid w:val="00BC2237"/>
    <w:rsid w:val="00BC2EA8"/>
    <w:rsid w:val="00BC341A"/>
    <w:rsid w:val="00BC374F"/>
    <w:rsid w:val="00BC375E"/>
    <w:rsid w:val="00BC4066"/>
    <w:rsid w:val="00BC5F58"/>
    <w:rsid w:val="00BC6B02"/>
    <w:rsid w:val="00BC6BBF"/>
    <w:rsid w:val="00BC6FDE"/>
    <w:rsid w:val="00BC7004"/>
    <w:rsid w:val="00BC70BB"/>
    <w:rsid w:val="00BC743D"/>
    <w:rsid w:val="00BC7E47"/>
    <w:rsid w:val="00BD007A"/>
    <w:rsid w:val="00BD0132"/>
    <w:rsid w:val="00BD02CB"/>
    <w:rsid w:val="00BD0372"/>
    <w:rsid w:val="00BD03C3"/>
    <w:rsid w:val="00BD044B"/>
    <w:rsid w:val="00BD049E"/>
    <w:rsid w:val="00BD0532"/>
    <w:rsid w:val="00BD073B"/>
    <w:rsid w:val="00BD0831"/>
    <w:rsid w:val="00BD0A88"/>
    <w:rsid w:val="00BD0FB8"/>
    <w:rsid w:val="00BD1057"/>
    <w:rsid w:val="00BD106E"/>
    <w:rsid w:val="00BD1220"/>
    <w:rsid w:val="00BD14A4"/>
    <w:rsid w:val="00BD14EB"/>
    <w:rsid w:val="00BD16F8"/>
    <w:rsid w:val="00BD1D49"/>
    <w:rsid w:val="00BD1E95"/>
    <w:rsid w:val="00BD2485"/>
    <w:rsid w:val="00BD290B"/>
    <w:rsid w:val="00BD2ACD"/>
    <w:rsid w:val="00BD2AE3"/>
    <w:rsid w:val="00BD2B7B"/>
    <w:rsid w:val="00BD2CBA"/>
    <w:rsid w:val="00BD2DE9"/>
    <w:rsid w:val="00BD31BA"/>
    <w:rsid w:val="00BD3659"/>
    <w:rsid w:val="00BD3680"/>
    <w:rsid w:val="00BD3E49"/>
    <w:rsid w:val="00BD3E4C"/>
    <w:rsid w:val="00BD3E8C"/>
    <w:rsid w:val="00BD4638"/>
    <w:rsid w:val="00BD4703"/>
    <w:rsid w:val="00BD484A"/>
    <w:rsid w:val="00BD4C2F"/>
    <w:rsid w:val="00BD4DC3"/>
    <w:rsid w:val="00BD5B3E"/>
    <w:rsid w:val="00BD5B5F"/>
    <w:rsid w:val="00BD5E47"/>
    <w:rsid w:val="00BD650F"/>
    <w:rsid w:val="00BD65EC"/>
    <w:rsid w:val="00BD67C8"/>
    <w:rsid w:val="00BD6F43"/>
    <w:rsid w:val="00BD76C4"/>
    <w:rsid w:val="00BD7ECF"/>
    <w:rsid w:val="00BE04D7"/>
    <w:rsid w:val="00BE0936"/>
    <w:rsid w:val="00BE0AA5"/>
    <w:rsid w:val="00BE0D3C"/>
    <w:rsid w:val="00BE0DA7"/>
    <w:rsid w:val="00BE0DC5"/>
    <w:rsid w:val="00BE0E8C"/>
    <w:rsid w:val="00BE1164"/>
    <w:rsid w:val="00BE1F5E"/>
    <w:rsid w:val="00BE224F"/>
    <w:rsid w:val="00BE2337"/>
    <w:rsid w:val="00BE2A39"/>
    <w:rsid w:val="00BE2A4E"/>
    <w:rsid w:val="00BE2C41"/>
    <w:rsid w:val="00BE34A7"/>
    <w:rsid w:val="00BE3632"/>
    <w:rsid w:val="00BE37FE"/>
    <w:rsid w:val="00BE38C2"/>
    <w:rsid w:val="00BE4044"/>
    <w:rsid w:val="00BE44D6"/>
    <w:rsid w:val="00BE4690"/>
    <w:rsid w:val="00BE5ECB"/>
    <w:rsid w:val="00BE61C7"/>
    <w:rsid w:val="00BE6B88"/>
    <w:rsid w:val="00BE71DB"/>
    <w:rsid w:val="00BE747C"/>
    <w:rsid w:val="00BE759D"/>
    <w:rsid w:val="00BE75F2"/>
    <w:rsid w:val="00BE7A0C"/>
    <w:rsid w:val="00BF04AC"/>
    <w:rsid w:val="00BF0AC0"/>
    <w:rsid w:val="00BF0AF2"/>
    <w:rsid w:val="00BF0F8C"/>
    <w:rsid w:val="00BF117F"/>
    <w:rsid w:val="00BF14DF"/>
    <w:rsid w:val="00BF160D"/>
    <w:rsid w:val="00BF1A92"/>
    <w:rsid w:val="00BF22A6"/>
    <w:rsid w:val="00BF244C"/>
    <w:rsid w:val="00BF2FF1"/>
    <w:rsid w:val="00BF3256"/>
    <w:rsid w:val="00BF3339"/>
    <w:rsid w:val="00BF3447"/>
    <w:rsid w:val="00BF3BF3"/>
    <w:rsid w:val="00BF3F35"/>
    <w:rsid w:val="00BF4464"/>
    <w:rsid w:val="00BF4753"/>
    <w:rsid w:val="00BF4CB8"/>
    <w:rsid w:val="00BF4F38"/>
    <w:rsid w:val="00BF5171"/>
    <w:rsid w:val="00BF56C1"/>
    <w:rsid w:val="00BF5ADB"/>
    <w:rsid w:val="00BF5BAD"/>
    <w:rsid w:val="00BF5CFD"/>
    <w:rsid w:val="00BF71AF"/>
    <w:rsid w:val="00BF7F1D"/>
    <w:rsid w:val="00C000BB"/>
    <w:rsid w:val="00C00402"/>
    <w:rsid w:val="00C00F9E"/>
    <w:rsid w:val="00C00FC4"/>
    <w:rsid w:val="00C0176D"/>
    <w:rsid w:val="00C018FC"/>
    <w:rsid w:val="00C01920"/>
    <w:rsid w:val="00C01B60"/>
    <w:rsid w:val="00C01C50"/>
    <w:rsid w:val="00C02E65"/>
    <w:rsid w:val="00C03C35"/>
    <w:rsid w:val="00C03C36"/>
    <w:rsid w:val="00C03DD9"/>
    <w:rsid w:val="00C048A6"/>
    <w:rsid w:val="00C04B86"/>
    <w:rsid w:val="00C053DC"/>
    <w:rsid w:val="00C05700"/>
    <w:rsid w:val="00C0583C"/>
    <w:rsid w:val="00C05935"/>
    <w:rsid w:val="00C05C81"/>
    <w:rsid w:val="00C05D66"/>
    <w:rsid w:val="00C05D68"/>
    <w:rsid w:val="00C06074"/>
    <w:rsid w:val="00C060C4"/>
    <w:rsid w:val="00C06134"/>
    <w:rsid w:val="00C06E83"/>
    <w:rsid w:val="00C10A5D"/>
    <w:rsid w:val="00C11352"/>
    <w:rsid w:val="00C1139A"/>
    <w:rsid w:val="00C11848"/>
    <w:rsid w:val="00C11B92"/>
    <w:rsid w:val="00C11CC9"/>
    <w:rsid w:val="00C12765"/>
    <w:rsid w:val="00C12A20"/>
    <w:rsid w:val="00C12B85"/>
    <w:rsid w:val="00C13770"/>
    <w:rsid w:val="00C13788"/>
    <w:rsid w:val="00C138D6"/>
    <w:rsid w:val="00C13FDE"/>
    <w:rsid w:val="00C14136"/>
    <w:rsid w:val="00C14296"/>
    <w:rsid w:val="00C14E25"/>
    <w:rsid w:val="00C14EEA"/>
    <w:rsid w:val="00C15E2C"/>
    <w:rsid w:val="00C15E3D"/>
    <w:rsid w:val="00C16C3E"/>
    <w:rsid w:val="00C16D2C"/>
    <w:rsid w:val="00C16F13"/>
    <w:rsid w:val="00C1733A"/>
    <w:rsid w:val="00C17A12"/>
    <w:rsid w:val="00C17DD7"/>
    <w:rsid w:val="00C210E8"/>
    <w:rsid w:val="00C212FA"/>
    <w:rsid w:val="00C214E5"/>
    <w:rsid w:val="00C21888"/>
    <w:rsid w:val="00C21A98"/>
    <w:rsid w:val="00C21C17"/>
    <w:rsid w:val="00C21E94"/>
    <w:rsid w:val="00C22BD8"/>
    <w:rsid w:val="00C22C17"/>
    <w:rsid w:val="00C22F7D"/>
    <w:rsid w:val="00C2316F"/>
    <w:rsid w:val="00C232E7"/>
    <w:rsid w:val="00C24029"/>
    <w:rsid w:val="00C2456B"/>
    <w:rsid w:val="00C249F4"/>
    <w:rsid w:val="00C24B01"/>
    <w:rsid w:val="00C24C76"/>
    <w:rsid w:val="00C24D6D"/>
    <w:rsid w:val="00C24DDE"/>
    <w:rsid w:val="00C2537D"/>
    <w:rsid w:val="00C25404"/>
    <w:rsid w:val="00C25AB5"/>
    <w:rsid w:val="00C25DAC"/>
    <w:rsid w:val="00C26A07"/>
    <w:rsid w:val="00C26C17"/>
    <w:rsid w:val="00C27010"/>
    <w:rsid w:val="00C272A4"/>
    <w:rsid w:val="00C2755A"/>
    <w:rsid w:val="00C27CEA"/>
    <w:rsid w:val="00C30227"/>
    <w:rsid w:val="00C307E2"/>
    <w:rsid w:val="00C30D89"/>
    <w:rsid w:val="00C30DEE"/>
    <w:rsid w:val="00C311D2"/>
    <w:rsid w:val="00C313D8"/>
    <w:rsid w:val="00C3152E"/>
    <w:rsid w:val="00C31909"/>
    <w:rsid w:val="00C324AE"/>
    <w:rsid w:val="00C32940"/>
    <w:rsid w:val="00C33CC5"/>
    <w:rsid w:val="00C33EB6"/>
    <w:rsid w:val="00C343E0"/>
    <w:rsid w:val="00C3496B"/>
    <w:rsid w:val="00C34C7B"/>
    <w:rsid w:val="00C34FCD"/>
    <w:rsid w:val="00C3515B"/>
    <w:rsid w:val="00C3669E"/>
    <w:rsid w:val="00C367B2"/>
    <w:rsid w:val="00C36DAC"/>
    <w:rsid w:val="00C40503"/>
    <w:rsid w:val="00C409BC"/>
    <w:rsid w:val="00C40D1C"/>
    <w:rsid w:val="00C40EC3"/>
    <w:rsid w:val="00C40FB7"/>
    <w:rsid w:val="00C40FE7"/>
    <w:rsid w:val="00C41156"/>
    <w:rsid w:val="00C412ED"/>
    <w:rsid w:val="00C4162E"/>
    <w:rsid w:val="00C41AE4"/>
    <w:rsid w:val="00C41BE8"/>
    <w:rsid w:val="00C421A8"/>
    <w:rsid w:val="00C42288"/>
    <w:rsid w:val="00C42590"/>
    <w:rsid w:val="00C42D8C"/>
    <w:rsid w:val="00C44A05"/>
    <w:rsid w:val="00C44A2F"/>
    <w:rsid w:val="00C44AFD"/>
    <w:rsid w:val="00C45058"/>
    <w:rsid w:val="00C45205"/>
    <w:rsid w:val="00C453D5"/>
    <w:rsid w:val="00C45498"/>
    <w:rsid w:val="00C4559A"/>
    <w:rsid w:val="00C457D5"/>
    <w:rsid w:val="00C461B5"/>
    <w:rsid w:val="00C46AD5"/>
    <w:rsid w:val="00C46F4B"/>
    <w:rsid w:val="00C4713D"/>
    <w:rsid w:val="00C475C2"/>
    <w:rsid w:val="00C47C8E"/>
    <w:rsid w:val="00C47DFD"/>
    <w:rsid w:val="00C47E65"/>
    <w:rsid w:val="00C47E69"/>
    <w:rsid w:val="00C507E0"/>
    <w:rsid w:val="00C50A79"/>
    <w:rsid w:val="00C50DE7"/>
    <w:rsid w:val="00C5104A"/>
    <w:rsid w:val="00C51DC6"/>
    <w:rsid w:val="00C527AA"/>
    <w:rsid w:val="00C52A8C"/>
    <w:rsid w:val="00C52F4E"/>
    <w:rsid w:val="00C53753"/>
    <w:rsid w:val="00C537E5"/>
    <w:rsid w:val="00C53C7A"/>
    <w:rsid w:val="00C541DE"/>
    <w:rsid w:val="00C54248"/>
    <w:rsid w:val="00C547F5"/>
    <w:rsid w:val="00C54BB9"/>
    <w:rsid w:val="00C54CC3"/>
    <w:rsid w:val="00C54D15"/>
    <w:rsid w:val="00C55072"/>
    <w:rsid w:val="00C566D5"/>
    <w:rsid w:val="00C56E8F"/>
    <w:rsid w:val="00C57939"/>
    <w:rsid w:val="00C579D4"/>
    <w:rsid w:val="00C60620"/>
    <w:rsid w:val="00C608EA"/>
    <w:rsid w:val="00C608F4"/>
    <w:rsid w:val="00C60A19"/>
    <w:rsid w:val="00C60AD6"/>
    <w:rsid w:val="00C60E8C"/>
    <w:rsid w:val="00C612EF"/>
    <w:rsid w:val="00C61B25"/>
    <w:rsid w:val="00C61C80"/>
    <w:rsid w:val="00C620A7"/>
    <w:rsid w:val="00C623EC"/>
    <w:rsid w:val="00C625C4"/>
    <w:rsid w:val="00C62702"/>
    <w:rsid w:val="00C62751"/>
    <w:rsid w:val="00C63119"/>
    <w:rsid w:val="00C63148"/>
    <w:rsid w:val="00C6392A"/>
    <w:rsid w:val="00C63C56"/>
    <w:rsid w:val="00C63E81"/>
    <w:rsid w:val="00C64170"/>
    <w:rsid w:val="00C64678"/>
    <w:rsid w:val="00C64746"/>
    <w:rsid w:val="00C64841"/>
    <w:rsid w:val="00C648F4"/>
    <w:rsid w:val="00C64998"/>
    <w:rsid w:val="00C64B04"/>
    <w:rsid w:val="00C64C67"/>
    <w:rsid w:val="00C64CE9"/>
    <w:rsid w:val="00C64D22"/>
    <w:rsid w:val="00C64D7D"/>
    <w:rsid w:val="00C656C9"/>
    <w:rsid w:val="00C65786"/>
    <w:rsid w:val="00C6685A"/>
    <w:rsid w:val="00C66B0C"/>
    <w:rsid w:val="00C66E8E"/>
    <w:rsid w:val="00C66EB0"/>
    <w:rsid w:val="00C67938"/>
    <w:rsid w:val="00C6B812"/>
    <w:rsid w:val="00C701EF"/>
    <w:rsid w:val="00C706C9"/>
    <w:rsid w:val="00C70767"/>
    <w:rsid w:val="00C7083E"/>
    <w:rsid w:val="00C70CCB"/>
    <w:rsid w:val="00C70E79"/>
    <w:rsid w:val="00C71850"/>
    <w:rsid w:val="00C7196C"/>
    <w:rsid w:val="00C72013"/>
    <w:rsid w:val="00C72813"/>
    <w:rsid w:val="00C72E90"/>
    <w:rsid w:val="00C740A1"/>
    <w:rsid w:val="00C75128"/>
    <w:rsid w:val="00C7531B"/>
    <w:rsid w:val="00C753F7"/>
    <w:rsid w:val="00C75AD6"/>
    <w:rsid w:val="00C75F32"/>
    <w:rsid w:val="00C7662F"/>
    <w:rsid w:val="00C76D4F"/>
    <w:rsid w:val="00C76FF8"/>
    <w:rsid w:val="00C770F9"/>
    <w:rsid w:val="00C77214"/>
    <w:rsid w:val="00C77A94"/>
    <w:rsid w:val="00C80D0A"/>
    <w:rsid w:val="00C80D20"/>
    <w:rsid w:val="00C81727"/>
    <w:rsid w:val="00C81774"/>
    <w:rsid w:val="00C81DA7"/>
    <w:rsid w:val="00C81F82"/>
    <w:rsid w:val="00C82A4B"/>
    <w:rsid w:val="00C82D38"/>
    <w:rsid w:val="00C83150"/>
    <w:rsid w:val="00C83259"/>
    <w:rsid w:val="00C83455"/>
    <w:rsid w:val="00C83F4D"/>
    <w:rsid w:val="00C849F4"/>
    <w:rsid w:val="00C84B61"/>
    <w:rsid w:val="00C85241"/>
    <w:rsid w:val="00C8553F"/>
    <w:rsid w:val="00C85673"/>
    <w:rsid w:val="00C86668"/>
    <w:rsid w:val="00C867CF"/>
    <w:rsid w:val="00C867EE"/>
    <w:rsid w:val="00C87117"/>
    <w:rsid w:val="00C87A31"/>
    <w:rsid w:val="00C87C50"/>
    <w:rsid w:val="00C87EDE"/>
    <w:rsid w:val="00C904ED"/>
    <w:rsid w:val="00C907B2"/>
    <w:rsid w:val="00C909A2"/>
    <w:rsid w:val="00C90F06"/>
    <w:rsid w:val="00C911FD"/>
    <w:rsid w:val="00C91D65"/>
    <w:rsid w:val="00C922B1"/>
    <w:rsid w:val="00C92846"/>
    <w:rsid w:val="00C92AC2"/>
    <w:rsid w:val="00C937DB"/>
    <w:rsid w:val="00C93BD4"/>
    <w:rsid w:val="00C93DC3"/>
    <w:rsid w:val="00C93F9B"/>
    <w:rsid w:val="00C943E1"/>
    <w:rsid w:val="00C945D7"/>
    <w:rsid w:val="00C95370"/>
    <w:rsid w:val="00C9580A"/>
    <w:rsid w:val="00C960CB"/>
    <w:rsid w:val="00C968E6"/>
    <w:rsid w:val="00C96EAF"/>
    <w:rsid w:val="00C970BD"/>
    <w:rsid w:val="00C97BE0"/>
    <w:rsid w:val="00C97E92"/>
    <w:rsid w:val="00C97F0D"/>
    <w:rsid w:val="00CA00B6"/>
    <w:rsid w:val="00CA0812"/>
    <w:rsid w:val="00CA08FC"/>
    <w:rsid w:val="00CA0F79"/>
    <w:rsid w:val="00CA14CC"/>
    <w:rsid w:val="00CA19AD"/>
    <w:rsid w:val="00CA2618"/>
    <w:rsid w:val="00CA2DE9"/>
    <w:rsid w:val="00CA32DD"/>
    <w:rsid w:val="00CA34AD"/>
    <w:rsid w:val="00CA38BD"/>
    <w:rsid w:val="00CA3975"/>
    <w:rsid w:val="00CA40D0"/>
    <w:rsid w:val="00CA412D"/>
    <w:rsid w:val="00CA4248"/>
    <w:rsid w:val="00CA450B"/>
    <w:rsid w:val="00CA4B4F"/>
    <w:rsid w:val="00CA4B67"/>
    <w:rsid w:val="00CA4D1A"/>
    <w:rsid w:val="00CA4E3F"/>
    <w:rsid w:val="00CA4F5C"/>
    <w:rsid w:val="00CA4FC8"/>
    <w:rsid w:val="00CA5071"/>
    <w:rsid w:val="00CA5072"/>
    <w:rsid w:val="00CA59AC"/>
    <w:rsid w:val="00CA6558"/>
    <w:rsid w:val="00CA6660"/>
    <w:rsid w:val="00CA6980"/>
    <w:rsid w:val="00CA6D66"/>
    <w:rsid w:val="00CA703B"/>
    <w:rsid w:val="00CA72FE"/>
    <w:rsid w:val="00CA770B"/>
    <w:rsid w:val="00CB04B0"/>
    <w:rsid w:val="00CB06EC"/>
    <w:rsid w:val="00CB0CBC"/>
    <w:rsid w:val="00CB145B"/>
    <w:rsid w:val="00CB1A9B"/>
    <w:rsid w:val="00CB1E8C"/>
    <w:rsid w:val="00CB1F1F"/>
    <w:rsid w:val="00CB1F41"/>
    <w:rsid w:val="00CB209C"/>
    <w:rsid w:val="00CB222D"/>
    <w:rsid w:val="00CB24DB"/>
    <w:rsid w:val="00CB2A24"/>
    <w:rsid w:val="00CB2BCF"/>
    <w:rsid w:val="00CB2D28"/>
    <w:rsid w:val="00CB3011"/>
    <w:rsid w:val="00CB31F7"/>
    <w:rsid w:val="00CB37D4"/>
    <w:rsid w:val="00CB46FB"/>
    <w:rsid w:val="00CB49BB"/>
    <w:rsid w:val="00CB4E0B"/>
    <w:rsid w:val="00CB5F78"/>
    <w:rsid w:val="00CB5FC7"/>
    <w:rsid w:val="00CB6266"/>
    <w:rsid w:val="00CB62BD"/>
    <w:rsid w:val="00CB6762"/>
    <w:rsid w:val="00CB688E"/>
    <w:rsid w:val="00CB68BD"/>
    <w:rsid w:val="00CB69EB"/>
    <w:rsid w:val="00CB6B1B"/>
    <w:rsid w:val="00CB6C89"/>
    <w:rsid w:val="00CB6D20"/>
    <w:rsid w:val="00CB6D41"/>
    <w:rsid w:val="00CB6D95"/>
    <w:rsid w:val="00CB7260"/>
    <w:rsid w:val="00CB7A18"/>
    <w:rsid w:val="00CC005D"/>
    <w:rsid w:val="00CC0094"/>
    <w:rsid w:val="00CC13A1"/>
    <w:rsid w:val="00CC1ADE"/>
    <w:rsid w:val="00CC1DFB"/>
    <w:rsid w:val="00CC1F31"/>
    <w:rsid w:val="00CC2367"/>
    <w:rsid w:val="00CC267A"/>
    <w:rsid w:val="00CC28DA"/>
    <w:rsid w:val="00CC313D"/>
    <w:rsid w:val="00CC3A78"/>
    <w:rsid w:val="00CC3BB3"/>
    <w:rsid w:val="00CC3EB2"/>
    <w:rsid w:val="00CC42BE"/>
    <w:rsid w:val="00CC4979"/>
    <w:rsid w:val="00CC4E3D"/>
    <w:rsid w:val="00CC517E"/>
    <w:rsid w:val="00CC5481"/>
    <w:rsid w:val="00CC54FE"/>
    <w:rsid w:val="00CC5904"/>
    <w:rsid w:val="00CC5CEE"/>
    <w:rsid w:val="00CC670A"/>
    <w:rsid w:val="00CC6B59"/>
    <w:rsid w:val="00CC6DC8"/>
    <w:rsid w:val="00CC6E66"/>
    <w:rsid w:val="00CC7558"/>
    <w:rsid w:val="00CC7849"/>
    <w:rsid w:val="00CC7CC0"/>
    <w:rsid w:val="00CC7EB6"/>
    <w:rsid w:val="00CD02AB"/>
    <w:rsid w:val="00CD03E2"/>
    <w:rsid w:val="00CD0E94"/>
    <w:rsid w:val="00CD1371"/>
    <w:rsid w:val="00CD14C6"/>
    <w:rsid w:val="00CD1A65"/>
    <w:rsid w:val="00CD1F29"/>
    <w:rsid w:val="00CD238A"/>
    <w:rsid w:val="00CD2B35"/>
    <w:rsid w:val="00CD2EF7"/>
    <w:rsid w:val="00CD2F05"/>
    <w:rsid w:val="00CD32A1"/>
    <w:rsid w:val="00CD37E7"/>
    <w:rsid w:val="00CD41CC"/>
    <w:rsid w:val="00CD4A55"/>
    <w:rsid w:val="00CD4ABD"/>
    <w:rsid w:val="00CD4BB7"/>
    <w:rsid w:val="00CD5CF9"/>
    <w:rsid w:val="00CD6005"/>
    <w:rsid w:val="00CD6053"/>
    <w:rsid w:val="00CD60BE"/>
    <w:rsid w:val="00CD6F3A"/>
    <w:rsid w:val="00CD7071"/>
    <w:rsid w:val="00CD7928"/>
    <w:rsid w:val="00CD793D"/>
    <w:rsid w:val="00CD7A1B"/>
    <w:rsid w:val="00CD860B"/>
    <w:rsid w:val="00CE000B"/>
    <w:rsid w:val="00CE00D2"/>
    <w:rsid w:val="00CE0358"/>
    <w:rsid w:val="00CE092B"/>
    <w:rsid w:val="00CE0979"/>
    <w:rsid w:val="00CE0AF7"/>
    <w:rsid w:val="00CE0C46"/>
    <w:rsid w:val="00CE0D25"/>
    <w:rsid w:val="00CE0E7D"/>
    <w:rsid w:val="00CE1539"/>
    <w:rsid w:val="00CE1698"/>
    <w:rsid w:val="00CE1D5A"/>
    <w:rsid w:val="00CE2419"/>
    <w:rsid w:val="00CE294E"/>
    <w:rsid w:val="00CE2B90"/>
    <w:rsid w:val="00CE2DE7"/>
    <w:rsid w:val="00CE2EA5"/>
    <w:rsid w:val="00CE34AD"/>
    <w:rsid w:val="00CE3679"/>
    <w:rsid w:val="00CE3AF2"/>
    <w:rsid w:val="00CE3B1C"/>
    <w:rsid w:val="00CE3FF8"/>
    <w:rsid w:val="00CE4021"/>
    <w:rsid w:val="00CE4495"/>
    <w:rsid w:val="00CE49D5"/>
    <w:rsid w:val="00CE4A22"/>
    <w:rsid w:val="00CE4A6D"/>
    <w:rsid w:val="00CE5080"/>
    <w:rsid w:val="00CE5418"/>
    <w:rsid w:val="00CE54B2"/>
    <w:rsid w:val="00CE5768"/>
    <w:rsid w:val="00CE5852"/>
    <w:rsid w:val="00CE5DE0"/>
    <w:rsid w:val="00CE615E"/>
    <w:rsid w:val="00CE63B7"/>
    <w:rsid w:val="00CE7023"/>
    <w:rsid w:val="00CE71E4"/>
    <w:rsid w:val="00CE7427"/>
    <w:rsid w:val="00CE7AAC"/>
    <w:rsid w:val="00CE7B16"/>
    <w:rsid w:val="00CE7F36"/>
    <w:rsid w:val="00CE7F3F"/>
    <w:rsid w:val="00CF080B"/>
    <w:rsid w:val="00CF0D51"/>
    <w:rsid w:val="00CF0DAC"/>
    <w:rsid w:val="00CF0E8B"/>
    <w:rsid w:val="00CF1541"/>
    <w:rsid w:val="00CF1585"/>
    <w:rsid w:val="00CF2151"/>
    <w:rsid w:val="00CF2613"/>
    <w:rsid w:val="00CF2C9D"/>
    <w:rsid w:val="00CF34B4"/>
    <w:rsid w:val="00CF3D16"/>
    <w:rsid w:val="00CF5742"/>
    <w:rsid w:val="00CF6387"/>
    <w:rsid w:val="00CF63F4"/>
    <w:rsid w:val="00CF65CA"/>
    <w:rsid w:val="00CF6A5F"/>
    <w:rsid w:val="00CF7630"/>
    <w:rsid w:val="00CF7C8B"/>
    <w:rsid w:val="00CF7F67"/>
    <w:rsid w:val="00D003D8"/>
    <w:rsid w:val="00D0075E"/>
    <w:rsid w:val="00D009F7"/>
    <w:rsid w:val="00D00C73"/>
    <w:rsid w:val="00D00D2D"/>
    <w:rsid w:val="00D0119C"/>
    <w:rsid w:val="00D022BC"/>
    <w:rsid w:val="00D022E8"/>
    <w:rsid w:val="00D0239A"/>
    <w:rsid w:val="00D02BAD"/>
    <w:rsid w:val="00D038FE"/>
    <w:rsid w:val="00D044B7"/>
    <w:rsid w:val="00D0454D"/>
    <w:rsid w:val="00D04B9A"/>
    <w:rsid w:val="00D04F3F"/>
    <w:rsid w:val="00D05083"/>
    <w:rsid w:val="00D053F7"/>
    <w:rsid w:val="00D054BC"/>
    <w:rsid w:val="00D054FF"/>
    <w:rsid w:val="00D05C57"/>
    <w:rsid w:val="00D05E24"/>
    <w:rsid w:val="00D05FDC"/>
    <w:rsid w:val="00D06543"/>
    <w:rsid w:val="00D066BC"/>
    <w:rsid w:val="00D068B8"/>
    <w:rsid w:val="00D07737"/>
    <w:rsid w:val="00D077D1"/>
    <w:rsid w:val="00D07A99"/>
    <w:rsid w:val="00D07C79"/>
    <w:rsid w:val="00D112A7"/>
    <w:rsid w:val="00D11462"/>
    <w:rsid w:val="00D11C07"/>
    <w:rsid w:val="00D11D3E"/>
    <w:rsid w:val="00D1215C"/>
    <w:rsid w:val="00D12807"/>
    <w:rsid w:val="00D12DB8"/>
    <w:rsid w:val="00D1300A"/>
    <w:rsid w:val="00D13161"/>
    <w:rsid w:val="00D134B0"/>
    <w:rsid w:val="00D13970"/>
    <w:rsid w:val="00D1425C"/>
    <w:rsid w:val="00D1429D"/>
    <w:rsid w:val="00D14655"/>
    <w:rsid w:val="00D1480C"/>
    <w:rsid w:val="00D14858"/>
    <w:rsid w:val="00D1486D"/>
    <w:rsid w:val="00D14CCC"/>
    <w:rsid w:val="00D154F1"/>
    <w:rsid w:val="00D15DC4"/>
    <w:rsid w:val="00D15F71"/>
    <w:rsid w:val="00D16293"/>
    <w:rsid w:val="00D1633C"/>
    <w:rsid w:val="00D1696E"/>
    <w:rsid w:val="00D16BED"/>
    <w:rsid w:val="00D16BEE"/>
    <w:rsid w:val="00D16E6D"/>
    <w:rsid w:val="00D16EDD"/>
    <w:rsid w:val="00D17059"/>
    <w:rsid w:val="00D173A9"/>
    <w:rsid w:val="00D17545"/>
    <w:rsid w:val="00D17A7A"/>
    <w:rsid w:val="00D17AD7"/>
    <w:rsid w:val="00D203EF"/>
    <w:rsid w:val="00D20515"/>
    <w:rsid w:val="00D21018"/>
    <w:rsid w:val="00D21169"/>
    <w:rsid w:val="00D215D9"/>
    <w:rsid w:val="00D21645"/>
    <w:rsid w:val="00D2172C"/>
    <w:rsid w:val="00D21D7C"/>
    <w:rsid w:val="00D21DBB"/>
    <w:rsid w:val="00D21EFE"/>
    <w:rsid w:val="00D21F29"/>
    <w:rsid w:val="00D2282E"/>
    <w:rsid w:val="00D228C3"/>
    <w:rsid w:val="00D22903"/>
    <w:rsid w:val="00D22917"/>
    <w:rsid w:val="00D22BFD"/>
    <w:rsid w:val="00D22EE8"/>
    <w:rsid w:val="00D230A9"/>
    <w:rsid w:val="00D2332A"/>
    <w:rsid w:val="00D234E1"/>
    <w:rsid w:val="00D23711"/>
    <w:rsid w:val="00D23963"/>
    <w:rsid w:val="00D23A59"/>
    <w:rsid w:val="00D23A8D"/>
    <w:rsid w:val="00D24340"/>
    <w:rsid w:val="00D245E5"/>
    <w:rsid w:val="00D24803"/>
    <w:rsid w:val="00D248EE"/>
    <w:rsid w:val="00D249B2"/>
    <w:rsid w:val="00D2519B"/>
    <w:rsid w:val="00D254F7"/>
    <w:rsid w:val="00D25AFD"/>
    <w:rsid w:val="00D25F9D"/>
    <w:rsid w:val="00D26482"/>
    <w:rsid w:val="00D26694"/>
    <w:rsid w:val="00D26706"/>
    <w:rsid w:val="00D26782"/>
    <w:rsid w:val="00D26BA1"/>
    <w:rsid w:val="00D26E0D"/>
    <w:rsid w:val="00D27010"/>
    <w:rsid w:val="00D270A8"/>
    <w:rsid w:val="00D27414"/>
    <w:rsid w:val="00D27555"/>
    <w:rsid w:val="00D304D2"/>
    <w:rsid w:val="00D30BEE"/>
    <w:rsid w:val="00D30EB6"/>
    <w:rsid w:val="00D31085"/>
    <w:rsid w:val="00D313BD"/>
    <w:rsid w:val="00D314F0"/>
    <w:rsid w:val="00D3169D"/>
    <w:rsid w:val="00D31778"/>
    <w:rsid w:val="00D32210"/>
    <w:rsid w:val="00D32301"/>
    <w:rsid w:val="00D323DD"/>
    <w:rsid w:val="00D32717"/>
    <w:rsid w:val="00D32773"/>
    <w:rsid w:val="00D32A7A"/>
    <w:rsid w:val="00D33108"/>
    <w:rsid w:val="00D33213"/>
    <w:rsid w:val="00D339DD"/>
    <w:rsid w:val="00D340F8"/>
    <w:rsid w:val="00D341F0"/>
    <w:rsid w:val="00D34849"/>
    <w:rsid w:val="00D34CF9"/>
    <w:rsid w:val="00D3524F"/>
    <w:rsid w:val="00D352C3"/>
    <w:rsid w:val="00D35572"/>
    <w:rsid w:val="00D359E8"/>
    <w:rsid w:val="00D35AD5"/>
    <w:rsid w:val="00D36040"/>
    <w:rsid w:val="00D3730A"/>
    <w:rsid w:val="00D37A5B"/>
    <w:rsid w:val="00D40A7E"/>
    <w:rsid w:val="00D40D2D"/>
    <w:rsid w:val="00D412B4"/>
    <w:rsid w:val="00D41319"/>
    <w:rsid w:val="00D413A9"/>
    <w:rsid w:val="00D416FD"/>
    <w:rsid w:val="00D41FFA"/>
    <w:rsid w:val="00D42026"/>
    <w:rsid w:val="00D425B4"/>
    <w:rsid w:val="00D42684"/>
    <w:rsid w:val="00D42765"/>
    <w:rsid w:val="00D430B5"/>
    <w:rsid w:val="00D4316D"/>
    <w:rsid w:val="00D433F4"/>
    <w:rsid w:val="00D43DE4"/>
    <w:rsid w:val="00D43ECE"/>
    <w:rsid w:val="00D44540"/>
    <w:rsid w:val="00D44AAC"/>
    <w:rsid w:val="00D44C22"/>
    <w:rsid w:val="00D44D15"/>
    <w:rsid w:val="00D4575D"/>
    <w:rsid w:val="00D45DA8"/>
    <w:rsid w:val="00D46D07"/>
    <w:rsid w:val="00D47298"/>
    <w:rsid w:val="00D47B36"/>
    <w:rsid w:val="00D47D60"/>
    <w:rsid w:val="00D47ECE"/>
    <w:rsid w:val="00D5176E"/>
    <w:rsid w:val="00D51786"/>
    <w:rsid w:val="00D517BE"/>
    <w:rsid w:val="00D518E1"/>
    <w:rsid w:val="00D527A9"/>
    <w:rsid w:val="00D53329"/>
    <w:rsid w:val="00D536AD"/>
    <w:rsid w:val="00D538BF"/>
    <w:rsid w:val="00D539F5"/>
    <w:rsid w:val="00D53BA9"/>
    <w:rsid w:val="00D54171"/>
    <w:rsid w:val="00D54687"/>
    <w:rsid w:val="00D54A34"/>
    <w:rsid w:val="00D54E4A"/>
    <w:rsid w:val="00D54E78"/>
    <w:rsid w:val="00D54F96"/>
    <w:rsid w:val="00D550AA"/>
    <w:rsid w:val="00D558CE"/>
    <w:rsid w:val="00D55AE3"/>
    <w:rsid w:val="00D55C4F"/>
    <w:rsid w:val="00D55D68"/>
    <w:rsid w:val="00D5626B"/>
    <w:rsid w:val="00D56B3D"/>
    <w:rsid w:val="00D56C49"/>
    <w:rsid w:val="00D56F5F"/>
    <w:rsid w:val="00D5781E"/>
    <w:rsid w:val="00D57BA7"/>
    <w:rsid w:val="00D60318"/>
    <w:rsid w:val="00D6043E"/>
    <w:rsid w:val="00D605AD"/>
    <w:rsid w:val="00D60A3D"/>
    <w:rsid w:val="00D616EE"/>
    <w:rsid w:val="00D618B7"/>
    <w:rsid w:val="00D618F1"/>
    <w:rsid w:val="00D61AA6"/>
    <w:rsid w:val="00D62CBD"/>
    <w:rsid w:val="00D62F75"/>
    <w:rsid w:val="00D63441"/>
    <w:rsid w:val="00D636A3"/>
    <w:rsid w:val="00D6411C"/>
    <w:rsid w:val="00D641C5"/>
    <w:rsid w:val="00D64550"/>
    <w:rsid w:val="00D64934"/>
    <w:rsid w:val="00D6496D"/>
    <w:rsid w:val="00D64BB0"/>
    <w:rsid w:val="00D64C29"/>
    <w:rsid w:val="00D64EB1"/>
    <w:rsid w:val="00D6510A"/>
    <w:rsid w:val="00D651F9"/>
    <w:rsid w:val="00D65A35"/>
    <w:rsid w:val="00D66240"/>
    <w:rsid w:val="00D66A17"/>
    <w:rsid w:val="00D66CAF"/>
    <w:rsid w:val="00D67228"/>
    <w:rsid w:val="00D678FC"/>
    <w:rsid w:val="00D67C11"/>
    <w:rsid w:val="00D67C8C"/>
    <w:rsid w:val="00D67FD0"/>
    <w:rsid w:val="00D70862"/>
    <w:rsid w:val="00D70A97"/>
    <w:rsid w:val="00D71803"/>
    <w:rsid w:val="00D71FD8"/>
    <w:rsid w:val="00D7253F"/>
    <w:rsid w:val="00D72562"/>
    <w:rsid w:val="00D7275C"/>
    <w:rsid w:val="00D727C3"/>
    <w:rsid w:val="00D72BD5"/>
    <w:rsid w:val="00D72DF5"/>
    <w:rsid w:val="00D736CD"/>
    <w:rsid w:val="00D73A04"/>
    <w:rsid w:val="00D73A1B"/>
    <w:rsid w:val="00D73E34"/>
    <w:rsid w:val="00D73E71"/>
    <w:rsid w:val="00D74123"/>
    <w:rsid w:val="00D74594"/>
    <w:rsid w:val="00D74AB1"/>
    <w:rsid w:val="00D757A8"/>
    <w:rsid w:val="00D759EE"/>
    <w:rsid w:val="00D76252"/>
    <w:rsid w:val="00D76983"/>
    <w:rsid w:val="00D76DB4"/>
    <w:rsid w:val="00D76E42"/>
    <w:rsid w:val="00D778F8"/>
    <w:rsid w:val="00D77A9E"/>
    <w:rsid w:val="00D77DBD"/>
    <w:rsid w:val="00D8000E"/>
    <w:rsid w:val="00D800D0"/>
    <w:rsid w:val="00D80799"/>
    <w:rsid w:val="00D809C6"/>
    <w:rsid w:val="00D80AA1"/>
    <w:rsid w:val="00D80B23"/>
    <w:rsid w:val="00D810FF"/>
    <w:rsid w:val="00D811E1"/>
    <w:rsid w:val="00D8158D"/>
    <w:rsid w:val="00D816B4"/>
    <w:rsid w:val="00D81D87"/>
    <w:rsid w:val="00D8222D"/>
    <w:rsid w:val="00D82419"/>
    <w:rsid w:val="00D826A6"/>
    <w:rsid w:val="00D8271F"/>
    <w:rsid w:val="00D83230"/>
    <w:rsid w:val="00D83EAD"/>
    <w:rsid w:val="00D83FE2"/>
    <w:rsid w:val="00D843E3"/>
    <w:rsid w:val="00D846F3"/>
    <w:rsid w:val="00D84ED8"/>
    <w:rsid w:val="00D856A0"/>
    <w:rsid w:val="00D85C14"/>
    <w:rsid w:val="00D85FE9"/>
    <w:rsid w:val="00D86325"/>
    <w:rsid w:val="00D863A8"/>
    <w:rsid w:val="00D863AD"/>
    <w:rsid w:val="00D8644B"/>
    <w:rsid w:val="00D866F0"/>
    <w:rsid w:val="00D86C27"/>
    <w:rsid w:val="00D87963"/>
    <w:rsid w:val="00D87CC8"/>
    <w:rsid w:val="00D87ECA"/>
    <w:rsid w:val="00D87ED0"/>
    <w:rsid w:val="00D9001F"/>
    <w:rsid w:val="00D90169"/>
    <w:rsid w:val="00D90323"/>
    <w:rsid w:val="00D90707"/>
    <w:rsid w:val="00D90728"/>
    <w:rsid w:val="00D90786"/>
    <w:rsid w:val="00D90C39"/>
    <w:rsid w:val="00D90C47"/>
    <w:rsid w:val="00D90F33"/>
    <w:rsid w:val="00D91408"/>
    <w:rsid w:val="00D916C3"/>
    <w:rsid w:val="00D916DD"/>
    <w:rsid w:val="00D91B5C"/>
    <w:rsid w:val="00D91E8E"/>
    <w:rsid w:val="00D91F0D"/>
    <w:rsid w:val="00D9208A"/>
    <w:rsid w:val="00D92417"/>
    <w:rsid w:val="00D92E9F"/>
    <w:rsid w:val="00D92F10"/>
    <w:rsid w:val="00D9384A"/>
    <w:rsid w:val="00D93976"/>
    <w:rsid w:val="00D939C4"/>
    <w:rsid w:val="00D93A63"/>
    <w:rsid w:val="00D93AD0"/>
    <w:rsid w:val="00D93AD2"/>
    <w:rsid w:val="00D93CC2"/>
    <w:rsid w:val="00D93F16"/>
    <w:rsid w:val="00D9470F"/>
    <w:rsid w:val="00D9481E"/>
    <w:rsid w:val="00D94A61"/>
    <w:rsid w:val="00D94ACB"/>
    <w:rsid w:val="00D9565B"/>
    <w:rsid w:val="00D960E8"/>
    <w:rsid w:val="00D9621D"/>
    <w:rsid w:val="00D96AD7"/>
    <w:rsid w:val="00D96D4E"/>
    <w:rsid w:val="00D9707D"/>
    <w:rsid w:val="00D97204"/>
    <w:rsid w:val="00D9761D"/>
    <w:rsid w:val="00D97E91"/>
    <w:rsid w:val="00D97FEA"/>
    <w:rsid w:val="00DA0156"/>
    <w:rsid w:val="00DA0857"/>
    <w:rsid w:val="00DA0871"/>
    <w:rsid w:val="00DA0A1A"/>
    <w:rsid w:val="00DA0CAB"/>
    <w:rsid w:val="00DA0EF9"/>
    <w:rsid w:val="00DA1765"/>
    <w:rsid w:val="00DA1B24"/>
    <w:rsid w:val="00DA1F7A"/>
    <w:rsid w:val="00DA26C4"/>
    <w:rsid w:val="00DA343F"/>
    <w:rsid w:val="00DA34AE"/>
    <w:rsid w:val="00DA35DF"/>
    <w:rsid w:val="00DA3BAA"/>
    <w:rsid w:val="00DA3FA6"/>
    <w:rsid w:val="00DA4191"/>
    <w:rsid w:val="00DA41DB"/>
    <w:rsid w:val="00DA4234"/>
    <w:rsid w:val="00DA42D4"/>
    <w:rsid w:val="00DA44FD"/>
    <w:rsid w:val="00DA46BF"/>
    <w:rsid w:val="00DA4AC8"/>
    <w:rsid w:val="00DA4EB3"/>
    <w:rsid w:val="00DA4FE9"/>
    <w:rsid w:val="00DA5366"/>
    <w:rsid w:val="00DA5965"/>
    <w:rsid w:val="00DA60A6"/>
    <w:rsid w:val="00DA638D"/>
    <w:rsid w:val="00DA650F"/>
    <w:rsid w:val="00DA65A3"/>
    <w:rsid w:val="00DA6D21"/>
    <w:rsid w:val="00DA7056"/>
    <w:rsid w:val="00DA7E49"/>
    <w:rsid w:val="00DB0150"/>
    <w:rsid w:val="00DB0E68"/>
    <w:rsid w:val="00DB0FD2"/>
    <w:rsid w:val="00DB1071"/>
    <w:rsid w:val="00DB1513"/>
    <w:rsid w:val="00DB1EFB"/>
    <w:rsid w:val="00DB2091"/>
    <w:rsid w:val="00DB24E0"/>
    <w:rsid w:val="00DB35C3"/>
    <w:rsid w:val="00DB3958"/>
    <w:rsid w:val="00DB3A82"/>
    <w:rsid w:val="00DB3C55"/>
    <w:rsid w:val="00DB3CAA"/>
    <w:rsid w:val="00DB4114"/>
    <w:rsid w:val="00DB431C"/>
    <w:rsid w:val="00DB4328"/>
    <w:rsid w:val="00DB4429"/>
    <w:rsid w:val="00DB4483"/>
    <w:rsid w:val="00DB48F1"/>
    <w:rsid w:val="00DB4A99"/>
    <w:rsid w:val="00DB4CE2"/>
    <w:rsid w:val="00DB4DAC"/>
    <w:rsid w:val="00DB52A8"/>
    <w:rsid w:val="00DB54C1"/>
    <w:rsid w:val="00DB5E39"/>
    <w:rsid w:val="00DB606B"/>
    <w:rsid w:val="00DB6277"/>
    <w:rsid w:val="00DB6A96"/>
    <w:rsid w:val="00DB6AFF"/>
    <w:rsid w:val="00DB6D7B"/>
    <w:rsid w:val="00DB749E"/>
    <w:rsid w:val="00DB7986"/>
    <w:rsid w:val="00DB7FD9"/>
    <w:rsid w:val="00DC008D"/>
    <w:rsid w:val="00DC07DF"/>
    <w:rsid w:val="00DC09B7"/>
    <w:rsid w:val="00DC0C28"/>
    <w:rsid w:val="00DC1010"/>
    <w:rsid w:val="00DC1097"/>
    <w:rsid w:val="00DC1106"/>
    <w:rsid w:val="00DC12B3"/>
    <w:rsid w:val="00DC368D"/>
    <w:rsid w:val="00DC36F3"/>
    <w:rsid w:val="00DC39DA"/>
    <w:rsid w:val="00DC3E77"/>
    <w:rsid w:val="00DC3F2C"/>
    <w:rsid w:val="00DC4245"/>
    <w:rsid w:val="00DC55FB"/>
    <w:rsid w:val="00DC584D"/>
    <w:rsid w:val="00DC5881"/>
    <w:rsid w:val="00DC5B62"/>
    <w:rsid w:val="00DC6087"/>
    <w:rsid w:val="00DC64D6"/>
    <w:rsid w:val="00DC661B"/>
    <w:rsid w:val="00DC6A2B"/>
    <w:rsid w:val="00DC6AE0"/>
    <w:rsid w:val="00DC6D4B"/>
    <w:rsid w:val="00DC6F1A"/>
    <w:rsid w:val="00DC7057"/>
    <w:rsid w:val="00DC76A1"/>
    <w:rsid w:val="00DC76D3"/>
    <w:rsid w:val="00DD0B3B"/>
    <w:rsid w:val="00DD0B8A"/>
    <w:rsid w:val="00DD0BD0"/>
    <w:rsid w:val="00DD0E30"/>
    <w:rsid w:val="00DD11EB"/>
    <w:rsid w:val="00DD15D2"/>
    <w:rsid w:val="00DD17D7"/>
    <w:rsid w:val="00DD18DC"/>
    <w:rsid w:val="00DD1E20"/>
    <w:rsid w:val="00DD22B0"/>
    <w:rsid w:val="00DD2F2A"/>
    <w:rsid w:val="00DD302C"/>
    <w:rsid w:val="00DD384E"/>
    <w:rsid w:val="00DD38D7"/>
    <w:rsid w:val="00DD4168"/>
    <w:rsid w:val="00DD41FE"/>
    <w:rsid w:val="00DD4C95"/>
    <w:rsid w:val="00DD5DEA"/>
    <w:rsid w:val="00DD5FEB"/>
    <w:rsid w:val="00DD60B2"/>
    <w:rsid w:val="00DD6657"/>
    <w:rsid w:val="00DD69E3"/>
    <w:rsid w:val="00DD71CE"/>
    <w:rsid w:val="00DD732F"/>
    <w:rsid w:val="00DD785D"/>
    <w:rsid w:val="00DD7E1F"/>
    <w:rsid w:val="00DE02D5"/>
    <w:rsid w:val="00DE04EB"/>
    <w:rsid w:val="00DE0744"/>
    <w:rsid w:val="00DE0F2A"/>
    <w:rsid w:val="00DE1AF9"/>
    <w:rsid w:val="00DE1EEC"/>
    <w:rsid w:val="00DE23BB"/>
    <w:rsid w:val="00DE27D1"/>
    <w:rsid w:val="00DE28AE"/>
    <w:rsid w:val="00DE2E27"/>
    <w:rsid w:val="00DE30C6"/>
    <w:rsid w:val="00DE31B5"/>
    <w:rsid w:val="00DE31EB"/>
    <w:rsid w:val="00DE33F2"/>
    <w:rsid w:val="00DE3565"/>
    <w:rsid w:val="00DE36D2"/>
    <w:rsid w:val="00DE3737"/>
    <w:rsid w:val="00DE393A"/>
    <w:rsid w:val="00DE3D5E"/>
    <w:rsid w:val="00DE3ECA"/>
    <w:rsid w:val="00DE40E1"/>
    <w:rsid w:val="00DE4D5A"/>
    <w:rsid w:val="00DE526D"/>
    <w:rsid w:val="00DE61C3"/>
    <w:rsid w:val="00DE6602"/>
    <w:rsid w:val="00DE6745"/>
    <w:rsid w:val="00DE6DC3"/>
    <w:rsid w:val="00DE6DF2"/>
    <w:rsid w:val="00DE6F21"/>
    <w:rsid w:val="00DE700C"/>
    <w:rsid w:val="00DE79F8"/>
    <w:rsid w:val="00DF042E"/>
    <w:rsid w:val="00DF0587"/>
    <w:rsid w:val="00DF0A09"/>
    <w:rsid w:val="00DF0E97"/>
    <w:rsid w:val="00DF0FF3"/>
    <w:rsid w:val="00DF1008"/>
    <w:rsid w:val="00DF1477"/>
    <w:rsid w:val="00DF197D"/>
    <w:rsid w:val="00DF1AC1"/>
    <w:rsid w:val="00DF2085"/>
    <w:rsid w:val="00DF2328"/>
    <w:rsid w:val="00DF294D"/>
    <w:rsid w:val="00DF2DD9"/>
    <w:rsid w:val="00DF39D7"/>
    <w:rsid w:val="00DF3FC8"/>
    <w:rsid w:val="00DF41DE"/>
    <w:rsid w:val="00DF4833"/>
    <w:rsid w:val="00DF4CA5"/>
    <w:rsid w:val="00DF4CD0"/>
    <w:rsid w:val="00DF5152"/>
    <w:rsid w:val="00DF5563"/>
    <w:rsid w:val="00DF5705"/>
    <w:rsid w:val="00DF60DA"/>
    <w:rsid w:val="00DF6919"/>
    <w:rsid w:val="00DF6A50"/>
    <w:rsid w:val="00DF6AE4"/>
    <w:rsid w:val="00DF6C7E"/>
    <w:rsid w:val="00DF71AC"/>
    <w:rsid w:val="00DF74BE"/>
    <w:rsid w:val="00DF762E"/>
    <w:rsid w:val="00DF7963"/>
    <w:rsid w:val="00DF79D3"/>
    <w:rsid w:val="00E00110"/>
    <w:rsid w:val="00E00E98"/>
    <w:rsid w:val="00E01A03"/>
    <w:rsid w:val="00E024DD"/>
    <w:rsid w:val="00E02511"/>
    <w:rsid w:val="00E02C8D"/>
    <w:rsid w:val="00E02F35"/>
    <w:rsid w:val="00E0310B"/>
    <w:rsid w:val="00E033AC"/>
    <w:rsid w:val="00E03C1E"/>
    <w:rsid w:val="00E03E20"/>
    <w:rsid w:val="00E04277"/>
    <w:rsid w:val="00E04381"/>
    <w:rsid w:val="00E046D3"/>
    <w:rsid w:val="00E047A9"/>
    <w:rsid w:val="00E04909"/>
    <w:rsid w:val="00E04D6D"/>
    <w:rsid w:val="00E050E4"/>
    <w:rsid w:val="00E05576"/>
    <w:rsid w:val="00E05DBA"/>
    <w:rsid w:val="00E06012"/>
    <w:rsid w:val="00E0640C"/>
    <w:rsid w:val="00E06522"/>
    <w:rsid w:val="00E06656"/>
    <w:rsid w:val="00E0753D"/>
    <w:rsid w:val="00E0770E"/>
    <w:rsid w:val="00E07BD0"/>
    <w:rsid w:val="00E07DE5"/>
    <w:rsid w:val="00E07EC6"/>
    <w:rsid w:val="00E07F23"/>
    <w:rsid w:val="00E10994"/>
    <w:rsid w:val="00E111ED"/>
    <w:rsid w:val="00E1130C"/>
    <w:rsid w:val="00E114C5"/>
    <w:rsid w:val="00E118A7"/>
    <w:rsid w:val="00E11CBA"/>
    <w:rsid w:val="00E12057"/>
    <w:rsid w:val="00E121E7"/>
    <w:rsid w:val="00E124C5"/>
    <w:rsid w:val="00E12E2E"/>
    <w:rsid w:val="00E13639"/>
    <w:rsid w:val="00E14278"/>
    <w:rsid w:val="00E143D8"/>
    <w:rsid w:val="00E1476A"/>
    <w:rsid w:val="00E14CC1"/>
    <w:rsid w:val="00E15345"/>
    <w:rsid w:val="00E15403"/>
    <w:rsid w:val="00E159AE"/>
    <w:rsid w:val="00E15B0A"/>
    <w:rsid w:val="00E16D2D"/>
    <w:rsid w:val="00E1775D"/>
    <w:rsid w:val="00E17980"/>
    <w:rsid w:val="00E17AA1"/>
    <w:rsid w:val="00E17AA8"/>
    <w:rsid w:val="00E17E3B"/>
    <w:rsid w:val="00E17F0C"/>
    <w:rsid w:val="00E17FB0"/>
    <w:rsid w:val="00E20615"/>
    <w:rsid w:val="00E20817"/>
    <w:rsid w:val="00E20C06"/>
    <w:rsid w:val="00E20C6B"/>
    <w:rsid w:val="00E2145A"/>
    <w:rsid w:val="00E219B7"/>
    <w:rsid w:val="00E21A55"/>
    <w:rsid w:val="00E221FA"/>
    <w:rsid w:val="00E22BDB"/>
    <w:rsid w:val="00E2356A"/>
    <w:rsid w:val="00E23B80"/>
    <w:rsid w:val="00E23CC2"/>
    <w:rsid w:val="00E23E56"/>
    <w:rsid w:val="00E242A3"/>
    <w:rsid w:val="00E245FE"/>
    <w:rsid w:val="00E24719"/>
    <w:rsid w:val="00E24FE7"/>
    <w:rsid w:val="00E2543C"/>
    <w:rsid w:val="00E254BB"/>
    <w:rsid w:val="00E255A7"/>
    <w:rsid w:val="00E260CF"/>
    <w:rsid w:val="00E2673B"/>
    <w:rsid w:val="00E26C2D"/>
    <w:rsid w:val="00E271E6"/>
    <w:rsid w:val="00E2742E"/>
    <w:rsid w:val="00E30331"/>
    <w:rsid w:val="00E30C97"/>
    <w:rsid w:val="00E30FD7"/>
    <w:rsid w:val="00E319D1"/>
    <w:rsid w:val="00E31A72"/>
    <w:rsid w:val="00E31ACA"/>
    <w:rsid w:val="00E31F96"/>
    <w:rsid w:val="00E326F2"/>
    <w:rsid w:val="00E33204"/>
    <w:rsid w:val="00E3352A"/>
    <w:rsid w:val="00E3385C"/>
    <w:rsid w:val="00E33A39"/>
    <w:rsid w:val="00E33BBA"/>
    <w:rsid w:val="00E33DED"/>
    <w:rsid w:val="00E33E7A"/>
    <w:rsid w:val="00E33EFE"/>
    <w:rsid w:val="00E3403E"/>
    <w:rsid w:val="00E345B5"/>
    <w:rsid w:val="00E3480A"/>
    <w:rsid w:val="00E348AE"/>
    <w:rsid w:val="00E35271"/>
    <w:rsid w:val="00E3620C"/>
    <w:rsid w:val="00E36262"/>
    <w:rsid w:val="00E378FD"/>
    <w:rsid w:val="00E37A48"/>
    <w:rsid w:val="00E37E0E"/>
    <w:rsid w:val="00E37F5E"/>
    <w:rsid w:val="00E37F74"/>
    <w:rsid w:val="00E37FC8"/>
    <w:rsid w:val="00E400A8"/>
    <w:rsid w:val="00E40654"/>
    <w:rsid w:val="00E40DD1"/>
    <w:rsid w:val="00E40DD4"/>
    <w:rsid w:val="00E40E09"/>
    <w:rsid w:val="00E40E72"/>
    <w:rsid w:val="00E4126F"/>
    <w:rsid w:val="00E4162E"/>
    <w:rsid w:val="00E41F6E"/>
    <w:rsid w:val="00E42075"/>
    <w:rsid w:val="00E423EF"/>
    <w:rsid w:val="00E42C2D"/>
    <w:rsid w:val="00E42F5F"/>
    <w:rsid w:val="00E438ED"/>
    <w:rsid w:val="00E439DE"/>
    <w:rsid w:val="00E4400A"/>
    <w:rsid w:val="00E4406C"/>
    <w:rsid w:val="00E4419F"/>
    <w:rsid w:val="00E4432E"/>
    <w:rsid w:val="00E44418"/>
    <w:rsid w:val="00E44609"/>
    <w:rsid w:val="00E44F09"/>
    <w:rsid w:val="00E4517F"/>
    <w:rsid w:val="00E452C5"/>
    <w:rsid w:val="00E454E1"/>
    <w:rsid w:val="00E45958"/>
    <w:rsid w:val="00E45DBB"/>
    <w:rsid w:val="00E46260"/>
    <w:rsid w:val="00E462BA"/>
    <w:rsid w:val="00E466D8"/>
    <w:rsid w:val="00E46B94"/>
    <w:rsid w:val="00E46B99"/>
    <w:rsid w:val="00E46D61"/>
    <w:rsid w:val="00E46E94"/>
    <w:rsid w:val="00E46FCE"/>
    <w:rsid w:val="00E46FF2"/>
    <w:rsid w:val="00E470EE"/>
    <w:rsid w:val="00E47724"/>
    <w:rsid w:val="00E47AA4"/>
    <w:rsid w:val="00E47C5F"/>
    <w:rsid w:val="00E50092"/>
    <w:rsid w:val="00E510FE"/>
    <w:rsid w:val="00E51CFD"/>
    <w:rsid w:val="00E52781"/>
    <w:rsid w:val="00E5292D"/>
    <w:rsid w:val="00E52D80"/>
    <w:rsid w:val="00E53391"/>
    <w:rsid w:val="00E5538C"/>
    <w:rsid w:val="00E55796"/>
    <w:rsid w:val="00E5579E"/>
    <w:rsid w:val="00E56FA4"/>
    <w:rsid w:val="00E572FD"/>
    <w:rsid w:val="00E577D3"/>
    <w:rsid w:val="00E578A0"/>
    <w:rsid w:val="00E60013"/>
    <w:rsid w:val="00E602CD"/>
    <w:rsid w:val="00E606ED"/>
    <w:rsid w:val="00E6099F"/>
    <w:rsid w:val="00E60CEC"/>
    <w:rsid w:val="00E6128C"/>
    <w:rsid w:val="00E6141E"/>
    <w:rsid w:val="00E614F3"/>
    <w:rsid w:val="00E61BEA"/>
    <w:rsid w:val="00E61D03"/>
    <w:rsid w:val="00E61EBC"/>
    <w:rsid w:val="00E624A8"/>
    <w:rsid w:val="00E626F9"/>
    <w:rsid w:val="00E62989"/>
    <w:rsid w:val="00E63300"/>
    <w:rsid w:val="00E63889"/>
    <w:rsid w:val="00E63E6F"/>
    <w:rsid w:val="00E6431A"/>
    <w:rsid w:val="00E64A00"/>
    <w:rsid w:val="00E65166"/>
    <w:rsid w:val="00E6552E"/>
    <w:rsid w:val="00E66247"/>
    <w:rsid w:val="00E66DE5"/>
    <w:rsid w:val="00E67553"/>
    <w:rsid w:val="00E67737"/>
    <w:rsid w:val="00E67C1F"/>
    <w:rsid w:val="00E70206"/>
    <w:rsid w:val="00E708D6"/>
    <w:rsid w:val="00E70AF0"/>
    <w:rsid w:val="00E71157"/>
    <w:rsid w:val="00E712A4"/>
    <w:rsid w:val="00E71FC5"/>
    <w:rsid w:val="00E72195"/>
    <w:rsid w:val="00E723AA"/>
    <w:rsid w:val="00E72F3C"/>
    <w:rsid w:val="00E730A9"/>
    <w:rsid w:val="00E73795"/>
    <w:rsid w:val="00E73B6A"/>
    <w:rsid w:val="00E73CAD"/>
    <w:rsid w:val="00E73DEE"/>
    <w:rsid w:val="00E7438F"/>
    <w:rsid w:val="00E74456"/>
    <w:rsid w:val="00E7478D"/>
    <w:rsid w:val="00E74C32"/>
    <w:rsid w:val="00E74ED1"/>
    <w:rsid w:val="00E7533E"/>
    <w:rsid w:val="00E7610F"/>
    <w:rsid w:val="00E762B6"/>
    <w:rsid w:val="00E76408"/>
    <w:rsid w:val="00E7720A"/>
    <w:rsid w:val="00E7777A"/>
    <w:rsid w:val="00E77B05"/>
    <w:rsid w:val="00E77D85"/>
    <w:rsid w:val="00E77F27"/>
    <w:rsid w:val="00E801A8"/>
    <w:rsid w:val="00E80513"/>
    <w:rsid w:val="00E8072C"/>
    <w:rsid w:val="00E80B83"/>
    <w:rsid w:val="00E80CB4"/>
    <w:rsid w:val="00E80CEB"/>
    <w:rsid w:val="00E80CFB"/>
    <w:rsid w:val="00E80D4D"/>
    <w:rsid w:val="00E812CD"/>
    <w:rsid w:val="00E81C57"/>
    <w:rsid w:val="00E8292A"/>
    <w:rsid w:val="00E82CE5"/>
    <w:rsid w:val="00E831AC"/>
    <w:rsid w:val="00E833F1"/>
    <w:rsid w:val="00E8342B"/>
    <w:rsid w:val="00E84231"/>
    <w:rsid w:val="00E84389"/>
    <w:rsid w:val="00E84C14"/>
    <w:rsid w:val="00E85014"/>
    <w:rsid w:val="00E85E46"/>
    <w:rsid w:val="00E86699"/>
    <w:rsid w:val="00E86BCE"/>
    <w:rsid w:val="00E87836"/>
    <w:rsid w:val="00E87D1C"/>
    <w:rsid w:val="00E87EDD"/>
    <w:rsid w:val="00E908C2"/>
    <w:rsid w:val="00E916A7"/>
    <w:rsid w:val="00E91B08"/>
    <w:rsid w:val="00E91BAC"/>
    <w:rsid w:val="00E91F3D"/>
    <w:rsid w:val="00E921FF"/>
    <w:rsid w:val="00E9254F"/>
    <w:rsid w:val="00E926C2"/>
    <w:rsid w:val="00E926DA"/>
    <w:rsid w:val="00E92D12"/>
    <w:rsid w:val="00E92D55"/>
    <w:rsid w:val="00E93317"/>
    <w:rsid w:val="00E9343C"/>
    <w:rsid w:val="00E93FFD"/>
    <w:rsid w:val="00E9488B"/>
    <w:rsid w:val="00E95175"/>
    <w:rsid w:val="00E9572A"/>
    <w:rsid w:val="00E958C7"/>
    <w:rsid w:val="00E95E2C"/>
    <w:rsid w:val="00E95ED0"/>
    <w:rsid w:val="00E967AC"/>
    <w:rsid w:val="00E96D84"/>
    <w:rsid w:val="00E96FA7"/>
    <w:rsid w:val="00E97B69"/>
    <w:rsid w:val="00EA01C7"/>
    <w:rsid w:val="00EA0659"/>
    <w:rsid w:val="00EA0996"/>
    <w:rsid w:val="00EA0B32"/>
    <w:rsid w:val="00EA0D3D"/>
    <w:rsid w:val="00EA0E64"/>
    <w:rsid w:val="00EA1B80"/>
    <w:rsid w:val="00EA1E6A"/>
    <w:rsid w:val="00EA2261"/>
    <w:rsid w:val="00EA23A3"/>
    <w:rsid w:val="00EA261A"/>
    <w:rsid w:val="00EA262B"/>
    <w:rsid w:val="00EA28DD"/>
    <w:rsid w:val="00EA30A2"/>
    <w:rsid w:val="00EA3801"/>
    <w:rsid w:val="00EA3E20"/>
    <w:rsid w:val="00EA3E67"/>
    <w:rsid w:val="00EA3EE2"/>
    <w:rsid w:val="00EA4311"/>
    <w:rsid w:val="00EA589E"/>
    <w:rsid w:val="00EA5B67"/>
    <w:rsid w:val="00EA5CD2"/>
    <w:rsid w:val="00EA5D09"/>
    <w:rsid w:val="00EA6700"/>
    <w:rsid w:val="00EA6D92"/>
    <w:rsid w:val="00EA7157"/>
    <w:rsid w:val="00EA716A"/>
    <w:rsid w:val="00EB0E0D"/>
    <w:rsid w:val="00EB1327"/>
    <w:rsid w:val="00EB13FF"/>
    <w:rsid w:val="00EB1766"/>
    <w:rsid w:val="00EB1A81"/>
    <w:rsid w:val="00EB21F6"/>
    <w:rsid w:val="00EB3DA2"/>
    <w:rsid w:val="00EB40E5"/>
    <w:rsid w:val="00EB44D6"/>
    <w:rsid w:val="00EB4A8E"/>
    <w:rsid w:val="00EB4D7F"/>
    <w:rsid w:val="00EB4DBE"/>
    <w:rsid w:val="00EB5030"/>
    <w:rsid w:val="00EB53E7"/>
    <w:rsid w:val="00EB62F7"/>
    <w:rsid w:val="00EB6417"/>
    <w:rsid w:val="00EB6662"/>
    <w:rsid w:val="00EB690F"/>
    <w:rsid w:val="00EB6CB6"/>
    <w:rsid w:val="00EB6FD6"/>
    <w:rsid w:val="00EB77C9"/>
    <w:rsid w:val="00EB77CB"/>
    <w:rsid w:val="00EB7955"/>
    <w:rsid w:val="00EB7BDF"/>
    <w:rsid w:val="00EC001A"/>
    <w:rsid w:val="00EC026F"/>
    <w:rsid w:val="00EC0854"/>
    <w:rsid w:val="00EC10B7"/>
    <w:rsid w:val="00EC1B01"/>
    <w:rsid w:val="00EC1D36"/>
    <w:rsid w:val="00EC2F4D"/>
    <w:rsid w:val="00EC2F87"/>
    <w:rsid w:val="00EC3121"/>
    <w:rsid w:val="00EC3287"/>
    <w:rsid w:val="00EC362B"/>
    <w:rsid w:val="00EC376A"/>
    <w:rsid w:val="00EC43CB"/>
    <w:rsid w:val="00EC4CAC"/>
    <w:rsid w:val="00EC529B"/>
    <w:rsid w:val="00EC52D9"/>
    <w:rsid w:val="00EC5F0F"/>
    <w:rsid w:val="00EC63E6"/>
    <w:rsid w:val="00EC65B8"/>
    <w:rsid w:val="00EC673D"/>
    <w:rsid w:val="00EC679F"/>
    <w:rsid w:val="00EC6948"/>
    <w:rsid w:val="00EC720A"/>
    <w:rsid w:val="00EC76D2"/>
    <w:rsid w:val="00EC77CE"/>
    <w:rsid w:val="00EC79CF"/>
    <w:rsid w:val="00EC7ECE"/>
    <w:rsid w:val="00ED0509"/>
    <w:rsid w:val="00ED0756"/>
    <w:rsid w:val="00ED0780"/>
    <w:rsid w:val="00ED09E4"/>
    <w:rsid w:val="00ED13E4"/>
    <w:rsid w:val="00ED163E"/>
    <w:rsid w:val="00ED1812"/>
    <w:rsid w:val="00ED1E6D"/>
    <w:rsid w:val="00ED1E92"/>
    <w:rsid w:val="00ED27AF"/>
    <w:rsid w:val="00ED2B9F"/>
    <w:rsid w:val="00ED2E3F"/>
    <w:rsid w:val="00ED2E8E"/>
    <w:rsid w:val="00ED3AB4"/>
    <w:rsid w:val="00ED3BC2"/>
    <w:rsid w:val="00ED3D67"/>
    <w:rsid w:val="00ED42EF"/>
    <w:rsid w:val="00ED52C1"/>
    <w:rsid w:val="00ED53E7"/>
    <w:rsid w:val="00ED5575"/>
    <w:rsid w:val="00ED56DD"/>
    <w:rsid w:val="00ED5BDD"/>
    <w:rsid w:val="00ED5DA5"/>
    <w:rsid w:val="00ED5F7A"/>
    <w:rsid w:val="00ED5FB6"/>
    <w:rsid w:val="00ED62BD"/>
    <w:rsid w:val="00ED6890"/>
    <w:rsid w:val="00ED6E1D"/>
    <w:rsid w:val="00ED75B0"/>
    <w:rsid w:val="00ED770C"/>
    <w:rsid w:val="00ED7912"/>
    <w:rsid w:val="00EE03CD"/>
    <w:rsid w:val="00EE14D7"/>
    <w:rsid w:val="00EE23B0"/>
    <w:rsid w:val="00EE3ADE"/>
    <w:rsid w:val="00EE3D1F"/>
    <w:rsid w:val="00EE4037"/>
    <w:rsid w:val="00EE4390"/>
    <w:rsid w:val="00EE4510"/>
    <w:rsid w:val="00EE482E"/>
    <w:rsid w:val="00EE4F08"/>
    <w:rsid w:val="00EE5470"/>
    <w:rsid w:val="00EE5D2F"/>
    <w:rsid w:val="00EE5FC7"/>
    <w:rsid w:val="00EE69F4"/>
    <w:rsid w:val="00EE6A7C"/>
    <w:rsid w:val="00EE6DA2"/>
    <w:rsid w:val="00EE720C"/>
    <w:rsid w:val="00EE77A7"/>
    <w:rsid w:val="00EF05A3"/>
    <w:rsid w:val="00EF06A7"/>
    <w:rsid w:val="00EF0791"/>
    <w:rsid w:val="00EF087E"/>
    <w:rsid w:val="00EF0C4B"/>
    <w:rsid w:val="00EF0C5E"/>
    <w:rsid w:val="00EF0D1A"/>
    <w:rsid w:val="00EF0EA1"/>
    <w:rsid w:val="00EF10B1"/>
    <w:rsid w:val="00EF1630"/>
    <w:rsid w:val="00EF1897"/>
    <w:rsid w:val="00EF1D7C"/>
    <w:rsid w:val="00EF1E47"/>
    <w:rsid w:val="00EF2379"/>
    <w:rsid w:val="00EF244F"/>
    <w:rsid w:val="00EF258A"/>
    <w:rsid w:val="00EF2772"/>
    <w:rsid w:val="00EF2B62"/>
    <w:rsid w:val="00EF32DB"/>
    <w:rsid w:val="00EF35F3"/>
    <w:rsid w:val="00EF38A8"/>
    <w:rsid w:val="00EF3B6E"/>
    <w:rsid w:val="00EF3C7C"/>
    <w:rsid w:val="00EF3E0E"/>
    <w:rsid w:val="00EF43A6"/>
    <w:rsid w:val="00EF4BC1"/>
    <w:rsid w:val="00EF4D2A"/>
    <w:rsid w:val="00EF51D0"/>
    <w:rsid w:val="00EF51DA"/>
    <w:rsid w:val="00EF5766"/>
    <w:rsid w:val="00EF5EBC"/>
    <w:rsid w:val="00EF6331"/>
    <w:rsid w:val="00EF7062"/>
    <w:rsid w:val="00EF78F5"/>
    <w:rsid w:val="00EF7A8D"/>
    <w:rsid w:val="00EF7ACE"/>
    <w:rsid w:val="00EF7CE5"/>
    <w:rsid w:val="00EF7FEA"/>
    <w:rsid w:val="00F00290"/>
    <w:rsid w:val="00F008C1"/>
    <w:rsid w:val="00F00EF0"/>
    <w:rsid w:val="00F010B7"/>
    <w:rsid w:val="00F019FE"/>
    <w:rsid w:val="00F01AE4"/>
    <w:rsid w:val="00F01F11"/>
    <w:rsid w:val="00F02486"/>
    <w:rsid w:val="00F02993"/>
    <w:rsid w:val="00F029FF"/>
    <w:rsid w:val="00F02C28"/>
    <w:rsid w:val="00F034E8"/>
    <w:rsid w:val="00F038C8"/>
    <w:rsid w:val="00F03A3F"/>
    <w:rsid w:val="00F03B4E"/>
    <w:rsid w:val="00F04640"/>
    <w:rsid w:val="00F05675"/>
    <w:rsid w:val="00F05BF4"/>
    <w:rsid w:val="00F05EF7"/>
    <w:rsid w:val="00F05EFF"/>
    <w:rsid w:val="00F060FF"/>
    <w:rsid w:val="00F06782"/>
    <w:rsid w:val="00F06B80"/>
    <w:rsid w:val="00F06C94"/>
    <w:rsid w:val="00F07094"/>
    <w:rsid w:val="00F07252"/>
    <w:rsid w:val="00F072B4"/>
    <w:rsid w:val="00F0731C"/>
    <w:rsid w:val="00F0774E"/>
    <w:rsid w:val="00F07F2C"/>
    <w:rsid w:val="00F103BC"/>
    <w:rsid w:val="00F10401"/>
    <w:rsid w:val="00F1070D"/>
    <w:rsid w:val="00F10A84"/>
    <w:rsid w:val="00F10BD6"/>
    <w:rsid w:val="00F10E17"/>
    <w:rsid w:val="00F10E1C"/>
    <w:rsid w:val="00F10EFB"/>
    <w:rsid w:val="00F11164"/>
    <w:rsid w:val="00F111BE"/>
    <w:rsid w:val="00F11FD1"/>
    <w:rsid w:val="00F1294E"/>
    <w:rsid w:val="00F129A6"/>
    <w:rsid w:val="00F12F65"/>
    <w:rsid w:val="00F131AC"/>
    <w:rsid w:val="00F13215"/>
    <w:rsid w:val="00F135A8"/>
    <w:rsid w:val="00F1369B"/>
    <w:rsid w:val="00F13781"/>
    <w:rsid w:val="00F139DE"/>
    <w:rsid w:val="00F14E2C"/>
    <w:rsid w:val="00F155BF"/>
    <w:rsid w:val="00F15DED"/>
    <w:rsid w:val="00F1628E"/>
    <w:rsid w:val="00F16525"/>
    <w:rsid w:val="00F16826"/>
    <w:rsid w:val="00F169BD"/>
    <w:rsid w:val="00F1715D"/>
    <w:rsid w:val="00F17537"/>
    <w:rsid w:val="00F17923"/>
    <w:rsid w:val="00F17C7F"/>
    <w:rsid w:val="00F17EDC"/>
    <w:rsid w:val="00F204C0"/>
    <w:rsid w:val="00F209EB"/>
    <w:rsid w:val="00F20DE4"/>
    <w:rsid w:val="00F21305"/>
    <w:rsid w:val="00F217A6"/>
    <w:rsid w:val="00F21B64"/>
    <w:rsid w:val="00F21DC5"/>
    <w:rsid w:val="00F221F4"/>
    <w:rsid w:val="00F221F5"/>
    <w:rsid w:val="00F22C92"/>
    <w:rsid w:val="00F22D15"/>
    <w:rsid w:val="00F23151"/>
    <w:rsid w:val="00F2341B"/>
    <w:rsid w:val="00F2351C"/>
    <w:rsid w:val="00F238E5"/>
    <w:rsid w:val="00F239ED"/>
    <w:rsid w:val="00F23ED0"/>
    <w:rsid w:val="00F23F30"/>
    <w:rsid w:val="00F23F95"/>
    <w:rsid w:val="00F24158"/>
    <w:rsid w:val="00F24557"/>
    <w:rsid w:val="00F252C8"/>
    <w:rsid w:val="00F25446"/>
    <w:rsid w:val="00F257D5"/>
    <w:rsid w:val="00F259F8"/>
    <w:rsid w:val="00F2608F"/>
    <w:rsid w:val="00F26197"/>
    <w:rsid w:val="00F26263"/>
    <w:rsid w:val="00F26335"/>
    <w:rsid w:val="00F26341"/>
    <w:rsid w:val="00F2689B"/>
    <w:rsid w:val="00F26DE8"/>
    <w:rsid w:val="00F26FC7"/>
    <w:rsid w:val="00F27644"/>
    <w:rsid w:val="00F27F71"/>
    <w:rsid w:val="00F3029C"/>
    <w:rsid w:val="00F30B5A"/>
    <w:rsid w:val="00F30F60"/>
    <w:rsid w:val="00F31A11"/>
    <w:rsid w:val="00F31D0A"/>
    <w:rsid w:val="00F31D5B"/>
    <w:rsid w:val="00F3277E"/>
    <w:rsid w:val="00F32B22"/>
    <w:rsid w:val="00F32C56"/>
    <w:rsid w:val="00F32D67"/>
    <w:rsid w:val="00F3302A"/>
    <w:rsid w:val="00F3329E"/>
    <w:rsid w:val="00F334FF"/>
    <w:rsid w:val="00F335E9"/>
    <w:rsid w:val="00F33E39"/>
    <w:rsid w:val="00F33FF4"/>
    <w:rsid w:val="00F34741"/>
    <w:rsid w:val="00F34968"/>
    <w:rsid w:val="00F35576"/>
    <w:rsid w:val="00F35829"/>
    <w:rsid w:val="00F35F43"/>
    <w:rsid w:val="00F3622D"/>
    <w:rsid w:val="00F36246"/>
    <w:rsid w:val="00F362F2"/>
    <w:rsid w:val="00F36C32"/>
    <w:rsid w:val="00F36DF8"/>
    <w:rsid w:val="00F37861"/>
    <w:rsid w:val="00F37A9D"/>
    <w:rsid w:val="00F37ABC"/>
    <w:rsid w:val="00F37BFD"/>
    <w:rsid w:val="00F40497"/>
    <w:rsid w:val="00F4072E"/>
    <w:rsid w:val="00F40A21"/>
    <w:rsid w:val="00F40A30"/>
    <w:rsid w:val="00F41072"/>
    <w:rsid w:val="00F4190B"/>
    <w:rsid w:val="00F41A33"/>
    <w:rsid w:val="00F41E11"/>
    <w:rsid w:val="00F420F9"/>
    <w:rsid w:val="00F42156"/>
    <w:rsid w:val="00F423C9"/>
    <w:rsid w:val="00F42480"/>
    <w:rsid w:val="00F42EAC"/>
    <w:rsid w:val="00F43CD6"/>
    <w:rsid w:val="00F4497F"/>
    <w:rsid w:val="00F44CDA"/>
    <w:rsid w:val="00F44D29"/>
    <w:rsid w:val="00F44E06"/>
    <w:rsid w:val="00F4502C"/>
    <w:rsid w:val="00F453B1"/>
    <w:rsid w:val="00F456BF"/>
    <w:rsid w:val="00F45D85"/>
    <w:rsid w:val="00F45EC7"/>
    <w:rsid w:val="00F46526"/>
    <w:rsid w:val="00F465AD"/>
    <w:rsid w:val="00F46845"/>
    <w:rsid w:val="00F46A66"/>
    <w:rsid w:val="00F47102"/>
    <w:rsid w:val="00F475FF"/>
    <w:rsid w:val="00F479BA"/>
    <w:rsid w:val="00F47D06"/>
    <w:rsid w:val="00F47DB4"/>
    <w:rsid w:val="00F47FF9"/>
    <w:rsid w:val="00F509FD"/>
    <w:rsid w:val="00F50A1F"/>
    <w:rsid w:val="00F50F61"/>
    <w:rsid w:val="00F510B3"/>
    <w:rsid w:val="00F51181"/>
    <w:rsid w:val="00F51343"/>
    <w:rsid w:val="00F514D5"/>
    <w:rsid w:val="00F51BB1"/>
    <w:rsid w:val="00F523DD"/>
    <w:rsid w:val="00F5285C"/>
    <w:rsid w:val="00F52905"/>
    <w:rsid w:val="00F52AC7"/>
    <w:rsid w:val="00F52C1F"/>
    <w:rsid w:val="00F53104"/>
    <w:rsid w:val="00F534CC"/>
    <w:rsid w:val="00F53856"/>
    <w:rsid w:val="00F539F5"/>
    <w:rsid w:val="00F53B52"/>
    <w:rsid w:val="00F53F1C"/>
    <w:rsid w:val="00F53F7E"/>
    <w:rsid w:val="00F543C1"/>
    <w:rsid w:val="00F543D3"/>
    <w:rsid w:val="00F547C7"/>
    <w:rsid w:val="00F54F2C"/>
    <w:rsid w:val="00F5517A"/>
    <w:rsid w:val="00F553B7"/>
    <w:rsid w:val="00F553C2"/>
    <w:rsid w:val="00F553D6"/>
    <w:rsid w:val="00F55FFE"/>
    <w:rsid w:val="00F561CB"/>
    <w:rsid w:val="00F56409"/>
    <w:rsid w:val="00F56AAB"/>
    <w:rsid w:val="00F572F7"/>
    <w:rsid w:val="00F578B3"/>
    <w:rsid w:val="00F6016A"/>
    <w:rsid w:val="00F60F6F"/>
    <w:rsid w:val="00F6140C"/>
    <w:rsid w:val="00F616C2"/>
    <w:rsid w:val="00F61CFB"/>
    <w:rsid w:val="00F61D96"/>
    <w:rsid w:val="00F62138"/>
    <w:rsid w:val="00F624DC"/>
    <w:rsid w:val="00F625C2"/>
    <w:rsid w:val="00F62BF3"/>
    <w:rsid w:val="00F62DD8"/>
    <w:rsid w:val="00F634C7"/>
    <w:rsid w:val="00F63ED9"/>
    <w:rsid w:val="00F64180"/>
    <w:rsid w:val="00F6462B"/>
    <w:rsid w:val="00F64CA5"/>
    <w:rsid w:val="00F64EC3"/>
    <w:rsid w:val="00F651BF"/>
    <w:rsid w:val="00F6590D"/>
    <w:rsid w:val="00F659CF"/>
    <w:rsid w:val="00F66164"/>
    <w:rsid w:val="00F665C7"/>
    <w:rsid w:val="00F6687D"/>
    <w:rsid w:val="00F669A5"/>
    <w:rsid w:val="00F66CAC"/>
    <w:rsid w:val="00F67112"/>
    <w:rsid w:val="00F672CA"/>
    <w:rsid w:val="00F6749E"/>
    <w:rsid w:val="00F67C6C"/>
    <w:rsid w:val="00F700E6"/>
    <w:rsid w:val="00F70A85"/>
    <w:rsid w:val="00F7105B"/>
    <w:rsid w:val="00F719DC"/>
    <w:rsid w:val="00F71E97"/>
    <w:rsid w:val="00F724B8"/>
    <w:rsid w:val="00F7252E"/>
    <w:rsid w:val="00F729B3"/>
    <w:rsid w:val="00F72C65"/>
    <w:rsid w:val="00F733DC"/>
    <w:rsid w:val="00F73CD5"/>
    <w:rsid w:val="00F74B30"/>
    <w:rsid w:val="00F75338"/>
    <w:rsid w:val="00F7536A"/>
    <w:rsid w:val="00F75534"/>
    <w:rsid w:val="00F75825"/>
    <w:rsid w:val="00F75AB4"/>
    <w:rsid w:val="00F75DC8"/>
    <w:rsid w:val="00F75E82"/>
    <w:rsid w:val="00F765FA"/>
    <w:rsid w:val="00F767D2"/>
    <w:rsid w:val="00F76DEF"/>
    <w:rsid w:val="00F77016"/>
    <w:rsid w:val="00F77333"/>
    <w:rsid w:val="00F77DAA"/>
    <w:rsid w:val="00F77FFB"/>
    <w:rsid w:val="00F80214"/>
    <w:rsid w:val="00F8039D"/>
    <w:rsid w:val="00F80946"/>
    <w:rsid w:val="00F80A6C"/>
    <w:rsid w:val="00F80C3A"/>
    <w:rsid w:val="00F80EC0"/>
    <w:rsid w:val="00F81406"/>
    <w:rsid w:val="00F81564"/>
    <w:rsid w:val="00F821A3"/>
    <w:rsid w:val="00F8237D"/>
    <w:rsid w:val="00F8274D"/>
    <w:rsid w:val="00F82B2B"/>
    <w:rsid w:val="00F82BCB"/>
    <w:rsid w:val="00F833E8"/>
    <w:rsid w:val="00F835CC"/>
    <w:rsid w:val="00F83B8B"/>
    <w:rsid w:val="00F8402D"/>
    <w:rsid w:val="00F84356"/>
    <w:rsid w:val="00F84643"/>
    <w:rsid w:val="00F850C4"/>
    <w:rsid w:val="00F85D35"/>
    <w:rsid w:val="00F85E6E"/>
    <w:rsid w:val="00F860A6"/>
    <w:rsid w:val="00F863DC"/>
    <w:rsid w:val="00F86910"/>
    <w:rsid w:val="00F87149"/>
    <w:rsid w:val="00F872FA"/>
    <w:rsid w:val="00F87517"/>
    <w:rsid w:val="00F87C10"/>
    <w:rsid w:val="00F87E9A"/>
    <w:rsid w:val="00F90064"/>
    <w:rsid w:val="00F901AE"/>
    <w:rsid w:val="00F905CC"/>
    <w:rsid w:val="00F90A60"/>
    <w:rsid w:val="00F910E9"/>
    <w:rsid w:val="00F91240"/>
    <w:rsid w:val="00F91291"/>
    <w:rsid w:val="00F91872"/>
    <w:rsid w:val="00F91C06"/>
    <w:rsid w:val="00F9235E"/>
    <w:rsid w:val="00F92C35"/>
    <w:rsid w:val="00F92EAA"/>
    <w:rsid w:val="00F930E0"/>
    <w:rsid w:val="00F93703"/>
    <w:rsid w:val="00F939A7"/>
    <w:rsid w:val="00F9418E"/>
    <w:rsid w:val="00F945E8"/>
    <w:rsid w:val="00F94A17"/>
    <w:rsid w:val="00F94AE0"/>
    <w:rsid w:val="00F96602"/>
    <w:rsid w:val="00F96AE7"/>
    <w:rsid w:val="00F96B77"/>
    <w:rsid w:val="00F96BC0"/>
    <w:rsid w:val="00F96D84"/>
    <w:rsid w:val="00F972BF"/>
    <w:rsid w:val="00F977E3"/>
    <w:rsid w:val="00FA036A"/>
    <w:rsid w:val="00FA0661"/>
    <w:rsid w:val="00FA09F8"/>
    <w:rsid w:val="00FA1260"/>
    <w:rsid w:val="00FA1637"/>
    <w:rsid w:val="00FA1B2D"/>
    <w:rsid w:val="00FA1F7C"/>
    <w:rsid w:val="00FA2122"/>
    <w:rsid w:val="00FA2BFE"/>
    <w:rsid w:val="00FA2D72"/>
    <w:rsid w:val="00FA2DDB"/>
    <w:rsid w:val="00FA31A7"/>
    <w:rsid w:val="00FA39E9"/>
    <w:rsid w:val="00FA4517"/>
    <w:rsid w:val="00FA4E0D"/>
    <w:rsid w:val="00FA4FE3"/>
    <w:rsid w:val="00FA59E8"/>
    <w:rsid w:val="00FA5CED"/>
    <w:rsid w:val="00FA5E05"/>
    <w:rsid w:val="00FA5E5C"/>
    <w:rsid w:val="00FA5EB1"/>
    <w:rsid w:val="00FA66D1"/>
    <w:rsid w:val="00FA6893"/>
    <w:rsid w:val="00FA6C28"/>
    <w:rsid w:val="00FA7185"/>
    <w:rsid w:val="00FA7846"/>
    <w:rsid w:val="00FA7879"/>
    <w:rsid w:val="00FA7956"/>
    <w:rsid w:val="00FA7DBF"/>
    <w:rsid w:val="00FB01B2"/>
    <w:rsid w:val="00FB026A"/>
    <w:rsid w:val="00FB0E12"/>
    <w:rsid w:val="00FB11D8"/>
    <w:rsid w:val="00FB1284"/>
    <w:rsid w:val="00FB14ED"/>
    <w:rsid w:val="00FB22AC"/>
    <w:rsid w:val="00FB22E4"/>
    <w:rsid w:val="00FB25D6"/>
    <w:rsid w:val="00FB2913"/>
    <w:rsid w:val="00FB2A74"/>
    <w:rsid w:val="00FB3045"/>
    <w:rsid w:val="00FB3874"/>
    <w:rsid w:val="00FB3953"/>
    <w:rsid w:val="00FB398F"/>
    <w:rsid w:val="00FB3A1F"/>
    <w:rsid w:val="00FB40F0"/>
    <w:rsid w:val="00FB42C1"/>
    <w:rsid w:val="00FB44E2"/>
    <w:rsid w:val="00FB4679"/>
    <w:rsid w:val="00FB467F"/>
    <w:rsid w:val="00FB4993"/>
    <w:rsid w:val="00FB4B7A"/>
    <w:rsid w:val="00FB5160"/>
    <w:rsid w:val="00FB5181"/>
    <w:rsid w:val="00FB5301"/>
    <w:rsid w:val="00FB550D"/>
    <w:rsid w:val="00FB5B5F"/>
    <w:rsid w:val="00FB5DBB"/>
    <w:rsid w:val="00FB6975"/>
    <w:rsid w:val="00FB6A2A"/>
    <w:rsid w:val="00FB7328"/>
    <w:rsid w:val="00FB7B85"/>
    <w:rsid w:val="00FC0862"/>
    <w:rsid w:val="00FC18A5"/>
    <w:rsid w:val="00FC2228"/>
    <w:rsid w:val="00FC22A4"/>
    <w:rsid w:val="00FC24ED"/>
    <w:rsid w:val="00FC2711"/>
    <w:rsid w:val="00FC29D9"/>
    <w:rsid w:val="00FC2C5B"/>
    <w:rsid w:val="00FC2CA4"/>
    <w:rsid w:val="00FC2DD2"/>
    <w:rsid w:val="00FC2F5F"/>
    <w:rsid w:val="00FC31DF"/>
    <w:rsid w:val="00FC340A"/>
    <w:rsid w:val="00FC35B9"/>
    <w:rsid w:val="00FC3BFC"/>
    <w:rsid w:val="00FC4430"/>
    <w:rsid w:val="00FC487B"/>
    <w:rsid w:val="00FC4BA0"/>
    <w:rsid w:val="00FC4DDF"/>
    <w:rsid w:val="00FC4F62"/>
    <w:rsid w:val="00FC576F"/>
    <w:rsid w:val="00FC583E"/>
    <w:rsid w:val="00FC5D08"/>
    <w:rsid w:val="00FC5E28"/>
    <w:rsid w:val="00FC5FF1"/>
    <w:rsid w:val="00FC6465"/>
    <w:rsid w:val="00FC65BD"/>
    <w:rsid w:val="00FC66BB"/>
    <w:rsid w:val="00FC719C"/>
    <w:rsid w:val="00FC7627"/>
    <w:rsid w:val="00FC76F5"/>
    <w:rsid w:val="00FC77FC"/>
    <w:rsid w:val="00FD041A"/>
    <w:rsid w:val="00FD070B"/>
    <w:rsid w:val="00FD0AB8"/>
    <w:rsid w:val="00FD0AD9"/>
    <w:rsid w:val="00FD0E4D"/>
    <w:rsid w:val="00FD2039"/>
    <w:rsid w:val="00FD2079"/>
    <w:rsid w:val="00FD210B"/>
    <w:rsid w:val="00FD212B"/>
    <w:rsid w:val="00FD2CA0"/>
    <w:rsid w:val="00FD3516"/>
    <w:rsid w:val="00FD3561"/>
    <w:rsid w:val="00FD36B3"/>
    <w:rsid w:val="00FD37BB"/>
    <w:rsid w:val="00FD3A4D"/>
    <w:rsid w:val="00FD3C76"/>
    <w:rsid w:val="00FD3CA2"/>
    <w:rsid w:val="00FD3E0E"/>
    <w:rsid w:val="00FD43FE"/>
    <w:rsid w:val="00FD495B"/>
    <w:rsid w:val="00FD4B59"/>
    <w:rsid w:val="00FD53DB"/>
    <w:rsid w:val="00FD574B"/>
    <w:rsid w:val="00FD5F50"/>
    <w:rsid w:val="00FD6240"/>
    <w:rsid w:val="00FD6580"/>
    <w:rsid w:val="00FD65BD"/>
    <w:rsid w:val="00FD687D"/>
    <w:rsid w:val="00FD71C1"/>
    <w:rsid w:val="00FD741D"/>
    <w:rsid w:val="00FD743A"/>
    <w:rsid w:val="00FDCDE6"/>
    <w:rsid w:val="00FE00BF"/>
    <w:rsid w:val="00FE034A"/>
    <w:rsid w:val="00FE04EA"/>
    <w:rsid w:val="00FE05A5"/>
    <w:rsid w:val="00FE0645"/>
    <w:rsid w:val="00FE0A5E"/>
    <w:rsid w:val="00FE0C28"/>
    <w:rsid w:val="00FE15B7"/>
    <w:rsid w:val="00FE160A"/>
    <w:rsid w:val="00FE1CC7"/>
    <w:rsid w:val="00FE1D26"/>
    <w:rsid w:val="00FE1FB9"/>
    <w:rsid w:val="00FE228C"/>
    <w:rsid w:val="00FE23F8"/>
    <w:rsid w:val="00FE2542"/>
    <w:rsid w:val="00FE2AE5"/>
    <w:rsid w:val="00FE30F9"/>
    <w:rsid w:val="00FE355A"/>
    <w:rsid w:val="00FE393D"/>
    <w:rsid w:val="00FE435C"/>
    <w:rsid w:val="00FE4B53"/>
    <w:rsid w:val="00FE4FE5"/>
    <w:rsid w:val="00FE5220"/>
    <w:rsid w:val="00FE544E"/>
    <w:rsid w:val="00FE559C"/>
    <w:rsid w:val="00FE58F9"/>
    <w:rsid w:val="00FE5A11"/>
    <w:rsid w:val="00FE65A8"/>
    <w:rsid w:val="00FE68D6"/>
    <w:rsid w:val="00FE6C61"/>
    <w:rsid w:val="00FE6F0C"/>
    <w:rsid w:val="00FE725E"/>
    <w:rsid w:val="00FE770D"/>
    <w:rsid w:val="00FE786C"/>
    <w:rsid w:val="00FE787F"/>
    <w:rsid w:val="00FF0915"/>
    <w:rsid w:val="00FF0927"/>
    <w:rsid w:val="00FF0941"/>
    <w:rsid w:val="00FF1C85"/>
    <w:rsid w:val="00FF3C5B"/>
    <w:rsid w:val="00FF3F6E"/>
    <w:rsid w:val="00FF443E"/>
    <w:rsid w:val="00FF4E38"/>
    <w:rsid w:val="00FF4E4C"/>
    <w:rsid w:val="00FF5285"/>
    <w:rsid w:val="00FF557E"/>
    <w:rsid w:val="00FF59CF"/>
    <w:rsid w:val="00FF5AD3"/>
    <w:rsid w:val="00FF5C7E"/>
    <w:rsid w:val="00FF6568"/>
    <w:rsid w:val="00FF6842"/>
    <w:rsid w:val="00FF6931"/>
    <w:rsid w:val="00FF6F9E"/>
    <w:rsid w:val="00FF71D9"/>
    <w:rsid w:val="00FF7700"/>
    <w:rsid w:val="01036AC7"/>
    <w:rsid w:val="011EF331"/>
    <w:rsid w:val="012D003F"/>
    <w:rsid w:val="015EDBB3"/>
    <w:rsid w:val="01A5B065"/>
    <w:rsid w:val="0215907C"/>
    <w:rsid w:val="0228F307"/>
    <w:rsid w:val="023C856D"/>
    <w:rsid w:val="02419FA6"/>
    <w:rsid w:val="02701082"/>
    <w:rsid w:val="02701648"/>
    <w:rsid w:val="02829D25"/>
    <w:rsid w:val="028FF717"/>
    <w:rsid w:val="02985EE3"/>
    <w:rsid w:val="02A41DB9"/>
    <w:rsid w:val="02B24775"/>
    <w:rsid w:val="02B6E8B9"/>
    <w:rsid w:val="02C96A30"/>
    <w:rsid w:val="02CF0D0A"/>
    <w:rsid w:val="02D86937"/>
    <w:rsid w:val="02EBC7F0"/>
    <w:rsid w:val="03178054"/>
    <w:rsid w:val="032D39BD"/>
    <w:rsid w:val="0334D530"/>
    <w:rsid w:val="03532E4A"/>
    <w:rsid w:val="0376E512"/>
    <w:rsid w:val="038A8A79"/>
    <w:rsid w:val="03CD5A0C"/>
    <w:rsid w:val="03E8A76C"/>
    <w:rsid w:val="03EFF7EE"/>
    <w:rsid w:val="040F7FD0"/>
    <w:rsid w:val="04760500"/>
    <w:rsid w:val="04879851"/>
    <w:rsid w:val="04A7CE4D"/>
    <w:rsid w:val="04A854DC"/>
    <w:rsid w:val="04AED6C3"/>
    <w:rsid w:val="0515C082"/>
    <w:rsid w:val="051B98F4"/>
    <w:rsid w:val="051C9B1E"/>
    <w:rsid w:val="05448B71"/>
    <w:rsid w:val="0545C08C"/>
    <w:rsid w:val="055B31B9"/>
    <w:rsid w:val="05750787"/>
    <w:rsid w:val="0581629C"/>
    <w:rsid w:val="059139D0"/>
    <w:rsid w:val="05A6BF6C"/>
    <w:rsid w:val="05B5DB29"/>
    <w:rsid w:val="05BA7CF8"/>
    <w:rsid w:val="05CC2E90"/>
    <w:rsid w:val="05DE35A9"/>
    <w:rsid w:val="060F4C4A"/>
    <w:rsid w:val="0641A249"/>
    <w:rsid w:val="0658BBC6"/>
    <w:rsid w:val="069DB95F"/>
    <w:rsid w:val="06A4A010"/>
    <w:rsid w:val="06AAE34B"/>
    <w:rsid w:val="06B73DCD"/>
    <w:rsid w:val="06C6E31B"/>
    <w:rsid w:val="072C072A"/>
    <w:rsid w:val="07460B0D"/>
    <w:rsid w:val="0752A7A9"/>
    <w:rsid w:val="0768ED5E"/>
    <w:rsid w:val="078C95DF"/>
    <w:rsid w:val="07B1CAD0"/>
    <w:rsid w:val="07C051D5"/>
    <w:rsid w:val="07CF99E6"/>
    <w:rsid w:val="07E4FA8E"/>
    <w:rsid w:val="07E7D7F6"/>
    <w:rsid w:val="07F563CB"/>
    <w:rsid w:val="07FA8089"/>
    <w:rsid w:val="08097CFA"/>
    <w:rsid w:val="0849D7A5"/>
    <w:rsid w:val="084E2670"/>
    <w:rsid w:val="08635018"/>
    <w:rsid w:val="08670625"/>
    <w:rsid w:val="08908881"/>
    <w:rsid w:val="08908B8F"/>
    <w:rsid w:val="08A176AC"/>
    <w:rsid w:val="08BB1D69"/>
    <w:rsid w:val="08D3D9DA"/>
    <w:rsid w:val="08D45080"/>
    <w:rsid w:val="08E0D793"/>
    <w:rsid w:val="08FEA7FA"/>
    <w:rsid w:val="091CBB70"/>
    <w:rsid w:val="096C47B2"/>
    <w:rsid w:val="099116D3"/>
    <w:rsid w:val="0992688D"/>
    <w:rsid w:val="09A17DCC"/>
    <w:rsid w:val="09B3820A"/>
    <w:rsid w:val="09EB9DFB"/>
    <w:rsid w:val="09EE7DFA"/>
    <w:rsid w:val="0A0576F1"/>
    <w:rsid w:val="0A0926C1"/>
    <w:rsid w:val="0A4066A3"/>
    <w:rsid w:val="0A6B9D5D"/>
    <w:rsid w:val="0A800555"/>
    <w:rsid w:val="0AAD73BF"/>
    <w:rsid w:val="0AB2C72D"/>
    <w:rsid w:val="0AC812C6"/>
    <w:rsid w:val="0ADF2C45"/>
    <w:rsid w:val="0AE313F6"/>
    <w:rsid w:val="0B0B3F18"/>
    <w:rsid w:val="0B11CDDC"/>
    <w:rsid w:val="0B29890C"/>
    <w:rsid w:val="0B478756"/>
    <w:rsid w:val="0B5EEA84"/>
    <w:rsid w:val="0BA0DA3C"/>
    <w:rsid w:val="0BBB18D6"/>
    <w:rsid w:val="0BC138DA"/>
    <w:rsid w:val="0BC7CC9A"/>
    <w:rsid w:val="0BF045BB"/>
    <w:rsid w:val="0C0E374C"/>
    <w:rsid w:val="0C5D442F"/>
    <w:rsid w:val="0C5DAFC1"/>
    <w:rsid w:val="0C78D0C1"/>
    <w:rsid w:val="0C97BB70"/>
    <w:rsid w:val="0CA3E118"/>
    <w:rsid w:val="0CADC58C"/>
    <w:rsid w:val="0CBA92EF"/>
    <w:rsid w:val="0CCC5EB8"/>
    <w:rsid w:val="0CDFBFA9"/>
    <w:rsid w:val="0D1F9157"/>
    <w:rsid w:val="0D3966AF"/>
    <w:rsid w:val="0D41AC44"/>
    <w:rsid w:val="0D4C15DF"/>
    <w:rsid w:val="0D69004D"/>
    <w:rsid w:val="0D7913AD"/>
    <w:rsid w:val="0D7A3B29"/>
    <w:rsid w:val="0D7C0226"/>
    <w:rsid w:val="0D7C2077"/>
    <w:rsid w:val="0DABA468"/>
    <w:rsid w:val="0DD51225"/>
    <w:rsid w:val="0DEEF7D8"/>
    <w:rsid w:val="0DEF564D"/>
    <w:rsid w:val="0E20B2A8"/>
    <w:rsid w:val="0E620BE3"/>
    <w:rsid w:val="0E707713"/>
    <w:rsid w:val="0EA8DBF7"/>
    <w:rsid w:val="0EB8390B"/>
    <w:rsid w:val="0EDBEF72"/>
    <w:rsid w:val="0EEBAF7E"/>
    <w:rsid w:val="0EEDD481"/>
    <w:rsid w:val="0EF09D99"/>
    <w:rsid w:val="0EF347E1"/>
    <w:rsid w:val="0F1A7868"/>
    <w:rsid w:val="0F2F04EB"/>
    <w:rsid w:val="0F709509"/>
    <w:rsid w:val="0F80BEDA"/>
    <w:rsid w:val="0F818B1F"/>
    <w:rsid w:val="0F86DDE7"/>
    <w:rsid w:val="0F9FA09D"/>
    <w:rsid w:val="0FA01472"/>
    <w:rsid w:val="0FBCF536"/>
    <w:rsid w:val="0FC006BF"/>
    <w:rsid w:val="0FC705D2"/>
    <w:rsid w:val="0FD489B7"/>
    <w:rsid w:val="1008B129"/>
    <w:rsid w:val="10137FA6"/>
    <w:rsid w:val="105B3285"/>
    <w:rsid w:val="106B75E8"/>
    <w:rsid w:val="10953C26"/>
    <w:rsid w:val="10A6CA15"/>
    <w:rsid w:val="1121A134"/>
    <w:rsid w:val="1145130B"/>
    <w:rsid w:val="1165FBFB"/>
    <w:rsid w:val="118EEB4A"/>
    <w:rsid w:val="119BE46C"/>
    <w:rsid w:val="11ACB68A"/>
    <w:rsid w:val="11C0F443"/>
    <w:rsid w:val="11CC45E9"/>
    <w:rsid w:val="11CF5A09"/>
    <w:rsid w:val="11EA9D35"/>
    <w:rsid w:val="11EB0041"/>
    <w:rsid w:val="11FC7582"/>
    <w:rsid w:val="120B3C4C"/>
    <w:rsid w:val="121690F5"/>
    <w:rsid w:val="122036BD"/>
    <w:rsid w:val="1237D577"/>
    <w:rsid w:val="12D2EF22"/>
    <w:rsid w:val="12EA4E18"/>
    <w:rsid w:val="13022761"/>
    <w:rsid w:val="131822FD"/>
    <w:rsid w:val="131EF6B6"/>
    <w:rsid w:val="134A56A5"/>
    <w:rsid w:val="135D0C8F"/>
    <w:rsid w:val="136C11AB"/>
    <w:rsid w:val="138608F6"/>
    <w:rsid w:val="139F23A2"/>
    <w:rsid w:val="13F03D12"/>
    <w:rsid w:val="141CDA1A"/>
    <w:rsid w:val="145E1EF7"/>
    <w:rsid w:val="147E50FD"/>
    <w:rsid w:val="14936E12"/>
    <w:rsid w:val="14A1F498"/>
    <w:rsid w:val="14AFC8A0"/>
    <w:rsid w:val="14B40A6F"/>
    <w:rsid w:val="15094770"/>
    <w:rsid w:val="1523F7EA"/>
    <w:rsid w:val="1524CF4E"/>
    <w:rsid w:val="15312795"/>
    <w:rsid w:val="1548D2BF"/>
    <w:rsid w:val="15684DF7"/>
    <w:rsid w:val="1570FA71"/>
    <w:rsid w:val="15AE8E18"/>
    <w:rsid w:val="15B25509"/>
    <w:rsid w:val="15B46CB5"/>
    <w:rsid w:val="15B6FE84"/>
    <w:rsid w:val="160FFF56"/>
    <w:rsid w:val="163CD31F"/>
    <w:rsid w:val="164A312A"/>
    <w:rsid w:val="16930B2F"/>
    <w:rsid w:val="16C25CBE"/>
    <w:rsid w:val="174925F5"/>
    <w:rsid w:val="174BE080"/>
    <w:rsid w:val="176B6544"/>
    <w:rsid w:val="178C1EEB"/>
    <w:rsid w:val="17960EA0"/>
    <w:rsid w:val="17FFC8A0"/>
    <w:rsid w:val="1808A521"/>
    <w:rsid w:val="18256AD6"/>
    <w:rsid w:val="1839547B"/>
    <w:rsid w:val="185CAB98"/>
    <w:rsid w:val="186C2F74"/>
    <w:rsid w:val="186E4848"/>
    <w:rsid w:val="18952A6C"/>
    <w:rsid w:val="18D9929E"/>
    <w:rsid w:val="18EC0B0B"/>
    <w:rsid w:val="193DCD4D"/>
    <w:rsid w:val="193FD0AD"/>
    <w:rsid w:val="197B5847"/>
    <w:rsid w:val="1989657B"/>
    <w:rsid w:val="198EFD17"/>
    <w:rsid w:val="1994BD8D"/>
    <w:rsid w:val="19C614AB"/>
    <w:rsid w:val="19DE3A4B"/>
    <w:rsid w:val="1A057AAB"/>
    <w:rsid w:val="1A0A0249"/>
    <w:rsid w:val="1A1994A6"/>
    <w:rsid w:val="1A48FC04"/>
    <w:rsid w:val="1A53A41B"/>
    <w:rsid w:val="1A5BBE32"/>
    <w:rsid w:val="1A7D3ED8"/>
    <w:rsid w:val="1A7FBEF1"/>
    <w:rsid w:val="1A8C486E"/>
    <w:rsid w:val="1A9A9056"/>
    <w:rsid w:val="1ABB2FB3"/>
    <w:rsid w:val="1AE94640"/>
    <w:rsid w:val="1AEE0594"/>
    <w:rsid w:val="1B0B5DEC"/>
    <w:rsid w:val="1B1BF6B1"/>
    <w:rsid w:val="1B2B2D3B"/>
    <w:rsid w:val="1B353BF6"/>
    <w:rsid w:val="1B38B603"/>
    <w:rsid w:val="1B4BEE7F"/>
    <w:rsid w:val="1B5A6A5F"/>
    <w:rsid w:val="1BB7524C"/>
    <w:rsid w:val="1BBFD04A"/>
    <w:rsid w:val="1C2D403F"/>
    <w:rsid w:val="1C36C1F1"/>
    <w:rsid w:val="1C3DE81A"/>
    <w:rsid w:val="1C71D462"/>
    <w:rsid w:val="1C7AE087"/>
    <w:rsid w:val="1C7EBD38"/>
    <w:rsid w:val="1C9AB965"/>
    <w:rsid w:val="1CF9CB94"/>
    <w:rsid w:val="1D3DC0ED"/>
    <w:rsid w:val="1D736BA7"/>
    <w:rsid w:val="1D84F53A"/>
    <w:rsid w:val="1D96BACE"/>
    <w:rsid w:val="1DAE65B1"/>
    <w:rsid w:val="1DB6379B"/>
    <w:rsid w:val="1DFC7600"/>
    <w:rsid w:val="1DFDB943"/>
    <w:rsid w:val="1E0FBAE0"/>
    <w:rsid w:val="1E449BAB"/>
    <w:rsid w:val="1E4D1FAB"/>
    <w:rsid w:val="1E5E5E15"/>
    <w:rsid w:val="1E6D1D32"/>
    <w:rsid w:val="1E7605FD"/>
    <w:rsid w:val="1E8607B9"/>
    <w:rsid w:val="1EA5798A"/>
    <w:rsid w:val="1EEDAB5D"/>
    <w:rsid w:val="1EEE9380"/>
    <w:rsid w:val="1EF1B51C"/>
    <w:rsid w:val="1EF577C8"/>
    <w:rsid w:val="1F07301D"/>
    <w:rsid w:val="1F2CBCF2"/>
    <w:rsid w:val="1F639E0E"/>
    <w:rsid w:val="1F652F6C"/>
    <w:rsid w:val="1F733AB3"/>
    <w:rsid w:val="1F770237"/>
    <w:rsid w:val="1FAD23D4"/>
    <w:rsid w:val="1FC5EA5A"/>
    <w:rsid w:val="1FE1FD8E"/>
    <w:rsid w:val="1FE67E36"/>
    <w:rsid w:val="1FE8C3FD"/>
    <w:rsid w:val="1FFED71F"/>
    <w:rsid w:val="200FDE18"/>
    <w:rsid w:val="202BA1EF"/>
    <w:rsid w:val="20321F58"/>
    <w:rsid w:val="20414ADB"/>
    <w:rsid w:val="204FAB64"/>
    <w:rsid w:val="2073C01C"/>
    <w:rsid w:val="208D891B"/>
    <w:rsid w:val="2094F9D7"/>
    <w:rsid w:val="20A1E204"/>
    <w:rsid w:val="20AEDA5B"/>
    <w:rsid w:val="20D2A86D"/>
    <w:rsid w:val="20D697FD"/>
    <w:rsid w:val="214621FA"/>
    <w:rsid w:val="214B1600"/>
    <w:rsid w:val="21704C6F"/>
    <w:rsid w:val="2194AEFC"/>
    <w:rsid w:val="219FF3C7"/>
    <w:rsid w:val="21A11AA1"/>
    <w:rsid w:val="21A23A81"/>
    <w:rsid w:val="21D2D2F1"/>
    <w:rsid w:val="21E53071"/>
    <w:rsid w:val="21F1317C"/>
    <w:rsid w:val="220B6DD3"/>
    <w:rsid w:val="220FEDDF"/>
    <w:rsid w:val="2239C705"/>
    <w:rsid w:val="22550CE7"/>
    <w:rsid w:val="22CF907E"/>
    <w:rsid w:val="22DD0C15"/>
    <w:rsid w:val="231A8BDA"/>
    <w:rsid w:val="2335BAD0"/>
    <w:rsid w:val="23371600"/>
    <w:rsid w:val="2350A914"/>
    <w:rsid w:val="23747300"/>
    <w:rsid w:val="238415DA"/>
    <w:rsid w:val="23892431"/>
    <w:rsid w:val="239415F7"/>
    <w:rsid w:val="23A9126D"/>
    <w:rsid w:val="23B2C0C9"/>
    <w:rsid w:val="23BF12A1"/>
    <w:rsid w:val="23CFD7A5"/>
    <w:rsid w:val="23D6E0F4"/>
    <w:rsid w:val="23E2C363"/>
    <w:rsid w:val="23FE7CB5"/>
    <w:rsid w:val="2403242C"/>
    <w:rsid w:val="241E89D5"/>
    <w:rsid w:val="2437A417"/>
    <w:rsid w:val="243CEE01"/>
    <w:rsid w:val="24602A72"/>
    <w:rsid w:val="2483DD44"/>
    <w:rsid w:val="249FBE9E"/>
    <w:rsid w:val="24A751A1"/>
    <w:rsid w:val="24BABEC9"/>
    <w:rsid w:val="24CB9407"/>
    <w:rsid w:val="24CEFB3B"/>
    <w:rsid w:val="2504CA06"/>
    <w:rsid w:val="250F03F9"/>
    <w:rsid w:val="2524395E"/>
    <w:rsid w:val="25357DCC"/>
    <w:rsid w:val="253CB325"/>
    <w:rsid w:val="253E051E"/>
    <w:rsid w:val="2555A98F"/>
    <w:rsid w:val="2565CDD2"/>
    <w:rsid w:val="2568BBCD"/>
    <w:rsid w:val="2576B350"/>
    <w:rsid w:val="25857029"/>
    <w:rsid w:val="258697B2"/>
    <w:rsid w:val="25981055"/>
    <w:rsid w:val="259F868A"/>
    <w:rsid w:val="25A92993"/>
    <w:rsid w:val="25C93828"/>
    <w:rsid w:val="25CB16EE"/>
    <w:rsid w:val="25D14AC5"/>
    <w:rsid w:val="25D3C7DF"/>
    <w:rsid w:val="25D74E15"/>
    <w:rsid w:val="25F6DC9B"/>
    <w:rsid w:val="26023FCA"/>
    <w:rsid w:val="2609B78D"/>
    <w:rsid w:val="26302D90"/>
    <w:rsid w:val="2647E9D0"/>
    <w:rsid w:val="2648990E"/>
    <w:rsid w:val="264C6145"/>
    <w:rsid w:val="2673B902"/>
    <w:rsid w:val="2679BBF7"/>
    <w:rsid w:val="268F359A"/>
    <w:rsid w:val="268F51BC"/>
    <w:rsid w:val="269F3F26"/>
    <w:rsid w:val="26D375C6"/>
    <w:rsid w:val="26D92D1B"/>
    <w:rsid w:val="26E1774C"/>
    <w:rsid w:val="26EA343E"/>
    <w:rsid w:val="26FDEE19"/>
    <w:rsid w:val="272CDB5B"/>
    <w:rsid w:val="2790DFF9"/>
    <w:rsid w:val="2794D014"/>
    <w:rsid w:val="27981A3E"/>
    <w:rsid w:val="279AD5B7"/>
    <w:rsid w:val="27A5F8FE"/>
    <w:rsid w:val="27E83E94"/>
    <w:rsid w:val="280F8963"/>
    <w:rsid w:val="283A303B"/>
    <w:rsid w:val="289D554A"/>
    <w:rsid w:val="28C1D648"/>
    <w:rsid w:val="28E514DE"/>
    <w:rsid w:val="28F736C7"/>
    <w:rsid w:val="291A4F9E"/>
    <w:rsid w:val="291A5A76"/>
    <w:rsid w:val="291ED76C"/>
    <w:rsid w:val="2933AEF8"/>
    <w:rsid w:val="2941D00A"/>
    <w:rsid w:val="294C4D99"/>
    <w:rsid w:val="294F07E0"/>
    <w:rsid w:val="29CD7B54"/>
    <w:rsid w:val="29D34A15"/>
    <w:rsid w:val="29F3575E"/>
    <w:rsid w:val="2A2D6CFA"/>
    <w:rsid w:val="2A41C6A5"/>
    <w:rsid w:val="2A656B9C"/>
    <w:rsid w:val="2A6B72ED"/>
    <w:rsid w:val="2A935904"/>
    <w:rsid w:val="2AAC2934"/>
    <w:rsid w:val="2AC7D1B3"/>
    <w:rsid w:val="2AC880BB"/>
    <w:rsid w:val="2AE64D59"/>
    <w:rsid w:val="2AE67F6A"/>
    <w:rsid w:val="2AF999A7"/>
    <w:rsid w:val="2AFCE707"/>
    <w:rsid w:val="2B038B52"/>
    <w:rsid w:val="2B0FD8DB"/>
    <w:rsid w:val="2B27B91A"/>
    <w:rsid w:val="2BACB6EB"/>
    <w:rsid w:val="2BD96010"/>
    <w:rsid w:val="2BEBD382"/>
    <w:rsid w:val="2C0DEC85"/>
    <w:rsid w:val="2C1076A2"/>
    <w:rsid w:val="2C71EC49"/>
    <w:rsid w:val="2C804084"/>
    <w:rsid w:val="2C87A253"/>
    <w:rsid w:val="2CA468A7"/>
    <w:rsid w:val="2CD54E25"/>
    <w:rsid w:val="2D0807E1"/>
    <w:rsid w:val="2D207FE5"/>
    <w:rsid w:val="2D3031AA"/>
    <w:rsid w:val="2D4B1873"/>
    <w:rsid w:val="2DB2DD74"/>
    <w:rsid w:val="2DB52A4E"/>
    <w:rsid w:val="2E0611C1"/>
    <w:rsid w:val="2E12AB5D"/>
    <w:rsid w:val="2E168A35"/>
    <w:rsid w:val="2E16D841"/>
    <w:rsid w:val="2E17A582"/>
    <w:rsid w:val="2E49FFBF"/>
    <w:rsid w:val="2E4B9A7F"/>
    <w:rsid w:val="2E4E988E"/>
    <w:rsid w:val="2E5CCA04"/>
    <w:rsid w:val="2E6B19D9"/>
    <w:rsid w:val="2E73C51D"/>
    <w:rsid w:val="2E75670F"/>
    <w:rsid w:val="2EC34089"/>
    <w:rsid w:val="2EC6734D"/>
    <w:rsid w:val="2ECD6C56"/>
    <w:rsid w:val="2EE495B7"/>
    <w:rsid w:val="2EE5DE66"/>
    <w:rsid w:val="2F01E2A7"/>
    <w:rsid w:val="2F0F44B9"/>
    <w:rsid w:val="2F48FC4A"/>
    <w:rsid w:val="2F5FB086"/>
    <w:rsid w:val="2F61B982"/>
    <w:rsid w:val="2F62E840"/>
    <w:rsid w:val="2F63AC97"/>
    <w:rsid w:val="2F66988F"/>
    <w:rsid w:val="2F687938"/>
    <w:rsid w:val="2F8CB53F"/>
    <w:rsid w:val="2F97AA05"/>
    <w:rsid w:val="2FA0F97B"/>
    <w:rsid w:val="2FA9E565"/>
    <w:rsid w:val="2FF53C85"/>
    <w:rsid w:val="301181A5"/>
    <w:rsid w:val="3014B4B1"/>
    <w:rsid w:val="30415993"/>
    <w:rsid w:val="304ACD85"/>
    <w:rsid w:val="30969E37"/>
    <w:rsid w:val="30E5AA50"/>
    <w:rsid w:val="30E70F07"/>
    <w:rsid w:val="30EE83FC"/>
    <w:rsid w:val="30F2D5C6"/>
    <w:rsid w:val="311690D8"/>
    <w:rsid w:val="3147218F"/>
    <w:rsid w:val="314937EF"/>
    <w:rsid w:val="315290D3"/>
    <w:rsid w:val="316114DD"/>
    <w:rsid w:val="316332B6"/>
    <w:rsid w:val="317FE949"/>
    <w:rsid w:val="318C1F29"/>
    <w:rsid w:val="319FECDA"/>
    <w:rsid w:val="31B107D8"/>
    <w:rsid w:val="31D7DCA2"/>
    <w:rsid w:val="31E12AF9"/>
    <w:rsid w:val="32178154"/>
    <w:rsid w:val="3283573D"/>
    <w:rsid w:val="328B16AA"/>
    <w:rsid w:val="330821AB"/>
    <w:rsid w:val="330C100C"/>
    <w:rsid w:val="33138548"/>
    <w:rsid w:val="33717D67"/>
    <w:rsid w:val="3379F594"/>
    <w:rsid w:val="338B5D6F"/>
    <w:rsid w:val="338BD6E3"/>
    <w:rsid w:val="339E981D"/>
    <w:rsid w:val="33D8946E"/>
    <w:rsid w:val="33EB4008"/>
    <w:rsid w:val="341567FD"/>
    <w:rsid w:val="342A4C7B"/>
    <w:rsid w:val="342DC469"/>
    <w:rsid w:val="342EF79D"/>
    <w:rsid w:val="3437A920"/>
    <w:rsid w:val="348659BB"/>
    <w:rsid w:val="34D4E40E"/>
    <w:rsid w:val="34D6EF10"/>
    <w:rsid w:val="34D78D9C"/>
    <w:rsid w:val="35138A78"/>
    <w:rsid w:val="3527A744"/>
    <w:rsid w:val="352ADCE4"/>
    <w:rsid w:val="35475283"/>
    <w:rsid w:val="35477DD0"/>
    <w:rsid w:val="354910F9"/>
    <w:rsid w:val="355A4E6F"/>
    <w:rsid w:val="35864E01"/>
    <w:rsid w:val="3586D67A"/>
    <w:rsid w:val="358AE0F7"/>
    <w:rsid w:val="35913433"/>
    <w:rsid w:val="35EDC422"/>
    <w:rsid w:val="360579D8"/>
    <w:rsid w:val="3635E91F"/>
    <w:rsid w:val="363ABB27"/>
    <w:rsid w:val="3657F6DF"/>
    <w:rsid w:val="36694664"/>
    <w:rsid w:val="36703DEC"/>
    <w:rsid w:val="36742878"/>
    <w:rsid w:val="3690122B"/>
    <w:rsid w:val="36911EB1"/>
    <w:rsid w:val="36A739E5"/>
    <w:rsid w:val="36AF9A2D"/>
    <w:rsid w:val="36BFBE9C"/>
    <w:rsid w:val="36D5BAF8"/>
    <w:rsid w:val="36E2C883"/>
    <w:rsid w:val="36F367BD"/>
    <w:rsid w:val="37031C3E"/>
    <w:rsid w:val="370B717E"/>
    <w:rsid w:val="37255C0D"/>
    <w:rsid w:val="37266D1E"/>
    <w:rsid w:val="372E127B"/>
    <w:rsid w:val="376EFBC4"/>
    <w:rsid w:val="378DA990"/>
    <w:rsid w:val="37CB9E47"/>
    <w:rsid w:val="37D012CC"/>
    <w:rsid w:val="37E106EE"/>
    <w:rsid w:val="37FD8326"/>
    <w:rsid w:val="380EDFA2"/>
    <w:rsid w:val="3826293F"/>
    <w:rsid w:val="38A38C10"/>
    <w:rsid w:val="38A61C8F"/>
    <w:rsid w:val="38BB13F1"/>
    <w:rsid w:val="38E70861"/>
    <w:rsid w:val="38EE8F92"/>
    <w:rsid w:val="3901B80C"/>
    <w:rsid w:val="39171968"/>
    <w:rsid w:val="392979F1"/>
    <w:rsid w:val="39410F7C"/>
    <w:rsid w:val="395939FE"/>
    <w:rsid w:val="39747264"/>
    <w:rsid w:val="397E1466"/>
    <w:rsid w:val="3984641D"/>
    <w:rsid w:val="39930663"/>
    <w:rsid w:val="39A78DBB"/>
    <w:rsid w:val="39CB8BAA"/>
    <w:rsid w:val="3A1A038F"/>
    <w:rsid w:val="3A2A7DBC"/>
    <w:rsid w:val="3A364411"/>
    <w:rsid w:val="3A4D9480"/>
    <w:rsid w:val="3A8720F0"/>
    <w:rsid w:val="3A9D71E2"/>
    <w:rsid w:val="3ADE0A7E"/>
    <w:rsid w:val="3AF1B705"/>
    <w:rsid w:val="3AF64DDD"/>
    <w:rsid w:val="3B102CAF"/>
    <w:rsid w:val="3B391894"/>
    <w:rsid w:val="3B55EFEB"/>
    <w:rsid w:val="3B657A63"/>
    <w:rsid w:val="3B6AF00F"/>
    <w:rsid w:val="3B8B9953"/>
    <w:rsid w:val="3B8F84FF"/>
    <w:rsid w:val="3BA4B05E"/>
    <w:rsid w:val="3BE24991"/>
    <w:rsid w:val="3BEFF747"/>
    <w:rsid w:val="3C066465"/>
    <w:rsid w:val="3C070C5A"/>
    <w:rsid w:val="3C075185"/>
    <w:rsid w:val="3C32083F"/>
    <w:rsid w:val="3C436481"/>
    <w:rsid w:val="3C557274"/>
    <w:rsid w:val="3C57D009"/>
    <w:rsid w:val="3C6AFCE2"/>
    <w:rsid w:val="3C717572"/>
    <w:rsid w:val="3C786AC2"/>
    <w:rsid w:val="3C8A530F"/>
    <w:rsid w:val="3C8A92CA"/>
    <w:rsid w:val="3CC97637"/>
    <w:rsid w:val="3CD52393"/>
    <w:rsid w:val="3CD8591E"/>
    <w:rsid w:val="3CD97442"/>
    <w:rsid w:val="3CE1CDAA"/>
    <w:rsid w:val="3CF860F9"/>
    <w:rsid w:val="3D039E5C"/>
    <w:rsid w:val="3D5192E2"/>
    <w:rsid w:val="3D8F4E55"/>
    <w:rsid w:val="3DA8D80E"/>
    <w:rsid w:val="3DCEB6A6"/>
    <w:rsid w:val="3DE85A2C"/>
    <w:rsid w:val="3E05D7C6"/>
    <w:rsid w:val="3E142A1F"/>
    <w:rsid w:val="3E362B83"/>
    <w:rsid w:val="3E3C2026"/>
    <w:rsid w:val="3E522572"/>
    <w:rsid w:val="3E531CDA"/>
    <w:rsid w:val="3E595DB2"/>
    <w:rsid w:val="3EBC4A3E"/>
    <w:rsid w:val="3EE0B0AD"/>
    <w:rsid w:val="3EF0B5D3"/>
    <w:rsid w:val="3EF1F4A5"/>
    <w:rsid w:val="3F3E18F5"/>
    <w:rsid w:val="3F5D7654"/>
    <w:rsid w:val="3F6FC0EC"/>
    <w:rsid w:val="3F7AB73C"/>
    <w:rsid w:val="3FA9AF96"/>
    <w:rsid w:val="3FB639BC"/>
    <w:rsid w:val="3FD16AB7"/>
    <w:rsid w:val="3FD62AEC"/>
    <w:rsid w:val="3FF11C6D"/>
    <w:rsid w:val="3FF2E2B6"/>
    <w:rsid w:val="401C9E23"/>
    <w:rsid w:val="403316DA"/>
    <w:rsid w:val="406A08CF"/>
    <w:rsid w:val="4076C9C3"/>
    <w:rsid w:val="40811F6F"/>
    <w:rsid w:val="40C67507"/>
    <w:rsid w:val="40D877E9"/>
    <w:rsid w:val="4108CDF5"/>
    <w:rsid w:val="4116C3EF"/>
    <w:rsid w:val="412730E4"/>
    <w:rsid w:val="412EE04A"/>
    <w:rsid w:val="415E6C62"/>
    <w:rsid w:val="4185A21E"/>
    <w:rsid w:val="418ABD9C"/>
    <w:rsid w:val="41A727CF"/>
    <w:rsid w:val="41CB72D1"/>
    <w:rsid w:val="41ED01EF"/>
    <w:rsid w:val="41F79307"/>
    <w:rsid w:val="41FC8AE4"/>
    <w:rsid w:val="41FCEB59"/>
    <w:rsid w:val="421B7D29"/>
    <w:rsid w:val="422CBE92"/>
    <w:rsid w:val="424DFA41"/>
    <w:rsid w:val="42606D25"/>
    <w:rsid w:val="4269D0A0"/>
    <w:rsid w:val="42855142"/>
    <w:rsid w:val="4299DC5D"/>
    <w:rsid w:val="429B7738"/>
    <w:rsid w:val="429DC631"/>
    <w:rsid w:val="42A2D09A"/>
    <w:rsid w:val="42A5E3B5"/>
    <w:rsid w:val="42AAA4E1"/>
    <w:rsid w:val="42D4472E"/>
    <w:rsid w:val="42D8C729"/>
    <w:rsid w:val="42DCB7FE"/>
    <w:rsid w:val="42E93C51"/>
    <w:rsid w:val="430CA76B"/>
    <w:rsid w:val="431FBF31"/>
    <w:rsid w:val="43254B54"/>
    <w:rsid w:val="43355EF1"/>
    <w:rsid w:val="433682DA"/>
    <w:rsid w:val="4342B025"/>
    <w:rsid w:val="43909DEB"/>
    <w:rsid w:val="43AD45F8"/>
    <w:rsid w:val="43CB4F9E"/>
    <w:rsid w:val="43DE431E"/>
    <w:rsid w:val="43F4256D"/>
    <w:rsid w:val="43F47017"/>
    <w:rsid w:val="440F179D"/>
    <w:rsid w:val="4418EBA9"/>
    <w:rsid w:val="443129F3"/>
    <w:rsid w:val="443BC2D4"/>
    <w:rsid w:val="44489801"/>
    <w:rsid w:val="4459AEDF"/>
    <w:rsid w:val="446277BD"/>
    <w:rsid w:val="4469C3F7"/>
    <w:rsid w:val="44835528"/>
    <w:rsid w:val="4489E997"/>
    <w:rsid w:val="448C23E6"/>
    <w:rsid w:val="44C7A450"/>
    <w:rsid w:val="44D0A6EE"/>
    <w:rsid w:val="44D60621"/>
    <w:rsid w:val="44FBFFA2"/>
    <w:rsid w:val="45155EC9"/>
    <w:rsid w:val="456CB39C"/>
    <w:rsid w:val="456E6FE3"/>
    <w:rsid w:val="45739034"/>
    <w:rsid w:val="4580CCC5"/>
    <w:rsid w:val="459F3956"/>
    <w:rsid w:val="45BDCACB"/>
    <w:rsid w:val="45E6A674"/>
    <w:rsid w:val="45E9A9EB"/>
    <w:rsid w:val="45F5C073"/>
    <w:rsid w:val="46171AF3"/>
    <w:rsid w:val="461BA6F8"/>
    <w:rsid w:val="46855888"/>
    <w:rsid w:val="469A7B56"/>
    <w:rsid w:val="46B72710"/>
    <w:rsid w:val="46D367B2"/>
    <w:rsid w:val="46D6C359"/>
    <w:rsid w:val="46D7C62E"/>
    <w:rsid w:val="46DC58D8"/>
    <w:rsid w:val="46DF4CCB"/>
    <w:rsid w:val="46E81E6D"/>
    <w:rsid w:val="46EF4E60"/>
    <w:rsid w:val="47085BE2"/>
    <w:rsid w:val="472EF208"/>
    <w:rsid w:val="473374F9"/>
    <w:rsid w:val="474C4A93"/>
    <w:rsid w:val="474E60D9"/>
    <w:rsid w:val="47BE5E01"/>
    <w:rsid w:val="47F3C5AA"/>
    <w:rsid w:val="4811D054"/>
    <w:rsid w:val="4811DEC2"/>
    <w:rsid w:val="4851D6CE"/>
    <w:rsid w:val="48661B71"/>
    <w:rsid w:val="4895B302"/>
    <w:rsid w:val="48966D1E"/>
    <w:rsid w:val="48AE6E33"/>
    <w:rsid w:val="48B5E4C4"/>
    <w:rsid w:val="48BB6041"/>
    <w:rsid w:val="48E8963C"/>
    <w:rsid w:val="49110CDD"/>
    <w:rsid w:val="4926D470"/>
    <w:rsid w:val="495CC7E0"/>
    <w:rsid w:val="49A122B9"/>
    <w:rsid w:val="49CE564C"/>
    <w:rsid w:val="4A020F0D"/>
    <w:rsid w:val="4A376309"/>
    <w:rsid w:val="4A4119E5"/>
    <w:rsid w:val="4A42F2EA"/>
    <w:rsid w:val="4A47A031"/>
    <w:rsid w:val="4AB11F4C"/>
    <w:rsid w:val="4AB3F93A"/>
    <w:rsid w:val="4AC25A23"/>
    <w:rsid w:val="4AE234A8"/>
    <w:rsid w:val="4AE5CA0E"/>
    <w:rsid w:val="4AE7786F"/>
    <w:rsid w:val="4B01DAA8"/>
    <w:rsid w:val="4B4ABF61"/>
    <w:rsid w:val="4B5D71C7"/>
    <w:rsid w:val="4B640EB6"/>
    <w:rsid w:val="4B8F89D1"/>
    <w:rsid w:val="4B9AC3C0"/>
    <w:rsid w:val="4BBD6B81"/>
    <w:rsid w:val="4C011306"/>
    <w:rsid w:val="4C1217E2"/>
    <w:rsid w:val="4C181C52"/>
    <w:rsid w:val="4C4BEA1F"/>
    <w:rsid w:val="4C56AA57"/>
    <w:rsid w:val="4C95CEEC"/>
    <w:rsid w:val="4C9609E9"/>
    <w:rsid w:val="4C9AE608"/>
    <w:rsid w:val="4CC2C301"/>
    <w:rsid w:val="4CCCF940"/>
    <w:rsid w:val="4CE176FE"/>
    <w:rsid w:val="4D048C9A"/>
    <w:rsid w:val="4D04EF05"/>
    <w:rsid w:val="4D1267A8"/>
    <w:rsid w:val="4D182B49"/>
    <w:rsid w:val="4D281EC8"/>
    <w:rsid w:val="4D375870"/>
    <w:rsid w:val="4DBD0C9C"/>
    <w:rsid w:val="4DF6404B"/>
    <w:rsid w:val="4DFDBBD7"/>
    <w:rsid w:val="4E043BC3"/>
    <w:rsid w:val="4E1667B8"/>
    <w:rsid w:val="4E93678F"/>
    <w:rsid w:val="4EE9D54E"/>
    <w:rsid w:val="4EFF5F78"/>
    <w:rsid w:val="4F0600F4"/>
    <w:rsid w:val="4F0D0934"/>
    <w:rsid w:val="4F2A8395"/>
    <w:rsid w:val="4F609A04"/>
    <w:rsid w:val="4F6FA14F"/>
    <w:rsid w:val="4F817F2C"/>
    <w:rsid w:val="4F88294A"/>
    <w:rsid w:val="4F8AE698"/>
    <w:rsid w:val="4FAFA94E"/>
    <w:rsid w:val="4FB5AD0A"/>
    <w:rsid w:val="4FD74A1F"/>
    <w:rsid w:val="4FEFE4B7"/>
    <w:rsid w:val="500F2EC3"/>
    <w:rsid w:val="502AAF99"/>
    <w:rsid w:val="503420DE"/>
    <w:rsid w:val="5038C552"/>
    <w:rsid w:val="503B236E"/>
    <w:rsid w:val="50474578"/>
    <w:rsid w:val="50591B21"/>
    <w:rsid w:val="50620238"/>
    <w:rsid w:val="5074E902"/>
    <w:rsid w:val="50999EFE"/>
    <w:rsid w:val="50BD96B1"/>
    <w:rsid w:val="50D5B4AB"/>
    <w:rsid w:val="50D8E20F"/>
    <w:rsid w:val="50EB68D0"/>
    <w:rsid w:val="50FC6A65"/>
    <w:rsid w:val="5101ED53"/>
    <w:rsid w:val="512A6915"/>
    <w:rsid w:val="51361327"/>
    <w:rsid w:val="5152A9B9"/>
    <w:rsid w:val="515A7563"/>
    <w:rsid w:val="5182E11B"/>
    <w:rsid w:val="519B7EF8"/>
    <w:rsid w:val="51CB8108"/>
    <w:rsid w:val="51DE55FD"/>
    <w:rsid w:val="5207FECD"/>
    <w:rsid w:val="5243E90E"/>
    <w:rsid w:val="52442E9B"/>
    <w:rsid w:val="5246E38B"/>
    <w:rsid w:val="525983BC"/>
    <w:rsid w:val="52617A3D"/>
    <w:rsid w:val="5284D3DE"/>
    <w:rsid w:val="528D3F96"/>
    <w:rsid w:val="5291FB76"/>
    <w:rsid w:val="52983AC6"/>
    <w:rsid w:val="529A31FE"/>
    <w:rsid w:val="52A16D3B"/>
    <w:rsid w:val="52D0CE0B"/>
    <w:rsid w:val="52F78E70"/>
    <w:rsid w:val="531406C7"/>
    <w:rsid w:val="532697AE"/>
    <w:rsid w:val="5332B5F1"/>
    <w:rsid w:val="5337C144"/>
    <w:rsid w:val="533B417B"/>
    <w:rsid w:val="533C3680"/>
    <w:rsid w:val="53491A26"/>
    <w:rsid w:val="536C2C25"/>
    <w:rsid w:val="539D91BF"/>
    <w:rsid w:val="539EB86E"/>
    <w:rsid w:val="53C7651D"/>
    <w:rsid w:val="53D8F936"/>
    <w:rsid w:val="541F7390"/>
    <w:rsid w:val="5429420E"/>
    <w:rsid w:val="54366B1D"/>
    <w:rsid w:val="548F8471"/>
    <w:rsid w:val="5492008F"/>
    <w:rsid w:val="54949939"/>
    <w:rsid w:val="54957CE3"/>
    <w:rsid w:val="54A0B011"/>
    <w:rsid w:val="54D57D07"/>
    <w:rsid w:val="54E73971"/>
    <w:rsid w:val="54EA1193"/>
    <w:rsid w:val="550E52AF"/>
    <w:rsid w:val="55992CE3"/>
    <w:rsid w:val="559A9617"/>
    <w:rsid w:val="55A19F4D"/>
    <w:rsid w:val="55B53367"/>
    <w:rsid w:val="55C0567A"/>
    <w:rsid w:val="55C2FF23"/>
    <w:rsid w:val="55E14052"/>
    <w:rsid w:val="562DD0F0"/>
    <w:rsid w:val="564809A9"/>
    <w:rsid w:val="5656ECA2"/>
    <w:rsid w:val="565C25C8"/>
    <w:rsid w:val="565E7C98"/>
    <w:rsid w:val="5666DE8D"/>
    <w:rsid w:val="56BF6A16"/>
    <w:rsid w:val="56E64B12"/>
    <w:rsid w:val="56F1A179"/>
    <w:rsid w:val="57429A94"/>
    <w:rsid w:val="574D6335"/>
    <w:rsid w:val="5758F4FF"/>
    <w:rsid w:val="576400B5"/>
    <w:rsid w:val="576A7774"/>
    <w:rsid w:val="57754983"/>
    <w:rsid w:val="577C1C37"/>
    <w:rsid w:val="57CEC579"/>
    <w:rsid w:val="57D76030"/>
    <w:rsid w:val="57E3B5D2"/>
    <w:rsid w:val="58063D93"/>
    <w:rsid w:val="5812EC00"/>
    <w:rsid w:val="582DEF92"/>
    <w:rsid w:val="5847BCF3"/>
    <w:rsid w:val="5859FA02"/>
    <w:rsid w:val="58666607"/>
    <w:rsid w:val="586B89B8"/>
    <w:rsid w:val="587CAFD0"/>
    <w:rsid w:val="589D0807"/>
    <w:rsid w:val="58AB5288"/>
    <w:rsid w:val="58B0A14F"/>
    <w:rsid w:val="58D61E2E"/>
    <w:rsid w:val="58DBBD1F"/>
    <w:rsid w:val="5901A2B2"/>
    <w:rsid w:val="590B7C60"/>
    <w:rsid w:val="59165C52"/>
    <w:rsid w:val="594B7D23"/>
    <w:rsid w:val="59D042FC"/>
    <w:rsid w:val="59E7F1D8"/>
    <w:rsid w:val="59F36E4A"/>
    <w:rsid w:val="5A09D37B"/>
    <w:rsid w:val="5A33F958"/>
    <w:rsid w:val="5A501CD8"/>
    <w:rsid w:val="5A52398A"/>
    <w:rsid w:val="5AC49868"/>
    <w:rsid w:val="5AF668DC"/>
    <w:rsid w:val="5B0F9A2C"/>
    <w:rsid w:val="5B22F02F"/>
    <w:rsid w:val="5B274E87"/>
    <w:rsid w:val="5B43339A"/>
    <w:rsid w:val="5B578FA5"/>
    <w:rsid w:val="5B6C135D"/>
    <w:rsid w:val="5B9181F6"/>
    <w:rsid w:val="5B957DD7"/>
    <w:rsid w:val="5BA065F2"/>
    <w:rsid w:val="5BB02426"/>
    <w:rsid w:val="5BB26B12"/>
    <w:rsid w:val="5C04F6E5"/>
    <w:rsid w:val="5C11F5AB"/>
    <w:rsid w:val="5C33F3BE"/>
    <w:rsid w:val="5C58830D"/>
    <w:rsid w:val="5C629931"/>
    <w:rsid w:val="5CA63483"/>
    <w:rsid w:val="5CBBBCB3"/>
    <w:rsid w:val="5CCEBD7A"/>
    <w:rsid w:val="5CDFCEE7"/>
    <w:rsid w:val="5D2722EE"/>
    <w:rsid w:val="5D4309A0"/>
    <w:rsid w:val="5D5D5A0B"/>
    <w:rsid w:val="5D62B9EA"/>
    <w:rsid w:val="5D74FA1E"/>
    <w:rsid w:val="5DB91B42"/>
    <w:rsid w:val="5DC180A1"/>
    <w:rsid w:val="5DD7BBA7"/>
    <w:rsid w:val="5E032A44"/>
    <w:rsid w:val="5E35302F"/>
    <w:rsid w:val="5E408E09"/>
    <w:rsid w:val="5E552EDD"/>
    <w:rsid w:val="5EAC5F1B"/>
    <w:rsid w:val="5ED13738"/>
    <w:rsid w:val="5ED7A0C1"/>
    <w:rsid w:val="5EDC9CAA"/>
    <w:rsid w:val="5EEBB93B"/>
    <w:rsid w:val="5F14FB07"/>
    <w:rsid w:val="5F261D61"/>
    <w:rsid w:val="5F3CC18C"/>
    <w:rsid w:val="5F729160"/>
    <w:rsid w:val="5F88732E"/>
    <w:rsid w:val="5F8E4351"/>
    <w:rsid w:val="5F944A42"/>
    <w:rsid w:val="5FB5A3CC"/>
    <w:rsid w:val="600ABC67"/>
    <w:rsid w:val="6027D112"/>
    <w:rsid w:val="604DF85A"/>
    <w:rsid w:val="606CC03C"/>
    <w:rsid w:val="607A6809"/>
    <w:rsid w:val="609B468C"/>
    <w:rsid w:val="609B6AA3"/>
    <w:rsid w:val="60C21ECF"/>
    <w:rsid w:val="60C9F689"/>
    <w:rsid w:val="60DE895E"/>
    <w:rsid w:val="60EA131C"/>
    <w:rsid w:val="60F8B54E"/>
    <w:rsid w:val="60F8C9FE"/>
    <w:rsid w:val="60F9CB74"/>
    <w:rsid w:val="61061BFF"/>
    <w:rsid w:val="61212134"/>
    <w:rsid w:val="612E3F82"/>
    <w:rsid w:val="6158A943"/>
    <w:rsid w:val="6159412F"/>
    <w:rsid w:val="61939268"/>
    <w:rsid w:val="61A625DF"/>
    <w:rsid w:val="61C517D1"/>
    <w:rsid w:val="6208D7FA"/>
    <w:rsid w:val="62217E50"/>
    <w:rsid w:val="62238C69"/>
    <w:rsid w:val="62749843"/>
    <w:rsid w:val="627B66B1"/>
    <w:rsid w:val="628531F6"/>
    <w:rsid w:val="6294F9EF"/>
    <w:rsid w:val="62B228E9"/>
    <w:rsid w:val="62C3C772"/>
    <w:rsid w:val="62CAE504"/>
    <w:rsid w:val="630AA201"/>
    <w:rsid w:val="63465040"/>
    <w:rsid w:val="6356FA86"/>
    <w:rsid w:val="635CB4C1"/>
    <w:rsid w:val="6399679D"/>
    <w:rsid w:val="63A20AA0"/>
    <w:rsid w:val="63D12B72"/>
    <w:rsid w:val="63F69D15"/>
    <w:rsid w:val="64186FE5"/>
    <w:rsid w:val="645B9901"/>
    <w:rsid w:val="647524D4"/>
    <w:rsid w:val="64C2AFC5"/>
    <w:rsid w:val="64D34CED"/>
    <w:rsid w:val="64F50E67"/>
    <w:rsid w:val="65279CD7"/>
    <w:rsid w:val="652A51F0"/>
    <w:rsid w:val="6542E8D7"/>
    <w:rsid w:val="65454904"/>
    <w:rsid w:val="654E122F"/>
    <w:rsid w:val="65C9AE1C"/>
    <w:rsid w:val="65EE8D6A"/>
    <w:rsid w:val="666F3D08"/>
    <w:rsid w:val="668E36B3"/>
    <w:rsid w:val="66AA2D25"/>
    <w:rsid w:val="66B04B77"/>
    <w:rsid w:val="66C7746C"/>
    <w:rsid w:val="66C9E3CB"/>
    <w:rsid w:val="66EB270F"/>
    <w:rsid w:val="66F0DA86"/>
    <w:rsid w:val="6716FE7F"/>
    <w:rsid w:val="67171306"/>
    <w:rsid w:val="6723F4D4"/>
    <w:rsid w:val="67286F8C"/>
    <w:rsid w:val="67359815"/>
    <w:rsid w:val="675C1F61"/>
    <w:rsid w:val="6769747B"/>
    <w:rsid w:val="677970F6"/>
    <w:rsid w:val="6786E764"/>
    <w:rsid w:val="679D3EA2"/>
    <w:rsid w:val="67B41E14"/>
    <w:rsid w:val="67B7BA42"/>
    <w:rsid w:val="67D3D8F9"/>
    <w:rsid w:val="67D51BA2"/>
    <w:rsid w:val="67ED985E"/>
    <w:rsid w:val="67F50B8A"/>
    <w:rsid w:val="68065933"/>
    <w:rsid w:val="683518D4"/>
    <w:rsid w:val="684D7198"/>
    <w:rsid w:val="685224C7"/>
    <w:rsid w:val="685B500E"/>
    <w:rsid w:val="687F89C0"/>
    <w:rsid w:val="687FFDA5"/>
    <w:rsid w:val="688DA077"/>
    <w:rsid w:val="68A79AF6"/>
    <w:rsid w:val="68A95664"/>
    <w:rsid w:val="68ADF7B6"/>
    <w:rsid w:val="68B15D6F"/>
    <w:rsid w:val="68B9FC01"/>
    <w:rsid w:val="68BCA115"/>
    <w:rsid w:val="68BE3805"/>
    <w:rsid w:val="68D08CDA"/>
    <w:rsid w:val="68E90FA3"/>
    <w:rsid w:val="68EBB70E"/>
    <w:rsid w:val="6904926C"/>
    <w:rsid w:val="6905DFB6"/>
    <w:rsid w:val="690AE33F"/>
    <w:rsid w:val="6973E784"/>
    <w:rsid w:val="69B84E2C"/>
    <w:rsid w:val="69C8AD72"/>
    <w:rsid w:val="69FE6E95"/>
    <w:rsid w:val="6A97FE8E"/>
    <w:rsid w:val="6A9ECCF4"/>
    <w:rsid w:val="6AB65D0B"/>
    <w:rsid w:val="6AD17868"/>
    <w:rsid w:val="6AD17E11"/>
    <w:rsid w:val="6AE909DB"/>
    <w:rsid w:val="6B158E5E"/>
    <w:rsid w:val="6B178A18"/>
    <w:rsid w:val="6B2EE100"/>
    <w:rsid w:val="6B4BCD31"/>
    <w:rsid w:val="6B5346EA"/>
    <w:rsid w:val="6B599CCB"/>
    <w:rsid w:val="6B5FF38B"/>
    <w:rsid w:val="6B8E9C6B"/>
    <w:rsid w:val="6BAFCA30"/>
    <w:rsid w:val="6BD463E0"/>
    <w:rsid w:val="6BE4CDC2"/>
    <w:rsid w:val="6BF213B7"/>
    <w:rsid w:val="6C0643E6"/>
    <w:rsid w:val="6C0CB792"/>
    <w:rsid w:val="6C1F40ED"/>
    <w:rsid w:val="6C297244"/>
    <w:rsid w:val="6C2BA395"/>
    <w:rsid w:val="6C31F718"/>
    <w:rsid w:val="6C3427E5"/>
    <w:rsid w:val="6C4D2085"/>
    <w:rsid w:val="6C5F0BCC"/>
    <w:rsid w:val="6C75F345"/>
    <w:rsid w:val="6C8491E1"/>
    <w:rsid w:val="6CD9BC53"/>
    <w:rsid w:val="6D0FFC86"/>
    <w:rsid w:val="6D1C71A0"/>
    <w:rsid w:val="6D5F6A1B"/>
    <w:rsid w:val="6D60B828"/>
    <w:rsid w:val="6D6D81FF"/>
    <w:rsid w:val="6D737336"/>
    <w:rsid w:val="6D88D2DE"/>
    <w:rsid w:val="6DCA91ED"/>
    <w:rsid w:val="6DE792E5"/>
    <w:rsid w:val="6E0C2456"/>
    <w:rsid w:val="6E18148F"/>
    <w:rsid w:val="6E2479E8"/>
    <w:rsid w:val="6E32F3B4"/>
    <w:rsid w:val="6E43BD65"/>
    <w:rsid w:val="6E8B4F62"/>
    <w:rsid w:val="6E94DA20"/>
    <w:rsid w:val="6EC01D04"/>
    <w:rsid w:val="6EF43204"/>
    <w:rsid w:val="6EFAF3ED"/>
    <w:rsid w:val="6F1B9107"/>
    <w:rsid w:val="6F46980C"/>
    <w:rsid w:val="6F807DB7"/>
    <w:rsid w:val="6F95ED28"/>
    <w:rsid w:val="6FD184F1"/>
    <w:rsid w:val="6FE237D3"/>
    <w:rsid w:val="6FEA2A82"/>
    <w:rsid w:val="6FF3A685"/>
    <w:rsid w:val="701D0D9C"/>
    <w:rsid w:val="703A8F06"/>
    <w:rsid w:val="704874D4"/>
    <w:rsid w:val="70501CEA"/>
    <w:rsid w:val="70526A5A"/>
    <w:rsid w:val="70814624"/>
    <w:rsid w:val="709FCDB8"/>
    <w:rsid w:val="70D4D77F"/>
    <w:rsid w:val="70D8D62D"/>
    <w:rsid w:val="70DCCD15"/>
    <w:rsid w:val="70E5195C"/>
    <w:rsid w:val="712E06E3"/>
    <w:rsid w:val="714A1024"/>
    <w:rsid w:val="715BDF1E"/>
    <w:rsid w:val="7178C3E5"/>
    <w:rsid w:val="718D23B9"/>
    <w:rsid w:val="71A72541"/>
    <w:rsid w:val="71AF6CA4"/>
    <w:rsid w:val="71B21E78"/>
    <w:rsid w:val="71CC3C2A"/>
    <w:rsid w:val="71EA52FA"/>
    <w:rsid w:val="71EC2921"/>
    <w:rsid w:val="71F6C77B"/>
    <w:rsid w:val="7247E593"/>
    <w:rsid w:val="72509DB3"/>
    <w:rsid w:val="72784ABC"/>
    <w:rsid w:val="7295C13B"/>
    <w:rsid w:val="729E0FF7"/>
    <w:rsid w:val="72AE42A5"/>
    <w:rsid w:val="72B03089"/>
    <w:rsid w:val="72C4AC4D"/>
    <w:rsid w:val="72E6B4D6"/>
    <w:rsid w:val="73077F3E"/>
    <w:rsid w:val="734D7419"/>
    <w:rsid w:val="7362E48C"/>
    <w:rsid w:val="737DCB7C"/>
    <w:rsid w:val="73D8BE40"/>
    <w:rsid w:val="73D96FAF"/>
    <w:rsid w:val="74047843"/>
    <w:rsid w:val="7410B218"/>
    <w:rsid w:val="74192FCF"/>
    <w:rsid w:val="7458A109"/>
    <w:rsid w:val="745DF37A"/>
    <w:rsid w:val="74879D73"/>
    <w:rsid w:val="74B074C4"/>
    <w:rsid w:val="74EBB534"/>
    <w:rsid w:val="74ECD54E"/>
    <w:rsid w:val="75231D15"/>
    <w:rsid w:val="7523B472"/>
    <w:rsid w:val="75270E5B"/>
    <w:rsid w:val="752C81FA"/>
    <w:rsid w:val="755BEF5F"/>
    <w:rsid w:val="7587B08E"/>
    <w:rsid w:val="75B72C2D"/>
    <w:rsid w:val="75C910FF"/>
    <w:rsid w:val="75DCE322"/>
    <w:rsid w:val="75EAC45F"/>
    <w:rsid w:val="75FC037D"/>
    <w:rsid w:val="7606ED26"/>
    <w:rsid w:val="7628EEE9"/>
    <w:rsid w:val="764751CA"/>
    <w:rsid w:val="766532FB"/>
    <w:rsid w:val="76C458D4"/>
    <w:rsid w:val="76D35B8D"/>
    <w:rsid w:val="76F96D73"/>
    <w:rsid w:val="770E0B51"/>
    <w:rsid w:val="772DD48D"/>
    <w:rsid w:val="77364635"/>
    <w:rsid w:val="7774FE5A"/>
    <w:rsid w:val="778B6C95"/>
    <w:rsid w:val="77E3C704"/>
    <w:rsid w:val="77E7DD9D"/>
    <w:rsid w:val="77EDC1EC"/>
    <w:rsid w:val="7807BCDF"/>
    <w:rsid w:val="781FE705"/>
    <w:rsid w:val="783ADAFF"/>
    <w:rsid w:val="784CEDA3"/>
    <w:rsid w:val="785140D5"/>
    <w:rsid w:val="78BB4D05"/>
    <w:rsid w:val="78C05F4B"/>
    <w:rsid w:val="790960AA"/>
    <w:rsid w:val="79144558"/>
    <w:rsid w:val="7936C3CE"/>
    <w:rsid w:val="7946C169"/>
    <w:rsid w:val="7973B386"/>
    <w:rsid w:val="79807E6F"/>
    <w:rsid w:val="79820339"/>
    <w:rsid w:val="79EE95BB"/>
    <w:rsid w:val="79F8C5B2"/>
    <w:rsid w:val="7A09F5AB"/>
    <w:rsid w:val="7A576525"/>
    <w:rsid w:val="7A6C41CB"/>
    <w:rsid w:val="7A71853C"/>
    <w:rsid w:val="7A8BF2D4"/>
    <w:rsid w:val="7AAB153B"/>
    <w:rsid w:val="7AD7931B"/>
    <w:rsid w:val="7ADF769E"/>
    <w:rsid w:val="7B1B566F"/>
    <w:rsid w:val="7B2B9E04"/>
    <w:rsid w:val="7B5F780A"/>
    <w:rsid w:val="7BAACD4B"/>
    <w:rsid w:val="7BB2BD03"/>
    <w:rsid w:val="7BB2D2BC"/>
    <w:rsid w:val="7BC3C71C"/>
    <w:rsid w:val="7BE9A426"/>
    <w:rsid w:val="7BFDA875"/>
    <w:rsid w:val="7C0D5DF1"/>
    <w:rsid w:val="7C22DE4E"/>
    <w:rsid w:val="7C29DD47"/>
    <w:rsid w:val="7C8132FE"/>
    <w:rsid w:val="7CC18E83"/>
    <w:rsid w:val="7CCF60C9"/>
    <w:rsid w:val="7CD1444C"/>
    <w:rsid w:val="7CDDB507"/>
    <w:rsid w:val="7CF69C4D"/>
    <w:rsid w:val="7CF958BE"/>
    <w:rsid w:val="7D2FD7A2"/>
    <w:rsid w:val="7D988B20"/>
    <w:rsid w:val="7DE550FE"/>
    <w:rsid w:val="7E069F24"/>
    <w:rsid w:val="7E221DBF"/>
    <w:rsid w:val="7E39AB46"/>
    <w:rsid w:val="7E4337E1"/>
    <w:rsid w:val="7E8B270B"/>
    <w:rsid w:val="7E98B741"/>
    <w:rsid w:val="7E9BA978"/>
    <w:rsid w:val="7EC67106"/>
    <w:rsid w:val="7EC730D2"/>
    <w:rsid w:val="7EF48B2B"/>
    <w:rsid w:val="7EF8AB54"/>
    <w:rsid w:val="7F323422"/>
    <w:rsid w:val="7F4E7020"/>
    <w:rsid w:val="7F67562B"/>
    <w:rsid w:val="7F884B20"/>
    <w:rsid w:val="7F92D0AE"/>
    <w:rsid w:val="7F9F21EE"/>
    <w:rsid w:val="7FBA4407"/>
    <w:rsid w:val="7FDD0989"/>
    <w:rsid w:val="7FEB5D62"/>
    <w:rsid w:val="7FEDE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960,#eeece1,#ff5050,#3cc,#c0c,#f9f,#3c3,red"/>
    </o:shapedefaults>
    <o:shapelayout v:ext="edit">
      <o:idmap v:ext="edit" data="1"/>
    </o:shapelayout>
  </w:shapeDefaults>
  <w:decimalSymbol w:val="."/>
  <w:listSeparator w:val=","/>
  <w14:docId w14:val="1C823D9B"/>
  <w15:docId w15:val="{3DF61586-6E0A-47BE-9E85-AD836B7F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B"/>
    <w:rPr>
      <w:sz w:val="24"/>
      <w:szCs w:val="24"/>
    </w:rPr>
  </w:style>
  <w:style w:type="paragraph" w:styleId="Heading1">
    <w:name w:val="heading 1"/>
    <w:basedOn w:val="Normal"/>
    <w:next w:val="Normal"/>
    <w:link w:val="Heading1Char"/>
    <w:autoRedefine/>
    <w:uiPriority w:val="9"/>
    <w:qFormat/>
    <w:rsid w:val="00917613"/>
    <w:pPr>
      <w:keepNext/>
      <w:pageBreakBefore/>
      <w:shd w:val="clear" w:color="auto" w:fill="FFFFFF"/>
      <w:spacing w:before="161" w:after="150"/>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0109AD"/>
    <w:pPr>
      <w:keepNext/>
      <w:outlineLvl w:val="2"/>
    </w:pPr>
    <w:rPr>
      <w:color w:val="0000FF"/>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7613"/>
    <w:rPr>
      <w:rFonts w:eastAsia="Batang"/>
      <w:color w:val="0066CC"/>
      <w:sz w:val="24"/>
      <w:szCs w:val="24"/>
      <w:shd w:val="clear" w:color="auto" w:fill="FFFFFF"/>
    </w:rPr>
  </w:style>
  <w:style w:type="character" w:customStyle="1" w:styleId="Heading3Char">
    <w:name w:val="Heading 3 Char"/>
    <w:link w:val="Heading3"/>
    <w:rsid w:val="000109AD"/>
    <w:rPr>
      <w:color w:val="0000FF"/>
      <w:sz w:val="24"/>
      <w:szCs w:val="24"/>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qFormat/>
    <w:rsid w:val="006A55BA"/>
    <w:rPr>
      <w:i/>
    </w:rPr>
  </w:style>
  <w:style w:type="paragraph" w:styleId="Header">
    <w:name w:val="header"/>
    <w:basedOn w:val="Normal"/>
    <w:link w:val="HeaderChar"/>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uiPriority w:val="39"/>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3"/>
      </w:numPr>
    </w:pPr>
  </w:style>
  <w:style w:type="character" w:customStyle="1" w:styleId="StyleHeading3Char">
    <w:name w:val="Style Heading 3 + Char"/>
    <w:link w:val="StyleHeading3"/>
    <w:rsid w:val="00B8684F"/>
    <w:rPr>
      <w:color w:val="0000FF"/>
      <w:sz w:val="24"/>
      <w:szCs w:val="24"/>
    </w:rPr>
  </w:style>
  <w:style w:type="paragraph" w:styleId="TOC3">
    <w:name w:val="toc 3"/>
    <w:basedOn w:val="Normal"/>
    <w:next w:val="Normal"/>
    <w:autoRedefine/>
    <w:uiPriority w:val="39"/>
    <w:qFormat/>
    <w:rsid w:val="00B8684F"/>
    <w:pPr>
      <w:ind w:left="480"/>
    </w:pPr>
    <w:rPr>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C608F4"/>
    <w:pPr>
      <w:tabs>
        <w:tab w:val="right" w:leader="dot" w:pos="9350"/>
      </w:tabs>
      <w:spacing w:before="120"/>
    </w:pPr>
    <w:rPr>
      <w:rFonts w:eastAsia="Batang"/>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2"/>
      </w:numPr>
    </w:pPr>
  </w:style>
  <w:style w:type="character" w:customStyle="1" w:styleId="StyleHeading31Char">
    <w:name w:val="Style Heading 3 +1 Char"/>
    <w:link w:val="StyleHeading31"/>
    <w:rsid w:val="00B8684F"/>
    <w:rPr>
      <w:color w:val="0000FF"/>
      <w:sz w:val="24"/>
      <w:szCs w:val="24"/>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iPriority w:val="99"/>
    <w:unhideWhenUsed/>
    <w:rsid w:val="006B5768"/>
    <w:rPr>
      <w:sz w:val="16"/>
      <w:szCs w:val="16"/>
    </w:rPr>
  </w:style>
  <w:style w:type="paragraph" w:styleId="CommentText">
    <w:name w:val="annotation text"/>
    <w:basedOn w:val="Normal"/>
    <w:link w:val="CommentTextChar"/>
    <w:uiPriority w:val="99"/>
    <w:unhideWhenUsed/>
    <w:rsid w:val="006B5768"/>
    <w:rPr>
      <w:sz w:val="20"/>
      <w:szCs w:val="20"/>
    </w:rPr>
  </w:style>
  <w:style w:type="character" w:customStyle="1" w:styleId="CommentTextChar">
    <w:name w:val="Comment Text Char"/>
    <w:basedOn w:val="DefaultParagraphFont"/>
    <w:link w:val="CommentText"/>
    <w:uiPriority w:val="99"/>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customStyle="1" w:styleId="tgc">
    <w:name w:val="_tgc"/>
    <w:basedOn w:val="DefaultParagraphFont"/>
    <w:rsid w:val="00746421"/>
  </w:style>
  <w:style w:type="paragraph" w:styleId="EndnoteText">
    <w:name w:val="endnote text"/>
    <w:basedOn w:val="Normal"/>
    <w:link w:val="EndnoteTextChar"/>
    <w:uiPriority w:val="99"/>
    <w:semiHidden/>
    <w:unhideWhenUsed/>
    <w:rsid w:val="00157FA1"/>
    <w:rPr>
      <w:sz w:val="20"/>
      <w:szCs w:val="20"/>
    </w:rPr>
  </w:style>
  <w:style w:type="character" w:customStyle="1" w:styleId="EndnoteTextChar">
    <w:name w:val="Endnote Text Char"/>
    <w:basedOn w:val="DefaultParagraphFont"/>
    <w:link w:val="EndnoteText"/>
    <w:uiPriority w:val="99"/>
    <w:semiHidden/>
    <w:rsid w:val="00157FA1"/>
  </w:style>
  <w:style w:type="character" w:customStyle="1" w:styleId="UnresolvedMention1">
    <w:name w:val="Unresolved Mention1"/>
    <w:basedOn w:val="DefaultParagraphFont"/>
    <w:uiPriority w:val="99"/>
    <w:semiHidden/>
    <w:unhideWhenUsed/>
    <w:rsid w:val="00881E8E"/>
    <w:rPr>
      <w:color w:val="605E5C"/>
      <w:shd w:val="clear" w:color="auto" w:fill="E1DFDD"/>
    </w:rPr>
  </w:style>
  <w:style w:type="paragraph" w:customStyle="1" w:styleId="text-left">
    <w:name w:val="text-left"/>
    <w:basedOn w:val="Normal"/>
    <w:rsid w:val="00141474"/>
    <w:pPr>
      <w:spacing w:before="100" w:beforeAutospacing="1" w:after="100" w:afterAutospacing="1"/>
    </w:pPr>
  </w:style>
  <w:style w:type="character" w:styleId="UnresolvedMention">
    <w:name w:val="Unresolved Mention"/>
    <w:basedOn w:val="DefaultParagraphFont"/>
    <w:uiPriority w:val="99"/>
    <w:unhideWhenUsed/>
    <w:rsid w:val="002F3ABE"/>
    <w:rPr>
      <w:color w:val="605E5C"/>
      <w:shd w:val="clear" w:color="auto" w:fill="E1DFDD"/>
    </w:rPr>
  </w:style>
  <w:style w:type="table" w:styleId="TableGridLight">
    <w:name w:val="Grid Table Light"/>
    <w:basedOn w:val="TableNormal"/>
    <w:uiPriority w:val="40"/>
    <w:rsid w:val="00906C5B"/>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slevel1">
    <w:name w:val="headerslevel1"/>
    <w:basedOn w:val="DefaultParagraphFont"/>
    <w:rsid w:val="00042EB6"/>
  </w:style>
  <w:style w:type="character" w:customStyle="1" w:styleId="UnresolvedMention2">
    <w:name w:val="Unresolved Mention2"/>
    <w:basedOn w:val="DefaultParagraphFont"/>
    <w:uiPriority w:val="99"/>
    <w:semiHidden/>
    <w:unhideWhenUsed/>
    <w:rsid w:val="00CE1539"/>
    <w:rPr>
      <w:color w:val="605E5C"/>
      <w:shd w:val="clear" w:color="auto" w:fill="E1DFDD"/>
    </w:rPr>
  </w:style>
  <w:style w:type="character" w:customStyle="1" w:styleId="UnresolvedMention3">
    <w:name w:val="Unresolved Mention3"/>
    <w:basedOn w:val="DefaultParagraphFont"/>
    <w:uiPriority w:val="99"/>
    <w:semiHidden/>
    <w:unhideWhenUsed/>
    <w:rsid w:val="00CE1539"/>
    <w:rPr>
      <w:color w:val="605E5C"/>
      <w:shd w:val="clear" w:color="auto" w:fill="E1DFDD"/>
    </w:rPr>
  </w:style>
  <w:style w:type="character" w:styleId="PlaceholderText">
    <w:name w:val="Placeholder Text"/>
    <w:basedOn w:val="DefaultParagraphFont"/>
    <w:uiPriority w:val="99"/>
    <w:semiHidden/>
    <w:rsid w:val="0071423E"/>
    <w:rPr>
      <w:color w:val="80808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F5766"/>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F5766"/>
  </w:style>
  <w:style w:type="character" w:customStyle="1" w:styleId="eop">
    <w:name w:val="eop"/>
    <w:basedOn w:val="DefaultParagraphFont"/>
    <w:rsid w:val="00EF5766"/>
  </w:style>
  <w:style w:type="character" w:customStyle="1" w:styleId="blast">
    <w:name w:val="blast"/>
    <w:basedOn w:val="DefaultParagraphFont"/>
    <w:rsid w:val="00FE787F"/>
  </w:style>
  <w:style w:type="character" w:customStyle="1" w:styleId="findhit">
    <w:name w:val="findhit"/>
    <w:basedOn w:val="DefaultParagraphFont"/>
    <w:rsid w:val="006A3FC0"/>
  </w:style>
  <w:style w:type="character" w:customStyle="1" w:styleId="superscript">
    <w:name w:val="superscript"/>
    <w:basedOn w:val="DefaultParagraphFont"/>
    <w:rsid w:val="006A3FC0"/>
  </w:style>
  <w:style w:type="paragraph" w:customStyle="1" w:styleId="xmsonormal">
    <w:name w:val="x_msonormal"/>
    <w:basedOn w:val="Normal"/>
    <w:rsid w:val="005A255D"/>
    <w:rPr>
      <w:rFonts w:ascii="Calibri" w:eastAsiaTheme="minorHAnsi" w:hAnsi="Calibri" w:cs="Calibri"/>
      <w:sz w:val="22"/>
      <w:szCs w:val="22"/>
    </w:rPr>
  </w:style>
  <w:style w:type="paragraph" w:customStyle="1" w:styleId="xmsolistparagraph">
    <w:name w:val="x_msolistparagraph"/>
    <w:basedOn w:val="Normal"/>
    <w:rsid w:val="005A255D"/>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15544869">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1369913">
      <w:bodyDiv w:val="1"/>
      <w:marLeft w:val="0"/>
      <w:marRight w:val="0"/>
      <w:marTop w:val="0"/>
      <w:marBottom w:val="0"/>
      <w:divBdr>
        <w:top w:val="none" w:sz="0" w:space="0" w:color="auto"/>
        <w:left w:val="none" w:sz="0" w:space="0" w:color="auto"/>
        <w:bottom w:val="none" w:sz="0" w:space="0" w:color="auto"/>
        <w:right w:val="none" w:sz="0" w:space="0" w:color="auto"/>
      </w:divBdr>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49577369">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1438">
      <w:bodyDiv w:val="1"/>
      <w:marLeft w:val="0"/>
      <w:marRight w:val="0"/>
      <w:marTop w:val="0"/>
      <w:marBottom w:val="0"/>
      <w:divBdr>
        <w:top w:val="none" w:sz="0" w:space="0" w:color="auto"/>
        <w:left w:val="none" w:sz="0" w:space="0" w:color="auto"/>
        <w:bottom w:val="none" w:sz="0" w:space="0" w:color="auto"/>
        <w:right w:val="none" w:sz="0" w:space="0" w:color="auto"/>
      </w:divBdr>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6465">
      <w:bodyDiv w:val="1"/>
      <w:marLeft w:val="0"/>
      <w:marRight w:val="0"/>
      <w:marTop w:val="0"/>
      <w:marBottom w:val="0"/>
      <w:divBdr>
        <w:top w:val="none" w:sz="0" w:space="0" w:color="auto"/>
        <w:left w:val="none" w:sz="0" w:space="0" w:color="auto"/>
        <w:bottom w:val="none" w:sz="0" w:space="0" w:color="auto"/>
        <w:right w:val="none" w:sz="0" w:space="0" w:color="auto"/>
      </w:divBdr>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18305846">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73493112">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17863172">
      <w:bodyDiv w:val="1"/>
      <w:marLeft w:val="0"/>
      <w:marRight w:val="0"/>
      <w:marTop w:val="0"/>
      <w:marBottom w:val="0"/>
      <w:divBdr>
        <w:top w:val="none" w:sz="0" w:space="0" w:color="auto"/>
        <w:left w:val="none" w:sz="0" w:space="0" w:color="auto"/>
        <w:bottom w:val="none" w:sz="0" w:space="0" w:color="auto"/>
        <w:right w:val="none" w:sz="0" w:space="0" w:color="auto"/>
      </w:divBdr>
    </w:div>
    <w:div w:id="230390446">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285282781">
      <w:bodyDiv w:val="1"/>
      <w:marLeft w:val="0"/>
      <w:marRight w:val="0"/>
      <w:marTop w:val="0"/>
      <w:marBottom w:val="0"/>
      <w:divBdr>
        <w:top w:val="none" w:sz="0" w:space="0" w:color="auto"/>
        <w:left w:val="none" w:sz="0" w:space="0" w:color="auto"/>
        <w:bottom w:val="none" w:sz="0" w:space="0" w:color="auto"/>
        <w:right w:val="none" w:sz="0" w:space="0" w:color="auto"/>
      </w:divBdr>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25717260">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1869023">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3943898">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38216">
      <w:bodyDiv w:val="1"/>
      <w:marLeft w:val="0"/>
      <w:marRight w:val="0"/>
      <w:marTop w:val="0"/>
      <w:marBottom w:val="0"/>
      <w:divBdr>
        <w:top w:val="none" w:sz="0" w:space="0" w:color="auto"/>
        <w:left w:val="none" w:sz="0" w:space="0" w:color="auto"/>
        <w:bottom w:val="none" w:sz="0" w:space="0" w:color="auto"/>
        <w:right w:val="none" w:sz="0" w:space="0" w:color="auto"/>
      </w:divBdr>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49622653">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5605475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04933266">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17461277">
      <w:bodyDiv w:val="1"/>
      <w:marLeft w:val="0"/>
      <w:marRight w:val="0"/>
      <w:marTop w:val="0"/>
      <w:marBottom w:val="0"/>
      <w:divBdr>
        <w:top w:val="none" w:sz="0" w:space="0" w:color="auto"/>
        <w:left w:val="none" w:sz="0" w:space="0" w:color="auto"/>
        <w:bottom w:val="none" w:sz="0" w:space="0" w:color="auto"/>
        <w:right w:val="none" w:sz="0" w:space="0" w:color="auto"/>
      </w:divBdr>
    </w:div>
    <w:div w:id="839809436">
      <w:bodyDiv w:val="1"/>
      <w:marLeft w:val="0"/>
      <w:marRight w:val="0"/>
      <w:marTop w:val="0"/>
      <w:marBottom w:val="0"/>
      <w:divBdr>
        <w:top w:val="none" w:sz="0" w:space="0" w:color="auto"/>
        <w:left w:val="none" w:sz="0" w:space="0" w:color="auto"/>
        <w:bottom w:val="none" w:sz="0" w:space="0" w:color="auto"/>
        <w:right w:val="none" w:sz="0" w:space="0" w:color="auto"/>
      </w:divBdr>
    </w:div>
    <w:div w:id="850408585">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00265">
      <w:bodyDiv w:val="1"/>
      <w:marLeft w:val="0"/>
      <w:marRight w:val="0"/>
      <w:marTop w:val="0"/>
      <w:marBottom w:val="0"/>
      <w:divBdr>
        <w:top w:val="none" w:sz="0" w:space="0" w:color="auto"/>
        <w:left w:val="none" w:sz="0" w:space="0" w:color="auto"/>
        <w:bottom w:val="none" w:sz="0" w:space="0" w:color="auto"/>
        <w:right w:val="none" w:sz="0" w:space="0" w:color="auto"/>
      </w:divBdr>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6481922">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71920228">
      <w:bodyDiv w:val="1"/>
      <w:marLeft w:val="0"/>
      <w:marRight w:val="0"/>
      <w:marTop w:val="0"/>
      <w:marBottom w:val="0"/>
      <w:divBdr>
        <w:top w:val="none" w:sz="0" w:space="0" w:color="auto"/>
        <w:left w:val="none" w:sz="0" w:space="0" w:color="auto"/>
        <w:bottom w:val="none" w:sz="0" w:space="0" w:color="auto"/>
        <w:right w:val="none" w:sz="0" w:space="0" w:color="auto"/>
      </w:divBdr>
    </w:div>
    <w:div w:id="879317575">
      <w:bodyDiv w:val="1"/>
      <w:marLeft w:val="0"/>
      <w:marRight w:val="0"/>
      <w:marTop w:val="0"/>
      <w:marBottom w:val="0"/>
      <w:divBdr>
        <w:top w:val="none" w:sz="0" w:space="0" w:color="auto"/>
        <w:left w:val="none" w:sz="0" w:space="0" w:color="auto"/>
        <w:bottom w:val="none" w:sz="0" w:space="0" w:color="auto"/>
        <w:right w:val="none" w:sz="0" w:space="0" w:color="auto"/>
      </w:divBdr>
    </w:div>
    <w:div w:id="88135941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18059296">
      <w:bodyDiv w:val="1"/>
      <w:marLeft w:val="0"/>
      <w:marRight w:val="0"/>
      <w:marTop w:val="0"/>
      <w:marBottom w:val="0"/>
      <w:divBdr>
        <w:top w:val="none" w:sz="0" w:space="0" w:color="auto"/>
        <w:left w:val="none" w:sz="0" w:space="0" w:color="auto"/>
        <w:bottom w:val="none" w:sz="0" w:space="0" w:color="auto"/>
        <w:right w:val="none" w:sz="0" w:space="0" w:color="auto"/>
      </w:divBdr>
    </w:div>
    <w:div w:id="922253790">
      <w:bodyDiv w:val="1"/>
      <w:marLeft w:val="0"/>
      <w:marRight w:val="0"/>
      <w:marTop w:val="0"/>
      <w:marBottom w:val="0"/>
      <w:divBdr>
        <w:top w:val="none" w:sz="0" w:space="0" w:color="auto"/>
        <w:left w:val="none" w:sz="0" w:space="0" w:color="auto"/>
        <w:bottom w:val="none" w:sz="0" w:space="0" w:color="auto"/>
        <w:right w:val="none" w:sz="0" w:space="0" w:color="auto"/>
      </w:divBdr>
    </w:div>
    <w:div w:id="926886247">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40841667">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4752631">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0305577">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39545606">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075708624">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28931810">
      <w:bodyDiv w:val="1"/>
      <w:marLeft w:val="0"/>
      <w:marRight w:val="0"/>
      <w:marTop w:val="0"/>
      <w:marBottom w:val="0"/>
      <w:divBdr>
        <w:top w:val="none" w:sz="0" w:space="0" w:color="auto"/>
        <w:left w:val="none" w:sz="0" w:space="0" w:color="auto"/>
        <w:bottom w:val="none" w:sz="0" w:space="0" w:color="auto"/>
        <w:right w:val="none" w:sz="0" w:space="0" w:color="auto"/>
      </w:divBdr>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06406686">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50851588">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299535898">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19715570">
      <w:bodyDiv w:val="1"/>
      <w:marLeft w:val="0"/>
      <w:marRight w:val="0"/>
      <w:marTop w:val="0"/>
      <w:marBottom w:val="0"/>
      <w:divBdr>
        <w:top w:val="none" w:sz="0" w:space="0" w:color="auto"/>
        <w:left w:val="none" w:sz="0" w:space="0" w:color="auto"/>
        <w:bottom w:val="none" w:sz="0" w:space="0" w:color="auto"/>
        <w:right w:val="none" w:sz="0" w:space="0" w:color="auto"/>
      </w:divBdr>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1636223">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6578258">
      <w:bodyDiv w:val="1"/>
      <w:marLeft w:val="0"/>
      <w:marRight w:val="0"/>
      <w:marTop w:val="0"/>
      <w:marBottom w:val="0"/>
      <w:divBdr>
        <w:top w:val="none" w:sz="0" w:space="0" w:color="auto"/>
        <w:left w:val="none" w:sz="0" w:space="0" w:color="auto"/>
        <w:bottom w:val="none" w:sz="0" w:space="0" w:color="auto"/>
        <w:right w:val="none" w:sz="0" w:space="0" w:color="auto"/>
      </w:divBdr>
    </w:div>
    <w:div w:id="1570339983">
      <w:bodyDiv w:val="1"/>
      <w:marLeft w:val="0"/>
      <w:marRight w:val="0"/>
      <w:marTop w:val="0"/>
      <w:marBottom w:val="0"/>
      <w:divBdr>
        <w:top w:val="none" w:sz="0" w:space="0" w:color="auto"/>
        <w:left w:val="none" w:sz="0" w:space="0" w:color="auto"/>
        <w:bottom w:val="none" w:sz="0" w:space="0" w:color="auto"/>
        <w:right w:val="none" w:sz="0" w:space="0" w:color="auto"/>
      </w:divBdr>
      <w:divsChild>
        <w:div w:id="935794358">
          <w:marLeft w:val="0"/>
          <w:marRight w:val="0"/>
          <w:marTop w:val="0"/>
          <w:marBottom w:val="0"/>
          <w:divBdr>
            <w:top w:val="none" w:sz="0" w:space="0" w:color="auto"/>
            <w:left w:val="none" w:sz="0" w:space="0" w:color="auto"/>
            <w:bottom w:val="none" w:sz="0" w:space="0" w:color="auto"/>
            <w:right w:val="none" w:sz="0" w:space="0" w:color="auto"/>
          </w:divBdr>
          <w:divsChild>
            <w:div w:id="727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51">
      <w:bodyDiv w:val="1"/>
      <w:marLeft w:val="0"/>
      <w:marRight w:val="0"/>
      <w:marTop w:val="0"/>
      <w:marBottom w:val="0"/>
      <w:divBdr>
        <w:top w:val="none" w:sz="0" w:space="0" w:color="auto"/>
        <w:left w:val="none" w:sz="0" w:space="0" w:color="auto"/>
        <w:bottom w:val="none" w:sz="0" w:space="0" w:color="auto"/>
        <w:right w:val="none" w:sz="0" w:space="0" w:color="auto"/>
      </w:divBdr>
      <w:divsChild>
        <w:div w:id="1421946389">
          <w:marLeft w:val="0"/>
          <w:marRight w:val="0"/>
          <w:marTop w:val="0"/>
          <w:marBottom w:val="0"/>
          <w:divBdr>
            <w:top w:val="none" w:sz="0" w:space="0" w:color="auto"/>
            <w:left w:val="none" w:sz="0" w:space="0" w:color="auto"/>
            <w:bottom w:val="none" w:sz="0" w:space="0" w:color="auto"/>
            <w:right w:val="none" w:sz="0" w:space="0" w:color="auto"/>
          </w:divBdr>
          <w:divsChild>
            <w:div w:id="354771380">
              <w:marLeft w:val="0"/>
              <w:marRight w:val="0"/>
              <w:marTop w:val="0"/>
              <w:marBottom w:val="0"/>
              <w:divBdr>
                <w:top w:val="none" w:sz="0" w:space="0" w:color="auto"/>
                <w:left w:val="none" w:sz="0" w:space="0" w:color="auto"/>
                <w:bottom w:val="none" w:sz="0" w:space="0" w:color="auto"/>
                <w:right w:val="none" w:sz="0" w:space="0" w:color="auto"/>
              </w:divBdr>
              <w:divsChild>
                <w:div w:id="196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6664381">
      <w:bodyDiv w:val="1"/>
      <w:marLeft w:val="0"/>
      <w:marRight w:val="0"/>
      <w:marTop w:val="0"/>
      <w:marBottom w:val="0"/>
      <w:divBdr>
        <w:top w:val="none" w:sz="0" w:space="0" w:color="auto"/>
        <w:left w:val="none" w:sz="0" w:space="0" w:color="auto"/>
        <w:bottom w:val="none" w:sz="0" w:space="0" w:color="auto"/>
        <w:right w:val="none" w:sz="0" w:space="0" w:color="auto"/>
      </w:divBdr>
      <w:divsChild>
        <w:div w:id="1610241062">
          <w:marLeft w:val="360"/>
          <w:marRight w:val="0"/>
          <w:marTop w:val="0"/>
          <w:marBottom w:val="240"/>
          <w:divBdr>
            <w:top w:val="none" w:sz="0" w:space="0" w:color="auto"/>
            <w:left w:val="none" w:sz="0" w:space="0" w:color="auto"/>
            <w:bottom w:val="none" w:sz="0" w:space="0" w:color="auto"/>
            <w:right w:val="none" w:sz="0" w:space="0" w:color="auto"/>
          </w:divBdr>
        </w:div>
        <w:div w:id="1801612039">
          <w:marLeft w:val="360"/>
          <w:marRight w:val="0"/>
          <w:marTop w:val="0"/>
          <w:marBottom w:val="240"/>
          <w:divBdr>
            <w:top w:val="none" w:sz="0" w:space="0" w:color="auto"/>
            <w:left w:val="none" w:sz="0" w:space="0" w:color="auto"/>
            <w:bottom w:val="none" w:sz="0" w:space="0" w:color="auto"/>
            <w:right w:val="none" w:sz="0" w:space="0" w:color="auto"/>
          </w:divBdr>
        </w:div>
        <w:div w:id="312877470">
          <w:marLeft w:val="360"/>
          <w:marRight w:val="0"/>
          <w:marTop w:val="0"/>
          <w:marBottom w:val="240"/>
          <w:divBdr>
            <w:top w:val="none" w:sz="0" w:space="0" w:color="auto"/>
            <w:left w:val="none" w:sz="0" w:space="0" w:color="auto"/>
            <w:bottom w:val="none" w:sz="0" w:space="0" w:color="auto"/>
            <w:right w:val="none" w:sz="0" w:space="0" w:color="auto"/>
          </w:divBdr>
        </w:div>
        <w:div w:id="1968244192">
          <w:marLeft w:val="360"/>
          <w:marRight w:val="0"/>
          <w:marTop w:val="0"/>
          <w:marBottom w:val="240"/>
          <w:divBdr>
            <w:top w:val="none" w:sz="0" w:space="0" w:color="auto"/>
            <w:left w:val="none" w:sz="0" w:space="0" w:color="auto"/>
            <w:bottom w:val="none" w:sz="0" w:space="0" w:color="auto"/>
            <w:right w:val="none" w:sz="0" w:space="0" w:color="auto"/>
          </w:divBdr>
        </w:div>
      </w:divsChild>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060917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777945315">
      <w:bodyDiv w:val="1"/>
      <w:marLeft w:val="0"/>
      <w:marRight w:val="0"/>
      <w:marTop w:val="0"/>
      <w:marBottom w:val="0"/>
      <w:divBdr>
        <w:top w:val="none" w:sz="0" w:space="0" w:color="auto"/>
        <w:left w:val="none" w:sz="0" w:space="0" w:color="auto"/>
        <w:bottom w:val="none" w:sz="0" w:space="0" w:color="auto"/>
        <w:right w:val="none" w:sz="0" w:space="0" w:color="auto"/>
      </w:divBdr>
    </w:div>
    <w:div w:id="1806657431">
      <w:bodyDiv w:val="1"/>
      <w:marLeft w:val="0"/>
      <w:marRight w:val="0"/>
      <w:marTop w:val="0"/>
      <w:marBottom w:val="0"/>
      <w:divBdr>
        <w:top w:val="none" w:sz="0" w:space="0" w:color="auto"/>
        <w:left w:val="none" w:sz="0" w:space="0" w:color="auto"/>
        <w:bottom w:val="none" w:sz="0" w:space="0" w:color="auto"/>
        <w:right w:val="none" w:sz="0" w:space="0" w:color="auto"/>
      </w:divBdr>
    </w:div>
    <w:div w:id="1812091561">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34955030">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71717657">
      <w:bodyDiv w:val="1"/>
      <w:marLeft w:val="0"/>
      <w:marRight w:val="0"/>
      <w:marTop w:val="0"/>
      <w:marBottom w:val="0"/>
      <w:divBdr>
        <w:top w:val="none" w:sz="0" w:space="0" w:color="auto"/>
        <w:left w:val="none" w:sz="0" w:space="0" w:color="auto"/>
        <w:bottom w:val="none" w:sz="0" w:space="0" w:color="auto"/>
        <w:right w:val="none" w:sz="0" w:space="0" w:color="auto"/>
      </w:divBdr>
    </w:div>
    <w:div w:id="189091615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29537386">
      <w:bodyDiv w:val="1"/>
      <w:marLeft w:val="0"/>
      <w:marRight w:val="0"/>
      <w:marTop w:val="0"/>
      <w:marBottom w:val="0"/>
      <w:divBdr>
        <w:top w:val="none" w:sz="0" w:space="0" w:color="auto"/>
        <w:left w:val="none" w:sz="0" w:space="0" w:color="auto"/>
        <w:bottom w:val="none" w:sz="0" w:space="0" w:color="auto"/>
        <w:right w:val="none" w:sz="0" w:space="0" w:color="auto"/>
      </w:divBdr>
      <w:divsChild>
        <w:div w:id="1928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587816">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067411408">
      <w:bodyDiv w:val="1"/>
      <w:marLeft w:val="0"/>
      <w:marRight w:val="0"/>
      <w:marTop w:val="0"/>
      <w:marBottom w:val="0"/>
      <w:divBdr>
        <w:top w:val="none" w:sz="0" w:space="0" w:color="auto"/>
        <w:left w:val="none" w:sz="0" w:space="0" w:color="auto"/>
        <w:bottom w:val="none" w:sz="0" w:space="0" w:color="auto"/>
        <w:right w:val="none" w:sz="0" w:space="0" w:color="auto"/>
      </w:divBdr>
    </w:div>
    <w:div w:id="2089037267">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22336935">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te.ed.gov/initiatives/employability-skills-framework" TargetMode="External"/><Relationship Id="rId21" Type="http://schemas.openxmlformats.org/officeDocument/2006/relationships/hyperlink" Target="https://www.doe.mass.edu/acls/acp/" TargetMode="External"/><Relationship Id="rId42" Type="http://schemas.openxmlformats.org/officeDocument/2006/relationships/hyperlink" Target="http://www.doe.mass.edu/acls/abeprogram/" TargetMode="External"/><Relationship Id="rId63" Type="http://schemas.openxmlformats.org/officeDocument/2006/relationships/hyperlink" Target="http://www.doe.mass.edu/acls/laces/release-form/" TargetMode="External"/><Relationship Id="rId84" Type="http://schemas.openxmlformats.org/officeDocument/2006/relationships/hyperlink" Target="https://www.mass.gov/service-details/connect-with-your-local-masshire-workforce-board" TargetMode="External"/><Relationship Id="rId138" Type="http://schemas.openxmlformats.org/officeDocument/2006/relationships/hyperlink" Target="http://www.nrsweb.org/" TargetMode="External"/><Relationship Id="rId159" Type="http://schemas.openxmlformats.org/officeDocument/2006/relationships/header" Target="header10.xml"/><Relationship Id="rId170" Type="http://schemas.openxmlformats.org/officeDocument/2006/relationships/hyperlink" Target="http://sabes.org/" TargetMode="External"/><Relationship Id="rId191" Type="http://schemas.openxmlformats.org/officeDocument/2006/relationships/hyperlink" Target="https://www.ecfr.gov/current/title-34/part-76" TargetMode="External"/><Relationship Id="rId205" Type="http://schemas.openxmlformats.org/officeDocument/2006/relationships/hyperlink" Target="https://www.congress.gov/113/bills/hr803/BILLS-113hr803enr.pdf" TargetMode="External"/><Relationship Id="rId226" Type="http://schemas.openxmlformats.org/officeDocument/2006/relationships/hyperlink" Target="http://www.sabes.org/" TargetMode="External"/><Relationship Id="rId247" Type="http://schemas.openxmlformats.org/officeDocument/2006/relationships/theme" Target="theme/theme1.xml"/><Relationship Id="rId107" Type="http://schemas.openxmlformats.org/officeDocument/2006/relationships/hyperlink" Target="http://www.doe.mass.edu/acls/frameworks/frameworks.html" TargetMode="External"/><Relationship Id="rId11" Type="http://schemas.openxmlformats.org/officeDocument/2006/relationships/image" Target="media/image1.gif"/><Relationship Id="rId32" Type="http://schemas.openxmlformats.org/officeDocument/2006/relationships/hyperlink" Target="https://www.mass.gov/doc/fy2020-workforce-innovation-and-opportunity-act-wioa-massachusetts-combined-state-plan/download" TargetMode="External"/><Relationship Id="rId53" Type="http://schemas.openxmlformats.org/officeDocument/2006/relationships/hyperlink" Target="http://www.doe.mass.edu/acls/wioa.html" TargetMode="External"/><Relationship Id="rId74" Type="http://schemas.openxmlformats.org/officeDocument/2006/relationships/hyperlink" Target="http://www.mass.gov/elders/" TargetMode="External"/><Relationship Id="rId128" Type="http://schemas.openxmlformats.org/officeDocument/2006/relationships/hyperlink" Target="https://www.sabes.org/pd-center/ela" TargetMode="External"/><Relationship Id="rId149" Type="http://schemas.openxmlformats.org/officeDocument/2006/relationships/hyperlink" Target="https://nrsweb.org/policy-data/nrs-ta-guide" TargetMode="External"/><Relationship Id="rId5" Type="http://schemas.openxmlformats.org/officeDocument/2006/relationships/numbering" Target="numbering.xml"/><Relationship Id="rId95" Type="http://schemas.openxmlformats.org/officeDocument/2006/relationships/hyperlink" Target="http://www.doe.mass.edu/acls/frameworks/frameworks.html" TargetMode="External"/><Relationship Id="rId160" Type="http://schemas.openxmlformats.org/officeDocument/2006/relationships/hyperlink" Target="https://www.doe.mass.edu/acls/edueffectiveness/" TargetMode="External"/><Relationship Id="rId181" Type="http://schemas.openxmlformats.org/officeDocument/2006/relationships/header" Target="header11.xml"/><Relationship Id="rId216" Type="http://schemas.openxmlformats.org/officeDocument/2006/relationships/hyperlink" Target="http://www.doe.mass.edu/acls/laces/" TargetMode="External"/><Relationship Id="rId237" Type="http://schemas.openxmlformats.org/officeDocument/2006/relationships/header" Target="header17.xml"/><Relationship Id="rId22" Type="http://schemas.openxmlformats.org/officeDocument/2006/relationships/hyperlink" Target="https://www.doe.mass.edu/acls/accountability/program-quality" TargetMode="External"/><Relationship Id="rId43" Type="http://schemas.openxmlformats.org/officeDocument/2006/relationships/hyperlink" Target="http://www.doe.mass.edu/hse" TargetMode="External"/><Relationship Id="rId64" Type="http://schemas.openxmlformats.org/officeDocument/2006/relationships/hyperlink" Target="http://www.doe.mass.edu/acls/assessment/" TargetMode="External"/><Relationship Id="rId118" Type="http://schemas.openxmlformats.org/officeDocument/2006/relationships/header" Target="header7.xml"/><Relationship Id="rId139" Type="http://schemas.openxmlformats.org/officeDocument/2006/relationships/hyperlink" Target="https://laces.literacypro.com/laces/" TargetMode="External"/><Relationship Id="rId85" Type="http://schemas.openxmlformats.org/officeDocument/2006/relationships/hyperlink" Target="https://www.doe.mass.edu/acls/outstationing/" TargetMode="External"/><Relationship Id="rId150" Type="http://schemas.openxmlformats.org/officeDocument/2006/relationships/hyperlink" Target="https://www.doe.mass.edu/acls/accountability/outcomes/msg.html" TargetMode="External"/><Relationship Id="rId171" Type="http://schemas.openxmlformats.org/officeDocument/2006/relationships/hyperlink" Target="http://www.doe.mass.edu/acls/edueffectiveness/" TargetMode="External"/><Relationship Id="rId192" Type="http://schemas.openxmlformats.org/officeDocument/2006/relationships/hyperlink" Target="https://www.ecfr.gov/current/title-2/subtitle-A/chapter-II/part-200/subpart-D/section-200.306" TargetMode="External"/><Relationship Id="rId206" Type="http://schemas.openxmlformats.org/officeDocument/2006/relationships/hyperlink" Target="http://www.doe.mass.edu/grants/essential.html" TargetMode="External"/><Relationship Id="rId227" Type="http://schemas.openxmlformats.org/officeDocument/2006/relationships/hyperlink" Target="https://lincs.ed.gov/" TargetMode="External"/><Relationship Id="rId248" Type="http://schemas.microsoft.com/office/2019/05/relationships/documenttasks" Target="documenttasks/documenttasks1.xml"/><Relationship Id="rId12" Type="http://schemas.openxmlformats.org/officeDocument/2006/relationships/header" Target="header1.xml"/><Relationship Id="rId17" Type="http://schemas.openxmlformats.org/officeDocument/2006/relationships/hyperlink" Target="https://laces.literacypro.com/laces/" TargetMode="External"/><Relationship Id="rId33" Type="http://schemas.openxmlformats.org/officeDocument/2006/relationships/hyperlink" Target="https://www.congress.gov/113/plaws/publ128/PLAW-113publ128.pdf" TargetMode="External"/><Relationship Id="rId38" Type="http://schemas.openxmlformats.org/officeDocument/2006/relationships/hyperlink" Target="https://sites.google.com/a/literacypro.com/laces-massachusetts-customizations/ma-laces-manual" TargetMode="External"/><Relationship Id="rId59" Type="http://schemas.openxmlformats.org/officeDocument/2006/relationships/hyperlink" Target="http://www.doe.mass.edu/acls/laces/intake-form/" TargetMode="External"/><Relationship Id="rId103" Type="http://schemas.openxmlformats.org/officeDocument/2006/relationships/hyperlink" Target="https://lincs.ed.gov/adult/adultreadingc.html" TargetMode="External"/><Relationship Id="rId108" Type="http://schemas.openxmlformats.org/officeDocument/2006/relationships/hyperlink" Target="https://www.doe.mass.edu/acls/frameworks/frameworks.html" TargetMode="External"/><Relationship Id="rId124" Type="http://schemas.openxmlformats.org/officeDocument/2006/relationships/hyperlink" Target="https://lincs.ed.gov/publications/pdf/CCRStandardsAdultEd.pdf" TargetMode="External"/><Relationship Id="rId129" Type="http://schemas.openxmlformats.org/officeDocument/2006/relationships/hyperlink" Target="https://www.sabes.org/pd-center/esol" TargetMode="External"/><Relationship Id="rId54" Type="http://schemas.openxmlformats.org/officeDocument/2006/relationships/header" Target="header4.xml"/><Relationship Id="rId70" Type="http://schemas.openxmlformats.org/officeDocument/2006/relationships/hyperlink" Target="https://www.grantexperts.info/gepa_examples.php" TargetMode="External"/><Relationship Id="rId75" Type="http://schemas.openxmlformats.org/officeDocument/2006/relationships/header" Target="header5.xml"/><Relationship Id="rId91" Type="http://schemas.openxmlformats.org/officeDocument/2006/relationships/hyperlink" Target="http://www.corestandards.org/" TargetMode="External"/><Relationship Id="rId96" Type="http://schemas.openxmlformats.org/officeDocument/2006/relationships/hyperlink" Target="http://www.doe.mass.edu/acls/frameworks/frameworks.html" TargetMode="External"/><Relationship Id="rId140" Type="http://schemas.openxmlformats.org/officeDocument/2006/relationships/hyperlink" Target="http://www.nrsweb.org/" TargetMode="External"/><Relationship Id="rId145" Type="http://schemas.openxmlformats.org/officeDocument/2006/relationships/hyperlink" Target="http://www.doe.mass.edu/acls/assessment/" TargetMode="External"/><Relationship Id="rId161" Type="http://schemas.openxmlformats.org/officeDocument/2006/relationships/hyperlink" Target="https://www.sabes.org/pd-center/program-support" TargetMode="External"/><Relationship Id="rId166" Type="http://schemas.openxmlformats.org/officeDocument/2006/relationships/hyperlink" Target="http://sabes.org/" TargetMode="External"/><Relationship Id="rId182" Type="http://schemas.openxmlformats.org/officeDocument/2006/relationships/hyperlink" Target="https://www.ecfr.gov/cgi-bin/text-idx?SID=a32963af34d3c94b854882a21e8d77e9&amp;mc=true&amp;node=se2.1.200_1302&amp;rgn=div8" TargetMode="External"/><Relationship Id="rId187" Type="http://schemas.openxmlformats.org/officeDocument/2006/relationships/hyperlink" Target="https://www.sec.state.ma.us/arc/arcpdf/Electronic_Records_Guidelines.pdf" TargetMode="External"/><Relationship Id="rId217" Type="http://schemas.openxmlformats.org/officeDocument/2006/relationships/hyperlink" Target="https://laces.literacypro.com/laces/"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laces.literacypro.com/laces/" TargetMode="External"/><Relationship Id="rId233" Type="http://schemas.openxmlformats.org/officeDocument/2006/relationships/hyperlink" Target="https://www.ecfr.gov/cgi-bin/text-idx?tpl=/ecfrbrowse/Title02/2cfr200_main_02.tpl" TargetMode="External"/><Relationship Id="rId238" Type="http://schemas.openxmlformats.org/officeDocument/2006/relationships/hyperlink" Target="https://www.ecfr.gov/current/title-2/part-200" TargetMode="External"/><Relationship Id="rId23" Type="http://schemas.openxmlformats.org/officeDocument/2006/relationships/hyperlink" Target="https://www.doe.mass.edu/acls/accountability/program-quality/reviews.html" TargetMode="External"/><Relationship Id="rId28" Type="http://schemas.openxmlformats.org/officeDocument/2006/relationships/hyperlink" Target="http://www.doe.mass.edu/acls/default.html" TargetMode="External"/><Relationship Id="rId49" Type="http://schemas.openxmlformats.org/officeDocument/2006/relationships/hyperlink" Target="http://www.doe.mass.edu/acls/frameworks/frameworks.html" TargetMode="External"/><Relationship Id="rId114" Type="http://schemas.openxmlformats.org/officeDocument/2006/relationships/hyperlink" Target="https://www2.ed.gov/about/offices/list/ovae/pi/AdultEd/english-language-acquisition.pdf" TargetMode="External"/><Relationship Id="rId119" Type="http://schemas.openxmlformats.org/officeDocument/2006/relationships/hyperlink" Target="https://edtechbooks.org/ideal_dl_handbook" TargetMode="External"/><Relationship Id="rId44" Type="http://schemas.openxmlformats.org/officeDocument/2006/relationships/hyperlink" Target="https://ged.com/" TargetMode="External"/><Relationship Id="rId60" Type="http://schemas.openxmlformats.org/officeDocument/2006/relationships/hyperlink" Target="https://laces.literacypro.com/laces/" TargetMode="External"/><Relationship Id="rId65" Type="http://schemas.openxmlformats.org/officeDocument/2006/relationships/hyperlink" Target="http://www.doe.mass.edu/acls/disability/default.html" TargetMode="External"/><Relationship Id="rId81" Type="http://schemas.openxmlformats.org/officeDocument/2006/relationships/hyperlink" Target="https://www.mass.gov/service-details/fy2022-fy2025-wioa-memorandum-of-understanding-mou" TargetMode="External"/><Relationship Id="rId86" Type="http://schemas.openxmlformats.org/officeDocument/2006/relationships/hyperlink" Target="http://www.doe.mass.edu/acls/wioa.html" TargetMode="External"/><Relationship Id="rId130" Type="http://schemas.openxmlformats.org/officeDocument/2006/relationships/hyperlink" Target="https://www.sabes.org/content/teaching-skills-matter-massachusetts-adult-education" TargetMode="External"/><Relationship Id="rId135" Type="http://schemas.openxmlformats.org/officeDocument/2006/relationships/hyperlink" Target="http://www.nrsweb.org/" TargetMode="External"/><Relationship Id="rId151" Type="http://schemas.openxmlformats.org/officeDocument/2006/relationships/hyperlink" Target="https://laces.literacypro.com/laces/" TargetMode="External"/><Relationship Id="rId156" Type="http://schemas.openxmlformats.org/officeDocument/2006/relationships/hyperlink" Target="https://www.doe.mass.edu/acls/accountability/program-quality/" TargetMode="External"/><Relationship Id="rId177" Type="http://schemas.openxmlformats.org/officeDocument/2006/relationships/diagramColors" Target="diagrams/colors1.xml"/><Relationship Id="rId198" Type="http://schemas.openxmlformats.org/officeDocument/2006/relationships/hyperlink" Target="https://www.ecfr.gov/cgi-bin/text-idx?node=se2.1.200_1501&amp;rgn=div8" TargetMode="External"/><Relationship Id="rId172" Type="http://schemas.openxmlformats.org/officeDocument/2006/relationships/hyperlink" Target="http://www.doe.mass.edu/acls/edueffectiveness/" TargetMode="External"/><Relationship Id="rId193" Type="http://schemas.openxmlformats.org/officeDocument/2006/relationships/hyperlink" Target="https://laces.literacypro.com/laces/" TargetMode="External"/><Relationship Id="rId202" Type="http://schemas.openxmlformats.org/officeDocument/2006/relationships/hyperlink" Target="http://www.doe.mass.edu/grants/edgrants.html" TargetMode="External"/><Relationship Id="rId207" Type="http://schemas.openxmlformats.org/officeDocument/2006/relationships/hyperlink" Target="http://www.doe.mass.edu/grants/edgrants.html" TargetMode="External"/><Relationship Id="rId223" Type="http://schemas.openxmlformats.org/officeDocument/2006/relationships/header" Target="header14.xml"/><Relationship Id="rId228" Type="http://schemas.openxmlformats.org/officeDocument/2006/relationships/hyperlink" Target="http://www.nelrc.org/" TargetMode="External"/><Relationship Id="rId244" Type="http://schemas.openxmlformats.org/officeDocument/2006/relationships/hyperlink" Target="https://www.ecfr.gov/current/title-2/part-200" TargetMode="External"/><Relationship Id="rId13" Type="http://schemas.openxmlformats.org/officeDocument/2006/relationships/footer" Target="footer1.xml"/><Relationship Id="rId18" Type="http://schemas.openxmlformats.org/officeDocument/2006/relationships/hyperlink" Target="http://www.doe.mass.edu/acls/abeprogram/" TargetMode="External"/><Relationship Id="rId39" Type="http://schemas.openxmlformats.org/officeDocument/2006/relationships/hyperlink" Target="https://lincs.ed.gov/publications/pdf/CCRStandardsAdultEd.pdf" TargetMode="External"/><Relationship Id="rId109" Type="http://schemas.openxmlformats.org/officeDocument/2006/relationships/hyperlink" Target="https://lincs.ed.gov/publications/pdf/CCRStandardsAdultEd.pdf" TargetMode="External"/><Relationship Id="rId34" Type="http://schemas.openxmlformats.org/officeDocument/2006/relationships/hyperlink" Target="http://www.doleta.gov/WIOA" TargetMode="External"/><Relationship Id="rId50" Type="http://schemas.openxmlformats.org/officeDocument/2006/relationships/hyperlink" Target="https://www.doe.mass.edu/acls/frameworks/frameworks.html" TargetMode="External"/><Relationship Id="rId55" Type="http://schemas.openxmlformats.org/officeDocument/2006/relationships/hyperlink" Target="http://www.doe.mass.edu/acls/wioa.html" TargetMode="External"/><Relationship Id="rId76" Type="http://schemas.openxmlformats.org/officeDocument/2006/relationships/hyperlink" Target="https://www.mass.gov/service-details/connect-with-your-local-masshire-workforce-board" TargetMode="External"/><Relationship Id="rId97" Type="http://schemas.openxmlformats.org/officeDocument/2006/relationships/hyperlink" Target="https://lincs.ed.gov/publications/pdf/CCRStandardsAdultEd.pdf" TargetMode="External"/><Relationship Id="rId104" Type="http://schemas.openxmlformats.org/officeDocument/2006/relationships/hyperlink" Target="http://www.doe.mass.edu/acls/rfp/star.html" TargetMode="External"/><Relationship Id="rId120" Type="http://schemas.openxmlformats.org/officeDocument/2006/relationships/hyperlink" Target="http://www.doe.mass.edu/acls/frameworks/DigitalLiteracy.html" TargetMode="External"/><Relationship Id="rId125" Type="http://schemas.openxmlformats.org/officeDocument/2006/relationships/hyperlink" Target="https://lincs.ed.gov/publications/pdf/CCRStandardsAdultEd.pdf" TargetMode="External"/><Relationship Id="rId141" Type="http://schemas.openxmlformats.org/officeDocument/2006/relationships/hyperlink" Target="http://www.nrsweb.org/" TargetMode="External"/><Relationship Id="rId146" Type="http://schemas.openxmlformats.org/officeDocument/2006/relationships/hyperlink" Target="https://blogs.umass.edu/aclstesthelp/" TargetMode="External"/><Relationship Id="rId167" Type="http://schemas.openxmlformats.org/officeDocument/2006/relationships/hyperlink" Target="https://www.doe.mass.edu/acls/edueffectiveness/" TargetMode="External"/><Relationship Id="rId188" Type="http://schemas.openxmlformats.org/officeDocument/2006/relationships/hyperlink" Target="http://www.doe.mass.edu/grants/edgrants.html" TargetMode="External"/><Relationship Id="rId7" Type="http://schemas.openxmlformats.org/officeDocument/2006/relationships/settings" Target="settings.xml"/><Relationship Id="rId71" Type="http://schemas.openxmlformats.org/officeDocument/2006/relationships/hyperlink" Target="https://www2.ed.gov/fund/grant/apply/appforms/gepa427.pdf" TargetMode="External"/><Relationship Id="rId92" Type="http://schemas.openxmlformats.org/officeDocument/2006/relationships/hyperlink" Target="https://lincs.ed.gov/publications/pdf/CCRStandardsAdultEd.pdf" TargetMode="External"/><Relationship Id="rId162" Type="http://schemas.openxmlformats.org/officeDocument/2006/relationships/hyperlink" Target="https://www.doe.mass.edu/acls" TargetMode="External"/><Relationship Id="rId183" Type="http://schemas.openxmlformats.org/officeDocument/2006/relationships/hyperlink" Target="https://www.ecfr.gov/current/title-2/part-200/subpart-e" TargetMode="External"/><Relationship Id="rId213" Type="http://schemas.openxmlformats.org/officeDocument/2006/relationships/hyperlink" Target="https://laces.literacypro.com/laces/" TargetMode="External"/><Relationship Id="rId218" Type="http://schemas.openxmlformats.org/officeDocument/2006/relationships/hyperlink" Target="https://www.doe.mass.edu/acls/accountability/outcomes/" TargetMode="External"/><Relationship Id="rId234" Type="http://schemas.openxmlformats.org/officeDocument/2006/relationships/header" Target="header16.xml"/><Relationship Id="rId239" Type="http://schemas.openxmlformats.org/officeDocument/2006/relationships/hyperlink" Target="https://www.ecfr.gov/cgi-bin/text-idx?node=se2.1.200_1313&amp;rgn=div8" TargetMode="External"/><Relationship Id="rId2" Type="http://schemas.openxmlformats.org/officeDocument/2006/relationships/customXml" Target="../customXml/item2.xml"/><Relationship Id="rId29" Type="http://schemas.openxmlformats.org/officeDocument/2006/relationships/hyperlink" Target="https://www.dol.gov/agencies/eta/wioa/" TargetMode="External"/><Relationship Id="rId24" Type="http://schemas.openxmlformats.org/officeDocument/2006/relationships/hyperlink" Target="http://www.doe.mass.edu/acls/abeprogram/" TargetMode="External"/><Relationship Id="rId40" Type="http://schemas.openxmlformats.org/officeDocument/2006/relationships/hyperlink" Target="http://www.doe.mass.edu/acls/abeprogram/" TargetMode="External"/><Relationship Id="rId45" Type="http://schemas.openxmlformats.org/officeDocument/2006/relationships/hyperlink" Target="http://hiset.ets.org/" TargetMode="External"/><Relationship Id="rId66" Type="http://schemas.openxmlformats.org/officeDocument/2006/relationships/hyperlink" Target="https://www2.ed.gov/about/offices/list/ocr/index.html" TargetMode="External"/><Relationship Id="rId87" Type="http://schemas.openxmlformats.org/officeDocument/2006/relationships/header" Target="header6.xml"/><Relationship Id="rId110" Type="http://schemas.openxmlformats.org/officeDocument/2006/relationships/hyperlink" Target="http://www.doe.mass.edu/acls/frameworks/frameworks.html" TargetMode="External"/><Relationship Id="rId115" Type="http://schemas.openxmlformats.org/officeDocument/2006/relationships/hyperlink" Target="http://www.doe.mass.edu/acls/frameworks/frameworks.html" TargetMode="External"/><Relationship Id="rId131" Type="http://schemas.openxmlformats.org/officeDocument/2006/relationships/hyperlink" Target="https://www.sabes.org/resources" TargetMode="External"/><Relationship Id="rId136" Type="http://schemas.openxmlformats.org/officeDocument/2006/relationships/hyperlink" Target="http://www2.ed.gov/about/offices/list/ovae/index.html" TargetMode="External"/><Relationship Id="rId157" Type="http://schemas.openxmlformats.org/officeDocument/2006/relationships/hyperlink" Target="https://www.sabes.org/pd-center/program-support" TargetMode="External"/><Relationship Id="rId178" Type="http://schemas.microsoft.com/office/2007/relationships/diagramDrawing" Target="diagrams/drawing1.xml"/><Relationship Id="rId61" Type="http://schemas.openxmlformats.org/officeDocument/2006/relationships/hyperlink" Target="https://laces.literacypro.com/laces/" TargetMode="External"/><Relationship Id="rId82" Type="http://schemas.openxmlformats.org/officeDocument/2006/relationships/hyperlink" Target="https://www.mass.gov/service-details/fy22-fy25-wioa-4-year-local-plans" TargetMode="External"/><Relationship Id="rId152" Type="http://schemas.openxmlformats.org/officeDocument/2006/relationships/header" Target="header8.xml"/><Relationship Id="rId173" Type="http://schemas.openxmlformats.org/officeDocument/2006/relationships/image" Target="media/image2.png"/><Relationship Id="rId194" Type="http://schemas.openxmlformats.org/officeDocument/2006/relationships/hyperlink" Target="http://www.doe.mass.edu/acls/abeprogram/" TargetMode="External"/><Relationship Id="rId199" Type="http://schemas.openxmlformats.org/officeDocument/2006/relationships/hyperlink" Target="https://www.ecfr.gov/current/title-2/subtitle-A/chapter-II/part-200?toc=1" TargetMode="External"/><Relationship Id="rId203" Type="http://schemas.openxmlformats.org/officeDocument/2006/relationships/hyperlink" Target="http://www.doe.mass.edu/grants/procedure/default.html" TargetMode="External"/><Relationship Id="rId208" Type="http://schemas.openxmlformats.org/officeDocument/2006/relationships/hyperlink" Target="http://www.doe.mass.edu/grants/edgrants.html" TargetMode="External"/><Relationship Id="rId229" Type="http://schemas.openxmlformats.org/officeDocument/2006/relationships/header" Target="header15.xml"/><Relationship Id="rId19" Type="http://schemas.openxmlformats.org/officeDocument/2006/relationships/hyperlink" Target="https://www.doe.mass.edu/acls/accountability/program-quality/" TargetMode="External"/><Relationship Id="rId224" Type="http://schemas.openxmlformats.org/officeDocument/2006/relationships/footer" Target="footer5.xml"/><Relationship Id="rId240" Type="http://schemas.openxmlformats.org/officeDocument/2006/relationships/hyperlink" Target="http://www.doe.mass.edu/grants/essential.html" TargetMode="External"/><Relationship Id="rId245" Type="http://schemas.openxmlformats.org/officeDocument/2006/relationships/header" Target="header18.xml"/><Relationship Id="rId14" Type="http://schemas.openxmlformats.org/officeDocument/2006/relationships/footer" Target="footer2.xml"/><Relationship Id="rId30" Type="http://schemas.openxmlformats.org/officeDocument/2006/relationships/hyperlink" Target="https://www.mass.gov/doc/fy2020-workforce-innovation-and-opportunity-act-wioa-massachusetts-combined-state-plan/download" TargetMode="External"/><Relationship Id="rId35" Type="http://schemas.openxmlformats.org/officeDocument/2006/relationships/hyperlink" Target="http://www.doe.mass.edu/acls/wioa.html" TargetMode="External"/><Relationship Id="rId56" Type="http://schemas.openxmlformats.org/officeDocument/2006/relationships/hyperlink" Target="https://laces.literacypro.com/laces/" TargetMode="External"/><Relationship Id="rId77" Type="http://schemas.openxmlformats.org/officeDocument/2006/relationships/hyperlink" Target="https://www.mass.gov/doc/fy2020-workforce-innovation-and-opportunity-act-wioa-massachusetts-combined-state-plan/download" TargetMode="External"/><Relationship Id="rId100" Type="http://schemas.openxmlformats.org/officeDocument/2006/relationships/hyperlink" Target="https://www.sabes.org/pd-center/ela" TargetMode="External"/><Relationship Id="rId105" Type="http://schemas.openxmlformats.org/officeDocument/2006/relationships/hyperlink" Target="https://www.sabes.org/ebri" TargetMode="External"/><Relationship Id="rId126" Type="http://schemas.openxmlformats.org/officeDocument/2006/relationships/hyperlink" Target="https://lincs.ed.gov/publications/pdf/CCRStandardsAdultEd.pdf" TargetMode="External"/><Relationship Id="rId147" Type="http://schemas.openxmlformats.org/officeDocument/2006/relationships/hyperlink" Target="http://www.doe.mass.edu/hse/" TargetMode="External"/><Relationship Id="rId168" Type="http://schemas.openxmlformats.org/officeDocument/2006/relationships/hyperlink" Target="https://www.doe.mass.edu/acls/edueffectiveness/" TargetMode="External"/><Relationship Id="rId8" Type="http://schemas.openxmlformats.org/officeDocument/2006/relationships/webSettings" Target="webSettings.xml"/><Relationship Id="rId51" Type="http://schemas.openxmlformats.org/officeDocument/2006/relationships/hyperlink" Target="https://www.doe.mass.edu/acls/MassSTEP/default.html" TargetMode="External"/><Relationship Id="rId72" Type="http://schemas.openxmlformats.org/officeDocument/2006/relationships/hyperlink" Target="http://www.mass.gov/eohhs/gov/departments/dcf/" TargetMode="External"/><Relationship Id="rId93" Type="http://schemas.openxmlformats.org/officeDocument/2006/relationships/hyperlink" Target="https://lincs.ed.gov/publications/pdf/CCRStandardsAdultEd.pdf" TargetMode="External"/><Relationship Id="rId98" Type="http://schemas.openxmlformats.org/officeDocument/2006/relationships/hyperlink" Target="https://lincs.ed.gov/publications/pdf/CCRStandardsAdultEd.pdf" TargetMode="External"/><Relationship Id="rId121" Type="http://schemas.openxmlformats.org/officeDocument/2006/relationships/hyperlink" Target="https://lincs.ed.gov/publications/pdf/CCRStandardsAdultEd.pdf" TargetMode="External"/><Relationship Id="rId142" Type="http://schemas.openxmlformats.org/officeDocument/2006/relationships/hyperlink" Target="http://www.nrsweb.org/" TargetMode="External"/><Relationship Id="rId163" Type="http://schemas.openxmlformats.org/officeDocument/2006/relationships/hyperlink" Target="https://www.doe.mass.edu/acls/abeprogram/" TargetMode="External"/><Relationship Id="rId184" Type="http://schemas.openxmlformats.org/officeDocument/2006/relationships/hyperlink" Target="https://www.ecfr.gov/current/title-34/part-76" TargetMode="External"/><Relationship Id="rId189" Type="http://schemas.openxmlformats.org/officeDocument/2006/relationships/hyperlink" Target="http://www.doe.mass.edu/grants/procedure/manual.html" TargetMode="External"/><Relationship Id="rId219" Type="http://schemas.openxmlformats.org/officeDocument/2006/relationships/hyperlink" Target="http://www.nrsweb.org/" TargetMode="External"/><Relationship Id="rId3" Type="http://schemas.openxmlformats.org/officeDocument/2006/relationships/customXml" Target="../customXml/item3.xml"/><Relationship Id="rId214" Type="http://schemas.openxmlformats.org/officeDocument/2006/relationships/hyperlink" Target="https://laces.literacypro.com/laces/" TargetMode="External"/><Relationship Id="rId230" Type="http://schemas.openxmlformats.org/officeDocument/2006/relationships/hyperlink" Target="https://www.congress.gov/113/bills/hr803/BILLS-113hr803enr.pdf" TargetMode="External"/><Relationship Id="rId235" Type="http://schemas.openxmlformats.org/officeDocument/2006/relationships/footer" Target="footer6.xml"/><Relationship Id="rId25" Type="http://schemas.openxmlformats.org/officeDocument/2006/relationships/header" Target="header2.xml"/><Relationship Id="rId46" Type="http://schemas.openxmlformats.org/officeDocument/2006/relationships/hyperlink" Target="https://www.doe.mass.edu/mcas/graduation.html" TargetMode="External"/><Relationship Id="rId67" Type="http://schemas.openxmlformats.org/officeDocument/2006/relationships/hyperlink" Target="https://www.ada.gov/" TargetMode="External"/><Relationship Id="rId116" Type="http://schemas.openxmlformats.org/officeDocument/2006/relationships/hyperlink" Target="https://atlasabe.org/key-activities/aces/" TargetMode="External"/><Relationship Id="rId137" Type="http://schemas.openxmlformats.org/officeDocument/2006/relationships/hyperlink" Target="https://www2.ed.gov/about/offices/list/ovae/index.html" TargetMode="External"/><Relationship Id="rId158" Type="http://schemas.openxmlformats.org/officeDocument/2006/relationships/header" Target="header9.xml"/><Relationship Id="rId20" Type="http://schemas.openxmlformats.org/officeDocument/2006/relationships/hyperlink" Target="https://www.doe.mass.edu/acls/MassSTEP/default.html" TargetMode="External"/><Relationship Id="rId41" Type="http://schemas.openxmlformats.org/officeDocument/2006/relationships/hyperlink" Target="https://lincs.ed.gov/publications/pdf/CCRStandardsAdultEd.pdf" TargetMode="External"/><Relationship Id="rId62" Type="http://schemas.openxmlformats.org/officeDocument/2006/relationships/hyperlink" Target="https://laces.literacypro.com/laces/" TargetMode="External"/><Relationship Id="rId83" Type="http://schemas.openxmlformats.org/officeDocument/2006/relationships/hyperlink" Target="https://www.mass.gov/info-details/masshire-service-map" TargetMode="External"/><Relationship Id="rId88" Type="http://schemas.openxmlformats.org/officeDocument/2006/relationships/hyperlink" Target="https://www.doe.mass.edu/acls/frameworks/components.html" TargetMode="External"/><Relationship Id="rId111" Type="http://schemas.openxmlformats.org/officeDocument/2006/relationships/hyperlink" Target="https://lincs.ed.gov/publications/pdf/CCRStandardsAdultEd.pdf" TargetMode="External"/><Relationship Id="rId132" Type="http://schemas.openxmlformats.org/officeDocument/2006/relationships/hyperlink" Target="https://www.doe.mass.edu/acls/assessment/" TargetMode="External"/><Relationship Id="rId153" Type="http://schemas.openxmlformats.org/officeDocument/2006/relationships/hyperlink" Target="http://www.doe.mass.edu/acls/laces/" TargetMode="External"/><Relationship Id="rId174" Type="http://schemas.openxmlformats.org/officeDocument/2006/relationships/diagramData" Target="diagrams/data1.xml"/><Relationship Id="rId179" Type="http://schemas.openxmlformats.org/officeDocument/2006/relationships/hyperlink" Target="http://www.doe.mass.edu/acls/edueffectiveness/default.html" TargetMode="External"/><Relationship Id="rId195" Type="http://schemas.openxmlformats.org/officeDocument/2006/relationships/hyperlink" Target="https://www.ecfr.gov/cgi-bin/text-idx?node=se2.1.200_1205&amp;rgn=div8" TargetMode="External"/><Relationship Id="rId209" Type="http://schemas.openxmlformats.org/officeDocument/2006/relationships/hyperlink" Target="http://www.doe.mass.edu/grants/procedure/manual.html" TargetMode="External"/><Relationship Id="rId190" Type="http://schemas.openxmlformats.org/officeDocument/2006/relationships/hyperlink" Target="http://www.doe.mass.edu/grants/edgrants.html" TargetMode="External"/><Relationship Id="rId204" Type="http://schemas.openxmlformats.org/officeDocument/2006/relationships/hyperlink" Target="https://ecfr.io/Title-34/cfr463_main" TargetMode="External"/><Relationship Id="rId220" Type="http://schemas.openxmlformats.org/officeDocument/2006/relationships/header" Target="header12.xml"/><Relationship Id="rId225" Type="http://schemas.openxmlformats.org/officeDocument/2006/relationships/hyperlink" Target="http://www.doe.mass.edu/grants/procedure/manual.html" TargetMode="External"/><Relationship Id="rId241" Type="http://schemas.openxmlformats.org/officeDocument/2006/relationships/hyperlink" Target="https://www.ecfr.gov/on/2017-01-03/title-2/subtitle-A/chapter-II/part-200/subpart-A/subject-group-ECFR2a6a0087862fd2c/section-200.56" TargetMode="External"/><Relationship Id="rId246" Type="http://schemas.openxmlformats.org/officeDocument/2006/relationships/fontTable" Target="fontTable.xml"/><Relationship Id="rId15" Type="http://schemas.openxmlformats.org/officeDocument/2006/relationships/hyperlink" Target="http://www.doe.mass.edu/acls/abeprogram/" TargetMode="External"/><Relationship Id="rId36" Type="http://schemas.openxmlformats.org/officeDocument/2006/relationships/header" Target="header3.xml"/><Relationship Id="rId57" Type="http://schemas.openxmlformats.org/officeDocument/2006/relationships/hyperlink" Target="https://laces.literacypro.com/laces/" TargetMode="External"/><Relationship Id="rId106" Type="http://schemas.openxmlformats.org/officeDocument/2006/relationships/hyperlink" Target="https://www.sabes.org/star" TargetMode="External"/><Relationship Id="rId127" Type="http://schemas.openxmlformats.org/officeDocument/2006/relationships/hyperlink" Target="https://www.sabes.org/pd-center/math-and-numeracy" TargetMode="External"/><Relationship Id="rId10" Type="http://schemas.openxmlformats.org/officeDocument/2006/relationships/endnotes" Target="endnotes.xml"/><Relationship Id="rId31" Type="http://schemas.openxmlformats.org/officeDocument/2006/relationships/hyperlink" Target="https://www.doe.mass.edu/acls/accountability/program-quality/" TargetMode="External"/><Relationship Id="rId52" Type="http://schemas.openxmlformats.org/officeDocument/2006/relationships/hyperlink" Target="http://www.doe.mass.edu/acls/acp/" TargetMode="External"/><Relationship Id="rId73" Type="http://schemas.openxmlformats.org/officeDocument/2006/relationships/hyperlink" Target="http://www.mass.gov/dppc/" TargetMode="External"/><Relationship Id="rId78" Type="http://schemas.openxmlformats.org/officeDocument/2006/relationships/hyperlink" Target="https://www.mass.gov/service-details/massworkforce-joint-partner-policy" TargetMode="External"/><Relationship Id="rId94" Type="http://schemas.openxmlformats.org/officeDocument/2006/relationships/hyperlink" Target="http://www.doe.mass.edu/acls/frameworks/frameworks.html" TargetMode="External"/><Relationship Id="rId99" Type="http://schemas.openxmlformats.org/officeDocument/2006/relationships/hyperlink" Target="https://lincs.ed.gov/adult/adultreadingc.html" TargetMode="External"/><Relationship Id="rId101" Type="http://schemas.openxmlformats.org/officeDocument/2006/relationships/hyperlink" Target="https://www.sabes.org/calendar" TargetMode="External"/><Relationship Id="rId122" Type="http://schemas.openxmlformats.org/officeDocument/2006/relationships/hyperlink" Target="http://www.doe.mass.edu/acls/frameworks/frameworks.html" TargetMode="External"/><Relationship Id="rId143" Type="http://schemas.openxmlformats.org/officeDocument/2006/relationships/hyperlink" Target="https://nrsweb.org/" TargetMode="External"/><Relationship Id="rId148" Type="http://schemas.openxmlformats.org/officeDocument/2006/relationships/hyperlink" Target="https://nrsweb.org/policy-data/nrs-ta-guide" TargetMode="External"/><Relationship Id="rId164" Type="http://schemas.openxmlformats.org/officeDocument/2006/relationships/hyperlink" Target="https://www.doe.mass.edu/grants/edgrants.html" TargetMode="External"/><Relationship Id="rId169" Type="http://schemas.openxmlformats.org/officeDocument/2006/relationships/hyperlink" Target="http://www.doe.mass.edu/acls/pd/" TargetMode="External"/><Relationship Id="rId185" Type="http://schemas.openxmlformats.org/officeDocument/2006/relationships/hyperlink" Target="https://www.ecfr.gov/on/2017-01-03/title-2/subtitle-A/chapter-II/part-200/subpart-A/subject-group-ECFR2a6a0087862fd2c/section-200.6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sabes.org/pd-center/program-support" TargetMode="External"/><Relationship Id="rId210" Type="http://schemas.openxmlformats.org/officeDocument/2006/relationships/hyperlink" Target="http://www.doe.mass.edu/grants/edgrants.html" TargetMode="External"/><Relationship Id="rId215" Type="http://schemas.openxmlformats.org/officeDocument/2006/relationships/hyperlink" Target="https://www.doe.mass.edu/news/news.aspx?id=25707." TargetMode="External"/><Relationship Id="rId236" Type="http://schemas.openxmlformats.org/officeDocument/2006/relationships/hyperlink" Target="https://www.ecfr.gov/cgi-bin/text-idx?node=se2.1.200_1330&amp;rgn=div8" TargetMode="External"/><Relationship Id="rId26" Type="http://schemas.openxmlformats.org/officeDocument/2006/relationships/footer" Target="footer3.xml"/><Relationship Id="rId231" Type="http://schemas.openxmlformats.org/officeDocument/2006/relationships/hyperlink" Target="https://www.ecfr.gov/cgi-bin/retrieveECFR?gp=&amp;SID=bd74a6782834f6b8567d23a1628a2139&amp;mc=true&amp;n=sp34.3.463.d&amp;r=SUBPART&amp;ty=HTML" TargetMode="External"/><Relationship Id="rId47" Type="http://schemas.openxmlformats.org/officeDocument/2006/relationships/hyperlink" Target="http://www.doe.mass.edu/hse/adp/" TargetMode="External"/><Relationship Id="rId68" Type="http://schemas.openxmlformats.org/officeDocument/2006/relationships/hyperlink" Target="https://www.sabes.org/pd-center/ada-training-and-resources" TargetMode="External"/><Relationship Id="rId89" Type="http://schemas.openxmlformats.org/officeDocument/2006/relationships/hyperlink" Target="http://lincs.ed.gov/publications/pdf/CCRStandardsAdultEd.pdf" TargetMode="External"/><Relationship Id="rId112" Type="http://schemas.openxmlformats.org/officeDocument/2006/relationships/hyperlink" Target="https://lincs.ed.gov/publications/pdf/CCRStandardsAdultEd.pdf" TargetMode="External"/><Relationship Id="rId133" Type="http://schemas.openxmlformats.org/officeDocument/2006/relationships/hyperlink" Target="https://blogs.umass.edu/aclstesthelp/" TargetMode="External"/><Relationship Id="rId154" Type="http://schemas.openxmlformats.org/officeDocument/2006/relationships/hyperlink" Target="https://www.doe.mass.edu/acls/accountability/." TargetMode="External"/><Relationship Id="rId175" Type="http://schemas.openxmlformats.org/officeDocument/2006/relationships/diagramLayout" Target="diagrams/layout1.xml"/><Relationship Id="rId196" Type="http://schemas.openxmlformats.org/officeDocument/2006/relationships/hyperlink" Target="mailto:ACLSFinancialAudit@mass.gov" TargetMode="External"/><Relationship Id="rId200" Type="http://schemas.openxmlformats.org/officeDocument/2006/relationships/hyperlink" Target="https://www.ecfr.gov/cgi-bin/text-idx?node=se2.1.200_1430&amp;rgn=div8" TargetMode="External"/><Relationship Id="rId16" Type="http://schemas.openxmlformats.org/officeDocument/2006/relationships/hyperlink" Target="http://www.doe.mass.edu/acls/abeprogram/" TargetMode="External"/><Relationship Id="rId221" Type="http://schemas.openxmlformats.org/officeDocument/2006/relationships/hyperlink" Target="http://www.clasp.org/resources-and-publications/files/aqcp-framework-version-1-0/Section2.pdf" TargetMode="External"/><Relationship Id="rId242" Type="http://schemas.openxmlformats.org/officeDocument/2006/relationships/hyperlink" Target="https://www.ecfr.gov/current/title-34/part-76" TargetMode="External"/><Relationship Id="rId37" Type="http://schemas.openxmlformats.org/officeDocument/2006/relationships/hyperlink" Target="https://nrsweb.org/policy-data/nrs-ta-guide?utm_content=&amp;utm_medium=email&amp;utm_name=&amp;utm_source=govdelivery&amp;utm_term=%20" TargetMode="External"/><Relationship Id="rId58" Type="http://schemas.openxmlformats.org/officeDocument/2006/relationships/hyperlink" Target="https://laces.literacypro.com/laces/" TargetMode="External"/><Relationship Id="rId79" Type="http://schemas.openxmlformats.org/officeDocument/2006/relationships/hyperlink" Target="http://www.doe.mass.edu/acls/wioa.html" TargetMode="External"/><Relationship Id="rId102" Type="http://schemas.openxmlformats.org/officeDocument/2006/relationships/hyperlink" Target="http://www2.ed.gov/about/offices/list/ovae/index.html" TargetMode="External"/><Relationship Id="rId123" Type="http://schemas.openxmlformats.org/officeDocument/2006/relationships/hyperlink" Target="https://lincs.ed.gov/publications/pdf/CCRStandardsAdultEd.pdf" TargetMode="External"/><Relationship Id="rId144" Type="http://schemas.openxmlformats.org/officeDocument/2006/relationships/hyperlink" Target="https://nrsweb.org/resources/test-benchmarks-nrs-educational-functioning-levels-efl-updated-august-2019" TargetMode="External"/><Relationship Id="rId90" Type="http://schemas.openxmlformats.org/officeDocument/2006/relationships/hyperlink" Target="https://lincs.ed.gov/publications/pdf/CCRStandardsAdultEd.pdf" TargetMode="External"/><Relationship Id="rId165" Type="http://schemas.openxmlformats.org/officeDocument/2006/relationships/hyperlink" Target="http://sabes.org/" TargetMode="External"/><Relationship Id="rId186" Type="http://schemas.openxmlformats.org/officeDocument/2006/relationships/hyperlink" Target="https://www.mass.gov/regulations/815-CMR-2-state-grants-federal-grant-awards-federal-subgrants-and-subsidies" TargetMode="External"/><Relationship Id="rId211" Type="http://schemas.openxmlformats.org/officeDocument/2006/relationships/hyperlink" Target="http://www.doe.mass.edu/grants/edgrants.html" TargetMode="External"/><Relationship Id="rId232" Type="http://schemas.openxmlformats.org/officeDocument/2006/relationships/hyperlink" Target="https://www.ecfr.gov/current/title-34/part-76" TargetMode="External"/><Relationship Id="rId27" Type="http://schemas.openxmlformats.org/officeDocument/2006/relationships/footer" Target="footer4.xml"/><Relationship Id="rId48" Type="http://schemas.openxmlformats.org/officeDocument/2006/relationships/hyperlink" Target="https://www.doe.mass.edu/acls/assessment/" TargetMode="External"/><Relationship Id="rId69" Type="http://schemas.openxmlformats.org/officeDocument/2006/relationships/hyperlink" Target="https://www2.ed.gov/fund/grant/apply/appforms/gepa427.pdf" TargetMode="External"/><Relationship Id="rId113" Type="http://schemas.openxmlformats.org/officeDocument/2006/relationships/hyperlink" Target="https://www.sabes.org/pd-center/esol" TargetMode="External"/><Relationship Id="rId134" Type="http://schemas.openxmlformats.org/officeDocument/2006/relationships/hyperlink" Target="http://www.nrsweb.org/" TargetMode="External"/><Relationship Id="rId80" Type="http://schemas.openxmlformats.org/officeDocument/2006/relationships/hyperlink" Target="https://www.mass.gov/service-details/massworkforce-joint-partner-policy" TargetMode="External"/><Relationship Id="rId155" Type="http://schemas.openxmlformats.org/officeDocument/2006/relationships/hyperlink" Target="https://www.doe.mass.edu/acls/ecp/" TargetMode="External"/><Relationship Id="rId176" Type="http://schemas.openxmlformats.org/officeDocument/2006/relationships/diagramQuickStyle" Target="diagrams/quickStyle1.xml"/><Relationship Id="rId197" Type="http://schemas.openxmlformats.org/officeDocument/2006/relationships/hyperlink" Target="https://www.ecfr.gov/cgi-bin/text-idx?SID=10f34cdb5df1422174358acaaea3bfad&amp;node=se2.1.200_1425&amp;rgn=div8" TargetMode="External"/><Relationship Id="rId201" Type="http://schemas.openxmlformats.org/officeDocument/2006/relationships/hyperlink" Target="http://www.doe.mass.edu/grants/essential.html" TargetMode="External"/><Relationship Id="rId222" Type="http://schemas.openxmlformats.org/officeDocument/2006/relationships/header" Target="header13.xml"/><Relationship Id="rId243" Type="http://schemas.openxmlformats.org/officeDocument/2006/relationships/hyperlink" Target="https://www.ecfr.gov/current/title-2/part-200/subpart-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acls/frameworks/frameworks.html" TargetMode="External"/><Relationship Id="rId13" Type="http://schemas.openxmlformats.org/officeDocument/2006/relationships/hyperlink" Target="https://lincs.ed.gov/publications/pdf/CCRStandardsAdultEd.pdf" TargetMode="External"/><Relationship Id="rId18" Type="http://schemas.openxmlformats.org/officeDocument/2006/relationships/hyperlink" Target="https://lincs.ed.gov/publications/pdf/CCRStandardsAdultEd.pdf" TargetMode="External"/><Relationship Id="rId3" Type="http://schemas.openxmlformats.org/officeDocument/2006/relationships/hyperlink" Target="https://laces.literacypro.com/laces/" TargetMode="External"/><Relationship Id="rId21" Type="http://schemas.openxmlformats.org/officeDocument/2006/relationships/hyperlink" Target="http://edglossary.org/curriculum/" TargetMode="External"/><Relationship Id="rId7" Type="http://schemas.openxmlformats.org/officeDocument/2006/relationships/hyperlink" Target="http://lincs.ed.gov/publications/pdf/CCRStandardsAdultEd.pdf" TargetMode="External"/><Relationship Id="rId12" Type="http://schemas.openxmlformats.org/officeDocument/2006/relationships/hyperlink" Target="http://www.sabes.org/" TargetMode="External"/><Relationship Id="rId17" Type="http://schemas.openxmlformats.org/officeDocument/2006/relationships/hyperlink" Target="https://lincs.ed.gov/publications/pdf/CCRStandardsAdultEd.pdf" TargetMode="External"/><Relationship Id="rId2" Type="http://schemas.openxmlformats.org/officeDocument/2006/relationships/hyperlink" Target="https://lincs.ed.gov/publications/pdf/CCRStandardsAdultEd.pdf" TargetMode="External"/><Relationship Id="rId16" Type="http://schemas.openxmlformats.org/officeDocument/2006/relationships/hyperlink" Target="https://lincs.ed.gov/publications/pdf/CCRStandardsAdultEd.pdf" TargetMode="External"/><Relationship Id="rId20" Type="http://schemas.openxmlformats.org/officeDocument/2006/relationships/hyperlink" Target="https://www2.ed.gov/documents/press-releases/testing-action-plan-profiles.pdf" TargetMode="External"/><Relationship Id="rId1" Type="http://schemas.openxmlformats.org/officeDocument/2006/relationships/hyperlink" Target="http://www.ncsall.net/fileadmin/resources/ann_rev/comings-02.pdf" TargetMode="External"/><Relationship Id="rId6" Type="http://schemas.openxmlformats.org/officeDocument/2006/relationships/hyperlink" Target="http://edglossary.org/curriculum/" TargetMode="External"/><Relationship Id="rId11" Type="http://schemas.openxmlformats.org/officeDocument/2006/relationships/hyperlink" Target="http://www.doe.mass.edu/acls/frameworks/frameworks.html" TargetMode="External"/><Relationship Id="rId5" Type="http://schemas.openxmlformats.org/officeDocument/2006/relationships/hyperlink" Target="http://www.lvm.org/" TargetMode="External"/><Relationship Id="rId15" Type="http://schemas.openxmlformats.org/officeDocument/2006/relationships/hyperlink" Target="https://www2.ed.gov/about/offices/list/ovae/pi/AdultEd/integrating-technology.pdf" TargetMode="External"/><Relationship Id="rId23" Type="http://schemas.openxmlformats.org/officeDocument/2006/relationships/hyperlink" Target="https://www.ecfr.gov/current/title-34/part-76" TargetMode="External"/><Relationship Id="rId10" Type="http://schemas.openxmlformats.org/officeDocument/2006/relationships/hyperlink" Target="https://lincs.ed.gov/publications/pdf/CCRStandardsAdultEd.pdf" TargetMode="External"/><Relationship Id="rId19" Type="http://schemas.openxmlformats.org/officeDocument/2006/relationships/hyperlink" Target="http://edglossary.org/curriculum/" TargetMode="External"/><Relationship Id="rId4" Type="http://schemas.openxmlformats.org/officeDocument/2006/relationships/hyperlink" Target="https://nrsweb.org/policy-data/nrs-ta-guide" TargetMode="External"/><Relationship Id="rId9" Type="http://schemas.openxmlformats.org/officeDocument/2006/relationships/hyperlink" Target="http://www.doe.mass.edu/acls/frameworks/archive.html" TargetMode="External"/><Relationship Id="rId14" Type="http://schemas.openxmlformats.org/officeDocument/2006/relationships/hyperlink" Target="http://www.sabes.org" TargetMode="External"/><Relationship Id="rId22" Type="http://schemas.openxmlformats.org/officeDocument/2006/relationships/hyperlink" Target="http://edglossary.org/curriculu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7CC63-B272-0848-98A3-CC5402CB1210}"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765DCBFE-FF45-7046-AA8E-C18A70AD6DB6}">
      <dgm:prSet phldrT="[Text]" custT="1"/>
      <dgm:spPr/>
      <dgm:t>
        <a:bodyPr/>
        <a:lstStyle/>
        <a:p>
          <a:pPr algn="ctr"/>
          <a:r>
            <a:rPr lang="en-US" sz="1000">
              <a:latin typeface="Times New Roman" panose="02020603050405020304" pitchFamily="18" charset="0"/>
              <a:cs typeface="Times New Roman" panose="02020603050405020304" pitchFamily="18" charset="0"/>
            </a:rPr>
            <a:t>MA Professsional Standards for Teachers of Adult Basic Education (2021</a:t>
          </a:r>
          <a:r>
            <a:rPr lang="en-US" sz="1200">
              <a:latin typeface="Times New Roman" panose="02020603050405020304" pitchFamily="18" charset="0"/>
              <a:cs typeface="Times New Roman" panose="02020603050405020304" pitchFamily="18" charset="0"/>
            </a:rPr>
            <a:t>)</a:t>
          </a:r>
        </a:p>
      </dgm:t>
    </dgm:pt>
    <dgm:pt modelId="{09BAD054-00C9-8942-9B21-C7FC6B1C8806}" type="parTrans" cxnId="{7BD63650-E18F-1144-A658-FCFC04D3D2C9}">
      <dgm:prSet/>
      <dgm:spPr/>
      <dgm:t>
        <a:bodyPr/>
        <a:lstStyle/>
        <a:p>
          <a:pPr algn="ctr"/>
          <a:endParaRPr lang="en-US"/>
        </a:p>
      </dgm:t>
    </dgm:pt>
    <dgm:pt modelId="{F91E2DB1-3468-3144-A76B-59B8880FF9B6}" type="sibTrans" cxnId="{7BD63650-E18F-1144-A658-FCFC04D3D2C9}">
      <dgm:prSet/>
      <dgm:spPr/>
      <dgm:t>
        <a:bodyPr/>
        <a:lstStyle/>
        <a:p>
          <a:pPr algn="ctr"/>
          <a:endParaRPr lang="en-US"/>
        </a:p>
      </dgm:t>
    </dgm:pt>
    <dgm:pt modelId="{441FC47F-9FB4-054F-BB6B-C0B455B11C8D}">
      <dgm:prSet phldrT="[Text]" custT="1"/>
      <dgm:spPr/>
      <dgm:t>
        <a:bodyPr/>
        <a:lstStyle/>
        <a:p>
          <a:pPr algn="ctr"/>
          <a:r>
            <a:rPr lang="en-US" sz="900">
              <a:latin typeface="Times New Roman" panose="02020603050405020304" pitchFamily="18" charset="0"/>
              <a:cs typeface="Times New Roman" panose="02020603050405020304" pitchFamily="18" charset="0"/>
            </a:rPr>
            <a:t>Mathematics Proficiency Guide for Teachers of Adult Education (2019)</a:t>
          </a:r>
        </a:p>
      </dgm:t>
    </dgm:pt>
    <dgm:pt modelId="{88288D77-9CD6-104A-820D-C1138793E2B6}" type="parTrans" cxnId="{2672A865-F124-8D47-B061-1AEF2E458C4C}">
      <dgm:prSet/>
      <dgm:spPr/>
      <dgm:t>
        <a:bodyPr/>
        <a:lstStyle/>
        <a:p>
          <a:pPr algn="ctr"/>
          <a:endParaRPr lang="en-US"/>
        </a:p>
      </dgm:t>
    </dgm:pt>
    <dgm:pt modelId="{CEEDD3A7-DCF4-0E40-9D69-C064034D322C}" type="sibTrans" cxnId="{2672A865-F124-8D47-B061-1AEF2E458C4C}">
      <dgm:prSet/>
      <dgm:spPr/>
      <dgm:t>
        <a:bodyPr/>
        <a:lstStyle/>
        <a:p>
          <a:pPr algn="ctr"/>
          <a:endParaRPr lang="en-US"/>
        </a:p>
      </dgm:t>
    </dgm:pt>
    <dgm:pt modelId="{707FEAD2-81E1-BC4C-AFB8-3933E43EBB80}">
      <dgm:prSet phldrT="[Text]" custT="1"/>
      <dgm:spPr/>
      <dgm:t>
        <a:bodyPr/>
        <a:lstStyle/>
        <a:p>
          <a:pPr algn="ctr"/>
          <a:r>
            <a:rPr lang="en-US" sz="1000">
              <a:latin typeface="Times New Roman" panose="02020603050405020304" pitchFamily="18" charset="0"/>
              <a:cs typeface="Times New Roman" panose="02020603050405020304" pitchFamily="18" charset="0"/>
            </a:rPr>
            <a:t>Massachusets Professional Standards for Teachers of Adult Speakers of Other Languages (2021)</a:t>
          </a:r>
        </a:p>
      </dgm:t>
      <dgm:extLst>
        <a:ext uri="{E40237B7-FDA0-4F09-8148-C483321AD2D9}">
          <dgm14:cNvPr xmlns:dgm14="http://schemas.microsoft.com/office/drawing/2010/diagram" id="0" name="" descr="This chart shows the relationship among the MA professional standards for adult education teachers (i.e., ABE and ESOL) and the proficiency guides for MA adult education teachers. The mathematics and ELA proficiency guides are standalone documents that support the ABE professional standards. The ESOL proficiency guide is embedded in the ESOL proficiency standards."/>
        </a:ext>
      </dgm:extLst>
    </dgm:pt>
    <dgm:pt modelId="{4E3F43E2-7C70-7B49-91B9-68CE1FFC553E}" type="parTrans" cxnId="{6A6A09EC-9100-2C4E-8248-2A6BC58AEBFC}">
      <dgm:prSet/>
      <dgm:spPr/>
      <dgm:t>
        <a:bodyPr/>
        <a:lstStyle/>
        <a:p>
          <a:pPr algn="ctr"/>
          <a:endParaRPr lang="en-US"/>
        </a:p>
      </dgm:t>
    </dgm:pt>
    <dgm:pt modelId="{78CC5551-B667-E049-A916-9FE565DA92FC}" type="sibTrans" cxnId="{6A6A09EC-9100-2C4E-8248-2A6BC58AEBFC}">
      <dgm:prSet/>
      <dgm:spPr/>
      <dgm:t>
        <a:bodyPr/>
        <a:lstStyle/>
        <a:p>
          <a:pPr algn="ctr"/>
          <a:endParaRPr lang="en-US"/>
        </a:p>
      </dgm:t>
    </dgm:pt>
    <dgm:pt modelId="{89CA2BCD-C363-014F-9E65-E2C4251E24F5}">
      <dgm:prSet phldrT="[Text]" custT="1"/>
      <dgm:spPr/>
      <dgm:t>
        <a:bodyPr/>
        <a:lstStyle/>
        <a:p>
          <a:pPr algn="ctr"/>
          <a:r>
            <a:rPr lang="en-US" sz="900">
              <a:latin typeface="Times New Roman" panose="02020603050405020304" pitchFamily="18" charset="0"/>
              <a:cs typeface="Times New Roman" panose="02020603050405020304" pitchFamily="18" charset="0"/>
            </a:rPr>
            <a:t>English Language Arts Proficiency Guide for Teachers of Adult Education (2019)</a:t>
          </a:r>
        </a:p>
      </dgm:t>
    </dgm:pt>
    <dgm:pt modelId="{D28DC08A-86DF-7A43-AB39-8C4700BD2645}" type="sibTrans" cxnId="{BB8B1907-1EA4-F441-84A2-FDA585DE9329}">
      <dgm:prSet/>
      <dgm:spPr/>
      <dgm:t>
        <a:bodyPr/>
        <a:lstStyle/>
        <a:p>
          <a:pPr algn="ctr"/>
          <a:endParaRPr lang="en-US"/>
        </a:p>
      </dgm:t>
    </dgm:pt>
    <dgm:pt modelId="{EF5EF207-EAD7-C54D-8948-5D5D0B95A8F8}" type="parTrans" cxnId="{BB8B1907-1EA4-F441-84A2-FDA585DE9329}">
      <dgm:prSet/>
      <dgm:spPr/>
      <dgm:t>
        <a:bodyPr/>
        <a:lstStyle/>
        <a:p>
          <a:pPr algn="ctr"/>
          <a:endParaRPr lang="en-US"/>
        </a:p>
      </dgm:t>
    </dgm:pt>
    <dgm:pt modelId="{33270B90-2546-9F40-B7B8-64881AA7CFF6}" type="pres">
      <dgm:prSet presAssocID="{BF77CC63-B272-0848-98A3-CC5402CB1210}" presName="hierChild1" presStyleCnt="0">
        <dgm:presLayoutVars>
          <dgm:chPref val="1"/>
          <dgm:dir/>
          <dgm:animOne val="branch"/>
          <dgm:animLvl val="lvl"/>
          <dgm:resizeHandles/>
        </dgm:presLayoutVars>
      </dgm:prSet>
      <dgm:spPr/>
    </dgm:pt>
    <dgm:pt modelId="{41C4E20D-75E0-2447-9718-0C7159BACC95}" type="pres">
      <dgm:prSet presAssocID="{765DCBFE-FF45-7046-AA8E-C18A70AD6DB6}" presName="hierRoot1" presStyleCnt="0"/>
      <dgm:spPr/>
    </dgm:pt>
    <dgm:pt modelId="{E328720E-5D06-CD48-8D3B-418D6717280E}" type="pres">
      <dgm:prSet presAssocID="{765DCBFE-FF45-7046-AA8E-C18A70AD6DB6}" presName="composite" presStyleCnt="0"/>
      <dgm:spPr/>
    </dgm:pt>
    <dgm:pt modelId="{248BA094-2251-674B-B9D4-4AEACFCD3697}" type="pres">
      <dgm:prSet presAssocID="{765DCBFE-FF45-7046-AA8E-C18A70AD6DB6}" presName="background" presStyleLbl="node0" presStyleIdx="0" presStyleCnt="1"/>
      <dgm:spPr/>
    </dgm:pt>
    <dgm:pt modelId="{9A22260D-3F42-BF43-9B7E-872FA1FFCFE0}" type="pres">
      <dgm:prSet presAssocID="{765DCBFE-FF45-7046-AA8E-C18A70AD6DB6}" presName="text" presStyleLbl="fgAcc0" presStyleIdx="0" presStyleCnt="1" custScaleX="157176" custScaleY="98430" custLinFactNeighborX="-62054" custLinFactNeighborY="-4757">
        <dgm:presLayoutVars>
          <dgm:chPref val="3"/>
        </dgm:presLayoutVars>
      </dgm:prSet>
      <dgm:spPr/>
    </dgm:pt>
    <dgm:pt modelId="{150D2736-D28F-064F-8C56-6DC6FBF2D05B}" type="pres">
      <dgm:prSet presAssocID="{765DCBFE-FF45-7046-AA8E-C18A70AD6DB6}" presName="hierChild2" presStyleCnt="0"/>
      <dgm:spPr/>
    </dgm:pt>
    <dgm:pt modelId="{BD0E7E8A-B037-5F4B-808E-F4A337678260}" type="pres">
      <dgm:prSet presAssocID="{88288D77-9CD6-104A-820D-C1138793E2B6}" presName="Name10" presStyleLbl="parChTrans1D2" presStyleIdx="0" presStyleCnt="3"/>
      <dgm:spPr/>
    </dgm:pt>
    <dgm:pt modelId="{64C61546-5E8E-E748-86E3-F4312A65D9AB}" type="pres">
      <dgm:prSet presAssocID="{441FC47F-9FB4-054F-BB6B-C0B455B11C8D}" presName="hierRoot2" presStyleCnt="0"/>
      <dgm:spPr/>
    </dgm:pt>
    <dgm:pt modelId="{3AB58330-FF9C-9340-BFE2-9DD4B84EF9D2}" type="pres">
      <dgm:prSet presAssocID="{441FC47F-9FB4-054F-BB6B-C0B455B11C8D}" presName="composite2" presStyleCnt="0"/>
      <dgm:spPr/>
    </dgm:pt>
    <dgm:pt modelId="{265D2597-0FD5-A243-BB52-2C28AFBD63A3}" type="pres">
      <dgm:prSet presAssocID="{441FC47F-9FB4-054F-BB6B-C0B455B11C8D}" presName="background2" presStyleLbl="node2" presStyleIdx="0" presStyleCnt="3"/>
      <dgm:spPr>
        <a:solidFill>
          <a:schemeClr val="accent3"/>
        </a:solidFill>
      </dgm:spPr>
    </dgm:pt>
    <dgm:pt modelId="{AE833902-B29D-C746-88C4-8FA2E8B0634C}" type="pres">
      <dgm:prSet presAssocID="{441FC47F-9FB4-054F-BB6B-C0B455B11C8D}" presName="text2" presStyleLbl="fgAcc2" presStyleIdx="0" presStyleCnt="3">
        <dgm:presLayoutVars>
          <dgm:chPref val="3"/>
        </dgm:presLayoutVars>
      </dgm:prSet>
      <dgm:spPr/>
    </dgm:pt>
    <dgm:pt modelId="{2579E37C-8561-034E-8B6A-5542B62AFD12}" type="pres">
      <dgm:prSet presAssocID="{441FC47F-9FB4-054F-BB6B-C0B455B11C8D}" presName="hierChild3" presStyleCnt="0"/>
      <dgm:spPr/>
    </dgm:pt>
    <dgm:pt modelId="{4934A533-CF7F-9A4F-84F4-25A88A8CD4FC}" type="pres">
      <dgm:prSet presAssocID="{EF5EF207-EAD7-C54D-8948-5D5D0B95A8F8}" presName="Name10" presStyleLbl="parChTrans1D2" presStyleIdx="1" presStyleCnt="3"/>
      <dgm:spPr/>
    </dgm:pt>
    <dgm:pt modelId="{70B71E35-DCCE-B544-BA02-55F6A76F3E54}" type="pres">
      <dgm:prSet presAssocID="{89CA2BCD-C363-014F-9E65-E2C4251E24F5}" presName="hierRoot2" presStyleCnt="0"/>
      <dgm:spPr/>
    </dgm:pt>
    <dgm:pt modelId="{A9B34118-3788-1B4D-989F-F8A5D0E724F1}" type="pres">
      <dgm:prSet presAssocID="{89CA2BCD-C363-014F-9E65-E2C4251E24F5}" presName="composite2" presStyleCnt="0"/>
      <dgm:spPr/>
    </dgm:pt>
    <dgm:pt modelId="{60CDDD5F-3428-E34A-93D4-2FBC23A0681D}" type="pres">
      <dgm:prSet presAssocID="{89CA2BCD-C363-014F-9E65-E2C4251E24F5}" presName="background2" presStyleLbl="node2" presStyleIdx="1" presStyleCnt="3"/>
      <dgm:spPr>
        <a:solidFill>
          <a:srgbClr val="9BBB59"/>
        </a:solidFill>
      </dgm:spPr>
    </dgm:pt>
    <dgm:pt modelId="{813F7655-D6C8-4A4A-8D10-6C4119F82662}" type="pres">
      <dgm:prSet presAssocID="{89CA2BCD-C363-014F-9E65-E2C4251E24F5}" presName="text2" presStyleLbl="fgAcc2" presStyleIdx="1" presStyleCnt="3">
        <dgm:presLayoutVars>
          <dgm:chPref val="3"/>
        </dgm:presLayoutVars>
      </dgm:prSet>
      <dgm:spPr/>
    </dgm:pt>
    <dgm:pt modelId="{46E32D41-3A42-D74C-97F6-B8E99CD1F9F1}" type="pres">
      <dgm:prSet presAssocID="{89CA2BCD-C363-014F-9E65-E2C4251E24F5}" presName="hierChild3" presStyleCnt="0"/>
      <dgm:spPr/>
    </dgm:pt>
    <dgm:pt modelId="{4EF8B9A0-B93C-6A4D-B33C-FD07E8AC44F5}" type="pres">
      <dgm:prSet presAssocID="{4E3F43E2-7C70-7B49-91B9-68CE1FFC553E}" presName="Name10" presStyleLbl="parChTrans1D2" presStyleIdx="2" presStyleCnt="3"/>
      <dgm:spPr/>
    </dgm:pt>
    <dgm:pt modelId="{3FE7D062-43D9-914D-8CD5-205550BAD1E5}" type="pres">
      <dgm:prSet presAssocID="{707FEAD2-81E1-BC4C-AFB8-3933E43EBB80}" presName="hierRoot2" presStyleCnt="0"/>
      <dgm:spPr/>
    </dgm:pt>
    <dgm:pt modelId="{13C0BC11-A602-2247-8FAC-57B38C60EBEA}" type="pres">
      <dgm:prSet presAssocID="{707FEAD2-81E1-BC4C-AFB8-3933E43EBB80}" presName="composite2" presStyleCnt="0"/>
      <dgm:spPr/>
    </dgm:pt>
    <dgm:pt modelId="{978861A7-3C28-E744-9AF8-D294F9381003}" type="pres">
      <dgm:prSet presAssocID="{707FEAD2-81E1-BC4C-AFB8-3933E43EBB80}" presName="background2" presStyleLbl="node2" presStyleIdx="2" presStyleCnt="3"/>
      <dgm:spPr>
        <a:solidFill>
          <a:srgbClr val="9BBB59"/>
        </a:solidFill>
        <a:effectLst/>
      </dgm:spPr>
    </dgm:pt>
    <dgm:pt modelId="{13AC9A55-07ED-EE4D-8E94-D3644B2A9BF8}" type="pres">
      <dgm:prSet presAssocID="{707FEAD2-81E1-BC4C-AFB8-3933E43EBB80}" presName="text2" presStyleLbl="fgAcc2" presStyleIdx="2" presStyleCnt="3" custScaleX="159961" custScaleY="100531" custLinFactY="-51104" custLinFactNeighborX="4594" custLinFactNeighborY="-100000">
        <dgm:presLayoutVars>
          <dgm:chPref val="3"/>
        </dgm:presLayoutVars>
      </dgm:prSet>
      <dgm:spPr/>
    </dgm:pt>
    <dgm:pt modelId="{749A039D-95F8-A742-A5F6-BB925AEFAAE1}" type="pres">
      <dgm:prSet presAssocID="{707FEAD2-81E1-BC4C-AFB8-3933E43EBB80}" presName="hierChild3" presStyleCnt="0"/>
      <dgm:spPr/>
    </dgm:pt>
  </dgm:ptLst>
  <dgm:cxnLst>
    <dgm:cxn modelId="{BB8B1907-1EA4-F441-84A2-FDA585DE9329}" srcId="{765DCBFE-FF45-7046-AA8E-C18A70AD6DB6}" destId="{89CA2BCD-C363-014F-9E65-E2C4251E24F5}" srcOrd="1" destOrd="0" parTransId="{EF5EF207-EAD7-C54D-8948-5D5D0B95A8F8}" sibTransId="{D28DC08A-86DF-7A43-AB39-8C4700BD2645}"/>
    <dgm:cxn modelId="{5B404011-8E70-43AB-92BB-FF9D40527199}" type="presOf" srcId="{441FC47F-9FB4-054F-BB6B-C0B455B11C8D}" destId="{AE833902-B29D-C746-88C4-8FA2E8B0634C}" srcOrd="0" destOrd="0" presId="urn:microsoft.com/office/officeart/2005/8/layout/hierarchy1"/>
    <dgm:cxn modelId="{9DF64912-901F-45FC-A584-A1395F8F50C0}" type="presOf" srcId="{4E3F43E2-7C70-7B49-91B9-68CE1FFC553E}" destId="{4EF8B9A0-B93C-6A4D-B33C-FD07E8AC44F5}" srcOrd="0" destOrd="0" presId="urn:microsoft.com/office/officeart/2005/8/layout/hierarchy1"/>
    <dgm:cxn modelId="{2672A865-F124-8D47-B061-1AEF2E458C4C}" srcId="{765DCBFE-FF45-7046-AA8E-C18A70AD6DB6}" destId="{441FC47F-9FB4-054F-BB6B-C0B455B11C8D}" srcOrd="0" destOrd="0" parTransId="{88288D77-9CD6-104A-820D-C1138793E2B6}" sibTransId="{CEEDD3A7-DCF4-0E40-9D69-C064034D322C}"/>
    <dgm:cxn modelId="{7BD63650-E18F-1144-A658-FCFC04D3D2C9}" srcId="{BF77CC63-B272-0848-98A3-CC5402CB1210}" destId="{765DCBFE-FF45-7046-AA8E-C18A70AD6DB6}" srcOrd="0" destOrd="0" parTransId="{09BAD054-00C9-8942-9B21-C7FC6B1C8806}" sibTransId="{F91E2DB1-3468-3144-A76B-59B8880FF9B6}"/>
    <dgm:cxn modelId="{6253E38B-1E77-475E-BAB7-5372CED3DEA6}" type="presOf" srcId="{89CA2BCD-C363-014F-9E65-E2C4251E24F5}" destId="{813F7655-D6C8-4A4A-8D10-6C4119F82662}" srcOrd="0" destOrd="0" presId="urn:microsoft.com/office/officeart/2005/8/layout/hierarchy1"/>
    <dgm:cxn modelId="{95C895A8-3103-4D0A-8634-0331A5827173}" type="presOf" srcId="{BF77CC63-B272-0848-98A3-CC5402CB1210}" destId="{33270B90-2546-9F40-B7B8-64881AA7CFF6}" srcOrd="0" destOrd="0" presId="urn:microsoft.com/office/officeart/2005/8/layout/hierarchy1"/>
    <dgm:cxn modelId="{55AB61C9-9B5A-4CF2-B36A-1A501E4C31AE}" type="presOf" srcId="{EF5EF207-EAD7-C54D-8948-5D5D0B95A8F8}" destId="{4934A533-CF7F-9A4F-84F4-25A88A8CD4FC}" srcOrd="0" destOrd="0" presId="urn:microsoft.com/office/officeart/2005/8/layout/hierarchy1"/>
    <dgm:cxn modelId="{212CA4C9-4885-45C7-B3D7-F27B3AB0CBD1}" type="presOf" srcId="{88288D77-9CD6-104A-820D-C1138793E2B6}" destId="{BD0E7E8A-B037-5F4B-808E-F4A337678260}" srcOrd="0" destOrd="0" presId="urn:microsoft.com/office/officeart/2005/8/layout/hierarchy1"/>
    <dgm:cxn modelId="{1C78B3DE-3475-498B-98AA-D23401B7DB73}" type="presOf" srcId="{707FEAD2-81E1-BC4C-AFB8-3933E43EBB80}" destId="{13AC9A55-07ED-EE4D-8E94-D3644B2A9BF8}" srcOrd="0" destOrd="0" presId="urn:microsoft.com/office/officeart/2005/8/layout/hierarchy1"/>
    <dgm:cxn modelId="{88C5BCE3-5879-41C9-A19E-CC0C877FACD1}" type="presOf" srcId="{765DCBFE-FF45-7046-AA8E-C18A70AD6DB6}" destId="{9A22260D-3F42-BF43-9B7E-872FA1FFCFE0}" srcOrd="0" destOrd="0" presId="urn:microsoft.com/office/officeart/2005/8/layout/hierarchy1"/>
    <dgm:cxn modelId="{6A6A09EC-9100-2C4E-8248-2A6BC58AEBFC}" srcId="{765DCBFE-FF45-7046-AA8E-C18A70AD6DB6}" destId="{707FEAD2-81E1-BC4C-AFB8-3933E43EBB80}" srcOrd="2" destOrd="0" parTransId="{4E3F43E2-7C70-7B49-91B9-68CE1FFC553E}" sibTransId="{78CC5551-B667-E049-A916-9FE565DA92FC}"/>
    <dgm:cxn modelId="{A3F834EE-72FE-4F99-AD50-BF4BF7F9DAA7}" type="presParOf" srcId="{33270B90-2546-9F40-B7B8-64881AA7CFF6}" destId="{41C4E20D-75E0-2447-9718-0C7159BACC95}" srcOrd="0" destOrd="0" presId="urn:microsoft.com/office/officeart/2005/8/layout/hierarchy1"/>
    <dgm:cxn modelId="{94E5BE10-BB5E-4785-BDA5-E0920B50CDD9}" type="presParOf" srcId="{41C4E20D-75E0-2447-9718-0C7159BACC95}" destId="{E328720E-5D06-CD48-8D3B-418D6717280E}" srcOrd="0" destOrd="0" presId="urn:microsoft.com/office/officeart/2005/8/layout/hierarchy1"/>
    <dgm:cxn modelId="{2D7AFA21-7440-46D6-B66A-CBF49AC71475}" type="presParOf" srcId="{E328720E-5D06-CD48-8D3B-418D6717280E}" destId="{248BA094-2251-674B-B9D4-4AEACFCD3697}" srcOrd="0" destOrd="0" presId="urn:microsoft.com/office/officeart/2005/8/layout/hierarchy1"/>
    <dgm:cxn modelId="{609E5F1D-F8FF-4812-8A9F-63C4F0E6654F}" type="presParOf" srcId="{E328720E-5D06-CD48-8D3B-418D6717280E}" destId="{9A22260D-3F42-BF43-9B7E-872FA1FFCFE0}" srcOrd="1" destOrd="0" presId="urn:microsoft.com/office/officeart/2005/8/layout/hierarchy1"/>
    <dgm:cxn modelId="{9CD29047-9347-4B4F-A292-65A1C9D34122}" type="presParOf" srcId="{41C4E20D-75E0-2447-9718-0C7159BACC95}" destId="{150D2736-D28F-064F-8C56-6DC6FBF2D05B}" srcOrd="1" destOrd="0" presId="urn:microsoft.com/office/officeart/2005/8/layout/hierarchy1"/>
    <dgm:cxn modelId="{0787B99A-0CAD-4145-AECE-3CAFF0D2E352}" type="presParOf" srcId="{150D2736-D28F-064F-8C56-6DC6FBF2D05B}" destId="{BD0E7E8A-B037-5F4B-808E-F4A337678260}" srcOrd="0" destOrd="0" presId="urn:microsoft.com/office/officeart/2005/8/layout/hierarchy1"/>
    <dgm:cxn modelId="{4A1067C0-0AA0-4B1F-A844-33F3C204BE30}" type="presParOf" srcId="{150D2736-D28F-064F-8C56-6DC6FBF2D05B}" destId="{64C61546-5E8E-E748-86E3-F4312A65D9AB}" srcOrd="1" destOrd="0" presId="urn:microsoft.com/office/officeart/2005/8/layout/hierarchy1"/>
    <dgm:cxn modelId="{448053F0-1963-41D3-8FAA-ED567734CAFA}" type="presParOf" srcId="{64C61546-5E8E-E748-86E3-F4312A65D9AB}" destId="{3AB58330-FF9C-9340-BFE2-9DD4B84EF9D2}" srcOrd="0" destOrd="0" presId="urn:microsoft.com/office/officeart/2005/8/layout/hierarchy1"/>
    <dgm:cxn modelId="{E834B3E5-6CAF-4C2A-86B2-933CA74860F6}" type="presParOf" srcId="{3AB58330-FF9C-9340-BFE2-9DD4B84EF9D2}" destId="{265D2597-0FD5-A243-BB52-2C28AFBD63A3}" srcOrd="0" destOrd="0" presId="urn:microsoft.com/office/officeart/2005/8/layout/hierarchy1"/>
    <dgm:cxn modelId="{F5F3EFD9-71FA-44FC-BCFC-2F1F6FD0A8E7}" type="presParOf" srcId="{3AB58330-FF9C-9340-BFE2-9DD4B84EF9D2}" destId="{AE833902-B29D-C746-88C4-8FA2E8B0634C}" srcOrd="1" destOrd="0" presId="urn:microsoft.com/office/officeart/2005/8/layout/hierarchy1"/>
    <dgm:cxn modelId="{FD9A3A36-CAEE-4050-B65C-4F6FB6BD1693}" type="presParOf" srcId="{64C61546-5E8E-E748-86E3-F4312A65D9AB}" destId="{2579E37C-8561-034E-8B6A-5542B62AFD12}" srcOrd="1" destOrd="0" presId="urn:microsoft.com/office/officeart/2005/8/layout/hierarchy1"/>
    <dgm:cxn modelId="{89E1E330-17BF-4206-970A-FD4EEE8B1C22}" type="presParOf" srcId="{150D2736-D28F-064F-8C56-6DC6FBF2D05B}" destId="{4934A533-CF7F-9A4F-84F4-25A88A8CD4FC}" srcOrd="2" destOrd="0" presId="urn:microsoft.com/office/officeart/2005/8/layout/hierarchy1"/>
    <dgm:cxn modelId="{C46536C0-893E-4395-BF16-3DA51174193D}" type="presParOf" srcId="{150D2736-D28F-064F-8C56-6DC6FBF2D05B}" destId="{70B71E35-DCCE-B544-BA02-55F6A76F3E54}" srcOrd="3" destOrd="0" presId="urn:microsoft.com/office/officeart/2005/8/layout/hierarchy1"/>
    <dgm:cxn modelId="{1370AD3D-954E-4BF4-B986-E4A35AC4C11A}" type="presParOf" srcId="{70B71E35-DCCE-B544-BA02-55F6A76F3E54}" destId="{A9B34118-3788-1B4D-989F-F8A5D0E724F1}" srcOrd="0" destOrd="0" presId="urn:microsoft.com/office/officeart/2005/8/layout/hierarchy1"/>
    <dgm:cxn modelId="{F2E87788-E086-4AB4-9BA6-08CA1EF7E225}" type="presParOf" srcId="{A9B34118-3788-1B4D-989F-F8A5D0E724F1}" destId="{60CDDD5F-3428-E34A-93D4-2FBC23A0681D}" srcOrd="0" destOrd="0" presId="urn:microsoft.com/office/officeart/2005/8/layout/hierarchy1"/>
    <dgm:cxn modelId="{A2F21FF0-C53D-4CB7-8E21-F8DDA460F7E6}" type="presParOf" srcId="{A9B34118-3788-1B4D-989F-F8A5D0E724F1}" destId="{813F7655-D6C8-4A4A-8D10-6C4119F82662}" srcOrd="1" destOrd="0" presId="urn:microsoft.com/office/officeart/2005/8/layout/hierarchy1"/>
    <dgm:cxn modelId="{D5FF9C32-1B17-4BEE-9CA3-DFEA73AE0EED}" type="presParOf" srcId="{70B71E35-DCCE-B544-BA02-55F6A76F3E54}" destId="{46E32D41-3A42-D74C-97F6-B8E99CD1F9F1}" srcOrd="1" destOrd="0" presId="urn:microsoft.com/office/officeart/2005/8/layout/hierarchy1"/>
    <dgm:cxn modelId="{BEB16DB2-BF0B-463D-883E-BD462B8302E0}" type="presParOf" srcId="{150D2736-D28F-064F-8C56-6DC6FBF2D05B}" destId="{4EF8B9A0-B93C-6A4D-B33C-FD07E8AC44F5}" srcOrd="4" destOrd="0" presId="urn:microsoft.com/office/officeart/2005/8/layout/hierarchy1"/>
    <dgm:cxn modelId="{3AE715F9-5CFA-48EC-95F2-CB64BB343B35}" type="presParOf" srcId="{150D2736-D28F-064F-8C56-6DC6FBF2D05B}" destId="{3FE7D062-43D9-914D-8CD5-205550BAD1E5}" srcOrd="5" destOrd="0" presId="urn:microsoft.com/office/officeart/2005/8/layout/hierarchy1"/>
    <dgm:cxn modelId="{CD79D545-B984-4DCB-8EB6-3A2212744C4E}" type="presParOf" srcId="{3FE7D062-43D9-914D-8CD5-205550BAD1E5}" destId="{13C0BC11-A602-2247-8FAC-57B38C60EBEA}" srcOrd="0" destOrd="0" presId="urn:microsoft.com/office/officeart/2005/8/layout/hierarchy1"/>
    <dgm:cxn modelId="{C7F30716-02C7-4A69-A850-70E2F062DFB5}" type="presParOf" srcId="{13C0BC11-A602-2247-8FAC-57B38C60EBEA}" destId="{978861A7-3C28-E744-9AF8-D294F9381003}" srcOrd="0" destOrd="0" presId="urn:microsoft.com/office/officeart/2005/8/layout/hierarchy1"/>
    <dgm:cxn modelId="{637563CA-3896-41C8-916A-42154B8EF2DD}" type="presParOf" srcId="{13C0BC11-A602-2247-8FAC-57B38C60EBEA}" destId="{13AC9A55-07ED-EE4D-8E94-D3644B2A9BF8}" srcOrd="1" destOrd="0" presId="urn:microsoft.com/office/officeart/2005/8/layout/hierarchy1"/>
    <dgm:cxn modelId="{C0E69C69-9063-4AD4-B83B-CFD2F1C42A0E}" type="presParOf" srcId="{3FE7D062-43D9-914D-8CD5-205550BAD1E5}" destId="{749A039D-95F8-A742-A5F6-BB925AEFAAE1}" srcOrd="1" destOrd="0" presId="urn:microsoft.com/office/officeart/2005/8/layout/hierarchy1"/>
  </dgm:cxnLst>
  <dgm:bg/>
  <dgm:whole/>
  <dgm:extLst>
    <a:ext uri="http://schemas.microsoft.com/office/drawing/2008/diagram">
      <dsp:dataModelExt xmlns:dsp="http://schemas.microsoft.com/office/drawing/2008/diagram" relId="rId1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8B9A0-B93C-6A4D-B33C-FD07E8AC44F5}">
      <dsp:nvSpPr>
        <dsp:cNvPr id="0" name=""/>
        <dsp:cNvSpPr/>
      </dsp:nvSpPr>
      <dsp:spPr>
        <a:xfrm>
          <a:off x="1430449" y="57699"/>
          <a:ext cx="1880057" cy="650527"/>
        </a:xfrm>
        <a:custGeom>
          <a:avLst/>
          <a:gdLst/>
          <a:ahLst/>
          <a:cxnLst/>
          <a:rect l="0" t="0" r="0" b="0"/>
          <a:pathLst>
            <a:path>
              <a:moveTo>
                <a:pt x="0" y="650527"/>
              </a:moveTo>
              <a:lnTo>
                <a:pt x="188005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34A533-CF7F-9A4F-84F4-25A88A8CD4FC}">
      <dsp:nvSpPr>
        <dsp:cNvPr id="0" name=""/>
        <dsp:cNvSpPr/>
      </dsp:nvSpPr>
      <dsp:spPr>
        <a:xfrm>
          <a:off x="1430449" y="708226"/>
          <a:ext cx="326791" cy="327102"/>
        </a:xfrm>
        <a:custGeom>
          <a:avLst/>
          <a:gdLst/>
          <a:ahLst/>
          <a:cxnLst/>
          <a:rect l="0" t="0" r="0" b="0"/>
          <a:pathLst>
            <a:path>
              <a:moveTo>
                <a:pt x="0" y="0"/>
              </a:moveTo>
              <a:lnTo>
                <a:pt x="0" y="232714"/>
              </a:lnTo>
              <a:lnTo>
                <a:pt x="326791" y="232714"/>
              </a:lnTo>
              <a:lnTo>
                <a:pt x="326791" y="3271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0E7E8A-B037-5F4B-808E-F4A337678260}">
      <dsp:nvSpPr>
        <dsp:cNvPr id="0" name=""/>
        <dsp:cNvSpPr/>
      </dsp:nvSpPr>
      <dsp:spPr>
        <a:xfrm>
          <a:off x="511938" y="708226"/>
          <a:ext cx="918511" cy="327102"/>
        </a:xfrm>
        <a:custGeom>
          <a:avLst/>
          <a:gdLst/>
          <a:ahLst/>
          <a:cxnLst/>
          <a:rect l="0" t="0" r="0" b="0"/>
          <a:pathLst>
            <a:path>
              <a:moveTo>
                <a:pt x="918511" y="0"/>
              </a:moveTo>
              <a:lnTo>
                <a:pt x="918511" y="232714"/>
              </a:lnTo>
              <a:lnTo>
                <a:pt x="0" y="232714"/>
              </a:lnTo>
              <a:lnTo>
                <a:pt x="0" y="3271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48BA094-2251-674B-B9D4-4AEACFCD3697}">
      <dsp:nvSpPr>
        <dsp:cNvPr id="0" name=""/>
        <dsp:cNvSpPr/>
      </dsp:nvSpPr>
      <dsp:spPr>
        <a:xfrm>
          <a:off x="629728" y="71392"/>
          <a:ext cx="1601441" cy="63683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22260D-3F42-BF43-9B7E-872FA1FFCFE0}">
      <dsp:nvSpPr>
        <dsp:cNvPr id="0" name=""/>
        <dsp:cNvSpPr/>
      </dsp:nvSpPr>
      <dsp:spPr>
        <a:xfrm>
          <a:off x="742937" y="178941"/>
          <a:ext cx="1601441" cy="6368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MA Professsional Standards for Teachers of Adult Basic Education (2021</a:t>
          </a:r>
          <a:r>
            <a:rPr lang="en-US" sz="1200" kern="1200">
              <a:latin typeface="Times New Roman" panose="02020603050405020304" pitchFamily="18" charset="0"/>
              <a:cs typeface="Times New Roman" panose="02020603050405020304" pitchFamily="18" charset="0"/>
            </a:rPr>
            <a:t>)</a:t>
          </a:r>
        </a:p>
      </dsp:txBody>
      <dsp:txXfrm>
        <a:off x="761589" y="197593"/>
        <a:ext cx="1564137" cy="599529"/>
      </dsp:txXfrm>
    </dsp:sp>
    <dsp:sp modelId="{265D2597-0FD5-A243-BB52-2C28AFBD63A3}">
      <dsp:nvSpPr>
        <dsp:cNvPr id="0" name=""/>
        <dsp:cNvSpPr/>
      </dsp:nvSpPr>
      <dsp:spPr>
        <a:xfrm>
          <a:off x="2495" y="1035329"/>
          <a:ext cx="1018884" cy="646991"/>
        </a:xfrm>
        <a:prstGeom prst="roundRect">
          <a:avLst>
            <a:gd name="adj" fmla="val 10000"/>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833902-B29D-C746-88C4-8FA2E8B0634C}">
      <dsp:nvSpPr>
        <dsp:cNvPr id="0" name=""/>
        <dsp:cNvSpPr/>
      </dsp:nvSpPr>
      <dsp:spPr>
        <a:xfrm>
          <a:off x="115705" y="1142878"/>
          <a:ext cx="1018884" cy="6469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Mathematics Proficiency Guide for Teachers of Adult Education (2019)</a:t>
          </a:r>
        </a:p>
      </dsp:txBody>
      <dsp:txXfrm>
        <a:off x="134655" y="1161828"/>
        <a:ext cx="980984" cy="609091"/>
      </dsp:txXfrm>
    </dsp:sp>
    <dsp:sp modelId="{60CDDD5F-3428-E34A-93D4-2FBC23A0681D}">
      <dsp:nvSpPr>
        <dsp:cNvPr id="0" name=""/>
        <dsp:cNvSpPr/>
      </dsp:nvSpPr>
      <dsp:spPr>
        <a:xfrm>
          <a:off x="1247799" y="1035329"/>
          <a:ext cx="1018884" cy="646991"/>
        </a:xfrm>
        <a:prstGeom prst="roundRect">
          <a:avLst>
            <a:gd name="adj" fmla="val 10000"/>
          </a:avLst>
        </a:prstGeom>
        <a:solidFill>
          <a:srgbClr val="9BBB5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3F7655-D6C8-4A4A-8D10-6C4119F82662}">
      <dsp:nvSpPr>
        <dsp:cNvPr id="0" name=""/>
        <dsp:cNvSpPr/>
      </dsp:nvSpPr>
      <dsp:spPr>
        <a:xfrm>
          <a:off x="1361008" y="1142878"/>
          <a:ext cx="1018884" cy="6469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English Language Arts Proficiency Guide for Teachers of Adult Education (2019)</a:t>
          </a:r>
        </a:p>
      </dsp:txBody>
      <dsp:txXfrm>
        <a:off x="1379958" y="1161828"/>
        <a:ext cx="980984" cy="609091"/>
      </dsp:txXfrm>
    </dsp:sp>
    <dsp:sp modelId="{978861A7-3C28-E744-9AF8-D294F9381003}">
      <dsp:nvSpPr>
        <dsp:cNvPr id="0" name=""/>
        <dsp:cNvSpPr/>
      </dsp:nvSpPr>
      <dsp:spPr>
        <a:xfrm>
          <a:off x="2495598" y="57699"/>
          <a:ext cx="1629817" cy="650427"/>
        </a:xfrm>
        <a:prstGeom prst="roundRect">
          <a:avLst>
            <a:gd name="adj" fmla="val 10000"/>
          </a:avLst>
        </a:prstGeom>
        <a:solidFill>
          <a:srgbClr val="9BBB59"/>
        </a:solidFill>
        <a:ln>
          <a:noFill/>
        </a:ln>
        <a:effectLst/>
      </dsp:spPr>
      <dsp:style>
        <a:lnRef idx="0">
          <a:scrgbClr r="0" g="0" b="0"/>
        </a:lnRef>
        <a:fillRef idx="3">
          <a:scrgbClr r="0" g="0" b="0"/>
        </a:fillRef>
        <a:effectRef idx="2">
          <a:scrgbClr r="0" g="0" b="0"/>
        </a:effectRef>
        <a:fontRef idx="minor">
          <a:schemeClr val="lt1"/>
        </a:fontRef>
      </dsp:style>
    </dsp:sp>
    <dsp:sp modelId="{13AC9A55-07ED-EE4D-8E94-D3644B2A9BF8}">
      <dsp:nvSpPr>
        <dsp:cNvPr id="0" name=""/>
        <dsp:cNvSpPr/>
      </dsp:nvSpPr>
      <dsp:spPr>
        <a:xfrm>
          <a:off x="2608807" y="165247"/>
          <a:ext cx="1629817" cy="650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Massachusets Professional Standards for Teachers of Adult Speakers of Other Languages (2021)</a:t>
          </a:r>
        </a:p>
      </dsp:txBody>
      <dsp:txXfrm>
        <a:off x="2627857" y="184297"/>
        <a:ext cx="1591717" cy="6123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99AFE2B-AC53-4825-AB41-7F3FDC26AF00}">
    <t:Anchor>
      <t:Comment id="607890660"/>
    </t:Anchor>
    <t:History>
      <t:Event id="{3CC6F453-21F1-4CDC-B4EB-86CEE376DD59}" time="2021-05-04T16:37:39Z">
        <t:Attribution userId="S::wyvonne.stevens-carter@mass.gov::f3a67b02-d1b5-48b2-b8dd-8be820186049" userProvider="AD" userName="Stevens-Carter, Wyvonne (DESE)"/>
        <t:Anchor>
          <t:Comment id="1431370571"/>
        </t:Anchor>
        <t:Create/>
      </t:Event>
      <t:Event id="{C9C1E460-F313-42BF-BFB7-B4C8521CC83C}" time="2021-05-04T16:37:39Z">
        <t:Attribution userId="S::wyvonne.stevens-carter@mass.gov::f3a67b02-d1b5-48b2-b8dd-8be820186049" userProvider="AD" userName="Stevens-Carter, Wyvonne (DESE)"/>
        <t:Anchor>
          <t:Comment id="1431370571"/>
        </t:Anchor>
        <t:Assign userId="S::KathleenT.Rodriguez@mass.gov::7c1139d0-f72c-4fa9-b890-0fcad11aa423" userProvider="AD" userName="Rodriguez, Kathleen T (DESE)"/>
      </t:Event>
      <t:Event id="{E361D92E-D3FB-4C86-8291-546EDC4DD342}" time="2021-05-04T16:37:39Z">
        <t:Attribution userId="S::wyvonne.stevens-carter@mass.gov::f3a67b02-d1b5-48b2-b8dd-8be820186049" userProvider="AD" userName="Stevens-Carter, Wyvonne (DESE)"/>
        <t:Anchor>
          <t:Comment id="1431370571"/>
        </t:Anchor>
        <t:SetTitle title="@Rodriguez, Kathleen T (DESE) @Maguire, Toby (DESE) Remove this language"/>
      </t:Event>
    </t:History>
  </t:Task>
  <t:Task id="{2924DF4E-6958-4751-845E-DC9BDA798C49}">
    <t:Anchor>
      <t:Comment id="1803662811"/>
    </t:Anchor>
    <t:History>
      <t:Event id="{4DF58233-B036-4218-BD7C-22959FDD3E4C}" time="2021-03-11T20:21:11Z">
        <t:Attribution userId="S::brian.c.newquist@mass.gov::aa451c16-4e5b-4401-bc4e-e48fd1650577" userProvider="AD" userName="Newquist, Brian (DESE)"/>
        <t:Anchor>
          <t:Comment id="1803662811"/>
        </t:Anchor>
        <t:Create/>
      </t:Event>
      <t:Event id="{8EC1C268-50ED-4EE9-9D94-811F90D4C9BB}" time="2021-03-11T20:21:11Z">
        <t:Attribution userId="S::brian.c.newquist@mass.gov::aa451c16-4e5b-4401-bc4e-e48fd1650577" userProvider="AD" userName="Newquist, Brian (DESE)"/>
        <t:Anchor>
          <t:Comment id="1803662811"/>
        </t:Anchor>
        <t:Assign userId="S::KathleenT.Rodriguez@mass.gov::7c1139d0-f72c-4fa9-b890-0fcad11aa423" userProvider="AD" userName="Rodriguez, Kathleen T (DESE)"/>
      </t:Event>
      <t:Event id="{76886B9B-087B-4DBC-A172-4C7F7928E30C}" time="2021-03-11T20:21:11Z">
        <t:Attribution userId="S::brian.c.newquist@mass.gov::aa451c16-4e5b-4401-bc4e-e48fd1650577" userProvider="AD" userName="Newquist, Brian (DESE)"/>
        <t:Anchor>
          <t:Comment id="1803662811"/>
        </t:Anchor>
        <t:SetTitle title="@Rodriguez, Kathleen T (DESE) Toby and I sent you on 3/11/2021 (see email) a replacement for Financial Audit Requirement (shown currently as two paragraphs on page 41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B6416-3DC1-47D3-8B12-E174FA5D868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Maguire, Toby (DESE)</DisplayName>
        <AccountId>20</AccountId>
        <AccountType/>
      </UserInfo>
      <UserInfo>
        <DisplayName>Stevens-Carter, Wyvonne (DESE)</DisplayName>
        <AccountId>19</AccountId>
        <AccountType/>
      </UserInfo>
      <UserInfo>
        <DisplayName>Fenton, Russell (DESE)</DisplayName>
        <AccountId>21</AccountId>
        <AccountType/>
      </UserInfo>
      <UserInfo>
        <DisplayName>Conway, Jolanta (DESE)</DisplayName>
        <AccountId>23</AccountId>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1214E-FB11-48FA-B56F-A5B04ACB9BCA}">
  <ds:schemaRefs>
    <ds:schemaRef ds:uri="http://schemas.openxmlformats.org/officeDocument/2006/bibliography"/>
  </ds:schemaRefs>
</ds:datastoreItem>
</file>

<file path=customXml/itemProps2.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E14B9D0E-513A-4E3D-8E31-1B924EAE0399}">
  <ds:schemaRefs>
    <ds:schemaRef ds:uri="http://schemas.microsoft.com/sharepoint/v3/contenttype/forms"/>
  </ds:schemaRefs>
</ds:datastoreItem>
</file>

<file path=customXml/itemProps4.xml><?xml version="1.0" encoding="utf-8"?>
<ds:datastoreItem xmlns:ds="http://schemas.openxmlformats.org/officeDocument/2006/customXml" ds:itemID="{F3683D7E-1D1B-4A2C-8AD9-881D01BB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25161</Words>
  <Characters>143423</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FY24 661 671 359  MassSTEP ADD INFO FY24 28 Policies for Effective Adult Ed</vt:lpstr>
    </vt:vector>
  </TitlesOfParts>
  <Manager/>
  <Company/>
  <LinksUpToDate>false</LinksUpToDate>
  <CharactersWithSpaces>168248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FY24-FY28 Policies for Effective Adult Education</dc:title>
  <dc:subject/>
  <dc:creator>DESE</dc:creator>
  <cp:keywords/>
  <dc:description>FY24-FY28 Policies for Effective Adult Education</dc:description>
  <cp:lastModifiedBy>Zou, Dong (EOE)</cp:lastModifiedBy>
  <cp:revision>6</cp:revision>
  <cp:lastPrinted>2020-02-15T06:10:00Z</cp:lastPrinted>
  <dcterms:created xsi:type="dcterms:W3CDTF">2022-11-28T16:07:00Z</dcterms:created>
  <dcterms:modified xsi:type="dcterms:W3CDTF">2023-01-11T15:57:00Z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