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65B1E" w14:textId="706FD8EF" w:rsidR="007C4EC0" w:rsidRDefault="007C4EC0" w:rsidP="00BE506B">
      <w:pPr>
        <w:tabs>
          <w:tab w:val="left" w:pos="3481"/>
        </w:tabs>
        <w:spacing w:before="60" w:after="60"/>
        <w:rPr>
          <w:rFonts w:eastAsia="Batang"/>
          <w:bCs/>
          <w:color w:val="0000CC"/>
        </w:rPr>
      </w:pPr>
      <w:bookmarkStart w:id="0" w:name="OLE_LINK2"/>
    </w:p>
    <w:p w14:paraId="11F14B97" w14:textId="77777777" w:rsidR="00F23E7C" w:rsidRPr="00F23E7C" w:rsidRDefault="00F23E7C" w:rsidP="00BE506B">
      <w:pPr>
        <w:tabs>
          <w:tab w:val="left" w:pos="3481"/>
        </w:tabs>
        <w:spacing w:before="60" w:after="60"/>
        <w:rPr>
          <w:rFonts w:ascii="Arial Narrow" w:eastAsia="Batang" w:hAnsi="Arial Narrow"/>
          <w:bCs/>
          <w:color w:val="0000CC"/>
          <w:sz w:val="72"/>
          <w:szCs w:val="72"/>
        </w:rPr>
      </w:pPr>
    </w:p>
    <w:p w14:paraId="5C62583A" w14:textId="0D207CE3" w:rsidR="0053200A" w:rsidRPr="001A7BD5" w:rsidRDefault="00863856" w:rsidP="1F86E016">
      <w:pPr>
        <w:spacing w:before="60" w:after="60"/>
        <w:jc w:val="center"/>
        <w:rPr>
          <w:rFonts w:ascii="Arial Narrow" w:eastAsia="Batang" w:hAnsi="Arial Narrow" w:cs="Arial"/>
          <w:color w:val="0000CC"/>
          <w:sz w:val="72"/>
          <w:szCs w:val="72"/>
        </w:rPr>
      </w:pPr>
      <w:r w:rsidRPr="1F86E016">
        <w:rPr>
          <w:rFonts w:ascii="Arial Narrow" w:eastAsia="Batang" w:hAnsi="Arial Narrow" w:cs="Arial"/>
          <w:color w:val="0000CC"/>
          <w:sz w:val="72"/>
          <w:szCs w:val="72"/>
        </w:rPr>
        <w:t>FY</w:t>
      </w:r>
      <w:r w:rsidR="00FE1E93" w:rsidRPr="1F86E016">
        <w:rPr>
          <w:rFonts w:ascii="Arial Narrow" w:eastAsia="Batang" w:hAnsi="Arial Narrow" w:cs="Arial"/>
          <w:color w:val="0000CC"/>
          <w:sz w:val="72"/>
          <w:szCs w:val="72"/>
        </w:rPr>
        <w:t>2</w:t>
      </w:r>
      <w:r w:rsidR="00C7307C" w:rsidRPr="1F86E016">
        <w:rPr>
          <w:rFonts w:ascii="Arial Narrow" w:eastAsia="Batang" w:hAnsi="Arial Narrow" w:cs="Arial"/>
          <w:color w:val="0000CC"/>
          <w:sz w:val="72"/>
          <w:szCs w:val="72"/>
        </w:rPr>
        <w:t>4</w:t>
      </w:r>
      <w:r w:rsidR="00AB3AF6" w:rsidRPr="1F86E016">
        <w:rPr>
          <w:rFonts w:ascii="Arial Narrow" w:eastAsia="Batang" w:hAnsi="Arial Narrow" w:cs="Arial"/>
          <w:color w:val="0000CC"/>
          <w:sz w:val="72"/>
          <w:szCs w:val="72"/>
        </w:rPr>
        <w:t>-</w:t>
      </w:r>
      <w:r w:rsidR="006B60FA" w:rsidRPr="1F86E016">
        <w:rPr>
          <w:rFonts w:ascii="Arial Narrow" w:eastAsia="Batang" w:hAnsi="Arial Narrow" w:cs="Arial"/>
          <w:color w:val="0000CC"/>
          <w:sz w:val="72"/>
          <w:szCs w:val="72"/>
        </w:rPr>
        <w:t>FY2</w:t>
      </w:r>
      <w:r w:rsidR="00AB3AF6" w:rsidRPr="1F86E016">
        <w:rPr>
          <w:rFonts w:ascii="Arial Narrow" w:eastAsia="Batang" w:hAnsi="Arial Narrow" w:cs="Arial"/>
          <w:color w:val="0000CC"/>
          <w:sz w:val="72"/>
          <w:szCs w:val="72"/>
        </w:rPr>
        <w:t>6</w:t>
      </w:r>
      <w:r w:rsidRPr="1F86E016">
        <w:rPr>
          <w:rFonts w:ascii="Arial Narrow" w:eastAsia="Batang" w:hAnsi="Arial Narrow" w:cs="Arial"/>
          <w:color w:val="0000CC"/>
          <w:sz w:val="72"/>
          <w:szCs w:val="72"/>
        </w:rPr>
        <w:t xml:space="preserve"> </w:t>
      </w:r>
      <w:r w:rsidR="009B582C" w:rsidRPr="1F86E016">
        <w:rPr>
          <w:rFonts w:ascii="Arial Narrow" w:eastAsia="Batang" w:hAnsi="Arial Narrow" w:cs="Arial"/>
          <w:color w:val="0000CC"/>
          <w:sz w:val="72"/>
          <w:szCs w:val="72"/>
        </w:rPr>
        <w:t>Massachusetts</w:t>
      </w:r>
    </w:p>
    <w:p w14:paraId="6A0B8352" w14:textId="77777777" w:rsidR="007544CB" w:rsidRDefault="00973992" w:rsidP="005F7D97">
      <w:pPr>
        <w:spacing w:before="60" w:after="60"/>
        <w:jc w:val="center"/>
        <w:rPr>
          <w:rFonts w:ascii="Arial Narrow" w:eastAsia="Batang" w:hAnsi="Arial Narrow" w:cs="Arial"/>
          <w:bCs/>
          <w:color w:val="0000CC"/>
          <w:sz w:val="72"/>
          <w:szCs w:val="72"/>
        </w:rPr>
      </w:pPr>
      <w:r>
        <w:rPr>
          <w:rFonts w:ascii="Arial Narrow" w:eastAsia="Batang" w:hAnsi="Arial Narrow" w:cs="Arial"/>
          <w:bCs/>
          <w:color w:val="0000CC"/>
          <w:sz w:val="72"/>
          <w:szCs w:val="72"/>
        </w:rPr>
        <w:t>Policies</w:t>
      </w:r>
      <w:r w:rsidR="00A418B9">
        <w:rPr>
          <w:rFonts w:ascii="Arial Narrow" w:eastAsia="Batang" w:hAnsi="Arial Narrow" w:cs="Arial"/>
          <w:bCs/>
          <w:color w:val="0000CC"/>
          <w:sz w:val="72"/>
          <w:szCs w:val="72"/>
        </w:rPr>
        <w:t xml:space="preserve"> </w:t>
      </w:r>
      <w:r w:rsidR="002B2E1E" w:rsidRPr="001A7BD5">
        <w:rPr>
          <w:rFonts w:ascii="Arial Narrow" w:eastAsia="Batang" w:hAnsi="Arial Narrow" w:cs="Arial"/>
          <w:bCs/>
          <w:color w:val="0000CC"/>
          <w:sz w:val="72"/>
          <w:szCs w:val="72"/>
        </w:rPr>
        <w:t>f</w:t>
      </w:r>
      <w:r w:rsidR="009B582C" w:rsidRPr="001A7BD5">
        <w:rPr>
          <w:rFonts w:ascii="Arial Narrow" w:eastAsia="Batang" w:hAnsi="Arial Narrow" w:cs="Arial"/>
          <w:bCs/>
          <w:color w:val="0000CC"/>
          <w:sz w:val="72"/>
          <w:szCs w:val="72"/>
        </w:rPr>
        <w:t>or Effective</w:t>
      </w:r>
      <w:r w:rsidR="003D67C4">
        <w:rPr>
          <w:rFonts w:ascii="Arial Narrow" w:eastAsia="Batang" w:hAnsi="Arial Narrow" w:cs="Arial"/>
          <w:bCs/>
          <w:color w:val="0000CC"/>
          <w:sz w:val="72"/>
          <w:szCs w:val="72"/>
        </w:rPr>
        <w:t xml:space="preserve"> </w:t>
      </w:r>
    </w:p>
    <w:p w14:paraId="71C1E9E6" w14:textId="6CAC445C" w:rsidR="00403043" w:rsidRPr="0022049E" w:rsidRDefault="00272F05" w:rsidP="1F86E016">
      <w:pPr>
        <w:spacing w:before="60" w:after="60"/>
        <w:jc w:val="center"/>
        <w:rPr>
          <w:rFonts w:ascii="Arial Narrow" w:eastAsia="Batang" w:hAnsi="Arial Narrow" w:cs="Arial"/>
          <w:color w:val="0000CC"/>
          <w:sz w:val="80"/>
          <w:szCs w:val="80"/>
        </w:rPr>
      </w:pPr>
      <w:r w:rsidRPr="1F86E016">
        <w:rPr>
          <w:rFonts w:ascii="Arial Narrow" w:eastAsia="Batang" w:hAnsi="Arial Narrow" w:cs="Arial"/>
          <w:color w:val="0000CC"/>
          <w:sz w:val="72"/>
          <w:szCs w:val="72"/>
        </w:rPr>
        <w:t>Transition to College Programs</w:t>
      </w:r>
    </w:p>
    <w:p w14:paraId="37371052" w14:textId="77777777" w:rsidR="0053200A" w:rsidRDefault="0053200A" w:rsidP="0047675C"/>
    <w:p w14:paraId="5679E5B1" w14:textId="77777777" w:rsidR="00BD4638" w:rsidRDefault="00BD4638" w:rsidP="0047675C"/>
    <w:p w14:paraId="1D6D9138" w14:textId="77777777" w:rsidR="00BD4638" w:rsidRDefault="00BD4638" w:rsidP="0047675C"/>
    <w:p w14:paraId="0F68C3A0" w14:textId="77777777" w:rsidR="00BD4638" w:rsidRDefault="00BD4638" w:rsidP="0047675C"/>
    <w:p w14:paraId="41258008" w14:textId="77777777" w:rsidR="001A7BD5" w:rsidRDefault="001A7BD5" w:rsidP="0047675C"/>
    <w:p w14:paraId="56AD8181" w14:textId="77777777" w:rsidR="001A7BD5" w:rsidRDefault="001A7BD5" w:rsidP="0047675C"/>
    <w:p w14:paraId="594E2075" w14:textId="77777777" w:rsidR="001A7BD5" w:rsidRDefault="001A7BD5" w:rsidP="0047675C"/>
    <w:p w14:paraId="2540063E" w14:textId="77777777" w:rsidR="001A7BD5" w:rsidRDefault="001A7BD5" w:rsidP="0047675C"/>
    <w:p w14:paraId="243C34EB" w14:textId="77777777" w:rsidR="001A7BD5" w:rsidRDefault="001A7BD5" w:rsidP="0047675C"/>
    <w:p w14:paraId="34C6DE48" w14:textId="77777777" w:rsidR="001A7BD5" w:rsidRDefault="001A7BD5" w:rsidP="0047675C"/>
    <w:p w14:paraId="32E54E5D" w14:textId="77777777" w:rsidR="007544CB" w:rsidRDefault="007544CB" w:rsidP="0047675C"/>
    <w:p w14:paraId="5C50FD18" w14:textId="77777777" w:rsidR="007544CB" w:rsidRDefault="007544CB" w:rsidP="0047675C"/>
    <w:p w14:paraId="6CF6B122" w14:textId="77777777" w:rsidR="007544CB" w:rsidRDefault="007544CB" w:rsidP="0047675C"/>
    <w:p w14:paraId="57BBBCF3" w14:textId="77777777" w:rsidR="007544CB" w:rsidRDefault="007544CB" w:rsidP="0047675C"/>
    <w:p w14:paraId="0E21AAFA" w14:textId="77777777" w:rsidR="007544CB" w:rsidRDefault="007544CB" w:rsidP="0047675C"/>
    <w:p w14:paraId="4C4A51DD" w14:textId="77777777" w:rsidR="00F56409" w:rsidRDefault="00F44D29" w:rsidP="005F7D97">
      <w:pPr>
        <w:jc w:val="center"/>
      </w:pPr>
      <w:r w:rsidRPr="00F44D29">
        <w:rPr>
          <w:noProof/>
        </w:rPr>
        <w:drawing>
          <wp:inline distT="0" distB="0" distL="0" distR="0" wp14:anchorId="3ED97FAF" wp14:editId="390422DC">
            <wp:extent cx="2219325" cy="1079314"/>
            <wp:effectExtent l="0" t="0" r="9525" b="0"/>
            <wp:docPr id="7"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695x338_color.gif"/>
                    <pic:cNvPicPr/>
                  </pic:nvPicPr>
                  <pic:blipFill>
                    <a:blip r:embed="rId11" cstate="print"/>
                    <a:stretch>
                      <a:fillRect/>
                    </a:stretch>
                  </pic:blipFill>
                  <pic:spPr>
                    <a:xfrm>
                      <a:off x="0" y="0"/>
                      <a:ext cx="2224246" cy="1081707"/>
                    </a:xfrm>
                    <a:prstGeom prst="rect">
                      <a:avLst/>
                    </a:prstGeom>
                  </pic:spPr>
                </pic:pic>
              </a:graphicData>
            </a:graphic>
          </wp:inline>
        </w:drawing>
      </w:r>
    </w:p>
    <w:p w14:paraId="120079C7" w14:textId="77777777" w:rsidR="00157704" w:rsidRPr="00157704" w:rsidRDefault="00157704" w:rsidP="005A627D">
      <w:pPr>
        <w:spacing w:before="240"/>
        <w:jc w:val="center"/>
        <w:rPr>
          <w:rStyle w:val="Hyperlink"/>
          <w:rFonts w:ascii="Arial Narrow" w:eastAsia="FangSong" w:hAnsi="Arial Narrow" w:cs="Arial"/>
          <w:bCs/>
          <w:sz w:val="32"/>
          <w:szCs w:val="32"/>
        </w:rPr>
      </w:pPr>
      <w:r w:rsidRPr="00157704">
        <w:rPr>
          <w:rFonts w:ascii="Arial Narrow" w:eastAsia="FangSong" w:hAnsi="Arial Narrow" w:cs="Arial"/>
          <w:bCs/>
          <w:color w:val="0000CC"/>
          <w:sz w:val="32"/>
          <w:szCs w:val="32"/>
        </w:rPr>
        <w:fldChar w:fldCharType="begin"/>
      </w:r>
      <w:r w:rsidRPr="00157704">
        <w:rPr>
          <w:rFonts w:ascii="Arial Narrow" w:eastAsia="FangSong" w:hAnsi="Arial Narrow" w:cs="Arial"/>
          <w:bCs/>
          <w:color w:val="0000CC"/>
          <w:sz w:val="32"/>
          <w:szCs w:val="32"/>
        </w:rPr>
        <w:instrText xml:space="preserve"> HYPERLINK "http://www.doe.mass.edu/acls" </w:instrText>
      </w:r>
      <w:r w:rsidRPr="00157704">
        <w:rPr>
          <w:rFonts w:ascii="Arial Narrow" w:eastAsia="FangSong" w:hAnsi="Arial Narrow" w:cs="Arial"/>
          <w:bCs/>
          <w:color w:val="0000CC"/>
          <w:sz w:val="32"/>
          <w:szCs w:val="32"/>
        </w:rPr>
        <w:fldChar w:fldCharType="separate"/>
      </w:r>
      <w:r w:rsidRPr="00157704">
        <w:rPr>
          <w:rStyle w:val="Hyperlink"/>
          <w:rFonts w:ascii="Arial Narrow" w:eastAsia="FangSong" w:hAnsi="Arial Narrow" w:cs="Arial"/>
          <w:bCs/>
          <w:sz w:val="32"/>
          <w:szCs w:val="32"/>
        </w:rPr>
        <w:t>Adult and Community Learning Services (ACLS)</w:t>
      </w:r>
    </w:p>
    <w:p w14:paraId="374C735A" w14:textId="77777777" w:rsidR="00157704" w:rsidRPr="00157704" w:rsidRDefault="00157704" w:rsidP="00157704">
      <w:pPr>
        <w:jc w:val="center"/>
        <w:rPr>
          <w:rFonts w:ascii="Arial Narrow" w:eastAsia="FangSong" w:hAnsi="Arial Narrow" w:cs="Arial"/>
          <w:bCs/>
          <w:color w:val="0000CC"/>
          <w:sz w:val="28"/>
          <w:szCs w:val="28"/>
        </w:rPr>
      </w:pPr>
      <w:r w:rsidRPr="00157704">
        <w:rPr>
          <w:rFonts w:ascii="Arial Narrow" w:eastAsia="FangSong" w:hAnsi="Arial Narrow" w:cs="Arial"/>
          <w:bCs/>
          <w:color w:val="0000CC"/>
          <w:sz w:val="32"/>
          <w:szCs w:val="32"/>
        </w:rPr>
        <w:fldChar w:fldCharType="end"/>
      </w:r>
      <w:r w:rsidRPr="00157704">
        <w:rPr>
          <w:rFonts w:ascii="Arial Narrow" w:eastAsia="FangSong" w:hAnsi="Arial Narrow" w:cs="Arial"/>
          <w:bCs/>
          <w:color w:val="0000CC"/>
          <w:sz w:val="28"/>
          <w:szCs w:val="28"/>
        </w:rPr>
        <w:t>75 Pleasant Street</w:t>
      </w:r>
    </w:p>
    <w:p w14:paraId="0AF2160C" w14:textId="77777777" w:rsidR="00157704" w:rsidRDefault="00157704" w:rsidP="00157704">
      <w:pPr>
        <w:jc w:val="center"/>
        <w:rPr>
          <w:rFonts w:ascii="Arial Narrow" w:eastAsia="FangSong" w:hAnsi="Arial Narrow" w:cs="Arial"/>
          <w:bCs/>
          <w:color w:val="0000CC"/>
          <w:sz w:val="28"/>
          <w:szCs w:val="28"/>
        </w:rPr>
      </w:pPr>
      <w:r w:rsidRPr="00157704">
        <w:rPr>
          <w:rFonts w:ascii="Arial Narrow" w:eastAsia="FangSong" w:hAnsi="Arial Narrow" w:cs="Arial"/>
          <w:bCs/>
          <w:color w:val="0000CC"/>
          <w:sz w:val="28"/>
          <w:szCs w:val="28"/>
        </w:rPr>
        <w:t>Malden, MA 02148-4906</w:t>
      </w:r>
    </w:p>
    <w:p w14:paraId="546282CF" w14:textId="77777777" w:rsidR="00220D4F" w:rsidRDefault="00220D4F" w:rsidP="00157704">
      <w:pPr>
        <w:jc w:val="center"/>
        <w:rPr>
          <w:rFonts w:ascii="Arial Narrow" w:eastAsia="FangSong" w:hAnsi="Arial Narrow" w:cs="Arial"/>
          <w:bCs/>
          <w:color w:val="0000CC"/>
        </w:rPr>
      </w:pPr>
    </w:p>
    <w:p w14:paraId="3FFA030B" w14:textId="77777777" w:rsidR="00220D4F" w:rsidRDefault="00220D4F" w:rsidP="00157704">
      <w:pPr>
        <w:jc w:val="center"/>
        <w:rPr>
          <w:rFonts w:ascii="Arial Narrow" w:eastAsia="FangSong" w:hAnsi="Arial Narrow" w:cs="Arial"/>
          <w:bCs/>
          <w:color w:val="0000CC"/>
          <w:sz w:val="28"/>
          <w:szCs w:val="28"/>
        </w:rPr>
      </w:pPr>
    </w:p>
    <w:p w14:paraId="12EF65C2" w14:textId="77777777" w:rsidR="00220D4F" w:rsidRPr="00157704" w:rsidRDefault="00220D4F" w:rsidP="00157704">
      <w:pPr>
        <w:jc w:val="center"/>
        <w:rPr>
          <w:rFonts w:ascii="Arial Narrow" w:eastAsia="FangSong" w:hAnsi="Arial Narrow" w:cs="Arial"/>
          <w:bCs/>
          <w:color w:val="0000CC"/>
          <w:sz w:val="28"/>
          <w:szCs w:val="28"/>
        </w:rPr>
      </w:pPr>
    </w:p>
    <w:p w14:paraId="30AC69A6" w14:textId="21F8CDA3" w:rsidR="00157704" w:rsidRPr="00157704" w:rsidRDefault="00157704" w:rsidP="00220D4F">
      <w:pPr>
        <w:jc w:val="center"/>
        <w:rPr>
          <w:rFonts w:ascii="Arial Narrow" w:eastAsia="FangSong" w:hAnsi="Arial Narrow" w:cs="Arial"/>
          <w:bCs/>
          <w:color w:val="0000CC"/>
          <w:sz w:val="32"/>
          <w:szCs w:val="32"/>
        </w:rPr>
      </w:pPr>
      <w:r w:rsidRPr="00F40586">
        <w:rPr>
          <w:rFonts w:ascii="Arial Narrow" w:eastAsia="FangSong" w:hAnsi="Arial Narrow" w:cs="Arial"/>
          <w:bCs/>
          <w:color w:val="0000CC"/>
          <w:sz w:val="32"/>
          <w:szCs w:val="32"/>
        </w:rPr>
        <w:t>Posted</w:t>
      </w:r>
      <w:r w:rsidR="00F40586">
        <w:rPr>
          <w:rFonts w:ascii="Arial Narrow" w:eastAsia="FangSong" w:hAnsi="Arial Narrow" w:cs="Arial"/>
          <w:bCs/>
          <w:color w:val="0000CC"/>
          <w:sz w:val="32"/>
          <w:szCs w:val="32"/>
        </w:rPr>
        <w:t>: January 2023</w:t>
      </w:r>
    </w:p>
    <w:p w14:paraId="0A77AC43" w14:textId="77777777" w:rsidR="00863856" w:rsidRDefault="00863856" w:rsidP="00824026">
      <w:pPr>
        <w:rPr>
          <w:rFonts w:ascii="Arial Narrow" w:eastAsia="Batang" w:hAnsi="Arial Narrow" w:cs="Arial"/>
          <w:bCs/>
          <w:color w:val="0000CC"/>
          <w:sz w:val="28"/>
          <w:szCs w:val="28"/>
        </w:rPr>
      </w:pPr>
    </w:p>
    <w:p w14:paraId="716C440F" w14:textId="77777777" w:rsidR="0002393C" w:rsidRDefault="0002393C" w:rsidP="00824026">
      <w:pPr>
        <w:rPr>
          <w:rFonts w:ascii="Arial Narrow" w:eastAsia="Batang" w:hAnsi="Arial Narrow" w:cs="Arial"/>
          <w:bCs/>
          <w:color w:val="0000CC"/>
          <w:sz w:val="28"/>
          <w:szCs w:val="28"/>
        </w:rPr>
      </w:pPr>
    </w:p>
    <w:p w14:paraId="72E4F339" w14:textId="6CFE5DEB" w:rsidR="008A4E8F" w:rsidRDefault="008A4E8F" w:rsidP="00BF4867">
      <w:pPr>
        <w:rPr>
          <w:rFonts w:ascii="Arial Narrow" w:eastAsia="Batang" w:hAnsi="Arial Narrow" w:cs="Arial"/>
          <w:bCs/>
          <w:color w:val="0000CC"/>
          <w:sz w:val="28"/>
          <w:szCs w:val="28"/>
        </w:rPr>
      </w:pPr>
    </w:p>
    <w:p w14:paraId="5453C984" w14:textId="77777777" w:rsidR="008A4E8F" w:rsidRDefault="008A4E8F" w:rsidP="0047675C">
      <w:pPr>
        <w:rPr>
          <w:rFonts w:ascii="Arial Narrow" w:eastAsia="Batang" w:hAnsi="Arial Narrow" w:cs="Arial"/>
          <w:bCs/>
          <w:color w:val="0000CC"/>
          <w:sz w:val="28"/>
          <w:szCs w:val="28"/>
        </w:rPr>
      </w:pPr>
    </w:p>
    <w:p w14:paraId="2D66B7E1" w14:textId="77777777" w:rsidR="008A4E8F" w:rsidRDefault="008A4E8F" w:rsidP="0047675C">
      <w:pPr>
        <w:rPr>
          <w:rFonts w:ascii="Arial Narrow" w:eastAsia="Batang" w:hAnsi="Arial Narrow" w:cs="Arial"/>
          <w:bCs/>
          <w:color w:val="0000CC"/>
          <w:sz w:val="28"/>
          <w:szCs w:val="28"/>
        </w:rPr>
      </w:pPr>
    </w:p>
    <w:p w14:paraId="58A8EDEE" w14:textId="77777777" w:rsidR="008A4E8F" w:rsidRDefault="008A4E8F" w:rsidP="0047675C">
      <w:pPr>
        <w:rPr>
          <w:rFonts w:ascii="Arial Narrow" w:eastAsia="Batang" w:hAnsi="Arial Narrow" w:cs="Arial"/>
          <w:bCs/>
          <w:color w:val="0000CC"/>
          <w:sz w:val="28"/>
          <w:szCs w:val="28"/>
        </w:rPr>
      </w:pPr>
    </w:p>
    <w:p w14:paraId="63BCB054" w14:textId="77777777" w:rsidR="008A4E8F" w:rsidRDefault="008A4E8F" w:rsidP="0047675C">
      <w:pPr>
        <w:rPr>
          <w:rFonts w:ascii="Arial Narrow" w:eastAsia="Batang" w:hAnsi="Arial Narrow" w:cs="Arial"/>
          <w:bCs/>
          <w:color w:val="0000CC"/>
          <w:sz w:val="28"/>
          <w:szCs w:val="28"/>
        </w:rPr>
      </w:pPr>
    </w:p>
    <w:p w14:paraId="58C583CB" w14:textId="77777777" w:rsidR="008A4E8F" w:rsidRDefault="008A4E8F" w:rsidP="0047675C">
      <w:pPr>
        <w:rPr>
          <w:rFonts w:ascii="Arial Narrow" w:eastAsia="Batang" w:hAnsi="Arial Narrow" w:cs="Arial"/>
          <w:bCs/>
          <w:color w:val="0000CC"/>
          <w:sz w:val="28"/>
          <w:szCs w:val="28"/>
        </w:rPr>
      </w:pPr>
    </w:p>
    <w:p w14:paraId="2C5DF790" w14:textId="77777777" w:rsidR="008A4E8F" w:rsidRDefault="008A4E8F" w:rsidP="0047675C">
      <w:pPr>
        <w:rPr>
          <w:rFonts w:ascii="Arial Narrow" w:eastAsia="Batang" w:hAnsi="Arial Narrow" w:cs="Arial"/>
          <w:bCs/>
          <w:color w:val="0000CC"/>
          <w:sz w:val="28"/>
          <w:szCs w:val="28"/>
        </w:rPr>
      </w:pPr>
    </w:p>
    <w:p w14:paraId="2BEF099C" w14:textId="77777777" w:rsidR="008A4E8F" w:rsidRDefault="008A4E8F" w:rsidP="0047675C">
      <w:pPr>
        <w:rPr>
          <w:rFonts w:ascii="Arial Narrow" w:eastAsia="Batang" w:hAnsi="Arial Narrow" w:cs="Arial"/>
          <w:bCs/>
          <w:color w:val="0000CC"/>
          <w:sz w:val="28"/>
          <w:szCs w:val="28"/>
        </w:rPr>
      </w:pPr>
    </w:p>
    <w:p w14:paraId="0C50654A" w14:textId="77777777" w:rsidR="008A4E8F" w:rsidRDefault="008A4E8F" w:rsidP="0047675C">
      <w:pPr>
        <w:rPr>
          <w:rFonts w:ascii="Arial Narrow" w:eastAsia="Batang" w:hAnsi="Arial Narrow" w:cs="Arial"/>
          <w:bCs/>
          <w:color w:val="0000CC"/>
          <w:sz w:val="28"/>
          <w:szCs w:val="28"/>
        </w:rPr>
      </w:pPr>
    </w:p>
    <w:p w14:paraId="034A8388" w14:textId="77777777" w:rsidR="008A4E8F" w:rsidRDefault="008A4E8F" w:rsidP="0047675C">
      <w:pPr>
        <w:rPr>
          <w:rFonts w:ascii="Arial Narrow" w:eastAsia="Batang" w:hAnsi="Arial Narrow" w:cs="Arial"/>
          <w:bCs/>
          <w:color w:val="0000CC"/>
          <w:sz w:val="28"/>
          <w:szCs w:val="28"/>
        </w:rPr>
      </w:pPr>
    </w:p>
    <w:p w14:paraId="5CA49BFF" w14:textId="77777777" w:rsidR="008A4E8F" w:rsidRDefault="008A4E8F" w:rsidP="0047675C">
      <w:pPr>
        <w:rPr>
          <w:rFonts w:ascii="Arial Narrow" w:eastAsia="Batang" w:hAnsi="Arial Narrow" w:cs="Arial"/>
          <w:bCs/>
          <w:color w:val="0000CC"/>
          <w:sz w:val="28"/>
          <w:szCs w:val="28"/>
        </w:rPr>
      </w:pPr>
    </w:p>
    <w:p w14:paraId="32016A32" w14:textId="77777777" w:rsidR="008A4E8F" w:rsidRDefault="008A4E8F" w:rsidP="0047675C">
      <w:pPr>
        <w:rPr>
          <w:rFonts w:ascii="Arial Narrow" w:eastAsia="Batang" w:hAnsi="Arial Narrow" w:cs="Arial"/>
          <w:bCs/>
          <w:color w:val="0000CC"/>
          <w:sz w:val="28"/>
          <w:szCs w:val="28"/>
        </w:rPr>
      </w:pPr>
    </w:p>
    <w:p w14:paraId="7B53C180" w14:textId="77777777" w:rsidR="008A4E8F" w:rsidRDefault="008A4E8F" w:rsidP="0047675C">
      <w:pPr>
        <w:rPr>
          <w:rFonts w:ascii="Arial Narrow" w:eastAsia="Batang" w:hAnsi="Arial Narrow" w:cs="Arial"/>
          <w:bCs/>
          <w:color w:val="0000CC"/>
          <w:sz w:val="28"/>
          <w:szCs w:val="28"/>
        </w:rPr>
      </w:pPr>
    </w:p>
    <w:p w14:paraId="57333453" w14:textId="77777777" w:rsidR="008A4E8F" w:rsidRDefault="008A4E8F" w:rsidP="0047675C">
      <w:pPr>
        <w:rPr>
          <w:rFonts w:ascii="Arial Narrow" w:eastAsia="Batang" w:hAnsi="Arial Narrow" w:cs="Arial"/>
          <w:bCs/>
          <w:color w:val="0000CC"/>
          <w:sz w:val="28"/>
          <w:szCs w:val="28"/>
        </w:rPr>
      </w:pPr>
    </w:p>
    <w:p w14:paraId="1D2B9AC5" w14:textId="77777777" w:rsidR="00773DE1" w:rsidRDefault="00773DE1" w:rsidP="0047675C">
      <w:pPr>
        <w:rPr>
          <w:rFonts w:ascii="Arial Narrow" w:eastAsia="Batang" w:hAnsi="Arial Narrow" w:cs="Arial"/>
          <w:bCs/>
          <w:color w:val="0000CC"/>
          <w:sz w:val="28"/>
          <w:szCs w:val="28"/>
        </w:rPr>
      </w:pPr>
    </w:p>
    <w:p w14:paraId="3BE2F581" w14:textId="77777777" w:rsidR="00773DE1" w:rsidRDefault="00773DE1" w:rsidP="0047675C">
      <w:pPr>
        <w:rPr>
          <w:rFonts w:ascii="Arial Narrow" w:eastAsia="Batang" w:hAnsi="Arial Narrow" w:cs="Arial"/>
          <w:bCs/>
          <w:color w:val="0000CC"/>
          <w:sz w:val="28"/>
          <w:szCs w:val="28"/>
        </w:rPr>
      </w:pPr>
    </w:p>
    <w:p w14:paraId="35C88735" w14:textId="77777777" w:rsidR="008A4E8F" w:rsidRDefault="008A4E8F" w:rsidP="0047675C">
      <w:pPr>
        <w:rPr>
          <w:rFonts w:ascii="Arial Narrow" w:eastAsia="Batang" w:hAnsi="Arial Narrow" w:cs="Arial"/>
          <w:bCs/>
          <w:color w:val="0000CC"/>
          <w:sz w:val="28"/>
          <w:szCs w:val="28"/>
        </w:rPr>
      </w:pPr>
    </w:p>
    <w:p w14:paraId="79471E4F" w14:textId="77777777" w:rsidR="00633FA9" w:rsidRDefault="00633FA9" w:rsidP="0047675C">
      <w:pPr>
        <w:rPr>
          <w:rFonts w:ascii="Arial Narrow" w:eastAsia="Batang" w:hAnsi="Arial Narrow" w:cs="Arial"/>
          <w:bCs/>
          <w:color w:val="0000CC"/>
          <w:sz w:val="28"/>
          <w:szCs w:val="28"/>
        </w:rPr>
      </w:pPr>
    </w:p>
    <w:p w14:paraId="68F7BF8A" w14:textId="77777777" w:rsidR="008A4E8F" w:rsidRDefault="008A4E8F" w:rsidP="0047675C">
      <w:pPr>
        <w:rPr>
          <w:rFonts w:ascii="Arial Narrow" w:eastAsia="Batang" w:hAnsi="Arial Narrow" w:cs="Arial"/>
          <w:bCs/>
          <w:color w:val="0000CC"/>
          <w:sz w:val="28"/>
          <w:szCs w:val="28"/>
        </w:rPr>
      </w:pPr>
    </w:p>
    <w:p w14:paraId="649A327D" w14:textId="77777777" w:rsidR="008E767A" w:rsidRDefault="008E767A" w:rsidP="0047675C">
      <w:pPr>
        <w:rPr>
          <w:rFonts w:ascii="Arial Narrow" w:eastAsia="Batang" w:hAnsi="Arial Narrow" w:cs="Arial"/>
          <w:bCs/>
          <w:color w:val="0000CC"/>
          <w:sz w:val="28"/>
          <w:szCs w:val="28"/>
        </w:rPr>
      </w:pPr>
    </w:p>
    <w:p w14:paraId="48834218" w14:textId="77777777" w:rsidR="008E767A" w:rsidRDefault="008E767A" w:rsidP="0047675C">
      <w:pPr>
        <w:rPr>
          <w:rFonts w:ascii="Arial Narrow" w:eastAsia="Batang" w:hAnsi="Arial Narrow" w:cs="Arial"/>
          <w:bCs/>
          <w:color w:val="0000CC"/>
          <w:sz w:val="28"/>
          <w:szCs w:val="28"/>
        </w:rPr>
      </w:pPr>
    </w:p>
    <w:p w14:paraId="77DEF5B8" w14:textId="77777777" w:rsidR="007A45E2" w:rsidRDefault="007A45E2" w:rsidP="0047675C">
      <w:pPr>
        <w:rPr>
          <w:rFonts w:ascii="Arial Narrow" w:eastAsia="Batang" w:hAnsi="Arial Narrow" w:cs="Arial"/>
          <w:bCs/>
          <w:color w:val="0000CC"/>
          <w:sz w:val="28"/>
          <w:szCs w:val="28"/>
        </w:rPr>
      </w:pPr>
    </w:p>
    <w:p w14:paraId="037BEF52" w14:textId="77777777" w:rsidR="008A4E8F" w:rsidRPr="008A4E8F" w:rsidRDefault="008A4E8F" w:rsidP="005F7D97">
      <w:pPr>
        <w:jc w:val="center"/>
        <w:rPr>
          <w:rFonts w:eastAsia="Batang"/>
          <w:bCs/>
          <w:sz w:val="28"/>
          <w:szCs w:val="28"/>
        </w:rPr>
      </w:pPr>
      <w:r w:rsidRPr="008A4E8F">
        <w:rPr>
          <w:rFonts w:eastAsia="Batang"/>
          <w:bCs/>
          <w:sz w:val="28"/>
          <w:szCs w:val="28"/>
        </w:rPr>
        <w:t>This page intentionally left blank</w:t>
      </w:r>
    </w:p>
    <w:p w14:paraId="29F80895" w14:textId="77777777" w:rsidR="002B004C" w:rsidRDefault="002B004C" w:rsidP="0047675C">
      <w:pPr>
        <w:rPr>
          <w:rFonts w:ascii="Arial Narrow" w:eastAsia="Batang" w:hAnsi="Arial Narrow" w:cs="Arial"/>
          <w:bCs/>
          <w:color w:val="0000CC"/>
          <w:sz w:val="28"/>
          <w:szCs w:val="28"/>
        </w:rPr>
        <w:sectPr w:rsidR="002B004C" w:rsidSect="006953DE">
          <w:headerReference w:type="default" r:id="rId12"/>
          <w:footerReference w:type="default" r:id="rId13"/>
          <w:headerReference w:type="first" r:id="rId14"/>
          <w:footerReference w:type="first" r:id="rId15"/>
          <w:pgSz w:w="12240" w:h="15840" w:code="1"/>
          <w:pgMar w:top="576" w:right="1440" w:bottom="576" w:left="1440" w:header="576" w:footer="576" w:gutter="0"/>
          <w:pgNumType w:start="1"/>
          <w:cols w:space="720"/>
          <w:docGrid w:linePitch="360"/>
        </w:sectPr>
      </w:pPr>
    </w:p>
    <w:bookmarkEnd w:id="0" w:displacedByCustomXml="next"/>
    <w:bookmarkStart w:id="1" w:name="_Toc309293495" w:displacedByCustomXml="next"/>
    <w:bookmarkStart w:id="2" w:name="_Toc309294030" w:displacedByCustomXml="next"/>
    <w:bookmarkStart w:id="3" w:name="_Toc309294689" w:displacedByCustomXml="next"/>
    <w:bookmarkStart w:id="4" w:name="_Toc309294870" w:displacedByCustomXml="next"/>
    <w:bookmarkStart w:id="5" w:name="_Toc309309401" w:displacedByCustomXml="next"/>
    <w:bookmarkStart w:id="6" w:name="_Toc333754109" w:displacedByCustomXml="next"/>
    <w:sdt>
      <w:sdtPr>
        <w:rPr>
          <w:rFonts w:ascii="Times New Roman" w:eastAsia="Times New Roman" w:hAnsi="Times New Roman" w:cs="Times New Roman"/>
          <w:b w:val="0"/>
          <w:bCs w:val="0"/>
          <w:noProof/>
          <w:color w:val="auto"/>
          <w:sz w:val="24"/>
          <w:szCs w:val="24"/>
        </w:rPr>
        <w:id w:val="15982459"/>
        <w:docPartObj>
          <w:docPartGallery w:val="Table of Contents"/>
          <w:docPartUnique/>
        </w:docPartObj>
      </w:sdtPr>
      <w:sdtEndPr>
        <w:rPr>
          <w:rFonts w:eastAsia="Batang"/>
          <w:b/>
          <w:bCs/>
        </w:rPr>
      </w:sdtEndPr>
      <w:sdtContent>
        <w:p w14:paraId="081A1E63" w14:textId="1DA83276" w:rsidR="008E3904" w:rsidRPr="00410C2F" w:rsidRDefault="009B7C5A" w:rsidP="00DD43BC">
          <w:pPr>
            <w:pStyle w:val="TOCHeading"/>
            <w:tabs>
              <w:tab w:val="center" w:pos="4680"/>
              <w:tab w:val="left" w:pos="8590"/>
            </w:tabs>
            <w:spacing w:before="0"/>
            <w:jc w:val="both"/>
          </w:pPr>
          <w:r w:rsidRPr="00A94212">
            <w:t>Table of Contents</w:t>
          </w:r>
        </w:p>
        <w:p w14:paraId="3A7B18D8" w14:textId="7B95716A" w:rsidR="0049668B" w:rsidRDefault="00FC2F5F" w:rsidP="00170512">
          <w:pPr>
            <w:pStyle w:val="TOC2"/>
            <w:rPr>
              <w:rFonts w:asciiTheme="minorHAnsi" w:eastAsiaTheme="minorEastAsia" w:hAnsiTheme="minorHAnsi" w:cstheme="minorBidi"/>
              <w:sz w:val="22"/>
              <w:szCs w:val="22"/>
            </w:rPr>
          </w:pPr>
          <w:r>
            <w:fldChar w:fldCharType="begin"/>
          </w:r>
          <w:r w:rsidR="009B7C5A">
            <w:instrText xml:space="preserve"> TOC \o "1-3" \h \z \u </w:instrText>
          </w:r>
          <w:r>
            <w:fldChar w:fldCharType="separate"/>
          </w:r>
          <w:hyperlink w:anchor="_Toc117504243" w:history="1">
            <w:r w:rsidR="0049668B" w:rsidRPr="007C07C7">
              <w:rPr>
                <w:rStyle w:val="Hyperlink"/>
              </w:rPr>
              <w:t>Introduction and Adult Education Glossary</w:t>
            </w:r>
            <w:r w:rsidR="0049668B">
              <w:rPr>
                <w:webHidden/>
              </w:rPr>
              <w:tab/>
            </w:r>
            <w:r w:rsidR="0049668B">
              <w:rPr>
                <w:webHidden/>
              </w:rPr>
              <w:fldChar w:fldCharType="begin"/>
            </w:r>
            <w:r w:rsidR="0049668B">
              <w:rPr>
                <w:webHidden/>
              </w:rPr>
              <w:instrText xml:space="preserve"> PAGEREF _Toc117504243 \h </w:instrText>
            </w:r>
            <w:r w:rsidR="0049668B">
              <w:rPr>
                <w:webHidden/>
              </w:rPr>
            </w:r>
            <w:r w:rsidR="0049668B">
              <w:rPr>
                <w:webHidden/>
              </w:rPr>
              <w:fldChar w:fldCharType="separate"/>
            </w:r>
            <w:r w:rsidR="0049668B">
              <w:rPr>
                <w:webHidden/>
              </w:rPr>
              <w:t>1</w:t>
            </w:r>
            <w:r w:rsidR="0049668B">
              <w:rPr>
                <w:webHidden/>
              </w:rPr>
              <w:fldChar w:fldCharType="end"/>
            </w:r>
          </w:hyperlink>
        </w:p>
        <w:p w14:paraId="1F74FBD9" w14:textId="63B9E1B6" w:rsidR="0049668B" w:rsidRPr="0049668B" w:rsidRDefault="001F44A4" w:rsidP="00170512">
          <w:pPr>
            <w:pStyle w:val="TOC2"/>
            <w:rPr>
              <w:rFonts w:asciiTheme="minorHAnsi" w:eastAsiaTheme="minorEastAsia" w:hAnsiTheme="minorHAnsi" w:cstheme="minorBidi"/>
              <w:sz w:val="22"/>
              <w:szCs w:val="22"/>
            </w:rPr>
          </w:pPr>
          <w:hyperlink w:anchor="_Toc117504244" w:history="1">
            <w:r w:rsidR="0049668B" w:rsidRPr="0049668B">
              <w:rPr>
                <w:rStyle w:val="Hyperlink"/>
              </w:rPr>
              <w:t>Overview</w:t>
            </w:r>
            <w:r w:rsidR="0049668B" w:rsidRPr="0049668B">
              <w:rPr>
                <w:webHidden/>
              </w:rPr>
              <w:tab/>
            </w:r>
            <w:r w:rsidR="00170512">
              <w:rPr>
                <w:webHidden/>
              </w:rPr>
              <w:t>………………………………………………………………………………………..</w:t>
            </w:r>
            <w:r w:rsidR="0049668B" w:rsidRPr="0049668B">
              <w:rPr>
                <w:webHidden/>
              </w:rPr>
              <w:fldChar w:fldCharType="begin"/>
            </w:r>
            <w:r w:rsidR="0049668B" w:rsidRPr="0049668B">
              <w:rPr>
                <w:webHidden/>
              </w:rPr>
              <w:instrText xml:space="preserve"> PAGEREF _Toc117504244 \h </w:instrText>
            </w:r>
            <w:r w:rsidR="0049668B" w:rsidRPr="0049668B">
              <w:rPr>
                <w:webHidden/>
              </w:rPr>
            </w:r>
            <w:r w:rsidR="0049668B" w:rsidRPr="0049668B">
              <w:rPr>
                <w:webHidden/>
              </w:rPr>
              <w:fldChar w:fldCharType="separate"/>
            </w:r>
            <w:r w:rsidR="0049668B" w:rsidRPr="0049668B">
              <w:rPr>
                <w:webHidden/>
              </w:rPr>
              <w:t>2</w:t>
            </w:r>
            <w:r w:rsidR="0049668B" w:rsidRPr="0049668B">
              <w:rPr>
                <w:webHidden/>
              </w:rPr>
              <w:fldChar w:fldCharType="end"/>
            </w:r>
          </w:hyperlink>
        </w:p>
        <w:p w14:paraId="65EE8474" w14:textId="47FC3832" w:rsidR="0049668B" w:rsidRPr="0049668B" w:rsidRDefault="001F44A4" w:rsidP="0049668B">
          <w:pPr>
            <w:pStyle w:val="TOC3"/>
            <w:rPr>
              <w:rFonts w:asciiTheme="minorHAnsi" w:eastAsiaTheme="minorEastAsia" w:hAnsiTheme="minorHAnsi" w:cstheme="minorBidi"/>
              <w:szCs w:val="22"/>
            </w:rPr>
          </w:pPr>
          <w:hyperlink w:anchor="_Toc117504245" w:history="1">
            <w:r w:rsidR="0049668B" w:rsidRPr="0049668B">
              <w:rPr>
                <w:rStyle w:val="Hyperlink"/>
              </w:rPr>
              <w:t>Department of Elementary and Secondary Education Goal (DESE)</w:t>
            </w:r>
            <w:r w:rsidR="0049668B" w:rsidRPr="0049668B">
              <w:rPr>
                <w:webHidden/>
              </w:rPr>
              <w:tab/>
            </w:r>
            <w:r w:rsidR="0049668B" w:rsidRPr="0049668B">
              <w:rPr>
                <w:webHidden/>
              </w:rPr>
              <w:fldChar w:fldCharType="begin"/>
            </w:r>
            <w:r w:rsidR="0049668B" w:rsidRPr="0049668B">
              <w:rPr>
                <w:webHidden/>
              </w:rPr>
              <w:instrText xml:space="preserve"> PAGEREF _Toc117504245 \h </w:instrText>
            </w:r>
            <w:r w:rsidR="0049668B" w:rsidRPr="0049668B">
              <w:rPr>
                <w:webHidden/>
              </w:rPr>
            </w:r>
            <w:r w:rsidR="0049668B" w:rsidRPr="0049668B">
              <w:rPr>
                <w:webHidden/>
              </w:rPr>
              <w:fldChar w:fldCharType="separate"/>
            </w:r>
            <w:r w:rsidR="0049668B" w:rsidRPr="0049668B">
              <w:rPr>
                <w:webHidden/>
              </w:rPr>
              <w:t>2</w:t>
            </w:r>
            <w:r w:rsidR="0049668B" w:rsidRPr="0049668B">
              <w:rPr>
                <w:webHidden/>
              </w:rPr>
              <w:fldChar w:fldCharType="end"/>
            </w:r>
          </w:hyperlink>
        </w:p>
        <w:p w14:paraId="0A5C4111" w14:textId="5341D784" w:rsidR="0049668B" w:rsidRPr="0049668B" w:rsidRDefault="001F44A4" w:rsidP="0049668B">
          <w:pPr>
            <w:pStyle w:val="TOC3"/>
            <w:rPr>
              <w:rFonts w:asciiTheme="minorHAnsi" w:eastAsiaTheme="minorEastAsia" w:hAnsiTheme="minorHAnsi" w:cstheme="minorBidi"/>
              <w:szCs w:val="22"/>
            </w:rPr>
          </w:pPr>
          <w:hyperlink w:anchor="_Toc117504246" w:history="1">
            <w:r w:rsidR="0049668B" w:rsidRPr="0049668B">
              <w:rPr>
                <w:rStyle w:val="Hyperlink"/>
              </w:rPr>
              <w:t>Center for Educational Options Mission</w:t>
            </w:r>
            <w:r w:rsidR="0049668B" w:rsidRPr="0049668B">
              <w:rPr>
                <w:webHidden/>
              </w:rPr>
              <w:tab/>
            </w:r>
            <w:r w:rsidR="0049668B" w:rsidRPr="0049668B">
              <w:rPr>
                <w:webHidden/>
              </w:rPr>
              <w:fldChar w:fldCharType="begin"/>
            </w:r>
            <w:r w:rsidR="0049668B" w:rsidRPr="0049668B">
              <w:rPr>
                <w:webHidden/>
              </w:rPr>
              <w:instrText xml:space="preserve"> PAGEREF _Toc117504246 \h </w:instrText>
            </w:r>
            <w:r w:rsidR="0049668B" w:rsidRPr="0049668B">
              <w:rPr>
                <w:webHidden/>
              </w:rPr>
            </w:r>
            <w:r w:rsidR="0049668B" w:rsidRPr="0049668B">
              <w:rPr>
                <w:webHidden/>
              </w:rPr>
              <w:fldChar w:fldCharType="separate"/>
            </w:r>
            <w:r w:rsidR="0049668B" w:rsidRPr="0049668B">
              <w:rPr>
                <w:webHidden/>
              </w:rPr>
              <w:t>2</w:t>
            </w:r>
            <w:r w:rsidR="0049668B" w:rsidRPr="0049668B">
              <w:rPr>
                <w:webHidden/>
              </w:rPr>
              <w:fldChar w:fldCharType="end"/>
            </w:r>
          </w:hyperlink>
        </w:p>
        <w:p w14:paraId="1038E45F" w14:textId="0FC9CCFC" w:rsidR="0049668B" w:rsidRPr="0049668B" w:rsidRDefault="001F44A4" w:rsidP="0049668B">
          <w:pPr>
            <w:pStyle w:val="TOC3"/>
            <w:rPr>
              <w:rFonts w:asciiTheme="minorHAnsi" w:eastAsiaTheme="minorEastAsia" w:hAnsiTheme="minorHAnsi" w:cstheme="minorBidi"/>
              <w:szCs w:val="22"/>
            </w:rPr>
          </w:pPr>
          <w:hyperlink w:anchor="_Toc117504247" w:history="1">
            <w:r w:rsidR="0049668B" w:rsidRPr="0049668B">
              <w:rPr>
                <w:rStyle w:val="Hyperlink"/>
              </w:rPr>
              <w:t>Adult and Community Learning Services Mission</w:t>
            </w:r>
            <w:r w:rsidR="0049668B" w:rsidRPr="0049668B">
              <w:rPr>
                <w:webHidden/>
              </w:rPr>
              <w:tab/>
            </w:r>
            <w:r w:rsidR="0049668B" w:rsidRPr="0049668B">
              <w:rPr>
                <w:webHidden/>
              </w:rPr>
              <w:fldChar w:fldCharType="begin"/>
            </w:r>
            <w:r w:rsidR="0049668B" w:rsidRPr="0049668B">
              <w:rPr>
                <w:webHidden/>
              </w:rPr>
              <w:instrText xml:space="preserve"> PAGEREF _Toc117504247 \h </w:instrText>
            </w:r>
            <w:r w:rsidR="0049668B" w:rsidRPr="0049668B">
              <w:rPr>
                <w:webHidden/>
              </w:rPr>
            </w:r>
            <w:r w:rsidR="0049668B" w:rsidRPr="0049668B">
              <w:rPr>
                <w:webHidden/>
              </w:rPr>
              <w:fldChar w:fldCharType="separate"/>
            </w:r>
            <w:r w:rsidR="0049668B" w:rsidRPr="0049668B">
              <w:rPr>
                <w:webHidden/>
              </w:rPr>
              <w:t>2</w:t>
            </w:r>
            <w:r w:rsidR="0049668B" w:rsidRPr="0049668B">
              <w:rPr>
                <w:webHidden/>
              </w:rPr>
              <w:fldChar w:fldCharType="end"/>
            </w:r>
          </w:hyperlink>
        </w:p>
        <w:p w14:paraId="719DD704" w14:textId="2290DD82" w:rsidR="0049668B" w:rsidRPr="0049668B" w:rsidRDefault="001F44A4" w:rsidP="0049668B">
          <w:pPr>
            <w:pStyle w:val="TOC3"/>
            <w:rPr>
              <w:rFonts w:asciiTheme="minorHAnsi" w:eastAsiaTheme="minorEastAsia" w:hAnsiTheme="minorHAnsi" w:cstheme="minorBidi"/>
              <w:szCs w:val="22"/>
            </w:rPr>
          </w:pPr>
          <w:hyperlink w:anchor="_Toc117504248" w:history="1">
            <w:r w:rsidR="0049668B" w:rsidRPr="0049668B">
              <w:rPr>
                <w:rStyle w:val="Hyperlink"/>
              </w:rPr>
              <w:t>The Workforce Innovation and Opportunity Act (WIOA)</w:t>
            </w:r>
            <w:r w:rsidR="0049668B" w:rsidRPr="0049668B">
              <w:rPr>
                <w:webHidden/>
              </w:rPr>
              <w:tab/>
            </w:r>
            <w:r w:rsidR="0049668B" w:rsidRPr="0049668B">
              <w:rPr>
                <w:webHidden/>
              </w:rPr>
              <w:fldChar w:fldCharType="begin"/>
            </w:r>
            <w:r w:rsidR="0049668B" w:rsidRPr="0049668B">
              <w:rPr>
                <w:webHidden/>
              </w:rPr>
              <w:instrText xml:space="preserve"> PAGEREF _Toc117504248 \h </w:instrText>
            </w:r>
            <w:r w:rsidR="0049668B" w:rsidRPr="0049668B">
              <w:rPr>
                <w:webHidden/>
              </w:rPr>
            </w:r>
            <w:r w:rsidR="0049668B" w:rsidRPr="0049668B">
              <w:rPr>
                <w:webHidden/>
              </w:rPr>
              <w:fldChar w:fldCharType="separate"/>
            </w:r>
            <w:r w:rsidR="0049668B" w:rsidRPr="0049668B">
              <w:rPr>
                <w:webHidden/>
              </w:rPr>
              <w:t>2</w:t>
            </w:r>
            <w:r w:rsidR="0049668B" w:rsidRPr="0049668B">
              <w:rPr>
                <w:webHidden/>
              </w:rPr>
              <w:fldChar w:fldCharType="end"/>
            </w:r>
          </w:hyperlink>
        </w:p>
        <w:p w14:paraId="4F4EB1BC" w14:textId="75C4BB2D" w:rsidR="0049668B" w:rsidRPr="0049668B" w:rsidRDefault="001F44A4" w:rsidP="0049668B">
          <w:pPr>
            <w:pStyle w:val="TOC3"/>
            <w:rPr>
              <w:rFonts w:asciiTheme="minorHAnsi" w:eastAsiaTheme="minorEastAsia" w:hAnsiTheme="minorHAnsi" w:cstheme="minorBidi"/>
              <w:szCs w:val="22"/>
            </w:rPr>
          </w:pPr>
          <w:hyperlink w:anchor="_Toc117504249" w:history="1">
            <w:r w:rsidR="0049668B" w:rsidRPr="0049668B">
              <w:rPr>
                <w:rStyle w:val="Hyperlink"/>
              </w:rPr>
              <w:t>Innovation and Opportunity</w:t>
            </w:r>
            <w:r w:rsidR="0049668B" w:rsidRPr="0049668B">
              <w:rPr>
                <w:webHidden/>
              </w:rPr>
              <w:tab/>
            </w:r>
            <w:r w:rsidR="0049668B" w:rsidRPr="0049668B">
              <w:rPr>
                <w:webHidden/>
              </w:rPr>
              <w:fldChar w:fldCharType="begin"/>
            </w:r>
            <w:r w:rsidR="0049668B" w:rsidRPr="0049668B">
              <w:rPr>
                <w:webHidden/>
              </w:rPr>
              <w:instrText xml:space="preserve"> PAGEREF _Toc117504249 \h </w:instrText>
            </w:r>
            <w:r w:rsidR="0049668B" w:rsidRPr="0049668B">
              <w:rPr>
                <w:webHidden/>
              </w:rPr>
            </w:r>
            <w:r w:rsidR="0049668B" w:rsidRPr="0049668B">
              <w:rPr>
                <w:webHidden/>
              </w:rPr>
              <w:fldChar w:fldCharType="separate"/>
            </w:r>
            <w:r w:rsidR="0049668B" w:rsidRPr="0049668B">
              <w:rPr>
                <w:webHidden/>
              </w:rPr>
              <w:t>3</w:t>
            </w:r>
            <w:r w:rsidR="0049668B" w:rsidRPr="0049668B">
              <w:rPr>
                <w:webHidden/>
              </w:rPr>
              <w:fldChar w:fldCharType="end"/>
            </w:r>
          </w:hyperlink>
        </w:p>
        <w:p w14:paraId="190547C0" w14:textId="602B2F8B" w:rsidR="0049668B" w:rsidRPr="0049668B" w:rsidRDefault="001F44A4" w:rsidP="0049668B">
          <w:pPr>
            <w:pStyle w:val="TOC3"/>
            <w:rPr>
              <w:rFonts w:asciiTheme="minorHAnsi" w:eastAsiaTheme="minorEastAsia" w:hAnsiTheme="minorHAnsi" w:cstheme="minorBidi"/>
              <w:szCs w:val="22"/>
            </w:rPr>
          </w:pPr>
          <w:hyperlink w:anchor="_Toc117504250" w:history="1">
            <w:r w:rsidR="0049668B" w:rsidRPr="0049668B">
              <w:rPr>
                <w:rStyle w:val="Hyperlink"/>
              </w:rPr>
              <w:t>The Transition to College Program</w:t>
            </w:r>
            <w:r w:rsidR="0049668B" w:rsidRPr="0049668B">
              <w:rPr>
                <w:webHidden/>
              </w:rPr>
              <w:tab/>
            </w:r>
            <w:r w:rsidR="0049668B" w:rsidRPr="0049668B">
              <w:rPr>
                <w:webHidden/>
              </w:rPr>
              <w:fldChar w:fldCharType="begin"/>
            </w:r>
            <w:r w:rsidR="0049668B" w:rsidRPr="0049668B">
              <w:rPr>
                <w:webHidden/>
              </w:rPr>
              <w:instrText xml:space="preserve"> PAGEREF _Toc117504250 \h </w:instrText>
            </w:r>
            <w:r w:rsidR="0049668B" w:rsidRPr="0049668B">
              <w:rPr>
                <w:webHidden/>
              </w:rPr>
            </w:r>
            <w:r w:rsidR="0049668B" w:rsidRPr="0049668B">
              <w:rPr>
                <w:webHidden/>
              </w:rPr>
              <w:fldChar w:fldCharType="separate"/>
            </w:r>
            <w:r w:rsidR="0049668B" w:rsidRPr="0049668B">
              <w:rPr>
                <w:webHidden/>
              </w:rPr>
              <w:t>3</w:t>
            </w:r>
            <w:r w:rsidR="0049668B" w:rsidRPr="0049668B">
              <w:rPr>
                <w:webHidden/>
              </w:rPr>
              <w:fldChar w:fldCharType="end"/>
            </w:r>
          </w:hyperlink>
        </w:p>
        <w:p w14:paraId="7A9E4B0A" w14:textId="533BCCD9" w:rsidR="0049668B" w:rsidRPr="0049668B" w:rsidRDefault="001F44A4" w:rsidP="0049668B">
          <w:pPr>
            <w:pStyle w:val="TOC3"/>
            <w:rPr>
              <w:rFonts w:asciiTheme="minorHAnsi" w:eastAsiaTheme="minorEastAsia" w:hAnsiTheme="minorHAnsi" w:cstheme="minorBidi"/>
              <w:szCs w:val="22"/>
            </w:rPr>
          </w:pPr>
          <w:hyperlink w:anchor="_Toc117504251" w:history="1">
            <w:r w:rsidR="0049668B" w:rsidRPr="0049668B">
              <w:rPr>
                <w:rStyle w:val="Hyperlink"/>
              </w:rPr>
              <w:t>The Role of the College</w:t>
            </w:r>
            <w:r w:rsidR="0049668B" w:rsidRPr="0049668B">
              <w:rPr>
                <w:webHidden/>
              </w:rPr>
              <w:tab/>
            </w:r>
            <w:r w:rsidR="0049668B" w:rsidRPr="0049668B">
              <w:rPr>
                <w:webHidden/>
              </w:rPr>
              <w:fldChar w:fldCharType="begin"/>
            </w:r>
            <w:r w:rsidR="0049668B" w:rsidRPr="0049668B">
              <w:rPr>
                <w:webHidden/>
              </w:rPr>
              <w:instrText xml:space="preserve"> PAGEREF _Toc117504251 \h </w:instrText>
            </w:r>
            <w:r w:rsidR="0049668B" w:rsidRPr="0049668B">
              <w:rPr>
                <w:webHidden/>
              </w:rPr>
            </w:r>
            <w:r w:rsidR="0049668B" w:rsidRPr="0049668B">
              <w:rPr>
                <w:webHidden/>
              </w:rPr>
              <w:fldChar w:fldCharType="separate"/>
            </w:r>
            <w:r w:rsidR="0049668B" w:rsidRPr="0049668B">
              <w:rPr>
                <w:webHidden/>
              </w:rPr>
              <w:t>3</w:t>
            </w:r>
            <w:r w:rsidR="0049668B" w:rsidRPr="0049668B">
              <w:rPr>
                <w:webHidden/>
              </w:rPr>
              <w:fldChar w:fldCharType="end"/>
            </w:r>
          </w:hyperlink>
        </w:p>
        <w:p w14:paraId="25B1CAFA" w14:textId="0E129470" w:rsidR="0049668B" w:rsidRPr="0049668B" w:rsidRDefault="001F44A4" w:rsidP="00170512">
          <w:pPr>
            <w:pStyle w:val="TOC2"/>
            <w:rPr>
              <w:rFonts w:asciiTheme="minorHAnsi" w:eastAsiaTheme="minorEastAsia" w:hAnsiTheme="minorHAnsi" w:cstheme="minorBidi"/>
              <w:sz w:val="22"/>
              <w:szCs w:val="22"/>
            </w:rPr>
          </w:pPr>
          <w:hyperlink w:anchor="_Toc117504252" w:history="1">
            <w:r w:rsidR="0049668B" w:rsidRPr="0049668B">
              <w:rPr>
                <w:rStyle w:val="Hyperlink"/>
              </w:rPr>
              <w:t>Chapter 1:  Indicator 1: Program Design</w:t>
            </w:r>
            <w:r w:rsidR="0049668B" w:rsidRPr="0049668B">
              <w:rPr>
                <w:webHidden/>
              </w:rPr>
              <w:tab/>
            </w:r>
            <w:r w:rsidR="0049668B" w:rsidRPr="0049668B">
              <w:rPr>
                <w:webHidden/>
              </w:rPr>
              <w:fldChar w:fldCharType="begin"/>
            </w:r>
            <w:r w:rsidR="0049668B" w:rsidRPr="0049668B">
              <w:rPr>
                <w:webHidden/>
              </w:rPr>
              <w:instrText xml:space="preserve"> PAGEREF _Toc117504252 \h </w:instrText>
            </w:r>
            <w:r w:rsidR="0049668B" w:rsidRPr="0049668B">
              <w:rPr>
                <w:webHidden/>
              </w:rPr>
            </w:r>
            <w:r w:rsidR="0049668B" w:rsidRPr="0049668B">
              <w:rPr>
                <w:webHidden/>
              </w:rPr>
              <w:fldChar w:fldCharType="separate"/>
            </w:r>
            <w:r w:rsidR="0049668B" w:rsidRPr="0049668B">
              <w:rPr>
                <w:webHidden/>
              </w:rPr>
              <w:t>4</w:t>
            </w:r>
            <w:r w:rsidR="0049668B" w:rsidRPr="0049668B">
              <w:rPr>
                <w:webHidden/>
              </w:rPr>
              <w:fldChar w:fldCharType="end"/>
            </w:r>
          </w:hyperlink>
        </w:p>
        <w:p w14:paraId="30C4948A" w14:textId="0B9BAFDE" w:rsidR="0049668B" w:rsidRPr="0049668B" w:rsidRDefault="001F44A4" w:rsidP="0049668B">
          <w:pPr>
            <w:pStyle w:val="TOC3"/>
            <w:rPr>
              <w:rFonts w:asciiTheme="minorHAnsi" w:eastAsiaTheme="minorEastAsia" w:hAnsiTheme="minorHAnsi" w:cstheme="minorBidi"/>
              <w:szCs w:val="22"/>
            </w:rPr>
          </w:pPr>
          <w:hyperlink w:anchor="_Toc117504253" w:history="1">
            <w:r w:rsidR="0049668B" w:rsidRPr="0049668B">
              <w:rPr>
                <w:rStyle w:val="Hyperlink"/>
              </w:rPr>
              <w:t>Diverse Populations</w:t>
            </w:r>
            <w:r w:rsidR="0049668B" w:rsidRPr="0049668B">
              <w:rPr>
                <w:webHidden/>
              </w:rPr>
              <w:tab/>
            </w:r>
            <w:r w:rsidR="0049668B" w:rsidRPr="0049668B">
              <w:rPr>
                <w:webHidden/>
              </w:rPr>
              <w:fldChar w:fldCharType="begin"/>
            </w:r>
            <w:r w:rsidR="0049668B" w:rsidRPr="0049668B">
              <w:rPr>
                <w:webHidden/>
              </w:rPr>
              <w:instrText xml:space="preserve"> PAGEREF _Toc117504253 \h </w:instrText>
            </w:r>
            <w:r w:rsidR="0049668B" w:rsidRPr="0049668B">
              <w:rPr>
                <w:webHidden/>
              </w:rPr>
            </w:r>
            <w:r w:rsidR="0049668B" w:rsidRPr="0049668B">
              <w:rPr>
                <w:webHidden/>
              </w:rPr>
              <w:fldChar w:fldCharType="separate"/>
            </w:r>
            <w:r w:rsidR="0049668B" w:rsidRPr="0049668B">
              <w:rPr>
                <w:webHidden/>
              </w:rPr>
              <w:t>4</w:t>
            </w:r>
            <w:r w:rsidR="0049668B" w:rsidRPr="0049668B">
              <w:rPr>
                <w:webHidden/>
              </w:rPr>
              <w:fldChar w:fldCharType="end"/>
            </w:r>
          </w:hyperlink>
        </w:p>
        <w:p w14:paraId="0083430F" w14:textId="41D1414E" w:rsidR="0049668B" w:rsidRPr="0049668B" w:rsidRDefault="001F44A4" w:rsidP="0049668B">
          <w:pPr>
            <w:pStyle w:val="TOC3"/>
            <w:rPr>
              <w:rFonts w:asciiTheme="minorHAnsi" w:eastAsiaTheme="minorEastAsia" w:hAnsiTheme="minorHAnsi" w:cstheme="minorBidi"/>
              <w:szCs w:val="22"/>
            </w:rPr>
          </w:pPr>
          <w:hyperlink w:anchor="_Toc117504254" w:history="1">
            <w:r w:rsidR="0049668B" w:rsidRPr="0049668B">
              <w:rPr>
                <w:rStyle w:val="Hyperlink"/>
              </w:rPr>
              <w:t>Enrollment  Policy</w:t>
            </w:r>
            <w:r w:rsidR="0049668B" w:rsidRPr="0049668B">
              <w:rPr>
                <w:webHidden/>
              </w:rPr>
              <w:tab/>
            </w:r>
            <w:r w:rsidR="0049668B" w:rsidRPr="0049668B">
              <w:rPr>
                <w:webHidden/>
              </w:rPr>
              <w:fldChar w:fldCharType="begin"/>
            </w:r>
            <w:r w:rsidR="0049668B" w:rsidRPr="0049668B">
              <w:rPr>
                <w:webHidden/>
              </w:rPr>
              <w:instrText xml:space="preserve"> PAGEREF _Toc117504254 \h </w:instrText>
            </w:r>
            <w:r w:rsidR="0049668B" w:rsidRPr="0049668B">
              <w:rPr>
                <w:webHidden/>
              </w:rPr>
            </w:r>
            <w:r w:rsidR="0049668B" w:rsidRPr="0049668B">
              <w:rPr>
                <w:webHidden/>
              </w:rPr>
              <w:fldChar w:fldCharType="separate"/>
            </w:r>
            <w:r w:rsidR="0049668B" w:rsidRPr="0049668B">
              <w:rPr>
                <w:webHidden/>
              </w:rPr>
              <w:t>4</w:t>
            </w:r>
            <w:r w:rsidR="0049668B" w:rsidRPr="0049668B">
              <w:rPr>
                <w:webHidden/>
              </w:rPr>
              <w:fldChar w:fldCharType="end"/>
            </w:r>
          </w:hyperlink>
        </w:p>
        <w:p w14:paraId="46B05085" w14:textId="67A7DF54" w:rsidR="0049668B" w:rsidRPr="0049668B" w:rsidRDefault="001F44A4" w:rsidP="0049668B">
          <w:pPr>
            <w:pStyle w:val="TOC3"/>
            <w:rPr>
              <w:rFonts w:asciiTheme="minorHAnsi" w:eastAsiaTheme="minorEastAsia" w:hAnsiTheme="minorHAnsi" w:cstheme="minorBidi"/>
              <w:szCs w:val="22"/>
            </w:rPr>
          </w:pPr>
          <w:hyperlink w:anchor="_Toc117504255" w:history="1">
            <w:r w:rsidR="0049668B" w:rsidRPr="0049668B">
              <w:rPr>
                <w:rStyle w:val="Hyperlink"/>
              </w:rPr>
              <w:t>Dual Enrollment</w:t>
            </w:r>
            <w:r w:rsidR="0049668B" w:rsidRPr="0049668B">
              <w:rPr>
                <w:webHidden/>
              </w:rPr>
              <w:tab/>
            </w:r>
            <w:r w:rsidR="0049668B" w:rsidRPr="0049668B">
              <w:rPr>
                <w:webHidden/>
              </w:rPr>
              <w:fldChar w:fldCharType="begin"/>
            </w:r>
            <w:r w:rsidR="0049668B" w:rsidRPr="0049668B">
              <w:rPr>
                <w:webHidden/>
              </w:rPr>
              <w:instrText xml:space="preserve"> PAGEREF _Toc117504255 \h </w:instrText>
            </w:r>
            <w:r w:rsidR="0049668B" w:rsidRPr="0049668B">
              <w:rPr>
                <w:webHidden/>
              </w:rPr>
            </w:r>
            <w:r w:rsidR="0049668B" w:rsidRPr="0049668B">
              <w:rPr>
                <w:webHidden/>
              </w:rPr>
              <w:fldChar w:fldCharType="separate"/>
            </w:r>
            <w:r w:rsidR="0049668B" w:rsidRPr="0049668B">
              <w:rPr>
                <w:webHidden/>
              </w:rPr>
              <w:t>4</w:t>
            </w:r>
            <w:r w:rsidR="0049668B" w:rsidRPr="0049668B">
              <w:rPr>
                <w:webHidden/>
              </w:rPr>
              <w:fldChar w:fldCharType="end"/>
            </w:r>
          </w:hyperlink>
        </w:p>
        <w:p w14:paraId="750DCF63" w14:textId="5DC9A817" w:rsidR="0049668B" w:rsidRPr="0049668B" w:rsidRDefault="001F44A4" w:rsidP="0049668B">
          <w:pPr>
            <w:pStyle w:val="TOC3"/>
            <w:rPr>
              <w:rFonts w:asciiTheme="minorHAnsi" w:eastAsiaTheme="minorEastAsia" w:hAnsiTheme="minorHAnsi" w:cstheme="minorBidi"/>
              <w:szCs w:val="22"/>
            </w:rPr>
          </w:pPr>
          <w:hyperlink w:anchor="_Toc117504256" w:history="1">
            <w:r w:rsidR="0049668B" w:rsidRPr="0049668B">
              <w:rPr>
                <w:rStyle w:val="Hyperlink"/>
              </w:rPr>
              <w:t>Required Course</w:t>
            </w:r>
            <w:r w:rsidR="0049668B" w:rsidRPr="0049668B">
              <w:rPr>
                <w:webHidden/>
              </w:rPr>
              <w:tab/>
            </w:r>
            <w:r w:rsidR="0049668B" w:rsidRPr="0049668B">
              <w:rPr>
                <w:webHidden/>
              </w:rPr>
              <w:fldChar w:fldCharType="begin"/>
            </w:r>
            <w:r w:rsidR="0049668B" w:rsidRPr="0049668B">
              <w:rPr>
                <w:webHidden/>
              </w:rPr>
              <w:instrText xml:space="preserve"> PAGEREF _Toc117504256 \h </w:instrText>
            </w:r>
            <w:r w:rsidR="0049668B" w:rsidRPr="0049668B">
              <w:rPr>
                <w:webHidden/>
              </w:rPr>
            </w:r>
            <w:r w:rsidR="0049668B" w:rsidRPr="0049668B">
              <w:rPr>
                <w:webHidden/>
              </w:rPr>
              <w:fldChar w:fldCharType="separate"/>
            </w:r>
            <w:r w:rsidR="0049668B" w:rsidRPr="0049668B">
              <w:rPr>
                <w:webHidden/>
              </w:rPr>
              <w:t>4</w:t>
            </w:r>
            <w:r w:rsidR="0049668B" w:rsidRPr="0049668B">
              <w:rPr>
                <w:webHidden/>
              </w:rPr>
              <w:fldChar w:fldCharType="end"/>
            </w:r>
          </w:hyperlink>
        </w:p>
        <w:p w14:paraId="2DDA02CD" w14:textId="0CEBAD1F" w:rsidR="0049668B" w:rsidRPr="0049668B" w:rsidRDefault="001F44A4" w:rsidP="0049668B">
          <w:pPr>
            <w:pStyle w:val="TOC3"/>
            <w:rPr>
              <w:rFonts w:asciiTheme="minorHAnsi" w:eastAsiaTheme="minorEastAsia" w:hAnsiTheme="minorHAnsi" w:cstheme="minorBidi"/>
              <w:szCs w:val="22"/>
            </w:rPr>
          </w:pPr>
          <w:hyperlink w:anchor="_Toc117504257" w:history="1">
            <w:r w:rsidR="0049668B" w:rsidRPr="0049668B">
              <w:rPr>
                <w:rStyle w:val="Hyperlink"/>
              </w:rPr>
              <w:t>Required Cohort Strategy</w:t>
            </w:r>
            <w:r w:rsidR="0049668B" w:rsidRPr="0049668B">
              <w:rPr>
                <w:webHidden/>
              </w:rPr>
              <w:tab/>
            </w:r>
            <w:r w:rsidR="0049668B" w:rsidRPr="0049668B">
              <w:rPr>
                <w:webHidden/>
              </w:rPr>
              <w:fldChar w:fldCharType="begin"/>
            </w:r>
            <w:r w:rsidR="0049668B" w:rsidRPr="0049668B">
              <w:rPr>
                <w:webHidden/>
              </w:rPr>
              <w:instrText xml:space="preserve"> PAGEREF _Toc117504257 \h </w:instrText>
            </w:r>
            <w:r w:rsidR="0049668B" w:rsidRPr="0049668B">
              <w:rPr>
                <w:webHidden/>
              </w:rPr>
            </w:r>
            <w:r w:rsidR="0049668B" w:rsidRPr="0049668B">
              <w:rPr>
                <w:webHidden/>
              </w:rPr>
              <w:fldChar w:fldCharType="separate"/>
            </w:r>
            <w:r w:rsidR="0049668B" w:rsidRPr="0049668B">
              <w:rPr>
                <w:webHidden/>
              </w:rPr>
              <w:t>4</w:t>
            </w:r>
            <w:r w:rsidR="0049668B" w:rsidRPr="0049668B">
              <w:rPr>
                <w:webHidden/>
              </w:rPr>
              <w:fldChar w:fldCharType="end"/>
            </w:r>
          </w:hyperlink>
        </w:p>
        <w:p w14:paraId="1FAA3370" w14:textId="49949F41" w:rsidR="0049668B" w:rsidRPr="0049668B" w:rsidRDefault="001F44A4" w:rsidP="0049668B">
          <w:pPr>
            <w:pStyle w:val="TOC3"/>
            <w:rPr>
              <w:rFonts w:asciiTheme="minorHAnsi" w:eastAsiaTheme="minorEastAsia" w:hAnsiTheme="minorHAnsi" w:cstheme="minorBidi"/>
              <w:szCs w:val="22"/>
            </w:rPr>
          </w:pPr>
          <w:hyperlink w:anchor="_Toc117504258" w:history="1">
            <w:r w:rsidR="0049668B" w:rsidRPr="0049668B">
              <w:rPr>
                <w:rStyle w:val="Hyperlink"/>
              </w:rPr>
              <w:t>Required College Credits Policy</w:t>
            </w:r>
            <w:r w:rsidR="0049668B" w:rsidRPr="0049668B">
              <w:rPr>
                <w:webHidden/>
              </w:rPr>
              <w:tab/>
            </w:r>
            <w:r w:rsidR="0049668B" w:rsidRPr="0049668B">
              <w:rPr>
                <w:webHidden/>
              </w:rPr>
              <w:fldChar w:fldCharType="begin"/>
            </w:r>
            <w:r w:rsidR="0049668B" w:rsidRPr="0049668B">
              <w:rPr>
                <w:webHidden/>
              </w:rPr>
              <w:instrText xml:space="preserve"> PAGEREF _Toc117504258 \h </w:instrText>
            </w:r>
            <w:r w:rsidR="0049668B" w:rsidRPr="0049668B">
              <w:rPr>
                <w:webHidden/>
              </w:rPr>
            </w:r>
            <w:r w:rsidR="0049668B" w:rsidRPr="0049668B">
              <w:rPr>
                <w:webHidden/>
              </w:rPr>
              <w:fldChar w:fldCharType="separate"/>
            </w:r>
            <w:r w:rsidR="0049668B" w:rsidRPr="0049668B">
              <w:rPr>
                <w:webHidden/>
              </w:rPr>
              <w:t>5</w:t>
            </w:r>
            <w:r w:rsidR="0049668B" w:rsidRPr="0049668B">
              <w:rPr>
                <w:webHidden/>
              </w:rPr>
              <w:fldChar w:fldCharType="end"/>
            </w:r>
          </w:hyperlink>
        </w:p>
        <w:p w14:paraId="5F8415AB" w14:textId="29E2D7EA" w:rsidR="0049668B" w:rsidRPr="0049668B" w:rsidRDefault="001F44A4" w:rsidP="0049668B">
          <w:pPr>
            <w:pStyle w:val="TOC3"/>
            <w:rPr>
              <w:rFonts w:asciiTheme="minorHAnsi" w:eastAsiaTheme="minorEastAsia" w:hAnsiTheme="minorHAnsi" w:cstheme="minorBidi"/>
              <w:szCs w:val="22"/>
            </w:rPr>
          </w:pPr>
          <w:hyperlink w:anchor="_Toc117504259" w:history="1">
            <w:r w:rsidR="0049668B" w:rsidRPr="0049668B">
              <w:rPr>
                <w:rStyle w:val="Hyperlink"/>
              </w:rPr>
              <w:t>No Charges to Students</w:t>
            </w:r>
            <w:r w:rsidR="0049668B" w:rsidRPr="0049668B">
              <w:rPr>
                <w:webHidden/>
              </w:rPr>
              <w:tab/>
            </w:r>
            <w:r w:rsidR="0049668B" w:rsidRPr="0049668B">
              <w:rPr>
                <w:webHidden/>
              </w:rPr>
              <w:fldChar w:fldCharType="begin"/>
            </w:r>
            <w:r w:rsidR="0049668B" w:rsidRPr="0049668B">
              <w:rPr>
                <w:webHidden/>
              </w:rPr>
              <w:instrText xml:space="preserve"> PAGEREF _Toc117504259 \h </w:instrText>
            </w:r>
            <w:r w:rsidR="0049668B" w:rsidRPr="0049668B">
              <w:rPr>
                <w:webHidden/>
              </w:rPr>
            </w:r>
            <w:r w:rsidR="0049668B" w:rsidRPr="0049668B">
              <w:rPr>
                <w:webHidden/>
              </w:rPr>
              <w:fldChar w:fldCharType="separate"/>
            </w:r>
            <w:r w:rsidR="0049668B" w:rsidRPr="0049668B">
              <w:rPr>
                <w:webHidden/>
              </w:rPr>
              <w:t>5</w:t>
            </w:r>
            <w:r w:rsidR="0049668B" w:rsidRPr="0049668B">
              <w:rPr>
                <w:webHidden/>
              </w:rPr>
              <w:fldChar w:fldCharType="end"/>
            </w:r>
          </w:hyperlink>
        </w:p>
        <w:p w14:paraId="694033FC" w14:textId="687A8007" w:rsidR="0049668B" w:rsidRPr="0049668B" w:rsidRDefault="001F44A4" w:rsidP="00170512">
          <w:pPr>
            <w:pStyle w:val="TOC2"/>
            <w:rPr>
              <w:rFonts w:asciiTheme="minorHAnsi" w:eastAsiaTheme="minorEastAsia" w:hAnsiTheme="minorHAnsi" w:cstheme="minorBidi"/>
              <w:sz w:val="22"/>
              <w:szCs w:val="22"/>
            </w:rPr>
          </w:pPr>
          <w:hyperlink w:anchor="_Toc117504260" w:history="1">
            <w:r w:rsidR="0049668B" w:rsidRPr="0049668B">
              <w:rPr>
                <w:rStyle w:val="Hyperlink"/>
              </w:rPr>
              <w:t>Chapter 2:  Indicator 2: Equitable Access</w:t>
            </w:r>
            <w:r w:rsidR="0049668B" w:rsidRPr="0049668B">
              <w:rPr>
                <w:webHidden/>
              </w:rPr>
              <w:tab/>
            </w:r>
            <w:r w:rsidR="0049668B" w:rsidRPr="0049668B">
              <w:rPr>
                <w:webHidden/>
              </w:rPr>
              <w:fldChar w:fldCharType="begin"/>
            </w:r>
            <w:r w:rsidR="0049668B" w:rsidRPr="0049668B">
              <w:rPr>
                <w:webHidden/>
              </w:rPr>
              <w:instrText xml:space="preserve"> PAGEREF _Toc117504260 \h </w:instrText>
            </w:r>
            <w:r w:rsidR="0049668B" w:rsidRPr="0049668B">
              <w:rPr>
                <w:webHidden/>
              </w:rPr>
            </w:r>
            <w:r w:rsidR="0049668B" w:rsidRPr="0049668B">
              <w:rPr>
                <w:webHidden/>
              </w:rPr>
              <w:fldChar w:fldCharType="separate"/>
            </w:r>
            <w:r w:rsidR="0049668B" w:rsidRPr="0049668B">
              <w:rPr>
                <w:webHidden/>
              </w:rPr>
              <w:t>6</w:t>
            </w:r>
            <w:r w:rsidR="0049668B" w:rsidRPr="0049668B">
              <w:rPr>
                <w:webHidden/>
              </w:rPr>
              <w:fldChar w:fldCharType="end"/>
            </w:r>
          </w:hyperlink>
        </w:p>
        <w:p w14:paraId="5F1735D8" w14:textId="53B0D5AB" w:rsidR="0049668B" w:rsidRPr="0049668B" w:rsidRDefault="001F44A4" w:rsidP="0049668B">
          <w:pPr>
            <w:pStyle w:val="TOC3"/>
            <w:rPr>
              <w:rFonts w:asciiTheme="minorHAnsi" w:eastAsiaTheme="minorEastAsia" w:hAnsiTheme="minorHAnsi" w:cstheme="minorBidi"/>
              <w:szCs w:val="22"/>
            </w:rPr>
          </w:pPr>
          <w:hyperlink w:anchor="_Toc117504261" w:history="1">
            <w:r w:rsidR="0049668B" w:rsidRPr="0049668B">
              <w:rPr>
                <w:rStyle w:val="Hyperlink"/>
              </w:rPr>
              <w:t>Eligibility</w:t>
            </w:r>
            <w:r w:rsidR="0049668B" w:rsidRPr="0049668B">
              <w:rPr>
                <w:webHidden/>
              </w:rPr>
              <w:tab/>
            </w:r>
            <w:r w:rsidR="0049668B" w:rsidRPr="0049668B">
              <w:rPr>
                <w:webHidden/>
              </w:rPr>
              <w:fldChar w:fldCharType="begin"/>
            </w:r>
            <w:r w:rsidR="0049668B" w:rsidRPr="0049668B">
              <w:rPr>
                <w:webHidden/>
              </w:rPr>
              <w:instrText xml:space="preserve"> PAGEREF _Toc117504261 \h </w:instrText>
            </w:r>
            <w:r w:rsidR="0049668B" w:rsidRPr="0049668B">
              <w:rPr>
                <w:webHidden/>
              </w:rPr>
            </w:r>
            <w:r w:rsidR="0049668B" w:rsidRPr="0049668B">
              <w:rPr>
                <w:webHidden/>
              </w:rPr>
              <w:fldChar w:fldCharType="separate"/>
            </w:r>
            <w:r w:rsidR="0049668B" w:rsidRPr="0049668B">
              <w:rPr>
                <w:webHidden/>
              </w:rPr>
              <w:t>6</w:t>
            </w:r>
            <w:r w:rsidR="0049668B" w:rsidRPr="0049668B">
              <w:rPr>
                <w:webHidden/>
              </w:rPr>
              <w:fldChar w:fldCharType="end"/>
            </w:r>
          </w:hyperlink>
        </w:p>
        <w:p w14:paraId="18797D82" w14:textId="2260F797" w:rsidR="0049668B" w:rsidRPr="0049668B" w:rsidRDefault="001F44A4" w:rsidP="0049668B">
          <w:pPr>
            <w:pStyle w:val="TOC3"/>
            <w:rPr>
              <w:rFonts w:asciiTheme="minorHAnsi" w:eastAsiaTheme="minorEastAsia" w:hAnsiTheme="minorHAnsi" w:cstheme="minorBidi"/>
              <w:szCs w:val="22"/>
            </w:rPr>
          </w:pPr>
          <w:hyperlink w:anchor="_Toc117504262" w:history="1">
            <w:r w:rsidR="0049668B" w:rsidRPr="0049668B">
              <w:rPr>
                <w:rStyle w:val="Hyperlink"/>
              </w:rPr>
              <w:t>Intake, Orientation, and Placement</w:t>
            </w:r>
            <w:r w:rsidR="0049668B" w:rsidRPr="0049668B">
              <w:rPr>
                <w:webHidden/>
              </w:rPr>
              <w:tab/>
            </w:r>
            <w:r w:rsidR="0049668B" w:rsidRPr="0049668B">
              <w:rPr>
                <w:webHidden/>
              </w:rPr>
              <w:fldChar w:fldCharType="begin"/>
            </w:r>
            <w:r w:rsidR="0049668B" w:rsidRPr="0049668B">
              <w:rPr>
                <w:webHidden/>
              </w:rPr>
              <w:instrText xml:space="preserve"> PAGEREF _Toc117504262 \h </w:instrText>
            </w:r>
            <w:r w:rsidR="0049668B" w:rsidRPr="0049668B">
              <w:rPr>
                <w:webHidden/>
              </w:rPr>
            </w:r>
            <w:r w:rsidR="0049668B" w:rsidRPr="0049668B">
              <w:rPr>
                <w:webHidden/>
              </w:rPr>
              <w:fldChar w:fldCharType="separate"/>
            </w:r>
            <w:r w:rsidR="0049668B" w:rsidRPr="0049668B">
              <w:rPr>
                <w:webHidden/>
              </w:rPr>
              <w:t>6</w:t>
            </w:r>
            <w:r w:rsidR="0049668B" w:rsidRPr="0049668B">
              <w:rPr>
                <w:webHidden/>
              </w:rPr>
              <w:fldChar w:fldCharType="end"/>
            </w:r>
          </w:hyperlink>
        </w:p>
        <w:p w14:paraId="07D09622" w14:textId="38AB2FF5" w:rsidR="0049668B" w:rsidRPr="0049668B" w:rsidRDefault="001F44A4" w:rsidP="0049668B">
          <w:pPr>
            <w:pStyle w:val="TOC3"/>
            <w:rPr>
              <w:rFonts w:asciiTheme="minorHAnsi" w:eastAsiaTheme="minorEastAsia" w:hAnsiTheme="minorHAnsi" w:cstheme="minorBidi"/>
              <w:szCs w:val="22"/>
            </w:rPr>
          </w:pPr>
          <w:hyperlink w:anchor="_Toc117504263" w:history="1">
            <w:r w:rsidR="0049668B" w:rsidRPr="0049668B">
              <w:rPr>
                <w:rStyle w:val="Hyperlink"/>
              </w:rPr>
              <w:t>Rights and Privileges</w:t>
            </w:r>
            <w:r w:rsidR="0049668B" w:rsidRPr="0049668B">
              <w:rPr>
                <w:webHidden/>
              </w:rPr>
              <w:tab/>
            </w:r>
            <w:r w:rsidR="0049668B" w:rsidRPr="0049668B">
              <w:rPr>
                <w:webHidden/>
              </w:rPr>
              <w:fldChar w:fldCharType="begin"/>
            </w:r>
            <w:r w:rsidR="0049668B" w:rsidRPr="0049668B">
              <w:rPr>
                <w:webHidden/>
              </w:rPr>
              <w:instrText xml:space="preserve"> PAGEREF _Toc117504263 \h </w:instrText>
            </w:r>
            <w:r w:rsidR="0049668B" w:rsidRPr="0049668B">
              <w:rPr>
                <w:webHidden/>
              </w:rPr>
            </w:r>
            <w:r w:rsidR="0049668B" w:rsidRPr="0049668B">
              <w:rPr>
                <w:webHidden/>
              </w:rPr>
              <w:fldChar w:fldCharType="separate"/>
            </w:r>
            <w:r w:rsidR="0049668B" w:rsidRPr="0049668B">
              <w:rPr>
                <w:webHidden/>
              </w:rPr>
              <w:t>6</w:t>
            </w:r>
            <w:r w:rsidR="0049668B" w:rsidRPr="0049668B">
              <w:rPr>
                <w:webHidden/>
              </w:rPr>
              <w:fldChar w:fldCharType="end"/>
            </w:r>
          </w:hyperlink>
        </w:p>
        <w:p w14:paraId="681C48C7" w14:textId="034BEDD5" w:rsidR="0049668B" w:rsidRPr="0049668B" w:rsidRDefault="001F44A4" w:rsidP="0049668B">
          <w:pPr>
            <w:pStyle w:val="TOC3"/>
            <w:rPr>
              <w:rFonts w:asciiTheme="minorHAnsi" w:eastAsiaTheme="minorEastAsia" w:hAnsiTheme="minorHAnsi" w:cstheme="minorBidi"/>
              <w:szCs w:val="22"/>
            </w:rPr>
          </w:pPr>
          <w:hyperlink w:anchor="_Toc117504264" w:history="1">
            <w:r w:rsidR="0049668B" w:rsidRPr="0049668B">
              <w:rPr>
                <w:rStyle w:val="Hyperlink"/>
              </w:rPr>
              <w:t>The Americans with Disabilities Act (ADA)</w:t>
            </w:r>
            <w:r w:rsidR="0049668B" w:rsidRPr="0049668B">
              <w:rPr>
                <w:webHidden/>
              </w:rPr>
              <w:tab/>
            </w:r>
            <w:r w:rsidR="0049668B" w:rsidRPr="0049668B">
              <w:rPr>
                <w:webHidden/>
              </w:rPr>
              <w:fldChar w:fldCharType="begin"/>
            </w:r>
            <w:r w:rsidR="0049668B" w:rsidRPr="0049668B">
              <w:rPr>
                <w:webHidden/>
              </w:rPr>
              <w:instrText xml:space="preserve"> PAGEREF _Toc117504264 \h </w:instrText>
            </w:r>
            <w:r w:rsidR="0049668B" w:rsidRPr="0049668B">
              <w:rPr>
                <w:webHidden/>
              </w:rPr>
            </w:r>
            <w:r w:rsidR="0049668B" w:rsidRPr="0049668B">
              <w:rPr>
                <w:webHidden/>
              </w:rPr>
              <w:fldChar w:fldCharType="separate"/>
            </w:r>
            <w:r w:rsidR="0049668B" w:rsidRPr="0049668B">
              <w:rPr>
                <w:webHidden/>
              </w:rPr>
              <w:t>7</w:t>
            </w:r>
            <w:r w:rsidR="0049668B" w:rsidRPr="0049668B">
              <w:rPr>
                <w:webHidden/>
              </w:rPr>
              <w:fldChar w:fldCharType="end"/>
            </w:r>
          </w:hyperlink>
        </w:p>
        <w:p w14:paraId="2020DD80" w14:textId="61B7C6B9" w:rsidR="0049668B" w:rsidRPr="0049668B" w:rsidRDefault="001F44A4" w:rsidP="0049668B">
          <w:pPr>
            <w:pStyle w:val="TOC3"/>
            <w:rPr>
              <w:rFonts w:asciiTheme="minorHAnsi" w:eastAsiaTheme="minorEastAsia" w:hAnsiTheme="minorHAnsi" w:cstheme="minorBidi"/>
              <w:szCs w:val="22"/>
            </w:rPr>
          </w:pPr>
          <w:hyperlink w:anchor="_Toc117504265" w:history="1">
            <w:r w:rsidR="0049668B" w:rsidRPr="0049668B">
              <w:rPr>
                <w:rStyle w:val="Hyperlink"/>
              </w:rPr>
              <w:t>Mandated Reporting (State requirement)</w:t>
            </w:r>
            <w:r w:rsidR="0049668B" w:rsidRPr="0049668B">
              <w:rPr>
                <w:webHidden/>
              </w:rPr>
              <w:tab/>
            </w:r>
            <w:r w:rsidR="0049668B" w:rsidRPr="0049668B">
              <w:rPr>
                <w:webHidden/>
              </w:rPr>
              <w:fldChar w:fldCharType="begin"/>
            </w:r>
            <w:r w:rsidR="0049668B" w:rsidRPr="0049668B">
              <w:rPr>
                <w:webHidden/>
              </w:rPr>
              <w:instrText xml:space="preserve"> PAGEREF _Toc117504265 \h </w:instrText>
            </w:r>
            <w:r w:rsidR="0049668B" w:rsidRPr="0049668B">
              <w:rPr>
                <w:webHidden/>
              </w:rPr>
            </w:r>
            <w:r w:rsidR="0049668B" w:rsidRPr="0049668B">
              <w:rPr>
                <w:webHidden/>
              </w:rPr>
              <w:fldChar w:fldCharType="separate"/>
            </w:r>
            <w:r w:rsidR="0049668B" w:rsidRPr="0049668B">
              <w:rPr>
                <w:webHidden/>
              </w:rPr>
              <w:t>8</w:t>
            </w:r>
            <w:r w:rsidR="0049668B" w:rsidRPr="0049668B">
              <w:rPr>
                <w:webHidden/>
              </w:rPr>
              <w:fldChar w:fldCharType="end"/>
            </w:r>
          </w:hyperlink>
        </w:p>
        <w:p w14:paraId="27DE3DDC" w14:textId="61D4CC3F" w:rsidR="0049668B" w:rsidRPr="0049668B" w:rsidRDefault="001F44A4" w:rsidP="00170512">
          <w:pPr>
            <w:pStyle w:val="TOC2"/>
            <w:rPr>
              <w:rFonts w:asciiTheme="minorHAnsi" w:eastAsiaTheme="minorEastAsia" w:hAnsiTheme="minorHAnsi" w:cstheme="minorBidi"/>
              <w:sz w:val="22"/>
              <w:szCs w:val="22"/>
            </w:rPr>
          </w:pPr>
          <w:hyperlink w:anchor="_Toc117504266" w:history="1">
            <w:r w:rsidR="0049668B" w:rsidRPr="0049668B">
              <w:rPr>
                <w:rStyle w:val="Hyperlink"/>
              </w:rPr>
              <w:t>Chapter 3:  Indicator 3:  Career Pathways Exploration</w:t>
            </w:r>
            <w:r w:rsidR="0049668B" w:rsidRPr="0049668B">
              <w:rPr>
                <w:webHidden/>
              </w:rPr>
              <w:tab/>
            </w:r>
            <w:r w:rsidR="0049668B" w:rsidRPr="0049668B">
              <w:rPr>
                <w:webHidden/>
              </w:rPr>
              <w:fldChar w:fldCharType="begin"/>
            </w:r>
            <w:r w:rsidR="0049668B" w:rsidRPr="0049668B">
              <w:rPr>
                <w:webHidden/>
              </w:rPr>
              <w:instrText xml:space="preserve"> PAGEREF _Toc117504266 \h </w:instrText>
            </w:r>
            <w:r w:rsidR="0049668B" w:rsidRPr="0049668B">
              <w:rPr>
                <w:webHidden/>
              </w:rPr>
            </w:r>
            <w:r w:rsidR="0049668B" w:rsidRPr="0049668B">
              <w:rPr>
                <w:webHidden/>
              </w:rPr>
              <w:fldChar w:fldCharType="separate"/>
            </w:r>
            <w:r w:rsidR="0049668B" w:rsidRPr="0049668B">
              <w:rPr>
                <w:webHidden/>
              </w:rPr>
              <w:t>9</w:t>
            </w:r>
            <w:r w:rsidR="0049668B" w:rsidRPr="0049668B">
              <w:rPr>
                <w:webHidden/>
              </w:rPr>
              <w:fldChar w:fldCharType="end"/>
            </w:r>
          </w:hyperlink>
        </w:p>
        <w:p w14:paraId="13F7E9E8" w14:textId="3837F753" w:rsidR="0049668B" w:rsidRPr="0049668B" w:rsidRDefault="001F44A4" w:rsidP="0049668B">
          <w:pPr>
            <w:pStyle w:val="TOC3"/>
            <w:rPr>
              <w:rFonts w:asciiTheme="minorHAnsi" w:eastAsiaTheme="minorEastAsia" w:hAnsiTheme="minorHAnsi" w:cstheme="minorBidi"/>
              <w:szCs w:val="22"/>
            </w:rPr>
          </w:pPr>
          <w:hyperlink w:anchor="_Toc117504267" w:history="1">
            <w:r w:rsidR="0049668B" w:rsidRPr="0049668B">
              <w:rPr>
                <w:rStyle w:val="Hyperlink"/>
              </w:rPr>
              <w:t>Local MassHire Workforce Boards (MWBs) and Memoranda of Understanding (MOU)</w:t>
            </w:r>
            <w:r w:rsidR="0049668B" w:rsidRPr="0049668B">
              <w:rPr>
                <w:webHidden/>
              </w:rPr>
              <w:tab/>
            </w:r>
            <w:r w:rsidR="0049668B" w:rsidRPr="0049668B">
              <w:rPr>
                <w:webHidden/>
              </w:rPr>
              <w:fldChar w:fldCharType="begin"/>
            </w:r>
            <w:r w:rsidR="0049668B" w:rsidRPr="0049668B">
              <w:rPr>
                <w:webHidden/>
              </w:rPr>
              <w:instrText xml:space="preserve"> PAGEREF _Toc117504267 \h </w:instrText>
            </w:r>
            <w:r w:rsidR="0049668B" w:rsidRPr="0049668B">
              <w:rPr>
                <w:webHidden/>
              </w:rPr>
            </w:r>
            <w:r w:rsidR="0049668B" w:rsidRPr="0049668B">
              <w:rPr>
                <w:webHidden/>
              </w:rPr>
              <w:fldChar w:fldCharType="separate"/>
            </w:r>
            <w:r w:rsidR="0049668B" w:rsidRPr="0049668B">
              <w:rPr>
                <w:webHidden/>
              </w:rPr>
              <w:t>9</w:t>
            </w:r>
            <w:r w:rsidR="0049668B" w:rsidRPr="0049668B">
              <w:rPr>
                <w:webHidden/>
              </w:rPr>
              <w:fldChar w:fldCharType="end"/>
            </w:r>
          </w:hyperlink>
        </w:p>
        <w:p w14:paraId="28D5199D" w14:textId="03052A31" w:rsidR="0049668B" w:rsidRPr="0049668B" w:rsidRDefault="001F44A4" w:rsidP="0049668B">
          <w:pPr>
            <w:pStyle w:val="TOC3"/>
            <w:rPr>
              <w:rFonts w:asciiTheme="minorHAnsi" w:eastAsiaTheme="minorEastAsia" w:hAnsiTheme="minorHAnsi" w:cstheme="minorBidi"/>
              <w:szCs w:val="22"/>
            </w:rPr>
          </w:pPr>
          <w:hyperlink w:anchor="_Toc117504268" w:history="1">
            <w:r w:rsidR="0049668B" w:rsidRPr="0049668B">
              <w:rPr>
                <w:rStyle w:val="Hyperlink"/>
              </w:rPr>
              <w:t>Local Workforce Development Plan Packages</w:t>
            </w:r>
            <w:r w:rsidR="0049668B" w:rsidRPr="0049668B">
              <w:rPr>
                <w:webHidden/>
              </w:rPr>
              <w:tab/>
            </w:r>
            <w:r w:rsidR="0049668B" w:rsidRPr="0049668B">
              <w:rPr>
                <w:webHidden/>
              </w:rPr>
              <w:fldChar w:fldCharType="begin"/>
            </w:r>
            <w:r w:rsidR="0049668B" w:rsidRPr="0049668B">
              <w:rPr>
                <w:webHidden/>
              </w:rPr>
              <w:instrText xml:space="preserve"> PAGEREF _Toc117504268 \h </w:instrText>
            </w:r>
            <w:r w:rsidR="0049668B" w:rsidRPr="0049668B">
              <w:rPr>
                <w:webHidden/>
              </w:rPr>
            </w:r>
            <w:r w:rsidR="0049668B" w:rsidRPr="0049668B">
              <w:rPr>
                <w:webHidden/>
              </w:rPr>
              <w:fldChar w:fldCharType="separate"/>
            </w:r>
            <w:r w:rsidR="0049668B" w:rsidRPr="0049668B">
              <w:rPr>
                <w:webHidden/>
              </w:rPr>
              <w:t>9</w:t>
            </w:r>
            <w:r w:rsidR="0049668B" w:rsidRPr="0049668B">
              <w:rPr>
                <w:webHidden/>
              </w:rPr>
              <w:fldChar w:fldCharType="end"/>
            </w:r>
          </w:hyperlink>
        </w:p>
        <w:p w14:paraId="12445595" w14:textId="789BDFF2" w:rsidR="0049668B" w:rsidRPr="0049668B" w:rsidRDefault="001F44A4" w:rsidP="0049668B">
          <w:pPr>
            <w:pStyle w:val="TOC3"/>
            <w:rPr>
              <w:rFonts w:asciiTheme="minorHAnsi" w:eastAsiaTheme="minorEastAsia" w:hAnsiTheme="minorHAnsi" w:cstheme="minorBidi"/>
              <w:szCs w:val="22"/>
            </w:rPr>
          </w:pPr>
          <w:hyperlink w:anchor="_Toc117504269" w:history="1">
            <w:r w:rsidR="0049668B" w:rsidRPr="0049668B">
              <w:rPr>
                <w:rStyle w:val="Hyperlink"/>
              </w:rPr>
              <w:t>Career Pathways Exploration</w:t>
            </w:r>
            <w:r w:rsidR="0049668B" w:rsidRPr="0049668B">
              <w:rPr>
                <w:webHidden/>
              </w:rPr>
              <w:tab/>
            </w:r>
            <w:r w:rsidR="0049668B" w:rsidRPr="0049668B">
              <w:rPr>
                <w:webHidden/>
              </w:rPr>
              <w:fldChar w:fldCharType="begin"/>
            </w:r>
            <w:r w:rsidR="0049668B" w:rsidRPr="0049668B">
              <w:rPr>
                <w:webHidden/>
              </w:rPr>
              <w:instrText xml:space="preserve"> PAGEREF _Toc117504269 \h </w:instrText>
            </w:r>
            <w:r w:rsidR="0049668B" w:rsidRPr="0049668B">
              <w:rPr>
                <w:webHidden/>
              </w:rPr>
            </w:r>
            <w:r w:rsidR="0049668B" w:rsidRPr="0049668B">
              <w:rPr>
                <w:webHidden/>
              </w:rPr>
              <w:fldChar w:fldCharType="separate"/>
            </w:r>
            <w:r w:rsidR="0049668B" w:rsidRPr="0049668B">
              <w:rPr>
                <w:webHidden/>
              </w:rPr>
              <w:t>9</w:t>
            </w:r>
            <w:r w:rsidR="0049668B" w:rsidRPr="0049668B">
              <w:rPr>
                <w:webHidden/>
              </w:rPr>
              <w:fldChar w:fldCharType="end"/>
            </w:r>
          </w:hyperlink>
        </w:p>
        <w:p w14:paraId="6293FBC9" w14:textId="519819DE" w:rsidR="0049668B" w:rsidRPr="0049668B" w:rsidRDefault="001F44A4" w:rsidP="00170512">
          <w:pPr>
            <w:pStyle w:val="TOC2"/>
            <w:rPr>
              <w:rFonts w:asciiTheme="minorHAnsi" w:eastAsiaTheme="minorEastAsia" w:hAnsiTheme="minorHAnsi" w:cstheme="minorBidi"/>
              <w:sz w:val="22"/>
              <w:szCs w:val="22"/>
            </w:rPr>
          </w:pPr>
          <w:hyperlink w:anchor="_Toc117504270" w:history="1">
            <w:r w:rsidR="0049668B" w:rsidRPr="0049668B">
              <w:rPr>
                <w:rStyle w:val="Hyperlink"/>
              </w:rPr>
              <w:t>Chapter 4:  Indicator 4:  Student Progress</w:t>
            </w:r>
            <w:r w:rsidR="0049668B" w:rsidRPr="0049668B">
              <w:rPr>
                <w:webHidden/>
              </w:rPr>
              <w:tab/>
            </w:r>
            <w:r w:rsidR="0049668B" w:rsidRPr="0049668B">
              <w:rPr>
                <w:webHidden/>
              </w:rPr>
              <w:fldChar w:fldCharType="begin"/>
            </w:r>
            <w:r w:rsidR="0049668B" w:rsidRPr="0049668B">
              <w:rPr>
                <w:webHidden/>
              </w:rPr>
              <w:instrText xml:space="preserve"> PAGEREF _Toc117504270 \h </w:instrText>
            </w:r>
            <w:r w:rsidR="0049668B" w:rsidRPr="0049668B">
              <w:rPr>
                <w:webHidden/>
              </w:rPr>
            </w:r>
            <w:r w:rsidR="0049668B" w:rsidRPr="0049668B">
              <w:rPr>
                <w:webHidden/>
              </w:rPr>
              <w:fldChar w:fldCharType="separate"/>
            </w:r>
            <w:r w:rsidR="0049668B" w:rsidRPr="0049668B">
              <w:rPr>
                <w:webHidden/>
              </w:rPr>
              <w:t>10</w:t>
            </w:r>
            <w:r w:rsidR="0049668B" w:rsidRPr="0049668B">
              <w:rPr>
                <w:webHidden/>
              </w:rPr>
              <w:fldChar w:fldCharType="end"/>
            </w:r>
          </w:hyperlink>
        </w:p>
        <w:p w14:paraId="622F32DF" w14:textId="40E73D4B" w:rsidR="0049668B" w:rsidRPr="0049668B" w:rsidRDefault="001F44A4" w:rsidP="0049668B">
          <w:pPr>
            <w:pStyle w:val="TOC3"/>
            <w:rPr>
              <w:rFonts w:asciiTheme="minorHAnsi" w:eastAsiaTheme="minorEastAsia" w:hAnsiTheme="minorHAnsi" w:cstheme="minorBidi"/>
              <w:szCs w:val="22"/>
            </w:rPr>
          </w:pPr>
          <w:hyperlink w:anchor="_Toc117504271" w:history="1">
            <w:r w:rsidR="0049668B" w:rsidRPr="0049668B">
              <w:rPr>
                <w:rStyle w:val="Hyperlink"/>
              </w:rPr>
              <w:t>Student Outcomes</w:t>
            </w:r>
            <w:r w:rsidR="0049668B" w:rsidRPr="0049668B">
              <w:rPr>
                <w:webHidden/>
              </w:rPr>
              <w:tab/>
            </w:r>
            <w:r w:rsidR="0049668B" w:rsidRPr="0049668B">
              <w:rPr>
                <w:webHidden/>
              </w:rPr>
              <w:fldChar w:fldCharType="begin"/>
            </w:r>
            <w:r w:rsidR="0049668B" w:rsidRPr="0049668B">
              <w:rPr>
                <w:webHidden/>
              </w:rPr>
              <w:instrText xml:space="preserve"> PAGEREF _Toc117504271 \h </w:instrText>
            </w:r>
            <w:r w:rsidR="0049668B" w:rsidRPr="0049668B">
              <w:rPr>
                <w:webHidden/>
              </w:rPr>
            </w:r>
            <w:r w:rsidR="0049668B" w:rsidRPr="0049668B">
              <w:rPr>
                <w:webHidden/>
              </w:rPr>
              <w:fldChar w:fldCharType="separate"/>
            </w:r>
            <w:r w:rsidR="0049668B" w:rsidRPr="0049668B">
              <w:rPr>
                <w:webHidden/>
              </w:rPr>
              <w:t>10</w:t>
            </w:r>
            <w:r w:rsidR="0049668B" w:rsidRPr="0049668B">
              <w:rPr>
                <w:webHidden/>
              </w:rPr>
              <w:fldChar w:fldCharType="end"/>
            </w:r>
          </w:hyperlink>
        </w:p>
        <w:p w14:paraId="47BF8195" w14:textId="4D9D512C" w:rsidR="0049668B" w:rsidRPr="0049668B" w:rsidRDefault="001F44A4" w:rsidP="00170512">
          <w:pPr>
            <w:pStyle w:val="TOC2"/>
            <w:rPr>
              <w:rFonts w:asciiTheme="minorHAnsi" w:eastAsiaTheme="minorEastAsia" w:hAnsiTheme="minorHAnsi" w:cstheme="minorBidi"/>
              <w:sz w:val="22"/>
              <w:szCs w:val="22"/>
            </w:rPr>
          </w:pPr>
          <w:hyperlink w:anchor="_Toc117504272" w:history="1">
            <w:r w:rsidR="0049668B" w:rsidRPr="0049668B">
              <w:rPr>
                <w:rStyle w:val="Hyperlink"/>
              </w:rPr>
              <w:t>Chapter 5:  Indicator 5:  Advising and Student Support Services</w:t>
            </w:r>
            <w:r w:rsidR="0049668B" w:rsidRPr="0049668B">
              <w:rPr>
                <w:webHidden/>
              </w:rPr>
              <w:tab/>
            </w:r>
            <w:r w:rsidR="0049668B" w:rsidRPr="0049668B">
              <w:rPr>
                <w:webHidden/>
              </w:rPr>
              <w:fldChar w:fldCharType="begin"/>
            </w:r>
            <w:r w:rsidR="0049668B" w:rsidRPr="0049668B">
              <w:rPr>
                <w:webHidden/>
              </w:rPr>
              <w:instrText xml:space="preserve"> PAGEREF _Toc117504272 \h </w:instrText>
            </w:r>
            <w:r w:rsidR="0049668B" w:rsidRPr="0049668B">
              <w:rPr>
                <w:webHidden/>
              </w:rPr>
            </w:r>
            <w:r w:rsidR="0049668B" w:rsidRPr="0049668B">
              <w:rPr>
                <w:webHidden/>
              </w:rPr>
              <w:fldChar w:fldCharType="separate"/>
            </w:r>
            <w:r w:rsidR="0049668B" w:rsidRPr="0049668B">
              <w:rPr>
                <w:webHidden/>
              </w:rPr>
              <w:t>12</w:t>
            </w:r>
            <w:r w:rsidR="0049668B" w:rsidRPr="0049668B">
              <w:rPr>
                <w:webHidden/>
              </w:rPr>
              <w:fldChar w:fldCharType="end"/>
            </w:r>
          </w:hyperlink>
        </w:p>
        <w:p w14:paraId="18DB128A" w14:textId="635F4697" w:rsidR="0049668B" w:rsidRPr="0049668B" w:rsidRDefault="001F44A4" w:rsidP="00170512">
          <w:pPr>
            <w:pStyle w:val="TOC2"/>
            <w:rPr>
              <w:rFonts w:asciiTheme="minorHAnsi" w:eastAsiaTheme="minorEastAsia" w:hAnsiTheme="minorHAnsi" w:cstheme="minorBidi"/>
              <w:sz w:val="22"/>
              <w:szCs w:val="22"/>
            </w:rPr>
          </w:pPr>
          <w:hyperlink w:anchor="_Toc117504273" w:history="1">
            <w:r w:rsidR="0049668B" w:rsidRPr="0049668B">
              <w:rPr>
                <w:rStyle w:val="Hyperlink"/>
              </w:rPr>
              <w:t>Chapter 6:  Indicator 6:  Organizational Support and Professional Culture</w:t>
            </w:r>
            <w:r w:rsidR="0049668B" w:rsidRPr="0049668B">
              <w:rPr>
                <w:webHidden/>
              </w:rPr>
              <w:tab/>
            </w:r>
            <w:r w:rsidR="0049668B" w:rsidRPr="0049668B">
              <w:rPr>
                <w:webHidden/>
              </w:rPr>
              <w:fldChar w:fldCharType="begin"/>
            </w:r>
            <w:r w:rsidR="0049668B" w:rsidRPr="0049668B">
              <w:rPr>
                <w:webHidden/>
              </w:rPr>
              <w:instrText xml:space="preserve"> PAGEREF _Toc117504273 \h </w:instrText>
            </w:r>
            <w:r w:rsidR="0049668B" w:rsidRPr="0049668B">
              <w:rPr>
                <w:webHidden/>
              </w:rPr>
            </w:r>
            <w:r w:rsidR="0049668B" w:rsidRPr="0049668B">
              <w:rPr>
                <w:webHidden/>
              </w:rPr>
              <w:fldChar w:fldCharType="separate"/>
            </w:r>
            <w:r w:rsidR="0049668B" w:rsidRPr="0049668B">
              <w:rPr>
                <w:webHidden/>
              </w:rPr>
              <w:t>13</w:t>
            </w:r>
            <w:r w:rsidR="0049668B" w:rsidRPr="0049668B">
              <w:rPr>
                <w:webHidden/>
              </w:rPr>
              <w:fldChar w:fldCharType="end"/>
            </w:r>
          </w:hyperlink>
        </w:p>
        <w:p w14:paraId="2762F0B5" w14:textId="4D109D3A" w:rsidR="0049668B" w:rsidRPr="0049668B" w:rsidRDefault="001F44A4" w:rsidP="0049668B">
          <w:pPr>
            <w:pStyle w:val="TOC3"/>
            <w:rPr>
              <w:rFonts w:asciiTheme="minorHAnsi" w:eastAsiaTheme="minorEastAsia" w:hAnsiTheme="minorHAnsi" w:cstheme="minorBidi"/>
              <w:szCs w:val="22"/>
            </w:rPr>
          </w:pPr>
          <w:hyperlink w:anchor="_Toc117504274" w:history="1">
            <w:r w:rsidR="0049668B" w:rsidRPr="0049668B">
              <w:rPr>
                <w:rStyle w:val="Hyperlink"/>
              </w:rPr>
              <w:t>Institutional Support</w:t>
            </w:r>
            <w:r w:rsidR="0049668B" w:rsidRPr="0049668B">
              <w:rPr>
                <w:webHidden/>
              </w:rPr>
              <w:tab/>
            </w:r>
            <w:r w:rsidR="0049668B" w:rsidRPr="0049668B">
              <w:rPr>
                <w:webHidden/>
              </w:rPr>
              <w:fldChar w:fldCharType="begin"/>
            </w:r>
            <w:r w:rsidR="0049668B" w:rsidRPr="0049668B">
              <w:rPr>
                <w:webHidden/>
              </w:rPr>
              <w:instrText xml:space="preserve"> PAGEREF _Toc117504274 \h </w:instrText>
            </w:r>
            <w:r w:rsidR="0049668B" w:rsidRPr="0049668B">
              <w:rPr>
                <w:webHidden/>
              </w:rPr>
            </w:r>
            <w:r w:rsidR="0049668B" w:rsidRPr="0049668B">
              <w:rPr>
                <w:webHidden/>
              </w:rPr>
              <w:fldChar w:fldCharType="separate"/>
            </w:r>
            <w:r w:rsidR="0049668B" w:rsidRPr="0049668B">
              <w:rPr>
                <w:webHidden/>
              </w:rPr>
              <w:t>13</w:t>
            </w:r>
            <w:r w:rsidR="0049668B" w:rsidRPr="0049668B">
              <w:rPr>
                <w:webHidden/>
              </w:rPr>
              <w:fldChar w:fldCharType="end"/>
            </w:r>
          </w:hyperlink>
        </w:p>
        <w:p w14:paraId="19B9088D" w14:textId="4FDD5DE5" w:rsidR="0049668B" w:rsidRPr="0049668B" w:rsidRDefault="001F44A4" w:rsidP="0049668B">
          <w:pPr>
            <w:pStyle w:val="TOC3"/>
            <w:rPr>
              <w:rFonts w:asciiTheme="minorHAnsi" w:eastAsiaTheme="minorEastAsia" w:hAnsiTheme="minorHAnsi" w:cstheme="minorBidi"/>
              <w:szCs w:val="22"/>
            </w:rPr>
          </w:pPr>
          <w:hyperlink w:anchor="_Toc117504275" w:history="1">
            <w:r w:rsidR="0049668B" w:rsidRPr="0049668B">
              <w:rPr>
                <w:rStyle w:val="Hyperlink"/>
              </w:rPr>
              <w:t>Facilities (State requirement)</w:t>
            </w:r>
            <w:r w:rsidR="0049668B" w:rsidRPr="0049668B">
              <w:rPr>
                <w:webHidden/>
              </w:rPr>
              <w:tab/>
            </w:r>
            <w:r w:rsidR="0049668B" w:rsidRPr="0049668B">
              <w:rPr>
                <w:webHidden/>
              </w:rPr>
              <w:fldChar w:fldCharType="begin"/>
            </w:r>
            <w:r w:rsidR="0049668B" w:rsidRPr="0049668B">
              <w:rPr>
                <w:webHidden/>
              </w:rPr>
              <w:instrText xml:space="preserve"> PAGEREF _Toc117504275 \h </w:instrText>
            </w:r>
            <w:r w:rsidR="0049668B" w:rsidRPr="0049668B">
              <w:rPr>
                <w:webHidden/>
              </w:rPr>
            </w:r>
            <w:r w:rsidR="0049668B" w:rsidRPr="0049668B">
              <w:rPr>
                <w:webHidden/>
              </w:rPr>
              <w:fldChar w:fldCharType="separate"/>
            </w:r>
            <w:r w:rsidR="0049668B" w:rsidRPr="0049668B">
              <w:rPr>
                <w:webHidden/>
              </w:rPr>
              <w:t>13</w:t>
            </w:r>
            <w:r w:rsidR="0049668B" w:rsidRPr="0049668B">
              <w:rPr>
                <w:webHidden/>
              </w:rPr>
              <w:fldChar w:fldCharType="end"/>
            </w:r>
          </w:hyperlink>
        </w:p>
        <w:p w14:paraId="6A89D6EC" w14:textId="6403ED5D" w:rsidR="0049668B" w:rsidRPr="0049668B" w:rsidRDefault="001F44A4" w:rsidP="0049668B">
          <w:pPr>
            <w:pStyle w:val="TOC3"/>
            <w:rPr>
              <w:rFonts w:asciiTheme="minorHAnsi" w:eastAsiaTheme="minorEastAsia" w:hAnsiTheme="minorHAnsi" w:cstheme="minorBidi"/>
              <w:szCs w:val="22"/>
            </w:rPr>
          </w:pPr>
          <w:hyperlink w:anchor="_Toc117504276" w:history="1">
            <w:r w:rsidR="0049668B" w:rsidRPr="0049668B">
              <w:rPr>
                <w:rStyle w:val="Hyperlink"/>
              </w:rPr>
              <w:t>Minimum Qualifications</w:t>
            </w:r>
            <w:r w:rsidR="0049668B" w:rsidRPr="0049668B">
              <w:rPr>
                <w:webHidden/>
              </w:rPr>
              <w:tab/>
            </w:r>
            <w:r w:rsidR="0049668B" w:rsidRPr="0049668B">
              <w:rPr>
                <w:webHidden/>
              </w:rPr>
              <w:fldChar w:fldCharType="begin"/>
            </w:r>
            <w:r w:rsidR="0049668B" w:rsidRPr="0049668B">
              <w:rPr>
                <w:webHidden/>
              </w:rPr>
              <w:instrText xml:space="preserve"> PAGEREF _Toc117504276 \h </w:instrText>
            </w:r>
            <w:r w:rsidR="0049668B" w:rsidRPr="0049668B">
              <w:rPr>
                <w:webHidden/>
              </w:rPr>
            </w:r>
            <w:r w:rsidR="0049668B" w:rsidRPr="0049668B">
              <w:rPr>
                <w:webHidden/>
              </w:rPr>
              <w:fldChar w:fldCharType="separate"/>
            </w:r>
            <w:r w:rsidR="0049668B" w:rsidRPr="0049668B">
              <w:rPr>
                <w:webHidden/>
              </w:rPr>
              <w:t>13</w:t>
            </w:r>
            <w:r w:rsidR="0049668B" w:rsidRPr="0049668B">
              <w:rPr>
                <w:webHidden/>
              </w:rPr>
              <w:fldChar w:fldCharType="end"/>
            </w:r>
          </w:hyperlink>
        </w:p>
        <w:p w14:paraId="4507036F" w14:textId="2B058FAB" w:rsidR="0049668B" w:rsidRPr="0049668B" w:rsidRDefault="001F44A4" w:rsidP="0049668B">
          <w:pPr>
            <w:pStyle w:val="TOC3"/>
            <w:rPr>
              <w:rFonts w:asciiTheme="minorHAnsi" w:eastAsiaTheme="minorEastAsia" w:hAnsiTheme="minorHAnsi" w:cstheme="minorBidi"/>
              <w:szCs w:val="22"/>
            </w:rPr>
          </w:pPr>
          <w:hyperlink w:anchor="_Toc117504277" w:history="1">
            <w:r w:rsidR="0049668B" w:rsidRPr="0049668B">
              <w:rPr>
                <w:rStyle w:val="Hyperlink"/>
              </w:rPr>
              <w:t>Administrator Qualifications (State requirement)</w:t>
            </w:r>
            <w:r w:rsidR="0049668B" w:rsidRPr="0049668B">
              <w:rPr>
                <w:webHidden/>
              </w:rPr>
              <w:tab/>
            </w:r>
            <w:r w:rsidR="0049668B" w:rsidRPr="0049668B">
              <w:rPr>
                <w:webHidden/>
              </w:rPr>
              <w:fldChar w:fldCharType="begin"/>
            </w:r>
            <w:r w:rsidR="0049668B" w:rsidRPr="0049668B">
              <w:rPr>
                <w:webHidden/>
              </w:rPr>
              <w:instrText xml:space="preserve"> PAGEREF _Toc117504277 \h </w:instrText>
            </w:r>
            <w:r w:rsidR="0049668B" w:rsidRPr="0049668B">
              <w:rPr>
                <w:webHidden/>
              </w:rPr>
            </w:r>
            <w:r w:rsidR="0049668B" w:rsidRPr="0049668B">
              <w:rPr>
                <w:webHidden/>
              </w:rPr>
              <w:fldChar w:fldCharType="separate"/>
            </w:r>
            <w:r w:rsidR="0049668B" w:rsidRPr="0049668B">
              <w:rPr>
                <w:webHidden/>
              </w:rPr>
              <w:t>13</w:t>
            </w:r>
            <w:r w:rsidR="0049668B" w:rsidRPr="0049668B">
              <w:rPr>
                <w:webHidden/>
              </w:rPr>
              <w:fldChar w:fldCharType="end"/>
            </w:r>
          </w:hyperlink>
        </w:p>
        <w:p w14:paraId="391BA226" w14:textId="1245E420" w:rsidR="0049668B" w:rsidRPr="0049668B" w:rsidRDefault="001F44A4" w:rsidP="0049668B">
          <w:pPr>
            <w:pStyle w:val="TOC3"/>
            <w:rPr>
              <w:rFonts w:asciiTheme="minorHAnsi" w:eastAsiaTheme="minorEastAsia" w:hAnsiTheme="minorHAnsi" w:cstheme="minorBidi"/>
              <w:szCs w:val="22"/>
            </w:rPr>
          </w:pPr>
          <w:hyperlink w:anchor="_Toc117504278" w:history="1">
            <w:r w:rsidR="0049668B" w:rsidRPr="0049668B">
              <w:rPr>
                <w:rStyle w:val="Hyperlink"/>
              </w:rPr>
              <w:t>Professional Development</w:t>
            </w:r>
            <w:r w:rsidR="0049668B" w:rsidRPr="0049668B">
              <w:rPr>
                <w:webHidden/>
              </w:rPr>
              <w:tab/>
            </w:r>
            <w:r w:rsidR="0049668B" w:rsidRPr="0049668B">
              <w:rPr>
                <w:webHidden/>
              </w:rPr>
              <w:fldChar w:fldCharType="begin"/>
            </w:r>
            <w:r w:rsidR="0049668B" w:rsidRPr="0049668B">
              <w:rPr>
                <w:webHidden/>
              </w:rPr>
              <w:instrText xml:space="preserve"> PAGEREF _Toc117504278 \h </w:instrText>
            </w:r>
            <w:r w:rsidR="0049668B" w:rsidRPr="0049668B">
              <w:rPr>
                <w:webHidden/>
              </w:rPr>
            </w:r>
            <w:r w:rsidR="0049668B" w:rsidRPr="0049668B">
              <w:rPr>
                <w:webHidden/>
              </w:rPr>
              <w:fldChar w:fldCharType="separate"/>
            </w:r>
            <w:r w:rsidR="0049668B" w:rsidRPr="0049668B">
              <w:rPr>
                <w:webHidden/>
              </w:rPr>
              <w:t>13</w:t>
            </w:r>
            <w:r w:rsidR="0049668B" w:rsidRPr="0049668B">
              <w:rPr>
                <w:webHidden/>
              </w:rPr>
              <w:fldChar w:fldCharType="end"/>
            </w:r>
          </w:hyperlink>
        </w:p>
        <w:p w14:paraId="74286A10" w14:textId="2EB05449" w:rsidR="0049668B" w:rsidRPr="0049668B" w:rsidRDefault="001F44A4" w:rsidP="00170512">
          <w:pPr>
            <w:pStyle w:val="TOC2"/>
            <w:rPr>
              <w:rFonts w:asciiTheme="minorHAnsi" w:eastAsiaTheme="minorEastAsia" w:hAnsiTheme="minorHAnsi" w:cstheme="minorBidi"/>
              <w:sz w:val="22"/>
              <w:szCs w:val="22"/>
            </w:rPr>
          </w:pPr>
          <w:hyperlink w:anchor="_Toc117504279" w:history="1">
            <w:r w:rsidR="0049668B" w:rsidRPr="0049668B">
              <w:rPr>
                <w:rStyle w:val="Hyperlink"/>
              </w:rPr>
              <w:t>Chapter 7:  Indicator 7:  Collaboration and Coordination</w:t>
            </w:r>
            <w:r w:rsidR="0049668B" w:rsidRPr="0049668B">
              <w:rPr>
                <w:webHidden/>
              </w:rPr>
              <w:tab/>
            </w:r>
            <w:r w:rsidR="0049668B" w:rsidRPr="0049668B">
              <w:rPr>
                <w:webHidden/>
              </w:rPr>
              <w:fldChar w:fldCharType="begin"/>
            </w:r>
            <w:r w:rsidR="0049668B" w:rsidRPr="0049668B">
              <w:rPr>
                <w:webHidden/>
              </w:rPr>
              <w:instrText xml:space="preserve"> PAGEREF _Toc117504279 \h </w:instrText>
            </w:r>
            <w:r w:rsidR="0049668B" w:rsidRPr="0049668B">
              <w:rPr>
                <w:webHidden/>
              </w:rPr>
            </w:r>
            <w:r w:rsidR="0049668B" w:rsidRPr="0049668B">
              <w:rPr>
                <w:webHidden/>
              </w:rPr>
              <w:fldChar w:fldCharType="separate"/>
            </w:r>
            <w:r w:rsidR="0049668B" w:rsidRPr="0049668B">
              <w:rPr>
                <w:webHidden/>
              </w:rPr>
              <w:t>14</w:t>
            </w:r>
            <w:r w:rsidR="0049668B" w:rsidRPr="0049668B">
              <w:rPr>
                <w:webHidden/>
              </w:rPr>
              <w:fldChar w:fldCharType="end"/>
            </w:r>
          </w:hyperlink>
        </w:p>
        <w:p w14:paraId="4D79D4FC" w14:textId="3EE7C0F9" w:rsidR="0049668B" w:rsidRPr="0049668B" w:rsidRDefault="001F44A4" w:rsidP="00170512">
          <w:pPr>
            <w:pStyle w:val="TOC2"/>
            <w:rPr>
              <w:rFonts w:asciiTheme="minorHAnsi" w:eastAsiaTheme="minorEastAsia" w:hAnsiTheme="minorHAnsi" w:cstheme="minorBidi"/>
              <w:sz w:val="22"/>
              <w:szCs w:val="22"/>
            </w:rPr>
          </w:pPr>
          <w:hyperlink w:anchor="_Toc117504280" w:history="1">
            <w:r w:rsidR="0049668B" w:rsidRPr="0049668B">
              <w:rPr>
                <w:rStyle w:val="Hyperlink"/>
              </w:rPr>
              <w:t>Chapter 8:  Indicator 8:  Fiscal and Data Accountability</w:t>
            </w:r>
            <w:r w:rsidR="0049668B" w:rsidRPr="0049668B">
              <w:rPr>
                <w:webHidden/>
              </w:rPr>
              <w:tab/>
            </w:r>
            <w:r w:rsidR="0049668B" w:rsidRPr="0049668B">
              <w:rPr>
                <w:webHidden/>
              </w:rPr>
              <w:fldChar w:fldCharType="begin"/>
            </w:r>
            <w:r w:rsidR="0049668B" w:rsidRPr="0049668B">
              <w:rPr>
                <w:webHidden/>
              </w:rPr>
              <w:instrText xml:space="preserve"> PAGEREF _Toc117504280 \h </w:instrText>
            </w:r>
            <w:r w:rsidR="0049668B" w:rsidRPr="0049668B">
              <w:rPr>
                <w:webHidden/>
              </w:rPr>
            </w:r>
            <w:r w:rsidR="0049668B" w:rsidRPr="0049668B">
              <w:rPr>
                <w:webHidden/>
              </w:rPr>
              <w:fldChar w:fldCharType="separate"/>
            </w:r>
            <w:r w:rsidR="0049668B" w:rsidRPr="0049668B">
              <w:rPr>
                <w:webHidden/>
              </w:rPr>
              <w:t>15</w:t>
            </w:r>
            <w:r w:rsidR="0049668B" w:rsidRPr="0049668B">
              <w:rPr>
                <w:webHidden/>
              </w:rPr>
              <w:fldChar w:fldCharType="end"/>
            </w:r>
          </w:hyperlink>
        </w:p>
        <w:p w14:paraId="55EC940C" w14:textId="265C0981" w:rsidR="0049668B" w:rsidRPr="0049668B" w:rsidRDefault="001F44A4" w:rsidP="0049668B">
          <w:pPr>
            <w:pStyle w:val="TOC3"/>
            <w:rPr>
              <w:rFonts w:asciiTheme="minorHAnsi" w:eastAsiaTheme="minorEastAsia" w:hAnsiTheme="minorHAnsi" w:cstheme="minorBidi"/>
              <w:szCs w:val="22"/>
            </w:rPr>
          </w:pPr>
          <w:hyperlink w:anchor="_Toc117504281" w:history="1">
            <w:r w:rsidR="0049668B" w:rsidRPr="0049668B">
              <w:rPr>
                <w:rStyle w:val="Hyperlink"/>
              </w:rPr>
              <w:t>Fiscal Responsibilities and Grant Administration</w:t>
            </w:r>
            <w:r w:rsidR="0049668B" w:rsidRPr="0049668B">
              <w:rPr>
                <w:webHidden/>
              </w:rPr>
              <w:tab/>
            </w:r>
            <w:r w:rsidR="0049668B" w:rsidRPr="0049668B">
              <w:rPr>
                <w:webHidden/>
              </w:rPr>
              <w:fldChar w:fldCharType="begin"/>
            </w:r>
            <w:r w:rsidR="0049668B" w:rsidRPr="0049668B">
              <w:rPr>
                <w:webHidden/>
              </w:rPr>
              <w:instrText xml:space="preserve"> PAGEREF _Toc117504281 \h </w:instrText>
            </w:r>
            <w:r w:rsidR="0049668B" w:rsidRPr="0049668B">
              <w:rPr>
                <w:webHidden/>
              </w:rPr>
            </w:r>
            <w:r w:rsidR="0049668B" w:rsidRPr="0049668B">
              <w:rPr>
                <w:webHidden/>
              </w:rPr>
              <w:fldChar w:fldCharType="separate"/>
            </w:r>
            <w:r w:rsidR="0049668B" w:rsidRPr="0049668B">
              <w:rPr>
                <w:webHidden/>
              </w:rPr>
              <w:t>15</w:t>
            </w:r>
            <w:r w:rsidR="0049668B" w:rsidRPr="0049668B">
              <w:rPr>
                <w:webHidden/>
              </w:rPr>
              <w:fldChar w:fldCharType="end"/>
            </w:r>
          </w:hyperlink>
        </w:p>
        <w:p w14:paraId="6FF87BA7" w14:textId="660DE9C4" w:rsidR="0049668B" w:rsidRPr="0049668B" w:rsidRDefault="001F44A4" w:rsidP="0049668B">
          <w:pPr>
            <w:pStyle w:val="TOC3"/>
            <w:rPr>
              <w:rFonts w:asciiTheme="minorHAnsi" w:eastAsiaTheme="minorEastAsia" w:hAnsiTheme="minorHAnsi" w:cstheme="minorBidi"/>
              <w:szCs w:val="22"/>
            </w:rPr>
          </w:pPr>
          <w:hyperlink w:anchor="_Toc117504282" w:history="1">
            <w:r w:rsidR="0049668B" w:rsidRPr="0049668B">
              <w:rPr>
                <w:rStyle w:val="Hyperlink"/>
              </w:rPr>
              <w:t>Record Keeping</w:t>
            </w:r>
            <w:r w:rsidR="0049668B" w:rsidRPr="0049668B">
              <w:rPr>
                <w:webHidden/>
              </w:rPr>
              <w:tab/>
            </w:r>
            <w:r w:rsidR="0049668B" w:rsidRPr="0049668B">
              <w:rPr>
                <w:webHidden/>
              </w:rPr>
              <w:fldChar w:fldCharType="begin"/>
            </w:r>
            <w:r w:rsidR="0049668B" w:rsidRPr="0049668B">
              <w:rPr>
                <w:webHidden/>
              </w:rPr>
              <w:instrText xml:space="preserve"> PAGEREF _Toc117504282 \h </w:instrText>
            </w:r>
            <w:r w:rsidR="0049668B" w:rsidRPr="0049668B">
              <w:rPr>
                <w:webHidden/>
              </w:rPr>
            </w:r>
            <w:r w:rsidR="0049668B" w:rsidRPr="0049668B">
              <w:rPr>
                <w:webHidden/>
              </w:rPr>
              <w:fldChar w:fldCharType="separate"/>
            </w:r>
            <w:r w:rsidR="0049668B" w:rsidRPr="0049668B">
              <w:rPr>
                <w:webHidden/>
              </w:rPr>
              <w:t>15</w:t>
            </w:r>
            <w:r w:rsidR="0049668B" w:rsidRPr="0049668B">
              <w:rPr>
                <w:webHidden/>
              </w:rPr>
              <w:fldChar w:fldCharType="end"/>
            </w:r>
          </w:hyperlink>
        </w:p>
        <w:p w14:paraId="2AACBA11" w14:textId="13C44320" w:rsidR="0049668B" w:rsidRPr="0049668B" w:rsidRDefault="001F44A4" w:rsidP="0049668B">
          <w:pPr>
            <w:pStyle w:val="TOC3"/>
            <w:rPr>
              <w:rFonts w:asciiTheme="minorHAnsi" w:eastAsiaTheme="minorEastAsia" w:hAnsiTheme="minorHAnsi" w:cstheme="minorBidi"/>
              <w:szCs w:val="22"/>
            </w:rPr>
          </w:pPr>
          <w:hyperlink w:anchor="_Toc117504283" w:history="1">
            <w:r w:rsidR="0049668B" w:rsidRPr="0049668B">
              <w:rPr>
                <w:rStyle w:val="Hyperlink"/>
              </w:rPr>
              <w:t>Supplement not Supplant</w:t>
            </w:r>
            <w:r w:rsidR="0049668B" w:rsidRPr="0049668B">
              <w:rPr>
                <w:webHidden/>
              </w:rPr>
              <w:tab/>
            </w:r>
            <w:r w:rsidR="0049668B" w:rsidRPr="0049668B">
              <w:rPr>
                <w:webHidden/>
              </w:rPr>
              <w:fldChar w:fldCharType="begin"/>
            </w:r>
            <w:r w:rsidR="0049668B" w:rsidRPr="0049668B">
              <w:rPr>
                <w:webHidden/>
              </w:rPr>
              <w:instrText xml:space="preserve"> PAGEREF _Toc117504283 \h </w:instrText>
            </w:r>
            <w:r w:rsidR="0049668B" w:rsidRPr="0049668B">
              <w:rPr>
                <w:webHidden/>
              </w:rPr>
            </w:r>
            <w:r w:rsidR="0049668B" w:rsidRPr="0049668B">
              <w:rPr>
                <w:webHidden/>
              </w:rPr>
              <w:fldChar w:fldCharType="separate"/>
            </w:r>
            <w:r w:rsidR="0049668B" w:rsidRPr="0049668B">
              <w:rPr>
                <w:webHidden/>
              </w:rPr>
              <w:t>18</w:t>
            </w:r>
            <w:r w:rsidR="0049668B" w:rsidRPr="0049668B">
              <w:rPr>
                <w:webHidden/>
              </w:rPr>
              <w:fldChar w:fldCharType="end"/>
            </w:r>
          </w:hyperlink>
        </w:p>
        <w:p w14:paraId="3F6AF684" w14:textId="7CA15490" w:rsidR="0049668B" w:rsidRPr="0049668B" w:rsidRDefault="001F44A4" w:rsidP="0049668B">
          <w:pPr>
            <w:pStyle w:val="TOC3"/>
            <w:rPr>
              <w:rFonts w:asciiTheme="minorHAnsi" w:eastAsiaTheme="minorEastAsia" w:hAnsiTheme="minorHAnsi" w:cstheme="minorBidi"/>
              <w:szCs w:val="22"/>
            </w:rPr>
          </w:pPr>
          <w:hyperlink w:anchor="_Toc117504284" w:history="1">
            <w:r w:rsidR="0049668B" w:rsidRPr="0049668B">
              <w:rPr>
                <w:rStyle w:val="Hyperlink"/>
              </w:rPr>
              <w:t>Match and Maintenance of Effort (State requirement)</w:t>
            </w:r>
            <w:r w:rsidR="0049668B" w:rsidRPr="0049668B">
              <w:rPr>
                <w:webHidden/>
              </w:rPr>
              <w:tab/>
            </w:r>
            <w:r w:rsidR="0049668B" w:rsidRPr="0049668B">
              <w:rPr>
                <w:webHidden/>
              </w:rPr>
              <w:fldChar w:fldCharType="begin"/>
            </w:r>
            <w:r w:rsidR="0049668B" w:rsidRPr="0049668B">
              <w:rPr>
                <w:webHidden/>
              </w:rPr>
              <w:instrText xml:space="preserve"> PAGEREF _Toc117504284 \h </w:instrText>
            </w:r>
            <w:r w:rsidR="0049668B" w:rsidRPr="0049668B">
              <w:rPr>
                <w:webHidden/>
              </w:rPr>
            </w:r>
            <w:r w:rsidR="0049668B" w:rsidRPr="0049668B">
              <w:rPr>
                <w:webHidden/>
              </w:rPr>
              <w:fldChar w:fldCharType="separate"/>
            </w:r>
            <w:r w:rsidR="0049668B" w:rsidRPr="0049668B">
              <w:rPr>
                <w:webHidden/>
              </w:rPr>
              <w:t>18</w:t>
            </w:r>
            <w:r w:rsidR="0049668B" w:rsidRPr="0049668B">
              <w:rPr>
                <w:webHidden/>
              </w:rPr>
              <w:fldChar w:fldCharType="end"/>
            </w:r>
          </w:hyperlink>
        </w:p>
        <w:p w14:paraId="058005B7" w14:textId="3611EF08" w:rsidR="0049668B" w:rsidRPr="0049668B" w:rsidRDefault="001F44A4" w:rsidP="0049668B">
          <w:pPr>
            <w:pStyle w:val="TOC3"/>
            <w:rPr>
              <w:rFonts w:asciiTheme="minorHAnsi" w:eastAsiaTheme="minorEastAsia" w:hAnsiTheme="minorHAnsi" w:cstheme="minorBidi"/>
              <w:szCs w:val="22"/>
            </w:rPr>
          </w:pPr>
          <w:hyperlink w:anchor="_Toc117504285" w:history="1">
            <w:r w:rsidR="0049668B" w:rsidRPr="0049668B">
              <w:rPr>
                <w:rStyle w:val="Hyperlink"/>
              </w:rPr>
              <w:t>General Grant Requirements</w:t>
            </w:r>
            <w:r w:rsidR="0049668B" w:rsidRPr="0049668B">
              <w:rPr>
                <w:webHidden/>
              </w:rPr>
              <w:tab/>
            </w:r>
            <w:r w:rsidR="0049668B" w:rsidRPr="0049668B">
              <w:rPr>
                <w:webHidden/>
              </w:rPr>
              <w:fldChar w:fldCharType="begin"/>
            </w:r>
            <w:r w:rsidR="0049668B" w:rsidRPr="0049668B">
              <w:rPr>
                <w:webHidden/>
              </w:rPr>
              <w:instrText xml:space="preserve"> PAGEREF _Toc117504285 \h </w:instrText>
            </w:r>
            <w:r w:rsidR="0049668B" w:rsidRPr="0049668B">
              <w:rPr>
                <w:webHidden/>
              </w:rPr>
            </w:r>
            <w:r w:rsidR="0049668B" w:rsidRPr="0049668B">
              <w:rPr>
                <w:webHidden/>
              </w:rPr>
              <w:fldChar w:fldCharType="separate"/>
            </w:r>
            <w:r w:rsidR="0049668B" w:rsidRPr="0049668B">
              <w:rPr>
                <w:webHidden/>
              </w:rPr>
              <w:t>19</w:t>
            </w:r>
            <w:r w:rsidR="0049668B" w:rsidRPr="0049668B">
              <w:rPr>
                <w:webHidden/>
              </w:rPr>
              <w:fldChar w:fldCharType="end"/>
            </w:r>
          </w:hyperlink>
        </w:p>
        <w:p w14:paraId="1B67F634" w14:textId="0E8C1A97" w:rsidR="0049668B" w:rsidRPr="0049668B" w:rsidRDefault="001F44A4" w:rsidP="0049668B">
          <w:pPr>
            <w:pStyle w:val="TOC3"/>
            <w:rPr>
              <w:rFonts w:asciiTheme="minorHAnsi" w:eastAsiaTheme="minorEastAsia" w:hAnsiTheme="minorHAnsi" w:cstheme="minorBidi"/>
              <w:szCs w:val="22"/>
            </w:rPr>
          </w:pPr>
          <w:hyperlink w:anchor="_Toc117504286" w:history="1">
            <w:r w:rsidR="0049668B" w:rsidRPr="0049668B">
              <w:rPr>
                <w:rStyle w:val="Hyperlink"/>
              </w:rPr>
              <w:t>Essential Budget Information</w:t>
            </w:r>
            <w:r w:rsidR="0049668B" w:rsidRPr="0049668B">
              <w:rPr>
                <w:webHidden/>
              </w:rPr>
              <w:tab/>
            </w:r>
            <w:r w:rsidR="0049668B" w:rsidRPr="0049668B">
              <w:rPr>
                <w:webHidden/>
              </w:rPr>
              <w:fldChar w:fldCharType="begin"/>
            </w:r>
            <w:r w:rsidR="0049668B" w:rsidRPr="0049668B">
              <w:rPr>
                <w:webHidden/>
              </w:rPr>
              <w:instrText xml:space="preserve"> PAGEREF _Toc117504286 \h </w:instrText>
            </w:r>
            <w:r w:rsidR="0049668B" w:rsidRPr="0049668B">
              <w:rPr>
                <w:webHidden/>
              </w:rPr>
            </w:r>
            <w:r w:rsidR="0049668B" w:rsidRPr="0049668B">
              <w:rPr>
                <w:webHidden/>
              </w:rPr>
              <w:fldChar w:fldCharType="separate"/>
            </w:r>
            <w:r w:rsidR="0049668B" w:rsidRPr="0049668B">
              <w:rPr>
                <w:webHidden/>
              </w:rPr>
              <w:t>20</w:t>
            </w:r>
            <w:r w:rsidR="0049668B" w:rsidRPr="0049668B">
              <w:rPr>
                <w:webHidden/>
              </w:rPr>
              <w:fldChar w:fldCharType="end"/>
            </w:r>
          </w:hyperlink>
        </w:p>
        <w:p w14:paraId="7E5CEF9F" w14:textId="2262582A" w:rsidR="0049668B" w:rsidRPr="0049668B" w:rsidRDefault="001F44A4" w:rsidP="0049668B">
          <w:pPr>
            <w:pStyle w:val="TOC3"/>
            <w:rPr>
              <w:rFonts w:asciiTheme="minorHAnsi" w:eastAsiaTheme="minorEastAsia" w:hAnsiTheme="minorHAnsi" w:cstheme="minorBidi"/>
              <w:szCs w:val="22"/>
            </w:rPr>
          </w:pPr>
          <w:hyperlink w:anchor="_Toc117504287" w:history="1">
            <w:r w:rsidR="0049668B" w:rsidRPr="0049668B">
              <w:rPr>
                <w:rStyle w:val="Hyperlink"/>
              </w:rPr>
              <w:t>Data Quality and Integrity</w:t>
            </w:r>
            <w:r w:rsidR="0049668B" w:rsidRPr="0049668B">
              <w:rPr>
                <w:webHidden/>
              </w:rPr>
              <w:tab/>
            </w:r>
            <w:r w:rsidR="0049668B" w:rsidRPr="0049668B">
              <w:rPr>
                <w:webHidden/>
              </w:rPr>
              <w:fldChar w:fldCharType="begin"/>
            </w:r>
            <w:r w:rsidR="0049668B" w:rsidRPr="0049668B">
              <w:rPr>
                <w:webHidden/>
              </w:rPr>
              <w:instrText xml:space="preserve"> PAGEREF _Toc117504287 \h </w:instrText>
            </w:r>
            <w:r w:rsidR="0049668B" w:rsidRPr="0049668B">
              <w:rPr>
                <w:webHidden/>
              </w:rPr>
            </w:r>
            <w:r w:rsidR="0049668B" w:rsidRPr="0049668B">
              <w:rPr>
                <w:webHidden/>
              </w:rPr>
              <w:fldChar w:fldCharType="separate"/>
            </w:r>
            <w:r w:rsidR="0049668B" w:rsidRPr="0049668B">
              <w:rPr>
                <w:webHidden/>
              </w:rPr>
              <w:t>23</w:t>
            </w:r>
            <w:r w:rsidR="0049668B" w:rsidRPr="0049668B">
              <w:rPr>
                <w:webHidden/>
              </w:rPr>
              <w:fldChar w:fldCharType="end"/>
            </w:r>
          </w:hyperlink>
        </w:p>
        <w:p w14:paraId="4E619295" w14:textId="2871EC48" w:rsidR="0049668B" w:rsidRPr="0049668B" w:rsidRDefault="001F44A4" w:rsidP="00170512">
          <w:pPr>
            <w:pStyle w:val="TOC2"/>
            <w:rPr>
              <w:rFonts w:asciiTheme="minorHAnsi" w:eastAsiaTheme="minorEastAsia" w:hAnsiTheme="minorHAnsi" w:cstheme="minorBidi"/>
              <w:sz w:val="22"/>
              <w:szCs w:val="22"/>
            </w:rPr>
          </w:pPr>
          <w:hyperlink w:anchor="_Toc117504288" w:history="1">
            <w:r w:rsidR="0049668B" w:rsidRPr="0049668B">
              <w:rPr>
                <w:rStyle w:val="Hyperlink"/>
              </w:rPr>
              <w:t>Appendix A: Guidelines for Memoranda of Agreement (MOA)</w:t>
            </w:r>
            <w:r w:rsidR="0049668B" w:rsidRPr="0049668B">
              <w:rPr>
                <w:webHidden/>
              </w:rPr>
              <w:tab/>
            </w:r>
            <w:r w:rsidR="0049668B" w:rsidRPr="0049668B">
              <w:rPr>
                <w:webHidden/>
              </w:rPr>
              <w:fldChar w:fldCharType="begin"/>
            </w:r>
            <w:r w:rsidR="0049668B" w:rsidRPr="0049668B">
              <w:rPr>
                <w:webHidden/>
              </w:rPr>
              <w:instrText xml:space="preserve"> PAGEREF _Toc117504288 \h </w:instrText>
            </w:r>
            <w:r w:rsidR="0049668B" w:rsidRPr="0049668B">
              <w:rPr>
                <w:webHidden/>
              </w:rPr>
            </w:r>
            <w:r w:rsidR="0049668B" w:rsidRPr="0049668B">
              <w:rPr>
                <w:webHidden/>
              </w:rPr>
              <w:fldChar w:fldCharType="separate"/>
            </w:r>
            <w:r w:rsidR="0049668B" w:rsidRPr="0049668B">
              <w:rPr>
                <w:webHidden/>
              </w:rPr>
              <w:t>24</w:t>
            </w:r>
            <w:r w:rsidR="0049668B" w:rsidRPr="0049668B">
              <w:rPr>
                <w:webHidden/>
              </w:rPr>
              <w:fldChar w:fldCharType="end"/>
            </w:r>
          </w:hyperlink>
        </w:p>
        <w:p w14:paraId="104146A8" w14:textId="7ED9A6DD" w:rsidR="0049668B" w:rsidRPr="0049668B" w:rsidRDefault="001F44A4" w:rsidP="00170512">
          <w:pPr>
            <w:pStyle w:val="TOC2"/>
            <w:rPr>
              <w:rFonts w:asciiTheme="minorHAnsi" w:eastAsiaTheme="minorEastAsia" w:hAnsiTheme="minorHAnsi" w:cstheme="minorBidi"/>
              <w:sz w:val="22"/>
              <w:szCs w:val="22"/>
            </w:rPr>
          </w:pPr>
          <w:hyperlink w:anchor="_Toc117504289" w:history="1">
            <w:r w:rsidR="0049668B" w:rsidRPr="0049668B">
              <w:rPr>
                <w:rStyle w:val="Hyperlink"/>
              </w:rPr>
              <w:t>Appendix C: Hierarchy of Applicable Regulations</w:t>
            </w:r>
            <w:r w:rsidR="0049668B" w:rsidRPr="0049668B">
              <w:rPr>
                <w:webHidden/>
              </w:rPr>
              <w:tab/>
            </w:r>
            <w:r w:rsidR="0049668B" w:rsidRPr="0049668B">
              <w:rPr>
                <w:webHidden/>
              </w:rPr>
              <w:fldChar w:fldCharType="begin"/>
            </w:r>
            <w:r w:rsidR="0049668B" w:rsidRPr="0049668B">
              <w:rPr>
                <w:webHidden/>
              </w:rPr>
              <w:instrText xml:space="preserve"> PAGEREF _Toc117504289 \h </w:instrText>
            </w:r>
            <w:r w:rsidR="0049668B" w:rsidRPr="0049668B">
              <w:rPr>
                <w:webHidden/>
              </w:rPr>
            </w:r>
            <w:r w:rsidR="0049668B" w:rsidRPr="0049668B">
              <w:rPr>
                <w:webHidden/>
              </w:rPr>
              <w:fldChar w:fldCharType="separate"/>
            </w:r>
            <w:r w:rsidR="0049668B" w:rsidRPr="0049668B">
              <w:rPr>
                <w:webHidden/>
              </w:rPr>
              <w:t>26</w:t>
            </w:r>
            <w:r w:rsidR="0049668B" w:rsidRPr="0049668B">
              <w:rPr>
                <w:webHidden/>
              </w:rPr>
              <w:fldChar w:fldCharType="end"/>
            </w:r>
          </w:hyperlink>
        </w:p>
        <w:p w14:paraId="33405D6B" w14:textId="03244F52" w:rsidR="0049668B" w:rsidRPr="0049668B" w:rsidRDefault="001F44A4" w:rsidP="00170512">
          <w:pPr>
            <w:pStyle w:val="TOC2"/>
            <w:rPr>
              <w:rFonts w:asciiTheme="minorHAnsi" w:eastAsiaTheme="minorEastAsia" w:hAnsiTheme="minorHAnsi" w:cstheme="minorBidi"/>
              <w:sz w:val="22"/>
              <w:szCs w:val="22"/>
            </w:rPr>
          </w:pPr>
          <w:hyperlink w:anchor="_Toc117504290" w:history="1">
            <w:r w:rsidR="0049668B" w:rsidRPr="0049668B">
              <w:rPr>
                <w:rStyle w:val="Hyperlink"/>
              </w:rPr>
              <w:t>Appendix D: Budget Information Line by Line</w:t>
            </w:r>
            <w:r w:rsidR="0049668B" w:rsidRPr="0049668B">
              <w:rPr>
                <w:webHidden/>
              </w:rPr>
              <w:tab/>
            </w:r>
            <w:r w:rsidR="0049668B" w:rsidRPr="0049668B">
              <w:rPr>
                <w:webHidden/>
              </w:rPr>
              <w:fldChar w:fldCharType="begin"/>
            </w:r>
            <w:r w:rsidR="0049668B" w:rsidRPr="0049668B">
              <w:rPr>
                <w:webHidden/>
              </w:rPr>
              <w:instrText xml:space="preserve"> PAGEREF _Toc117504290 \h </w:instrText>
            </w:r>
            <w:r w:rsidR="0049668B" w:rsidRPr="0049668B">
              <w:rPr>
                <w:webHidden/>
              </w:rPr>
            </w:r>
            <w:r w:rsidR="0049668B" w:rsidRPr="0049668B">
              <w:rPr>
                <w:webHidden/>
              </w:rPr>
              <w:fldChar w:fldCharType="separate"/>
            </w:r>
            <w:r w:rsidR="0049668B" w:rsidRPr="0049668B">
              <w:rPr>
                <w:webHidden/>
              </w:rPr>
              <w:t>28</w:t>
            </w:r>
            <w:r w:rsidR="0049668B" w:rsidRPr="0049668B">
              <w:rPr>
                <w:webHidden/>
              </w:rPr>
              <w:fldChar w:fldCharType="end"/>
            </w:r>
          </w:hyperlink>
        </w:p>
        <w:p w14:paraId="7824D55C" w14:textId="474CA92A" w:rsidR="005745D8" w:rsidRPr="0002393C" w:rsidRDefault="00FC2F5F" w:rsidP="00170512">
          <w:pPr>
            <w:pStyle w:val="TOC2"/>
            <w:sectPr w:rsidR="005745D8" w:rsidRPr="0002393C" w:rsidSect="006953DE">
              <w:footerReference w:type="default" r:id="rId16"/>
              <w:pgSz w:w="12240" w:h="15840" w:code="1"/>
              <w:pgMar w:top="1440" w:right="1440" w:bottom="1440" w:left="1440" w:header="720" w:footer="720" w:gutter="0"/>
              <w:cols w:space="720"/>
              <w:docGrid w:linePitch="360"/>
            </w:sectPr>
          </w:pPr>
          <w:r>
            <w:fldChar w:fldCharType="end"/>
          </w:r>
        </w:p>
      </w:sdtContent>
    </w:sdt>
    <w:bookmarkStart w:id="7" w:name="_Toc407353312" w:displacedByCustomXml="prev"/>
    <w:p w14:paraId="3A4ABA1C" w14:textId="796FE437" w:rsidR="003C1CDD" w:rsidRPr="003471D7" w:rsidRDefault="002C1390" w:rsidP="0047675C">
      <w:pPr>
        <w:pStyle w:val="Heading2"/>
        <w:spacing w:before="0"/>
        <w:rPr>
          <w:b/>
          <w:color w:val="E36C0A" w:themeColor="accent6" w:themeShade="BF"/>
        </w:rPr>
      </w:pPr>
      <w:bookmarkStart w:id="8" w:name="_Toc117504243"/>
      <w:r w:rsidRPr="003471D7">
        <w:rPr>
          <w:b/>
          <w:color w:val="E36C0A" w:themeColor="accent6" w:themeShade="BF"/>
        </w:rPr>
        <w:t>Introduction</w:t>
      </w:r>
      <w:r w:rsidR="0075413C">
        <w:rPr>
          <w:b/>
          <w:color w:val="E36C0A" w:themeColor="accent6" w:themeShade="BF"/>
        </w:rPr>
        <w:t xml:space="preserve"> and Adult Education </w:t>
      </w:r>
      <w:r w:rsidR="0075413C" w:rsidRPr="005622C4">
        <w:rPr>
          <w:b/>
          <w:color w:val="E36C0A"/>
        </w:rPr>
        <w:t>Glossary</w:t>
      </w:r>
      <w:bookmarkEnd w:id="8"/>
    </w:p>
    <w:p w14:paraId="5FD2A042" w14:textId="0D504E35" w:rsidR="004352A7" w:rsidRDefault="004352A7" w:rsidP="0047675C">
      <w:r w:rsidRPr="00B252C7">
        <w:t xml:space="preserve">The </w:t>
      </w:r>
      <w:r w:rsidR="00EA24A5" w:rsidRPr="005F73EB">
        <w:rPr>
          <w:i/>
          <w:iCs/>
        </w:rPr>
        <w:t xml:space="preserve">FY24-26 </w:t>
      </w:r>
      <w:r w:rsidRPr="005F73EB">
        <w:rPr>
          <w:rFonts w:eastAsia="Batang"/>
          <w:i/>
        </w:rPr>
        <w:t xml:space="preserve">Massachusetts </w:t>
      </w:r>
      <w:r w:rsidR="00510006" w:rsidRPr="005F73EB">
        <w:rPr>
          <w:rFonts w:eastAsia="Batang"/>
          <w:i/>
        </w:rPr>
        <w:t xml:space="preserve">Policies </w:t>
      </w:r>
      <w:r w:rsidRPr="005F73EB">
        <w:rPr>
          <w:rFonts w:eastAsia="Batang"/>
          <w:i/>
        </w:rPr>
        <w:t xml:space="preserve">for Effective </w:t>
      </w:r>
      <w:r w:rsidR="007C7AD7" w:rsidRPr="005F73EB">
        <w:rPr>
          <w:rFonts w:eastAsia="Batang"/>
          <w:i/>
          <w:iCs/>
        </w:rPr>
        <w:t xml:space="preserve">Adult Education </w:t>
      </w:r>
      <w:r w:rsidR="006B60FA" w:rsidRPr="005F73EB">
        <w:rPr>
          <w:rFonts w:eastAsia="Batang"/>
          <w:i/>
        </w:rPr>
        <w:t>Transition to</w:t>
      </w:r>
      <w:r w:rsidR="002B4708" w:rsidRPr="005F73EB">
        <w:rPr>
          <w:rFonts w:eastAsia="Batang"/>
          <w:i/>
        </w:rPr>
        <w:t xml:space="preserve"> </w:t>
      </w:r>
      <w:r w:rsidR="006B60FA" w:rsidRPr="005F73EB">
        <w:rPr>
          <w:rFonts w:eastAsia="Batang"/>
          <w:i/>
        </w:rPr>
        <w:t>College Programs</w:t>
      </w:r>
      <w:r w:rsidR="00AA25EB">
        <w:t xml:space="preserve"> </w:t>
      </w:r>
      <w:r w:rsidR="003111FB">
        <w:t xml:space="preserve">(the </w:t>
      </w:r>
      <w:r w:rsidR="003111FB" w:rsidRPr="003111FB">
        <w:rPr>
          <w:i/>
          <w:iCs/>
        </w:rPr>
        <w:t>Policies</w:t>
      </w:r>
      <w:r w:rsidR="003111FB">
        <w:t xml:space="preserve">) </w:t>
      </w:r>
      <w:r w:rsidR="00AA23C4">
        <w:t>serve</w:t>
      </w:r>
      <w:r w:rsidR="00832D15">
        <w:t>s</w:t>
      </w:r>
      <w:r w:rsidR="00AA23C4">
        <w:t xml:space="preserve"> </w:t>
      </w:r>
      <w:r w:rsidRPr="00B252C7">
        <w:t xml:space="preserve">to help adult educators prepare for the exciting, yet challenging task of operating a </w:t>
      </w:r>
      <w:r w:rsidR="006B60FA">
        <w:t>Transition to College program</w:t>
      </w:r>
      <w:r w:rsidR="005A1841">
        <w:t xml:space="preserve"> (</w:t>
      </w:r>
      <w:r w:rsidR="003C06D2">
        <w:t xml:space="preserve">the </w:t>
      </w:r>
      <w:r w:rsidR="00F951E9">
        <w:rPr>
          <w:i/>
          <w:iCs/>
        </w:rPr>
        <w:t>p</w:t>
      </w:r>
      <w:r w:rsidR="003C06D2" w:rsidRPr="003C06D2">
        <w:rPr>
          <w:i/>
          <w:iCs/>
        </w:rPr>
        <w:t>rogram</w:t>
      </w:r>
      <w:r w:rsidR="003C06D2">
        <w:rPr>
          <w:i/>
          <w:iCs/>
        </w:rPr>
        <w:t xml:space="preserve"> </w:t>
      </w:r>
      <w:r w:rsidR="003C06D2">
        <w:t>or</w:t>
      </w:r>
      <w:r w:rsidR="00535E06">
        <w:t xml:space="preserve"> </w:t>
      </w:r>
      <w:r w:rsidR="00AA25EB" w:rsidRPr="003C06D2">
        <w:rPr>
          <w:i/>
        </w:rPr>
        <w:t xml:space="preserve">Transition </w:t>
      </w:r>
      <w:r w:rsidR="00F34BC6" w:rsidRPr="003C06D2">
        <w:rPr>
          <w:i/>
        </w:rPr>
        <w:t>P</w:t>
      </w:r>
      <w:r w:rsidR="005A1841" w:rsidRPr="003C06D2">
        <w:rPr>
          <w:i/>
        </w:rPr>
        <w:t>rogram</w:t>
      </w:r>
      <w:r w:rsidR="005A1841">
        <w:t>)</w:t>
      </w:r>
      <w:r w:rsidR="00B252C7">
        <w:t xml:space="preserve">. </w:t>
      </w:r>
      <w:r w:rsidRPr="00B252C7">
        <w:t xml:space="preserve">To that end, </w:t>
      </w:r>
      <w:r w:rsidR="00F027EE">
        <w:t>it</w:t>
      </w:r>
      <w:r w:rsidRPr="00B252C7">
        <w:t xml:space="preserve"> </w:t>
      </w:r>
      <w:r w:rsidRPr="00250003">
        <w:t>provide</w:t>
      </w:r>
      <w:r w:rsidR="00F027EE">
        <w:t>s</w:t>
      </w:r>
      <w:r w:rsidRPr="00250003">
        <w:t>:</w:t>
      </w:r>
    </w:p>
    <w:p w14:paraId="2E5AE6E2" w14:textId="77777777" w:rsidR="00250003" w:rsidRPr="00250003" w:rsidRDefault="00250003" w:rsidP="0047675C"/>
    <w:p w14:paraId="04270FBF" w14:textId="4484EDE4" w:rsidR="00F75338" w:rsidRPr="00767A44" w:rsidRDefault="00767A44" w:rsidP="00CB37D4">
      <w:pPr>
        <w:pStyle w:val="NormalWeb"/>
        <w:numPr>
          <w:ilvl w:val="0"/>
          <w:numId w:val="3"/>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B</w:t>
      </w:r>
      <w:r w:rsidR="00850DDD" w:rsidRPr="00EF7CE5">
        <w:rPr>
          <w:rFonts w:ascii="Times New Roman" w:hAnsi="Times New Roman" w:cs="Times New Roman"/>
          <w:sz w:val="24"/>
          <w:szCs w:val="24"/>
        </w:rPr>
        <w:t xml:space="preserve">asic information about </w:t>
      </w:r>
      <w:r w:rsidR="002205CD" w:rsidRPr="00EF7CE5">
        <w:rPr>
          <w:rFonts w:ascii="Times New Roman" w:hAnsi="Times New Roman" w:cs="Times New Roman"/>
          <w:sz w:val="24"/>
          <w:szCs w:val="24"/>
        </w:rPr>
        <w:t xml:space="preserve">the </w:t>
      </w:r>
      <w:r w:rsidR="008C7589" w:rsidRPr="00EF7CE5">
        <w:rPr>
          <w:rFonts w:ascii="Times New Roman" w:hAnsi="Times New Roman" w:cs="Times New Roman"/>
          <w:sz w:val="24"/>
          <w:szCs w:val="24"/>
        </w:rPr>
        <w:t>adult education</w:t>
      </w:r>
      <w:r w:rsidR="002205CD" w:rsidRPr="00EF7CE5">
        <w:rPr>
          <w:rFonts w:ascii="Times New Roman" w:hAnsi="Times New Roman" w:cs="Times New Roman"/>
          <w:sz w:val="24"/>
          <w:szCs w:val="24"/>
        </w:rPr>
        <w:t xml:space="preserve"> </w:t>
      </w:r>
      <w:r w:rsidR="00734D27">
        <w:rPr>
          <w:rFonts w:ascii="Times New Roman" w:hAnsi="Times New Roman" w:cs="Times New Roman"/>
          <w:sz w:val="24"/>
          <w:szCs w:val="24"/>
        </w:rPr>
        <w:t xml:space="preserve">(AE) </w:t>
      </w:r>
      <w:r w:rsidR="002205CD" w:rsidRPr="00EF7CE5">
        <w:rPr>
          <w:rFonts w:ascii="Times New Roman" w:hAnsi="Times New Roman" w:cs="Times New Roman"/>
          <w:sz w:val="24"/>
          <w:szCs w:val="24"/>
        </w:rPr>
        <w:t>system in Massachusetts</w:t>
      </w:r>
      <w:r w:rsidR="00F217A6" w:rsidRPr="00EF7CE5">
        <w:rPr>
          <w:rFonts w:ascii="Times New Roman" w:hAnsi="Times New Roman" w:cs="Times New Roman"/>
          <w:sz w:val="24"/>
          <w:szCs w:val="24"/>
        </w:rPr>
        <w:t xml:space="preserve"> including </w:t>
      </w:r>
      <w:r w:rsidR="006C3BDC" w:rsidRPr="00EF7CE5">
        <w:rPr>
          <w:rFonts w:ascii="Times New Roman" w:hAnsi="Times New Roman" w:cs="Times New Roman"/>
          <w:sz w:val="24"/>
          <w:szCs w:val="24"/>
        </w:rPr>
        <w:t>links to the ACLS data management system</w:t>
      </w:r>
      <w:hyperlink r:id="rId17" w:history="1">
        <w:r w:rsidR="00EF4BC1" w:rsidRPr="00EF7CE5">
          <w:rPr>
            <w:rStyle w:val="Hyperlink"/>
            <w:rFonts w:ascii="Times New Roman" w:hAnsi="Times New Roman" w:cs="Times New Roman"/>
            <w:color w:val="auto"/>
            <w:sz w:val="24"/>
            <w:szCs w:val="24"/>
            <w:u w:val="none"/>
          </w:rPr>
          <w:t>,</w:t>
        </w:r>
        <w:r w:rsidR="00EF4BC1" w:rsidRPr="00EF7CE5">
          <w:rPr>
            <w:rStyle w:val="Hyperlink"/>
            <w:rFonts w:ascii="Times New Roman" w:hAnsi="Times New Roman" w:cs="Times New Roman"/>
            <w:sz w:val="24"/>
            <w:szCs w:val="24"/>
            <w:u w:val="none"/>
          </w:rPr>
          <w:t xml:space="preserve"> </w:t>
        </w:r>
        <w:r w:rsidR="006C3BDC" w:rsidRPr="00EF7CE5">
          <w:rPr>
            <w:rStyle w:val="Hyperlink"/>
            <w:rFonts w:ascii="Times New Roman" w:hAnsi="Times New Roman" w:cs="Times New Roman"/>
            <w:sz w:val="24"/>
            <w:szCs w:val="24"/>
          </w:rPr>
          <w:t>LACES</w:t>
        </w:r>
      </w:hyperlink>
      <w:r w:rsidR="00045D7E">
        <w:rPr>
          <w:rStyle w:val="Hyperlink"/>
          <w:rFonts w:ascii="Times New Roman" w:hAnsi="Times New Roman" w:cs="Times New Roman"/>
          <w:sz w:val="24"/>
          <w:szCs w:val="24"/>
        </w:rPr>
        <w:t xml:space="preserve">, </w:t>
      </w:r>
      <w:r w:rsidR="00045D7E" w:rsidRPr="0079354F">
        <w:rPr>
          <w:rFonts w:ascii="Times New Roman" w:hAnsi="Times New Roman" w:cs="Times New Roman"/>
          <w:sz w:val="24"/>
          <w:szCs w:val="24"/>
        </w:rPr>
        <w:t xml:space="preserve">and a glossary of common adult education terms and acronyms posted at </w:t>
      </w:r>
      <w:hyperlink r:id="rId18" w:history="1">
        <w:r w:rsidR="00045D7E" w:rsidRPr="0079354F">
          <w:rPr>
            <w:rStyle w:val="Hyperlink"/>
            <w:rFonts w:ascii="Times New Roman" w:hAnsi="Times New Roman" w:cs="Times New Roman"/>
            <w:sz w:val="24"/>
            <w:szCs w:val="24"/>
          </w:rPr>
          <w:t>Adult Education Policies</w:t>
        </w:r>
      </w:hyperlink>
      <w:r w:rsidR="00045D7E" w:rsidRPr="0079354F">
        <w:rPr>
          <w:rStyle w:val="Hyperlink"/>
          <w:rFonts w:ascii="Times New Roman" w:hAnsi="Times New Roman" w:cs="Times New Roman"/>
          <w:color w:val="000000" w:themeColor="text1"/>
          <w:sz w:val="24"/>
          <w:szCs w:val="24"/>
          <w:u w:val="none"/>
        </w:rPr>
        <w:t>;</w:t>
      </w:r>
    </w:p>
    <w:p w14:paraId="646E08B7" w14:textId="120D19EF" w:rsidR="00250003" w:rsidRPr="00767A44" w:rsidRDefault="00767A44" w:rsidP="0047675C">
      <w:pPr>
        <w:pStyle w:val="NormalWeb"/>
        <w:numPr>
          <w:ilvl w:val="0"/>
          <w:numId w:val="3"/>
        </w:numPr>
        <w:spacing w:before="0" w:beforeAutospacing="0" w:after="0" w:afterAutospacing="0"/>
        <w:rPr>
          <w:rFonts w:ascii="Times New Roman" w:hAnsi="Times New Roman" w:cs="Times New Roman"/>
          <w:sz w:val="24"/>
          <w:szCs w:val="24"/>
        </w:rPr>
      </w:pPr>
      <w:r>
        <w:rPr>
          <w:rFonts w:ascii="Times New Roman" w:eastAsia="Batang" w:hAnsi="Times New Roman" w:cs="Times New Roman"/>
          <w:sz w:val="24"/>
          <w:szCs w:val="24"/>
        </w:rPr>
        <w:t>E</w:t>
      </w:r>
      <w:r w:rsidR="00056BA6" w:rsidRPr="00250003">
        <w:rPr>
          <w:rFonts w:ascii="Times New Roman" w:eastAsia="Batang" w:hAnsi="Times New Roman" w:cs="Times New Roman"/>
          <w:sz w:val="24"/>
          <w:szCs w:val="24"/>
        </w:rPr>
        <w:t>xplanations</w:t>
      </w:r>
      <w:r w:rsidR="004352A7" w:rsidRPr="00250003">
        <w:rPr>
          <w:rFonts w:ascii="Times New Roman" w:eastAsia="Batang" w:hAnsi="Times New Roman" w:cs="Times New Roman"/>
          <w:sz w:val="24"/>
          <w:szCs w:val="24"/>
        </w:rPr>
        <w:t xml:space="preserve"> </w:t>
      </w:r>
      <w:r w:rsidR="00056BA6" w:rsidRPr="00250003">
        <w:rPr>
          <w:rFonts w:ascii="Times New Roman" w:eastAsia="Batang" w:hAnsi="Times New Roman" w:cs="Times New Roman"/>
          <w:sz w:val="24"/>
          <w:szCs w:val="24"/>
        </w:rPr>
        <w:t>of</w:t>
      </w:r>
      <w:r w:rsidR="004352A7" w:rsidRPr="00250003">
        <w:rPr>
          <w:rFonts w:ascii="Times New Roman" w:eastAsia="Batang" w:hAnsi="Times New Roman" w:cs="Times New Roman"/>
          <w:sz w:val="24"/>
          <w:szCs w:val="24"/>
        </w:rPr>
        <w:t xml:space="preserve"> policy </w:t>
      </w:r>
      <w:r w:rsidR="00056BA6" w:rsidRPr="00250003">
        <w:rPr>
          <w:rFonts w:ascii="Times New Roman" w:eastAsia="Batang" w:hAnsi="Times New Roman" w:cs="Times New Roman"/>
          <w:sz w:val="24"/>
          <w:szCs w:val="24"/>
        </w:rPr>
        <w:t>requirements</w:t>
      </w:r>
      <w:r w:rsidR="004352A7" w:rsidRPr="00250003">
        <w:rPr>
          <w:rFonts w:ascii="Times New Roman" w:eastAsia="Batang" w:hAnsi="Times New Roman" w:cs="Times New Roman"/>
          <w:sz w:val="24"/>
          <w:szCs w:val="24"/>
        </w:rPr>
        <w:t xml:space="preserve"> for </w:t>
      </w:r>
      <w:r w:rsidR="004A486D">
        <w:rPr>
          <w:rFonts w:ascii="Times New Roman" w:eastAsia="Batang" w:hAnsi="Times New Roman" w:cs="Times New Roman"/>
          <w:sz w:val="24"/>
          <w:szCs w:val="24"/>
        </w:rPr>
        <w:t>colleges</w:t>
      </w:r>
      <w:r w:rsidR="004352A7" w:rsidRPr="00250003">
        <w:rPr>
          <w:rFonts w:ascii="Times New Roman" w:eastAsia="Batang" w:hAnsi="Times New Roman" w:cs="Times New Roman"/>
          <w:sz w:val="24"/>
          <w:szCs w:val="24"/>
        </w:rPr>
        <w:t xml:space="preserve"> providing </w:t>
      </w:r>
      <w:r w:rsidR="00151307">
        <w:rPr>
          <w:rFonts w:ascii="Times New Roman" w:eastAsia="Batang" w:hAnsi="Times New Roman" w:cs="Times New Roman"/>
          <w:sz w:val="24"/>
          <w:szCs w:val="24"/>
        </w:rPr>
        <w:t xml:space="preserve">Transition </w:t>
      </w:r>
      <w:r w:rsidR="004352A7" w:rsidRPr="00250003">
        <w:rPr>
          <w:rFonts w:ascii="Times New Roman" w:eastAsia="Batang" w:hAnsi="Times New Roman" w:cs="Times New Roman"/>
          <w:sz w:val="24"/>
          <w:szCs w:val="24"/>
        </w:rPr>
        <w:t xml:space="preserve">services to </w:t>
      </w:r>
      <w:r w:rsidR="00151307">
        <w:rPr>
          <w:rFonts w:ascii="Times New Roman" w:eastAsia="Batang" w:hAnsi="Times New Roman" w:cs="Times New Roman"/>
          <w:sz w:val="24"/>
          <w:szCs w:val="24"/>
        </w:rPr>
        <w:t>AE</w:t>
      </w:r>
      <w:r w:rsidR="004352A7" w:rsidRPr="00250003">
        <w:rPr>
          <w:rFonts w:ascii="Times New Roman" w:eastAsia="Batang" w:hAnsi="Times New Roman" w:cs="Times New Roman"/>
          <w:sz w:val="24"/>
          <w:szCs w:val="24"/>
        </w:rPr>
        <w:t xml:space="preserve"> students</w:t>
      </w:r>
      <w:r w:rsidR="00250003" w:rsidRPr="00250003">
        <w:rPr>
          <w:rFonts w:ascii="Times New Roman" w:eastAsia="Batang" w:hAnsi="Times New Roman" w:cs="Times New Roman"/>
          <w:sz w:val="24"/>
          <w:szCs w:val="24"/>
        </w:rPr>
        <w:t xml:space="preserve">: </w:t>
      </w:r>
      <w:r w:rsidR="00250003" w:rsidRPr="00250003">
        <w:rPr>
          <w:rFonts w:ascii="Times New Roman" w:hAnsi="Times New Roman" w:cs="Times New Roman"/>
          <w:sz w:val="24"/>
          <w:szCs w:val="24"/>
        </w:rPr>
        <w:t xml:space="preserve">The success </w:t>
      </w:r>
      <w:r w:rsidR="008474D8">
        <w:rPr>
          <w:rFonts w:ascii="Times New Roman" w:hAnsi="Times New Roman" w:cs="Times New Roman"/>
          <w:sz w:val="24"/>
          <w:szCs w:val="24"/>
        </w:rPr>
        <w:t xml:space="preserve">of </w:t>
      </w:r>
      <w:r w:rsidR="005A1841">
        <w:rPr>
          <w:rFonts w:ascii="Times New Roman" w:hAnsi="Times New Roman" w:cs="Times New Roman"/>
          <w:sz w:val="24"/>
          <w:szCs w:val="24"/>
        </w:rPr>
        <w:t xml:space="preserve">a </w:t>
      </w:r>
      <w:r w:rsidR="003C06D2">
        <w:rPr>
          <w:rFonts w:ascii="Times New Roman" w:hAnsi="Times New Roman" w:cs="Times New Roman"/>
          <w:sz w:val="24"/>
          <w:szCs w:val="24"/>
        </w:rPr>
        <w:t>p</w:t>
      </w:r>
      <w:r w:rsidR="00CB09F4">
        <w:rPr>
          <w:rFonts w:ascii="Times New Roman" w:hAnsi="Times New Roman" w:cs="Times New Roman"/>
          <w:sz w:val="24"/>
          <w:szCs w:val="24"/>
        </w:rPr>
        <w:t>rogram</w:t>
      </w:r>
      <w:r w:rsidR="00250003" w:rsidRPr="00250003">
        <w:rPr>
          <w:rFonts w:ascii="Times New Roman" w:hAnsi="Times New Roman" w:cs="Times New Roman"/>
          <w:sz w:val="24"/>
          <w:szCs w:val="24"/>
        </w:rPr>
        <w:t xml:space="preserve"> rests on the effective implementation of policy requirements derived f</w:t>
      </w:r>
      <w:r w:rsidR="0033119B">
        <w:rPr>
          <w:rFonts w:ascii="Times New Roman" w:hAnsi="Times New Roman" w:cs="Times New Roman"/>
          <w:sz w:val="24"/>
          <w:szCs w:val="24"/>
        </w:rPr>
        <w:t xml:space="preserve">rom multiple sources including </w:t>
      </w:r>
      <w:r w:rsidR="008C57E1">
        <w:rPr>
          <w:rFonts w:ascii="Times New Roman" w:hAnsi="Times New Roman" w:cs="Times New Roman"/>
          <w:sz w:val="24"/>
          <w:szCs w:val="24"/>
        </w:rPr>
        <w:t>research and data</w:t>
      </w:r>
      <w:r w:rsidR="00250003" w:rsidRPr="00250003">
        <w:rPr>
          <w:rFonts w:ascii="Times New Roman" w:hAnsi="Times New Roman" w:cs="Times New Roman"/>
          <w:sz w:val="24"/>
          <w:szCs w:val="24"/>
        </w:rPr>
        <w:t xml:space="preserve"> and prac</w:t>
      </w:r>
      <w:r w:rsidR="00C83259">
        <w:rPr>
          <w:rFonts w:ascii="Times New Roman" w:hAnsi="Times New Roman" w:cs="Times New Roman"/>
          <w:sz w:val="24"/>
          <w:szCs w:val="24"/>
        </w:rPr>
        <w:t>titioner wisdom and experience.</w:t>
      </w:r>
      <w:r w:rsidR="008C57E1">
        <w:rPr>
          <w:rFonts w:ascii="Times New Roman" w:hAnsi="Times New Roman" w:cs="Times New Roman"/>
          <w:sz w:val="24"/>
          <w:szCs w:val="24"/>
        </w:rPr>
        <w:t xml:space="preserve"> </w:t>
      </w:r>
      <w:r w:rsidR="00145680" w:rsidRPr="008C57E1">
        <w:rPr>
          <w:rFonts w:ascii="Times New Roman" w:hAnsi="Times New Roman" w:cs="Times New Roman"/>
          <w:sz w:val="24"/>
          <w:szCs w:val="24"/>
        </w:rPr>
        <w:t xml:space="preserve">The failure of a </w:t>
      </w:r>
      <w:r w:rsidR="00250003" w:rsidRPr="008C57E1">
        <w:rPr>
          <w:rFonts w:ascii="Times New Roman" w:hAnsi="Times New Roman" w:cs="Times New Roman"/>
          <w:sz w:val="24"/>
          <w:szCs w:val="24"/>
        </w:rPr>
        <w:t xml:space="preserve">program to demonstrate compliance with the policy requirements in this document </w:t>
      </w:r>
      <w:r w:rsidR="00D053F7" w:rsidRPr="008C57E1">
        <w:rPr>
          <w:rFonts w:ascii="Times New Roman" w:hAnsi="Times New Roman" w:cs="Times New Roman"/>
          <w:sz w:val="24"/>
          <w:szCs w:val="24"/>
        </w:rPr>
        <w:t xml:space="preserve">and in subsequent policy updates throughout the year </w:t>
      </w:r>
      <w:r w:rsidR="0039793F" w:rsidRPr="008C57E1">
        <w:rPr>
          <w:rFonts w:ascii="Times New Roman" w:hAnsi="Times New Roman" w:cs="Times New Roman"/>
          <w:sz w:val="24"/>
          <w:szCs w:val="24"/>
        </w:rPr>
        <w:t xml:space="preserve">will </w:t>
      </w:r>
      <w:r w:rsidR="00250003" w:rsidRPr="008C57E1">
        <w:rPr>
          <w:rFonts w:ascii="Times New Roman" w:hAnsi="Times New Roman" w:cs="Times New Roman"/>
          <w:sz w:val="24"/>
          <w:szCs w:val="24"/>
        </w:rPr>
        <w:t>have consequences, including but not limited to remedial action</w:t>
      </w:r>
      <w:r w:rsidR="00E81C57" w:rsidRPr="008C57E1">
        <w:rPr>
          <w:rFonts w:ascii="Times New Roman" w:hAnsi="Times New Roman" w:cs="Times New Roman"/>
          <w:sz w:val="24"/>
          <w:szCs w:val="24"/>
        </w:rPr>
        <w:t xml:space="preserve">, </w:t>
      </w:r>
      <w:r w:rsidR="00250003" w:rsidRPr="008C57E1">
        <w:rPr>
          <w:rFonts w:ascii="Times New Roman" w:hAnsi="Times New Roman" w:cs="Times New Roman"/>
          <w:sz w:val="24"/>
          <w:szCs w:val="24"/>
        </w:rPr>
        <w:t>withholding of funds</w:t>
      </w:r>
      <w:r w:rsidR="00E81C57" w:rsidRPr="008C57E1">
        <w:rPr>
          <w:rFonts w:ascii="Times New Roman" w:hAnsi="Times New Roman" w:cs="Times New Roman"/>
          <w:sz w:val="24"/>
          <w:szCs w:val="24"/>
        </w:rPr>
        <w:t>, grant reduction, or grant termination</w:t>
      </w:r>
      <w:r w:rsidR="00F75B60">
        <w:rPr>
          <w:rFonts w:ascii="Times New Roman" w:hAnsi="Times New Roman" w:cs="Times New Roman"/>
          <w:sz w:val="24"/>
          <w:szCs w:val="24"/>
        </w:rPr>
        <w:t>; and</w:t>
      </w:r>
    </w:p>
    <w:p w14:paraId="6C513EF4" w14:textId="076B8467" w:rsidR="007F362C" w:rsidRDefault="00F75B60" w:rsidP="0014435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634953" w:rsidRPr="00EF7CE5">
        <w:rPr>
          <w:rFonts w:ascii="Times New Roman" w:hAnsi="Times New Roman" w:cs="Times New Roman"/>
          <w:sz w:val="24"/>
          <w:szCs w:val="24"/>
        </w:rPr>
        <w:t>inks to additional information</w:t>
      </w:r>
      <w:r w:rsidR="00F96BC0" w:rsidRPr="00EF7CE5">
        <w:rPr>
          <w:rFonts w:ascii="Times New Roman" w:hAnsi="Times New Roman" w:cs="Times New Roman"/>
          <w:sz w:val="24"/>
          <w:szCs w:val="24"/>
        </w:rPr>
        <w:t xml:space="preserve"> to facilitate</w:t>
      </w:r>
      <w:r w:rsidR="008474D8" w:rsidRPr="00EF7CE5">
        <w:rPr>
          <w:rFonts w:ascii="Times New Roman" w:hAnsi="Times New Roman" w:cs="Times New Roman"/>
          <w:sz w:val="24"/>
          <w:szCs w:val="24"/>
        </w:rPr>
        <w:t xml:space="preserve"> </w:t>
      </w:r>
      <w:r w:rsidR="006A1D70" w:rsidRPr="00EF7CE5">
        <w:rPr>
          <w:rFonts w:ascii="Times New Roman" w:hAnsi="Times New Roman" w:cs="Times New Roman"/>
          <w:sz w:val="24"/>
          <w:szCs w:val="24"/>
        </w:rPr>
        <w:t>effective</w:t>
      </w:r>
      <w:r w:rsidR="00F96BC0" w:rsidRPr="00EF7CE5">
        <w:rPr>
          <w:rFonts w:ascii="Times New Roman" w:hAnsi="Times New Roman" w:cs="Times New Roman"/>
          <w:sz w:val="24"/>
          <w:szCs w:val="24"/>
        </w:rPr>
        <w:t xml:space="preserve"> </w:t>
      </w:r>
      <w:r w:rsidR="008474D8" w:rsidRPr="00EF7CE5">
        <w:rPr>
          <w:rFonts w:ascii="Times New Roman" w:hAnsi="Times New Roman" w:cs="Times New Roman"/>
          <w:sz w:val="24"/>
          <w:szCs w:val="24"/>
        </w:rPr>
        <w:t>service delivery</w:t>
      </w:r>
      <w:r w:rsidR="00F96BC0" w:rsidRPr="00EF7CE5">
        <w:rPr>
          <w:rFonts w:ascii="Times New Roman" w:hAnsi="Times New Roman" w:cs="Times New Roman"/>
          <w:sz w:val="24"/>
          <w:szCs w:val="24"/>
        </w:rPr>
        <w:t xml:space="preserve"> and</w:t>
      </w:r>
      <w:r w:rsidR="00B85140" w:rsidRPr="00EF7CE5">
        <w:rPr>
          <w:rFonts w:ascii="Times New Roman" w:hAnsi="Times New Roman" w:cs="Times New Roman"/>
          <w:sz w:val="24"/>
          <w:szCs w:val="24"/>
        </w:rPr>
        <w:t>/or</w:t>
      </w:r>
      <w:r w:rsidR="004352A7" w:rsidRPr="00EF7CE5">
        <w:rPr>
          <w:rFonts w:ascii="Times New Roman" w:hAnsi="Times New Roman" w:cs="Times New Roman"/>
          <w:sz w:val="24"/>
          <w:szCs w:val="24"/>
        </w:rPr>
        <w:t xml:space="preserve"> further </w:t>
      </w:r>
      <w:r w:rsidR="007E1905" w:rsidRPr="00EF7CE5">
        <w:rPr>
          <w:rFonts w:ascii="Times New Roman" w:hAnsi="Times New Roman" w:cs="Times New Roman"/>
          <w:sz w:val="24"/>
          <w:szCs w:val="24"/>
        </w:rPr>
        <w:t xml:space="preserve">professional </w:t>
      </w:r>
      <w:r w:rsidR="004352A7" w:rsidRPr="00EF7CE5">
        <w:rPr>
          <w:rFonts w:ascii="Times New Roman" w:hAnsi="Times New Roman" w:cs="Times New Roman"/>
          <w:sz w:val="24"/>
          <w:szCs w:val="24"/>
        </w:rPr>
        <w:t>growth and development</w:t>
      </w:r>
      <w:r w:rsidR="006958EB">
        <w:rPr>
          <w:rFonts w:ascii="Times New Roman" w:hAnsi="Times New Roman" w:cs="Times New Roman"/>
          <w:sz w:val="24"/>
          <w:szCs w:val="24"/>
        </w:rPr>
        <w:t>.</w:t>
      </w:r>
      <w:r w:rsidR="00545A1F" w:rsidRPr="00545A1F">
        <w:rPr>
          <w:rFonts w:ascii="Times New Roman" w:hAnsi="Times New Roman" w:cs="Times New Roman"/>
          <w:sz w:val="24"/>
          <w:szCs w:val="24"/>
        </w:rPr>
        <w:t xml:space="preserve"> </w:t>
      </w:r>
      <w:r w:rsidR="00545A1F" w:rsidRPr="675C1F61">
        <w:rPr>
          <w:rFonts w:ascii="Times New Roman" w:hAnsi="Times New Roman" w:cs="Times New Roman"/>
          <w:sz w:val="24"/>
          <w:szCs w:val="24"/>
        </w:rPr>
        <w:t>These links to additional information</w:t>
      </w:r>
      <w:r w:rsidR="004C1F25">
        <w:rPr>
          <w:rFonts w:ascii="Times New Roman" w:hAnsi="Times New Roman" w:cs="Times New Roman"/>
          <w:sz w:val="24"/>
          <w:szCs w:val="24"/>
        </w:rPr>
        <w:t>, such as the</w:t>
      </w:r>
      <w:r w:rsidR="00545A1F" w:rsidRPr="675C1F61">
        <w:rPr>
          <w:rFonts w:ascii="Times New Roman" w:hAnsi="Times New Roman" w:cs="Times New Roman"/>
          <w:sz w:val="24"/>
          <w:szCs w:val="24"/>
        </w:rPr>
        <w:t xml:space="preserve"> </w:t>
      </w:r>
      <w:r w:rsidR="004C1F25" w:rsidRPr="005F73EB">
        <w:rPr>
          <w:rFonts w:ascii="Times New Roman" w:hAnsi="Times New Roman" w:cs="Times New Roman"/>
          <w:i/>
          <w:iCs/>
          <w:sz w:val="24"/>
          <w:szCs w:val="24"/>
        </w:rPr>
        <w:t>FY 24-26 Indicators of Program Quality for Adult Education Transition to College Programs</w:t>
      </w:r>
      <w:r w:rsidR="004C1F25">
        <w:rPr>
          <w:rFonts w:ascii="Times New Roman" w:hAnsi="Times New Roman" w:cs="Times New Roman"/>
          <w:sz w:val="24"/>
          <w:szCs w:val="24"/>
        </w:rPr>
        <w:t>,</w:t>
      </w:r>
      <w:r w:rsidR="00545A1F" w:rsidRPr="675C1F61">
        <w:rPr>
          <w:rFonts w:ascii="Times New Roman" w:hAnsi="Times New Roman" w:cs="Times New Roman"/>
          <w:sz w:val="24"/>
          <w:szCs w:val="24"/>
        </w:rPr>
        <w:t xml:space="preserve"> are useful to programs developing and implementing high quality and innovative models.</w:t>
      </w:r>
    </w:p>
    <w:p w14:paraId="3ADEC21D" w14:textId="77777777" w:rsidR="00E43A7A" w:rsidRPr="00CD37E7" w:rsidRDefault="00E43A7A" w:rsidP="00E43A7A">
      <w:pPr>
        <w:snapToGrid w:val="0"/>
        <w:rPr>
          <w:highlight w:val="yellow"/>
        </w:rPr>
      </w:pPr>
    </w:p>
    <w:p w14:paraId="0C9A793A" w14:textId="07453A05" w:rsidR="003C2BF1" w:rsidRDefault="007F1F7B" w:rsidP="003C2BF1">
      <w:pPr>
        <w:snapToGrid w:val="0"/>
      </w:pPr>
      <w:r>
        <w:t xml:space="preserve">This </w:t>
      </w:r>
      <w:r w:rsidR="00280CDB">
        <w:t xml:space="preserve">manual is organized by </w:t>
      </w:r>
      <w:r w:rsidR="00BF5F66" w:rsidRPr="005F73EB">
        <w:rPr>
          <w:i/>
          <w:iCs/>
        </w:rPr>
        <w:t xml:space="preserve">FY 24-26 </w:t>
      </w:r>
      <w:r w:rsidR="00C06052" w:rsidRPr="005F73EB">
        <w:rPr>
          <w:i/>
          <w:iCs/>
        </w:rPr>
        <w:t>Indicators of Program Quality for Adult Education Transition to College Programs.</w:t>
      </w:r>
      <w:r w:rsidR="00C06052" w:rsidRPr="00C06052">
        <w:rPr>
          <w:i/>
          <w:iCs/>
        </w:rPr>
        <w:t xml:space="preserve"> </w:t>
      </w:r>
      <w:r w:rsidR="00F47B7E">
        <w:t xml:space="preserve">The Policies cover both Transition to College Services and College Support Services. </w:t>
      </w:r>
      <w:r w:rsidR="003C2BF1" w:rsidRPr="0079354F">
        <w:t>Subsequent to the release of this policy manual and, as needed, ACLS will release an updated versi</w:t>
      </w:r>
      <w:r w:rsidR="003C2BF1">
        <w:t xml:space="preserve">on of </w:t>
      </w:r>
      <w:r w:rsidR="003C2BF1" w:rsidRPr="0079354F">
        <w:t xml:space="preserve">the </w:t>
      </w:r>
      <w:r w:rsidR="003C2BF1" w:rsidRPr="003C2BF1">
        <w:rPr>
          <w:i/>
          <w:iCs/>
        </w:rPr>
        <w:t>Policies</w:t>
      </w:r>
      <w:r w:rsidR="003C2BF1" w:rsidRPr="0079354F">
        <w:t>.</w:t>
      </w:r>
      <w:r w:rsidR="003C2BF1">
        <w:t xml:space="preserve"> N</w:t>
      </w:r>
      <w:r w:rsidR="003C2BF1" w:rsidRPr="0079354F">
        <w:t xml:space="preserve">ew policies, policy changes, and policy clarifications will be announced in numbered and labeled policy memos in special mailings. Additionally, links to the announcements will be listed in chronological order below the online policy manual. The naming convention will be ACLS </w:t>
      </w:r>
      <w:r w:rsidR="002857F9">
        <w:t xml:space="preserve">TRANSITION </w:t>
      </w:r>
      <w:r w:rsidR="003C2BF1" w:rsidRPr="0079354F">
        <w:t>POLICY MEMO followed by:</w:t>
      </w:r>
    </w:p>
    <w:p w14:paraId="47F15A4B" w14:textId="77777777" w:rsidR="00B17A2E" w:rsidRDefault="00B17A2E" w:rsidP="003C2BF1">
      <w:pPr>
        <w:snapToGrid w:val="0"/>
      </w:pPr>
    </w:p>
    <w:p w14:paraId="69F50FE6" w14:textId="082F215B" w:rsidR="00E43A7A" w:rsidRPr="005256DE" w:rsidRDefault="00B17A2E" w:rsidP="00144355">
      <w:pPr>
        <w:pStyle w:val="ListParagraph"/>
        <w:numPr>
          <w:ilvl w:val="2"/>
          <w:numId w:val="5"/>
        </w:numPr>
        <w:snapToGri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43A7A" w:rsidRPr="005256DE">
        <w:rPr>
          <w:rFonts w:ascii="Times New Roman" w:eastAsia="Times New Roman" w:hAnsi="Times New Roman" w:cs="Times New Roman"/>
          <w:sz w:val="24"/>
          <w:szCs w:val="24"/>
        </w:rPr>
        <w:t xml:space="preserve"> number and calendar year: For example, policy number #3-202</w:t>
      </w:r>
      <w:r w:rsidR="00750116">
        <w:rPr>
          <w:rFonts w:ascii="Times New Roman" w:eastAsia="Times New Roman" w:hAnsi="Times New Roman" w:cs="Times New Roman"/>
          <w:sz w:val="24"/>
          <w:szCs w:val="24"/>
        </w:rPr>
        <w:t>4</w:t>
      </w:r>
      <w:r w:rsidR="00E43A7A" w:rsidRPr="005256DE">
        <w:rPr>
          <w:rFonts w:ascii="Times New Roman" w:eastAsia="Times New Roman" w:hAnsi="Times New Roman" w:cs="Times New Roman"/>
          <w:sz w:val="24"/>
          <w:szCs w:val="24"/>
        </w:rPr>
        <w:t xml:space="preserve"> would be the third policy memo released during calendar year 202</w:t>
      </w:r>
      <w:r w:rsidR="00750116">
        <w:rPr>
          <w:rFonts w:ascii="Times New Roman" w:eastAsia="Times New Roman" w:hAnsi="Times New Roman" w:cs="Times New Roman"/>
          <w:sz w:val="24"/>
          <w:szCs w:val="24"/>
        </w:rPr>
        <w:t>4</w:t>
      </w:r>
      <w:r w:rsidR="00E43A7A" w:rsidRPr="005256DE">
        <w:rPr>
          <w:rFonts w:ascii="Times New Roman" w:eastAsia="Times New Roman" w:hAnsi="Times New Roman" w:cs="Times New Roman"/>
          <w:sz w:val="24"/>
          <w:szCs w:val="24"/>
        </w:rPr>
        <w:t>.</w:t>
      </w:r>
    </w:p>
    <w:p w14:paraId="796FD5B3" w14:textId="77F752F4" w:rsidR="00E43A7A" w:rsidRPr="005256DE" w:rsidRDefault="00750116" w:rsidP="00144355">
      <w:pPr>
        <w:pStyle w:val="ListParagraph"/>
        <w:numPr>
          <w:ilvl w:val="2"/>
          <w:numId w:val="5"/>
        </w:numPr>
        <w:snapToGri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43A7A" w:rsidRPr="005256DE">
        <w:rPr>
          <w:rFonts w:ascii="Times New Roman" w:eastAsia="Times New Roman" w:hAnsi="Times New Roman" w:cs="Times New Roman"/>
          <w:sz w:val="24"/>
          <w:szCs w:val="24"/>
        </w:rPr>
        <w:t xml:space="preserve"> descriptive title: For example, if the announcement provides a clarification regarding allowable uses for funds (e.g., use of grant funds for space), the memo might be named Clarification on Use of Grant Funds for Space.</w:t>
      </w:r>
    </w:p>
    <w:p w14:paraId="33BC5ADB" w14:textId="77777777" w:rsidR="00712D72" w:rsidRDefault="00712D72" w:rsidP="00712D72">
      <w:pPr>
        <w:pStyle w:val="ListParagraph"/>
        <w:snapToGrid w:val="0"/>
        <w:spacing w:after="0" w:line="240" w:lineRule="auto"/>
        <w:rPr>
          <w:rFonts w:ascii="Times New Roman" w:eastAsia="Times New Roman" w:hAnsi="Times New Roman" w:cs="Times New Roman"/>
          <w:sz w:val="24"/>
          <w:szCs w:val="24"/>
        </w:rPr>
      </w:pPr>
    </w:p>
    <w:p w14:paraId="52662A7D" w14:textId="557069B2" w:rsidR="00E43A7A" w:rsidRPr="00712D72" w:rsidRDefault="00712D72" w:rsidP="00712D72">
      <w:pPr>
        <w:snapToGrid w:val="0"/>
      </w:pPr>
      <w:r>
        <w:t xml:space="preserve">Therefore, </w:t>
      </w:r>
      <w:r w:rsidR="00E43A7A" w:rsidRPr="00712D72">
        <w:t xml:space="preserve">the above policy clarification might be named: ACLS </w:t>
      </w:r>
      <w:r w:rsidR="002857F9">
        <w:t xml:space="preserve">TRANSITION </w:t>
      </w:r>
      <w:r w:rsidR="00E43A7A" w:rsidRPr="00712D72">
        <w:t>POLICY MEMO #03-202</w:t>
      </w:r>
      <w:r>
        <w:t>4</w:t>
      </w:r>
      <w:r w:rsidR="00E43A7A" w:rsidRPr="00712D72">
        <w:t>: Clarification on Use of Grant Funds for Space.</w:t>
      </w:r>
    </w:p>
    <w:p w14:paraId="0028D4C2" w14:textId="77777777" w:rsidR="0091753A" w:rsidRDefault="0091753A" w:rsidP="00CF573B"/>
    <w:p w14:paraId="271E6A76" w14:textId="77777777" w:rsidR="000A752D" w:rsidRDefault="000A752D" w:rsidP="00501AAD">
      <w:pPr>
        <w:pStyle w:val="Heading2"/>
        <w:spacing w:before="0"/>
        <w:rPr>
          <w:b/>
          <w:color w:val="E36C0A" w:themeColor="accent6" w:themeShade="BF"/>
        </w:rPr>
      </w:pPr>
    </w:p>
    <w:p w14:paraId="3CB848C4" w14:textId="77777777" w:rsidR="00362538" w:rsidRPr="00362538" w:rsidRDefault="00362538" w:rsidP="00362538"/>
    <w:p w14:paraId="2E0D27AE" w14:textId="77777777" w:rsidR="00362538" w:rsidRPr="00362538" w:rsidRDefault="00362538" w:rsidP="00362538"/>
    <w:p w14:paraId="353AAB02" w14:textId="77777777" w:rsidR="00362538" w:rsidRPr="00362538" w:rsidRDefault="00362538" w:rsidP="00362538"/>
    <w:p w14:paraId="139774F2" w14:textId="172E6A20" w:rsidR="00362538" w:rsidRDefault="00362538" w:rsidP="00362538">
      <w:pPr>
        <w:tabs>
          <w:tab w:val="left" w:pos="3901"/>
        </w:tabs>
        <w:rPr>
          <w:rFonts w:ascii="Arial Narrow" w:hAnsi="Arial Narrow" w:cs="Arial"/>
          <w:b/>
          <w:bCs/>
          <w:color w:val="E36C0A" w:themeColor="accent6" w:themeShade="BF"/>
          <w:sz w:val="28"/>
          <w:szCs w:val="20"/>
        </w:rPr>
      </w:pPr>
      <w:r>
        <w:rPr>
          <w:rFonts w:ascii="Arial Narrow" w:hAnsi="Arial Narrow" w:cs="Arial"/>
          <w:b/>
          <w:bCs/>
          <w:color w:val="E36C0A" w:themeColor="accent6" w:themeShade="BF"/>
          <w:sz w:val="28"/>
          <w:szCs w:val="20"/>
        </w:rPr>
        <w:tab/>
      </w:r>
    </w:p>
    <w:p w14:paraId="5209AA08" w14:textId="77777777" w:rsidR="00362538" w:rsidRDefault="00362538" w:rsidP="00362538">
      <w:pPr>
        <w:rPr>
          <w:rFonts w:ascii="Arial Narrow" w:hAnsi="Arial Narrow" w:cs="Arial"/>
          <w:b/>
          <w:bCs/>
          <w:color w:val="E36C0A" w:themeColor="accent6" w:themeShade="BF"/>
          <w:sz w:val="28"/>
          <w:szCs w:val="20"/>
        </w:rPr>
      </w:pPr>
    </w:p>
    <w:p w14:paraId="70098374" w14:textId="5384E980" w:rsidR="00362538" w:rsidRPr="00362538" w:rsidRDefault="00362538" w:rsidP="00362538">
      <w:pPr>
        <w:sectPr w:rsidR="00362538" w:rsidRPr="00362538" w:rsidSect="006953DE">
          <w:footerReference w:type="first" r:id="rId19"/>
          <w:pgSz w:w="12240" w:h="15840" w:code="1"/>
          <w:pgMar w:top="1008" w:right="1440" w:bottom="576" w:left="1440" w:header="720" w:footer="720" w:gutter="0"/>
          <w:pgNumType w:start="1"/>
          <w:cols w:space="720"/>
          <w:titlePg/>
          <w:docGrid w:linePitch="360"/>
        </w:sectPr>
      </w:pPr>
    </w:p>
    <w:p w14:paraId="41B6C037" w14:textId="22E12232" w:rsidR="00EE3D1F" w:rsidRPr="00501AAD" w:rsidRDefault="00323A05" w:rsidP="00501AAD">
      <w:pPr>
        <w:pStyle w:val="Heading2"/>
        <w:spacing w:before="0"/>
        <w:rPr>
          <w:b/>
          <w:color w:val="E36C0A" w:themeColor="accent6" w:themeShade="BF"/>
        </w:rPr>
      </w:pPr>
      <w:bookmarkStart w:id="9" w:name="_MON_1298109743"/>
      <w:bookmarkStart w:id="10" w:name="_MON_1391939644"/>
      <w:bookmarkStart w:id="11" w:name="_MON_1238488333"/>
      <w:bookmarkStart w:id="12" w:name="_MON_1240224213"/>
      <w:bookmarkStart w:id="13" w:name="_Toc117504244"/>
      <w:bookmarkEnd w:id="7"/>
      <w:bookmarkEnd w:id="9"/>
      <w:bookmarkEnd w:id="10"/>
      <w:bookmarkEnd w:id="11"/>
      <w:bookmarkEnd w:id="12"/>
      <w:r w:rsidRPr="003471D7">
        <w:rPr>
          <w:b/>
          <w:color w:val="E36C0A" w:themeColor="accent6" w:themeShade="BF"/>
        </w:rPr>
        <w:t>Overview</w:t>
      </w:r>
      <w:bookmarkEnd w:id="13"/>
    </w:p>
    <w:p w14:paraId="1AF8E190" w14:textId="424D37D2" w:rsidR="00A65EC6" w:rsidRPr="00052369" w:rsidRDefault="00A65EC6" w:rsidP="00472B68">
      <w:pPr>
        <w:pStyle w:val="Heading3"/>
      </w:pPr>
      <w:bookmarkStart w:id="14" w:name="_Toc117504245"/>
      <w:bookmarkStart w:id="15" w:name="_Hlk2839426"/>
      <w:r w:rsidRPr="00F84D43">
        <w:t>Department of Elementary and Secondary Education Goal</w:t>
      </w:r>
      <w:r w:rsidR="00501AAD" w:rsidRPr="00F84D43">
        <w:t xml:space="preserve"> (</w:t>
      </w:r>
      <w:r w:rsidR="00CF3DDF">
        <w:t>D</w:t>
      </w:r>
      <w:r w:rsidR="00593EE3" w:rsidRPr="00F84D43">
        <w:t>ESE</w:t>
      </w:r>
      <w:r w:rsidR="00501AAD" w:rsidRPr="00052369">
        <w:t>)</w:t>
      </w:r>
      <w:bookmarkEnd w:id="14"/>
    </w:p>
    <w:p w14:paraId="58F21426" w14:textId="2251E4BF" w:rsidR="00C2755A" w:rsidRPr="00501AAD" w:rsidRDefault="00A65EC6" w:rsidP="00C2755A">
      <w:r w:rsidRPr="00EF7CE5">
        <w:t xml:space="preserve">The goal of the Massachusetts public </w:t>
      </w:r>
      <w:r w:rsidR="00AF4190" w:rsidRPr="00EF7CE5">
        <w:t xml:space="preserve">K-12 and adult </w:t>
      </w:r>
      <w:r w:rsidRPr="00EF7CE5">
        <w:t xml:space="preserve">education </w:t>
      </w:r>
      <w:r w:rsidR="00C51709">
        <w:t xml:space="preserve">(AE) </w:t>
      </w:r>
      <w:r w:rsidRPr="00EF7CE5">
        <w:t xml:space="preserve">system is to prepare </w:t>
      </w:r>
      <w:r w:rsidRPr="00EF7CE5">
        <w:rPr>
          <w:i/>
        </w:rPr>
        <w:t>all</w:t>
      </w:r>
      <w:r w:rsidRPr="00EF7CE5">
        <w:t xml:space="preserve"> </w:t>
      </w:r>
      <w:r w:rsidR="00501AAD" w:rsidRPr="00EF7CE5">
        <w:t xml:space="preserve">Massachusetts </w:t>
      </w:r>
      <w:r w:rsidRPr="00EF7CE5">
        <w:t xml:space="preserve">students for success in life. </w:t>
      </w:r>
      <w:r w:rsidR="00C2755A" w:rsidRPr="00C2755A">
        <w:t>This includes services administered by</w:t>
      </w:r>
      <w:r w:rsidR="00C51709">
        <w:t xml:space="preserve"> the</w:t>
      </w:r>
      <w:r w:rsidR="00C2755A" w:rsidRPr="00C2755A">
        <w:t xml:space="preserve"> </w:t>
      </w:r>
      <w:hyperlink r:id="rId20" w:history="1">
        <w:r w:rsidR="00100D7D">
          <w:rPr>
            <w:rStyle w:val="Hyperlink"/>
          </w:rPr>
          <w:t>Office of Adult and Community Learning Services</w:t>
        </w:r>
      </w:hyperlink>
      <w:r w:rsidR="00C2755A" w:rsidRPr="00C2755A">
        <w:t xml:space="preserve"> (ACLS), part of the </w:t>
      </w:r>
      <w:r w:rsidR="00B63A3D">
        <w:t>D</w:t>
      </w:r>
      <w:r w:rsidR="00593EE3">
        <w:t>ESE</w:t>
      </w:r>
      <w:r w:rsidR="00C2755A" w:rsidRPr="00C2755A">
        <w:t xml:space="preserve">’s Center for Educational Options. ACLS is responsible for providing </w:t>
      </w:r>
      <w:r w:rsidR="00F833AD">
        <w:t xml:space="preserve">AE </w:t>
      </w:r>
      <w:r w:rsidR="00C2755A" w:rsidRPr="00C2755A">
        <w:t>services to adults with academic skill levels below 12</w:t>
      </w:r>
      <w:r w:rsidR="00C2755A" w:rsidRPr="00DB48F1">
        <w:rPr>
          <w:vertAlign w:val="superscript"/>
        </w:rPr>
        <w:t>th</w:t>
      </w:r>
      <w:r w:rsidR="00C2755A" w:rsidRPr="00C2755A">
        <w:t xml:space="preserve"> grade, and/or adults who need English language skills to succeed in our communities.</w:t>
      </w:r>
    </w:p>
    <w:p w14:paraId="59FBD08B" w14:textId="77777777" w:rsidR="00501AAD" w:rsidRDefault="00501AAD" w:rsidP="00C2755A"/>
    <w:p w14:paraId="089860CD" w14:textId="77777777" w:rsidR="00DC083F" w:rsidRPr="0079354F" w:rsidRDefault="00DC083F" w:rsidP="00DC083F">
      <w:pPr>
        <w:rPr>
          <w:color w:val="323130"/>
        </w:rPr>
      </w:pPr>
      <w:bookmarkStart w:id="16" w:name="_Hlk68250346"/>
      <w:r w:rsidRPr="0079354F">
        <w:rPr>
          <w:color w:val="323130"/>
        </w:rPr>
        <w:t>Our commitment to the educational and workforce success of adult students requires that we promote and support diversity</w:t>
      </w:r>
      <w:r w:rsidRPr="0079354F">
        <w:rPr>
          <w:rStyle w:val="FootnoteReference"/>
          <w:color w:val="323130"/>
        </w:rPr>
        <w:footnoteReference w:id="2"/>
      </w:r>
      <w:r w:rsidRPr="0079354F">
        <w:rPr>
          <w:color w:val="323130"/>
        </w:rPr>
        <w:t>, equity</w:t>
      </w:r>
      <w:r w:rsidRPr="0079354F">
        <w:rPr>
          <w:rStyle w:val="FootnoteReference"/>
          <w:color w:val="323130"/>
        </w:rPr>
        <w:footnoteReference w:id="3"/>
      </w:r>
      <w:r w:rsidRPr="0079354F">
        <w:rPr>
          <w:color w:val="323130"/>
        </w:rPr>
        <w:t>, and inclusion</w:t>
      </w:r>
      <w:r w:rsidRPr="0079354F">
        <w:rPr>
          <w:rStyle w:val="FootnoteReference"/>
          <w:color w:val="323130"/>
        </w:rPr>
        <w:footnoteReference w:id="4"/>
      </w:r>
      <w:r w:rsidRPr="0079354F">
        <w:rPr>
          <w:color w:val="323130"/>
        </w:rPr>
        <w:t xml:space="preserve"> (DEI) on multiple levels. First and foremost, we must guide and support students as they work to improve their skills in a world that does not always see them as assets and often raises barriers to the achievement of their goals and aspirations.</w:t>
      </w:r>
    </w:p>
    <w:bookmarkEnd w:id="16"/>
    <w:p w14:paraId="0CF75C30" w14:textId="77777777" w:rsidR="00DC083F" w:rsidRPr="00EF7CE5" w:rsidRDefault="00DC083F" w:rsidP="00C2755A"/>
    <w:p w14:paraId="2C7C3D10" w14:textId="77777777" w:rsidR="00A65EC6" w:rsidRPr="00EF7CE5" w:rsidRDefault="00A65EC6" w:rsidP="00B40274">
      <w:pPr>
        <w:pStyle w:val="Heading3"/>
      </w:pPr>
      <w:bookmarkStart w:id="17" w:name="_Toc117504246"/>
      <w:r w:rsidRPr="00EF7CE5">
        <w:t>Center for Educational Options</w:t>
      </w:r>
      <w:r w:rsidR="0080149F" w:rsidRPr="00EF7CE5">
        <w:t xml:space="preserve"> Mission</w:t>
      </w:r>
      <w:bookmarkEnd w:id="17"/>
    </w:p>
    <w:p w14:paraId="353F5D1D" w14:textId="77777777" w:rsidR="00AF4190" w:rsidRPr="00AF4190" w:rsidRDefault="00AF4190" w:rsidP="00AF4190">
      <w:pPr>
        <w:ind w:left="540"/>
        <w:rPr>
          <w:b/>
          <w:bCs/>
          <w:i/>
          <w:noProof/>
          <w:color w:val="0033CC"/>
        </w:rPr>
      </w:pPr>
      <w:r w:rsidRPr="00EF7CE5">
        <w:rPr>
          <w:i/>
          <w:color w:val="000000"/>
        </w:rPr>
        <w:t>We expand and enhance high quality educational options for learners of all ages, and ensure equitable access for all, especially for those who have been historically underserved.</w:t>
      </w:r>
      <w:r w:rsidRPr="00AF4190">
        <w:rPr>
          <w:i/>
          <w:color w:val="000000"/>
        </w:rPr>
        <w:t> </w:t>
      </w:r>
    </w:p>
    <w:p w14:paraId="5AE3F441" w14:textId="77777777" w:rsidR="00A65EC6" w:rsidRPr="00CD1371" w:rsidRDefault="00A65EC6" w:rsidP="00472B68">
      <w:pPr>
        <w:pStyle w:val="Heading3"/>
      </w:pPr>
    </w:p>
    <w:p w14:paraId="761E4FD4" w14:textId="3CA96F4A" w:rsidR="00C06E83" w:rsidRPr="00C06E83" w:rsidRDefault="00A65EC6" w:rsidP="00472B68">
      <w:pPr>
        <w:pStyle w:val="Heading3"/>
      </w:pPr>
      <w:bookmarkStart w:id="18" w:name="_Toc117504247"/>
      <w:r>
        <w:t xml:space="preserve">Adult </w:t>
      </w:r>
      <w:r w:rsidR="00C2755A">
        <w:t>and Community Learning Services</w:t>
      </w:r>
      <w:r>
        <w:t xml:space="preserve"> </w:t>
      </w:r>
      <w:r w:rsidR="00202E8C" w:rsidRPr="0049023B">
        <w:t>Mission</w:t>
      </w:r>
      <w:bookmarkEnd w:id="18"/>
    </w:p>
    <w:bookmarkEnd w:id="15"/>
    <w:p w14:paraId="01CC0A4B" w14:textId="77777777" w:rsidR="00166D2D" w:rsidRPr="00CE615E" w:rsidRDefault="00166D2D" w:rsidP="00166D2D">
      <w:pPr>
        <w:pStyle w:val="NormalWeb"/>
        <w:widowControl w:val="0"/>
        <w:spacing w:before="0" w:beforeAutospacing="0" w:after="0" w:afterAutospacing="0"/>
        <w:ind w:left="547"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ACLS partners with adult education programs to ensure that all students have access to quality instruction, advising, job training, and career pathways. </w:t>
      </w:r>
    </w:p>
    <w:p w14:paraId="0BB39F17" w14:textId="77777777" w:rsidR="00166D2D" w:rsidRPr="00CE615E" w:rsidRDefault="00166D2D" w:rsidP="00166D2D">
      <w:pPr>
        <w:pStyle w:val="NormalWeb"/>
        <w:widowControl w:val="0"/>
        <w:numPr>
          <w:ilvl w:val="0"/>
          <w:numId w:val="25"/>
        </w:numPr>
        <w:spacing w:before="0" w:beforeAutospacing="0" w:after="0" w:afterAutospacing="0"/>
        <w:ind w:left="1440"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set high expectations and provide support to achieve them.</w:t>
      </w:r>
    </w:p>
    <w:p w14:paraId="04EADF8C" w14:textId="77777777" w:rsidR="00166D2D" w:rsidRPr="00CE615E" w:rsidRDefault="00166D2D" w:rsidP="00166D2D">
      <w:pPr>
        <w:pStyle w:val="NormalWeb"/>
        <w:widowControl w:val="0"/>
        <w:numPr>
          <w:ilvl w:val="0"/>
          <w:numId w:val="25"/>
        </w:numPr>
        <w:spacing w:before="0" w:beforeAutospacing="0" w:after="0" w:afterAutospacing="0"/>
        <w:ind w:left="1440" w:right="36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promote flexible options for learning that honor the diversity of students and advance equity and inclusion.</w:t>
      </w:r>
    </w:p>
    <w:p w14:paraId="418EAC15" w14:textId="77777777" w:rsidR="00166D2D" w:rsidRPr="00CE615E" w:rsidRDefault="00166D2D" w:rsidP="00166D2D">
      <w:pPr>
        <w:pStyle w:val="NormalWeb"/>
        <w:numPr>
          <w:ilvl w:val="0"/>
          <w:numId w:val="26"/>
        </w:numPr>
        <w:spacing w:before="0" w:beforeAutospacing="0" w:after="0" w:afterAutospacing="0"/>
        <w:ind w:left="144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foster collaborations that enhance student success in employment and higher education.</w:t>
      </w:r>
    </w:p>
    <w:p w14:paraId="196C6EFC" w14:textId="77777777" w:rsidR="00166D2D" w:rsidRPr="00CE615E" w:rsidRDefault="00166D2D" w:rsidP="00166D2D">
      <w:pPr>
        <w:pStyle w:val="NormalWeb"/>
        <w:numPr>
          <w:ilvl w:val="0"/>
          <w:numId w:val="26"/>
        </w:numPr>
        <w:spacing w:before="0" w:beforeAutospacing="0" w:after="0" w:afterAutospacing="0"/>
        <w:ind w:left="1440"/>
        <w:rPr>
          <w:rFonts w:ascii="Times New Roman" w:eastAsia="Times New Roman" w:hAnsi="Times New Roman" w:cs="Times New Roman"/>
          <w:i/>
          <w:iCs/>
          <w:sz w:val="24"/>
          <w:szCs w:val="24"/>
        </w:rPr>
      </w:pPr>
      <w:r w:rsidRPr="00CE615E">
        <w:rPr>
          <w:rFonts w:ascii="Times New Roman" w:eastAsia="Times New Roman" w:hAnsi="Times New Roman" w:cs="Times New Roman"/>
          <w:i/>
          <w:iCs/>
          <w:sz w:val="24"/>
          <w:szCs w:val="24"/>
        </w:rPr>
        <w:t>We hold ourselves and our providers accountable for results.</w:t>
      </w:r>
    </w:p>
    <w:p w14:paraId="6FEA85D2" w14:textId="77777777" w:rsidR="00166D2D" w:rsidRDefault="00166D2D" w:rsidP="00166D2D">
      <w:pPr>
        <w:pStyle w:val="NormalWeb"/>
        <w:spacing w:before="0" w:beforeAutospacing="0" w:after="0" w:afterAutospacing="0"/>
        <w:ind w:left="720"/>
        <w:rPr>
          <w:i/>
          <w:iCs/>
        </w:rPr>
      </w:pPr>
      <w:r w:rsidRPr="36742878">
        <w:t xml:space="preserve">     </w:t>
      </w:r>
      <w:r>
        <w:tab/>
      </w:r>
      <w:r>
        <w:tab/>
      </w:r>
      <w:r>
        <w:tab/>
      </w:r>
      <w:r>
        <w:tab/>
      </w:r>
      <w:r>
        <w:tab/>
      </w:r>
      <w:r>
        <w:tab/>
      </w:r>
      <w:r>
        <w:tab/>
      </w:r>
      <w:r>
        <w:tab/>
      </w:r>
      <w:r>
        <w:tab/>
      </w:r>
      <w:r>
        <w:tab/>
      </w:r>
      <w:r w:rsidRPr="36742878">
        <w:rPr>
          <w:rFonts w:ascii="Times New Roman" w:eastAsia="Times New Roman" w:hAnsi="Times New Roman" w:cs="Times New Roman"/>
        </w:rPr>
        <w:t>Adopted 2022</w:t>
      </w:r>
    </w:p>
    <w:p w14:paraId="430B1C0C" w14:textId="77777777" w:rsidR="00E131F5" w:rsidRDefault="00E131F5" w:rsidP="00F24CE7">
      <w:pPr>
        <w:pStyle w:val="Heading3"/>
        <w:rPr>
          <w:highlight w:val="yellow"/>
        </w:rPr>
      </w:pPr>
      <w:bookmarkStart w:id="19" w:name="_Toc109195957"/>
    </w:p>
    <w:p w14:paraId="3F30344C" w14:textId="4AC357C6" w:rsidR="00F24CE7" w:rsidRPr="008B471D" w:rsidRDefault="00F24CE7" w:rsidP="00F24CE7">
      <w:pPr>
        <w:pStyle w:val="Heading3"/>
        <w:rPr>
          <w:b w:val="0"/>
          <w:bCs w:val="0"/>
        </w:rPr>
      </w:pPr>
      <w:bookmarkStart w:id="20" w:name="_Toc117504248"/>
      <w:r w:rsidRPr="006B1E30">
        <w:t>The Workforce Innovation and Opportunity Act (WIOA)</w:t>
      </w:r>
      <w:bookmarkEnd w:id="19"/>
      <w:bookmarkEnd w:id="20"/>
    </w:p>
    <w:p w14:paraId="27EE59DB" w14:textId="77777777" w:rsidR="00425290" w:rsidRPr="0079354F" w:rsidRDefault="00425290" w:rsidP="00425290">
      <w:pPr>
        <w:pStyle w:val="Default"/>
        <w:rPr>
          <w:rFonts w:eastAsiaTheme="minorHAnsi"/>
        </w:rPr>
      </w:pPr>
      <w:r w:rsidRPr="0079354F">
        <w:t xml:space="preserve">On July 22, 2014, President Obama signed into law </w:t>
      </w:r>
      <w:r w:rsidRPr="0079354F">
        <w:rPr>
          <w:bCs/>
        </w:rPr>
        <w:t xml:space="preserve">the </w:t>
      </w:r>
      <w:hyperlink r:id="rId21" w:history="1">
        <w:r w:rsidRPr="0079354F">
          <w:rPr>
            <w:rStyle w:val="Hyperlink"/>
            <w:bCs/>
          </w:rPr>
          <w:t>Workforce Innovation and Opportunity Act</w:t>
        </w:r>
      </w:hyperlink>
      <w:r w:rsidRPr="0079354F">
        <w:rPr>
          <w:b/>
          <w:bCs/>
        </w:rPr>
        <w:t xml:space="preserve"> </w:t>
      </w:r>
      <w:r w:rsidRPr="0079354F">
        <w:rPr>
          <w:bCs/>
        </w:rPr>
        <w:t>(</w:t>
      </w:r>
      <w:r w:rsidRPr="0079354F">
        <w:t xml:space="preserve">WIOA) which revised and reauthorized the </w:t>
      </w:r>
      <w:r w:rsidRPr="0079354F">
        <w:rPr>
          <w:bCs/>
          <w:iCs/>
        </w:rPr>
        <w:t>Workforce Investment Act of 1998</w:t>
      </w:r>
      <w:r w:rsidRPr="0079354F">
        <w:rPr>
          <w:b/>
          <w:bCs/>
          <w:iCs/>
        </w:rPr>
        <w:t xml:space="preserve"> </w:t>
      </w:r>
      <w:r w:rsidRPr="0079354F">
        <w:t>(WIA). The new law supports innovative strategies to keep pace with changing economic conditions and seeks to improve coordination between four core federal programs that support adult education, employment services, workforce development, and vocational rehabilitation activities.</w:t>
      </w:r>
      <w:r w:rsidRPr="0079354F">
        <w:rPr>
          <w:rFonts w:eastAsiaTheme="minorHAnsi"/>
        </w:rPr>
        <w:t xml:space="preserve"> </w:t>
      </w:r>
      <w:r w:rsidRPr="0079354F">
        <w:t>The core programs are:</w:t>
      </w:r>
    </w:p>
    <w:p w14:paraId="7DF9EF89" w14:textId="77777777" w:rsidR="00425290" w:rsidRPr="0079354F" w:rsidRDefault="00425290" w:rsidP="00425290">
      <w:pPr>
        <w:pStyle w:val="Default"/>
        <w:numPr>
          <w:ilvl w:val="0"/>
          <w:numId w:val="38"/>
        </w:numPr>
      </w:pPr>
      <w:r w:rsidRPr="0079354F">
        <w:t>Adult, Dislocated Worker, and Youth, administered by the Department of Labor (DOL) under Title I;</w:t>
      </w:r>
    </w:p>
    <w:p w14:paraId="786757D2" w14:textId="77777777" w:rsidR="00425290" w:rsidRPr="0079354F" w:rsidRDefault="00425290" w:rsidP="00425290">
      <w:pPr>
        <w:pStyle w:val="Default"/>
        <w:numPr>
          <w:ilvl w:val="0"/>
          <w:numId w:val="38"/>
        </w:numPr>
      </w:pPr>
      <w:r w:rsidRPr="0079354F">
        <w:t>Adult Education and Family Literacy Act (AEFLA), administered by the Department of Education (US ED) under Title II;</w:t>
      </w:r>
    </w:p>
    <w:p w14:paraId="2FA119A3" w14:textId="77777777" w:rsidR="00425290" w:rsidRPr="0079354F" w:rsidRDefault="00425290" w:rsidP="00425290">
      <w:pPr>
        <w:pStyle w:val="Default"/>
        <w:numPr>
          <w:ilvl w:val="0"/>
          <w:numId w:val="38"/>
        </w:numPr>
      </w:pPr>
      <w:r w:rsidRPr="0079354F">
        <w:t>Wagner-Peyser Act employment services, administered by DOL under Title III; and</w:t>
      </w:r>
    </w:p>
    <w:p w14:paraId="52614FEA" w14:textId="77777777" w:rsidR="00425290" w:rsidRPr="0079354F" w:rsidRDefault="00425290" w:rsidP="00425290">
      <w:pPr>
        <w:pStyle w:val="Default"/>
        <w:numPr>
          <w:ilvl w:val="0"/>
          <w:numId w:val="38"/>
        </w:numPr>
      </w:pPr>
      <w:r w:rsidRPr="0079354F">
        <w:t>Vocational Rehabilitation Act, administered by US ED under Title IV.</w:t>
      </w:r>
    </w:p>
    <w:p w14:paraId="436F87F4" w14:textId="77777777" w:rsidR="00F27A45" w:rsidRDefault="00F27A45" w:rsidP="00425290"/>
    <w:p w14:paraId="32B62D71" w14:textId="77777777" w:rsidR="00F27A45" w:rsidRPr="00F27A45" w:rsidRDefault="00F27A45" w:rsidP="00955F8B">
      <w:pPr>
        <w:pStyle w:val="Heading3"/>
      </w:pPr>
      <w:bookmarkStart w:id="21" w:name="_Toc109195958"/>
      <w:bookmarkStart w:id="22" w:name="_Toc117504249"/>
      <w:r w:rsidRPr="00F27A45">
        <w:t>Innovation and Opportunity</w:t>
      </w:r>
      <w:bookmarkEnd w:id="21"/>
      <w:bookmarkEnd w:id="22"/>
    </w:p>
    <w:p w14:paraId="11FA2231" w14:textId="4BB19020" w:rsidR="00F27A45" w:rsidRPr="00F27A45" w:rsidRDefault="00F27A45" w:rsidP="00F27A45">
      <w:r w:rsidRPr="00F27A45">
        <w:t xml:space="preserve">In an effort to promote innovation in programs, ACLS has distilled from its policies only those areas of compliance that are essential to running a program; moreover, these policies have been informed by the Massachusetts </w:t>
      </w:r>
      <w:hyperlink r:id="rId22">
        <w:r w:rsidRPr="00F27A45">
          <w:rPr>
            <w:color w:val="0000FF"/>
            <w:u w:val="single"/>
          </w:rPr>
          <w:t>2020-2024 Massachusetts WIOA Combined State Plan</w:t>
        </w:r>
      </w:hyperlink>
      <w:r w:rsidRPr="00F27A45">
        <w:t xml:space="preserve"> under WIOA and ACLS’s</w:t>
      </w:r>
      <w:r>
        <w:t xml:space="preserve"> AE</w:t>
      </w:r>
      <w:r w:rsidRPr="00F27A45">
        <w:t xml:space="preserve"> </w:t>
      </w:r>
      <w:hyperlink r:id="rId23">
        <w:r w:rsidRPr="00F27A45">
          <w:rPr>
            <w:color w:val="0000FF"/>
            <w:u w:val="single"/>
          </w:rPr>
          <w:t>IPQs</w:t>
        </w:r>
      </w:hyperlink>
      <w:r w:rsidRPr="00F27A45">
        <w:t xml:space="preserve"> with the goal of facilitating student success in </w:t>
      </w:r>
      <w:r w:rsidRPr="00F27A45">
        <w:rPr>
          <w:rFonts w:eastAsia="Batang"/>
        </w:rPr>
        <w:t>career pathways</w:t>
      </w:r>
      <w:r w:rsidRPr="00F27A45">
        <w:t xml:space="preserve">, postsecondary education, training, and family-sustaining employment. To that end, it is our intent that AE will: </w:t>
      </w:r>
    </w:p>
    <w:p w14:paraId="43FE78FC" w14:textId="77777777" w:rsidR="00F27A45" w:rsidRPr="00F27A45" w:rsidRDefault="00F27A45" w:rsidP="00F27A45">
      <w:pPr>
        <w:numPr>
          <w:ilvl w:val="0"/>
          <w:numId w:val="40"/>
        </w:numPr>
        <w:autoSpaceDE w:val="0"/>
        <w:autoSpaceDN w:val="0"/>
        <w:rPr>
          <w:rFonts w:eastAsiaTheme="minorHAnsi"/>
        </w:rPr>
      </w:pPr>
      <w:r w:rsidRPr="00F27A45">
        <w:rPr>
          <w:rFonts w:eastAsiaTheme="minorHAnsi"/>
        </w:rPr>
        <w:t>improve students’ academic skills;</w:t>
      </w:r>
    </w:p>
    <w:p w14:paraId="14742475" w14:textId="77777777" w:rsidR="00F27A45" w:rsidRPr="00F27A45" w:rsidRDefault="00F27A45" w:rsidP="00F27A45">
      <w:pPr>
        <w:numPr>
          <w:ilvl w:val="0"/>
          <w:numId w:val="40"/>
        </w:numPr>
        <w:autoSpaceDE w:val="0"/>
        <w:autoSpaceDN w:val="0"/>
        <w:rPr>
          <w:rFonts w:eastAsiaTheme="minorHAnsi"/>
        </w:rPr>
      </w:pPr>
      <w:r w:rsidRPr="00F27A45">
        <w:rPr>
          <w:rFonts w:eastAsiaTheme="minorHAnsi"/>
        </w:rPr>
        <w:t>support the educational and skill achievement of parents and family members to participate in the educational development of their children;</w:t>
      </w:r>
    </w:p>
    <w:p w14:paraId="46A745DD" w14:textId="77777777" w:rsidR="00F27A45" w:rsidRPr="00F27A45" w:rsidRDefault="00F27A45" w:rsidP="00F27A45">
      <w:pPr>
        <w:numPr>
          <w:ilvl w:val="0"/>
          <w:numId w:val="40"/>
        </w:numPr>
        <w:autoSpaceDE w:val="0"/>
        <w:autoSpaceDN w:val="0"/>
        <w:rPr>
          <w:rFonts w:eastAsiaTheme="minorHAnsi"/>
        </w:rPr>
      </w:pPr>
      <w:r w:rsidRPr="00F27A45">
        <w:rPr>
          <w:rFonts w:eastAsiaTheme="minorHAnsi"/>
        </w:rPr>
        <w:t>enhance students’ workforce readiness including digital literacy skills;</w:t>
      </w:r>
    </w:p>
    <w:p w14:paraId="1A301351" w14:textId="77777777" w:rsidR="00F27A45" w:rsidRPr="00F27A45" w:rsidRDefault="00F27A45" w:rsidP="00F27A45">
      <w:pPr>
        <w:numPr>
          <w:ilvl w:val="0"/>
          <w:numId w:val="40"/>
        </w:numPr>
        <w:autoSpaceDE w:val="0"/>
        <w:autoSpaceDN w:val="0"/>
        <w:rPr>
          <w:rFonts w:eastAsiaTheme="minorHAnsi"/>
        </w:rPr>
      </w:pPr>
      <w:r w:rsidRPr="00F27A45">
        <w:rPr>
          <w:rFonts w:eastAsiaTheme="minorHAnsi"/>
        </w:rPr>
        <w:t xml:space="preserve">assist low-income job seekers and their families, including individuals with disabilities, veterans, and other populations facing persistent barriers to employment, to achieve economic self-sufficiency; and </w:t>
      </w:r>
    </w:p>
    <w:p w14:paraId="4161D0B5" w14:textId="77777777" w:rsidR="00F27A45" w:rsidRPr="00F27A45" w:rsidRDefault="00F27A45" w:rsidP="00F27A45">
      <w:pPr>
        <w:numPr>
          <w:ilvl w:val="0"/>
          <w:numId w:val="40"/>
        </w:numPr>
        <w:autoSpaceDE w:val="0"/>
        <w:autoSpaceDN w:val="0"/>
        <w:rPr>
          <w:rFonts w:eastAsiaTheme="minorHAnsi"/>
        </w:rPr>
      </w:pPr>
      <w:r w:rsidRPr="00F27A45">
        <w:rPr>
          <w:rFonts w:eastAsiaTheme="minorHAnsi"/>
        </w:rPr>
        <w:t>prepare students to meet the demands of the state’s job market.</w:t>
      </w:r>
    </w:p>
    <w:p w14:paraId="60909821" w14:textId="77777777" w:rsidR="00F27A45" w:rsidRPr="00F27A45" w:rsidRDefault="00F27A45" w:rsidP="00F27A45">
      <w:pPr>
        <w:autoSpaceDE w:val="0"/>
        <w:autoSpaceDN w:val="0"/>
        <w:adjustRightInd w:val="0"/>
      </w:pPr>
    </w:p>
    <w:p w14:paraId="262904CE" w14:textId="77777777" w:rsidR="00F27A45" w:rsidRPr="00F27A45" w:rsidRDefault="00F27A45" w:rsidP="00F27A45">
      <w:pPr>
        <w:autoSpaceDE w:val="0"/>
        <w:autoSpaceDN w:val="0"/>
        <w:adjustRightInd w:val="0"/>
        <w:rPr>
          <w:color w:val="000000"/>
        </w:rPr>
      </w:pPr>
      <w:r w:rsidRPr="00F27A45">
        <w:rPr>
          <w:color w:val="141414"/>
          <w:lang w:val="en"/>
        </w:rPr>
        <w:t xml:space="preserve">The </w:t>
      </w:r>
      <w:hyperlink r:id="rId24">
        <w:r w:rsidRPr="00F27A45">
          <w:rPr>
            <w:color w:val="0000FF"/>
            <w:u w:val="single"/>
          </w:rPr>
          <w:t>2020-2024 Massachusetts WIOA Combined State Plan</w:t>
        </w:r>
      </w:hyperlink>
      <w:r w:rsidRPr="00F27A45">
        <w:rPr>
          <w:color w:val="000000"/>
        </w:rPr>
        <w:t xml:space="preserve"> </w:t>
      </w:r>
      <w:r w:rsidRPr="00F27A45">
        <w:rPr>
          <w:color w:val="141414"/>
          <w:lang w:val="en"/>
        </w:rPr>
        <w:t>represents the combined efforts of numerous state and local partners to provide an effective and efficient workforce system for the Commonwealth.</w:t>
      </w:r>
    </w:p>
    <w:p w14:paraId="0EAA0C02" w14:textId="77777777" w:rsidR="00F27A45" w:rsidRPr="00F27A45" w:rsidRDefault="00F27A45" w:rsidP="00F27A45">
      <w:pPr>
        <w:autoSpaceDE w:val="0"/>
        <w:autoSpaceDN w:val="0"/>
        <w:adjustRightInd w:val="0"/>
        <w:rPr>
          <w:color w:val="000000"/>
        </w:rPr>
      </w:pPr>
    </w:p>
    <w:p w14:paraId="2C9B72E8" w14:textId="77777777" w:rsidR="00F27A45" w:rsidRPr="00F27A45" w:rsidRDefault="00F27A45" w:rsidP="00F27A45">
      <w:pPr>
        <w:autoSpaceDE w:val="0"/>
        <w:autoSpaceDN w:val="0"/>
        <w:adjustRightInd w:val="0"/>
      </w:pPr>
      <w:r w:rsidRPr="00F27A45">
        <w:rPr>
          <w:color w:val="000000"/>
        </w:rPr>
        <w:t xml:space="preserve">For more information on </w:t>
      </w:r>
      <w:hyperlink r:id="rId25">
        <w:r w:rsidRPr="00F27A45">
          <w:rPr>
            <w:color w:val="0000FF"/>
            <w:u w:val="single"/>
          </w:rPr>
          <w:t>WIOA</w:t>
        </w:r>
      </w:hyperlink>
      <w:r w:rsidRPr="00F27A45">
        <w:rPr>
          <w:color w:val="000000"/>
        </w:rPr>
        <w:t xml:space="preserve">, see </w:t>
      </w:r>
      <w:hyperlink r:id="rId26">
        <w:r w:rsidRPr="00F27A45">
          <w:rPr>
            <w:rFonts w:eastAsia="Batang"/>
            <w:color w:val="0000FF"/>
            <w:u w:val="single"/>
          </w:rPr>
          <w:t>http://www.doleta.gov/WIOA</w:t>
        </w:r>
      </w:hyperlink>
      <w:r w:rsidRPr="00F27A45">
        <w:rPr>
          <w:rFonts w:eastAsia="Batang"/>
          <w:color w:val="000000"/>
        </w:rPr>
        <w:t xml:space="preserve"> </w:t>
      </w:r>
      <w:r w:rsidRPr="00F27A45">
        <w:rPr>
          <w:color w:val="000000"/>
        </w:rPr>
        <w:t>and</w:t>
      </w:r>
      <w:r w:rsidRPr="00F27A45">
        <w:t xml:space="preserve"> </w:t>
      </w:r>
      <w:hyperlink r:id="rId27">
        <w:r w:rsidRPr="00F27A45">
          <w:rPr>
            <w:color w:val="0000FF"/>
            <w:u w:val="single"/>
          </w:rPr>
          <w:t>http://www.doe.mass.edu/acls/wioa.html</w:t>
        </w:r>
      </w:hyperlink>
      <w:r w:rsidRPr="00F27A45">
        <w:t>.</w:t>
      </w:r>
    </w:p>
    <w:p w14:paraId="4417D931" w14:textId="77777777" w:rsidR="00425290" w:rsidRDefault="00425290" w:rsidP="00425290"/>
    <w:p w14:paraId="4969B1D8" w14:textId="35F4404E" w:rsidR="006371C1" w:rsidRDefault="006371C1" w:rsidP="006371C1">
      <w:pPr>
        <w:pStyle w:val="Heading3"/>
      </w:pPr>
      <w:bookmarkStart w:id="23" w:name="_Toc117504250"/>
      <w:r>
        <w:t>The Transition to College Program</w:t>
      </w:r>
      <w:bookmarkEnd w:id="23"/>
    </w:p>
    <w:p w14:paraId="76D8974A" w14:textId="7F05FEC9" w:rsidR="006371C1" w:rsidRDefault="006371C1" w:rsidP="006371C1">
      <w:r w:rsidRPr="005F523A">
        <w:t>Support for the Transition to College Program</w:t>
      </w:r>
      <w:r w:rsidR="005F523A" w:rsidRPr="005F523A">
        <w:t xml:space="preserve"> and College Support Services Program </w:t>
      </w:r>
      <w:r w:rsidRPr="005F523A">
        <w:t xml:space="preserve"> underscores ACLS’s commitment to building bridges between </w:t>
      </w:r>
      <w:r w:rsidR="00BF4A16" w:rsidRPr="005F523A">
        <w:t>AE</w:t>
      </w:r>
      <w:r w:rsidRPr="005F523A">
        <w:t xml:space="preserve"> programs and the </w:t>
      </w:r>
      <w:r w:rsidR="0074599E" w:rsidRPr="005F523A">
        <w:t>postsecondary</w:t>
      </w:r>
      <w:r w:rsidRPr="005F523A">
        <w:t xml:space="preserve"> system. In t</w:t>
      </w:r>
      <w:r w:rsidR="00AA25EB" w:rsidRPr="005F523A">
        <w:t xml:space="preserve">his regard, Transition </w:t>
      </w:r>
      <w:r w:rsidR="00CB09F4" w:rsidRPr="005F523A">
        <w:t>Program</w:t>
      </w:r>
      <w:r w:rsidRPr="005F523A">
        <w:t>s are vital partners in regional care</w:t>
      </w:r>
      <w:r w:rsidR="00A549D3" w:rsidRPr="005F523A">
        <w:t>er pathway systems, as they provide students</w:t>
      </w:r>
      <w:r w:rsidRPr="005F523A">
        <w:t xml:space="preserve"> with the </w:t>
      </w:r>
      <w:r w:rsidR="00A549D3" w:rsidRPr="005F523A">
        <w:t>college navigation</w:t>
      </w:r>
      <w:r w:rsidR="00BF4A16" w:rsidRPr="005F523A">
        <w:t xml:space="preserve"> skills</w:t>
      </w:r>
      <w:r w:rsidR="00A549D3" w:rsidRPr="005F523A">
        <w:t xml:space="preserve">, </w:t>
      </w:r>
      <w:r w:rsidRPr="005F523A">
        <w:t>foundational skills</w:t>
      </w:r>
      <w:r w:rsidR="00A549D3" w:rsidRPr="005F523A">
        <w:t>,</w:t>
      </w:r>
      <w:r w:rsidRPr="005F523A">
        <w:t xml:space="preserve"> and knowledge necessary to</w:t>
      </w:r>
      <w:r w:rsidR="00A549D3" w:rsidRPr="005F523A">
        <w:t xml:space="preserve"> </w:t>
      </w:r>
      <w:r w:rsidRPr="005F523A">
        <w:t>succeed in credit-bearing courses</w:t>
      </w:r>
      <w:r w:rsidR="00A549D3" w:rsidRPr="005F523A">
        <w:t xml:space="preserve"> and earn certificates and/or degrees</w:t>
      </w:r>
      <w:r w:rsidRPr="005F523A">
        <w:t>.</w:t>
      </w:r>
    </w:p>
    <w:p w14:paraId="3F2DCBD2" w14:textId="77777777" w:rsidR="004B7848" w:rsidRDefault="004B7848" w:rsidP="006371C1"/>
    <w:p w14:paraId="6E30DA55" w14:textId="673C935D" w:rsidR="00A549D3" w:rsidRDefault="00A549D3" w:rsidP="00A549D3">
      <w:pPr>
        <w:pStyle w:val="Heading3"/>
      </w:pPr>
      <w:bookmarkStart w:id="24" w:name="_Toc117504251"/>
      <w:r>
        <w:t>The Role of the College</w:t>
      </w:r>
      <w:bookmarkEnd w:id="24"/>
    </w:p>
    <w:p w14:paraId="6334D0CF" w14:textId="66EBA910" w:rsidR="00A549D3" w:rsidRPr="00A549D3" w:rsidRDefault="00A549D3" w:rsidP="00A549D3">
      <w:r w:rsidRPr="00A549D3">
        <w:t xml:space="preserve">Colleges that are funded to implement a Transition to College program are required to: </w:t>
      </w:r>
    </w:p>
    <w:p w14:paraId="7C3B7E9F" w14:textId="29144924" w:rsidR="00A549D3" w:rsidRPr="00A549D3" w:rsidRDefault="00A549D3" w:rsidP="00144355">
      <w:pPr>
        <w:numPr>
          <w:ilvl w:val="0"/>
          <w:numId w:val="12"/>
        </w:numPr>
      </w:pPr>
      <w:r w:rsidRPr="00A549D3">
        <w:t xml:space="preserve">Integrate the </w:t>
      </w:r>
      <w:r w:rsidR="00AA25EB">
        <w:t xml:space="preserve">Transition </w:t>
      </w:r>
      <w:r w:rsidR="00CB09F4">
        <w:t>Program</w:t>
      </w:r>
      <w:r w:rsidRPr="00A549D3">
        <w:t xml:space="preserve"> into the college and provide it with financial and other supports (e.g., access to </w:t>
      </w:r>
      <w:r w:rsidR="00A90047">
        <w:t>credit-bearing courses</w:t>
      </w:r>
      <w:r w:rsidRPr="00A549D3">
        <w:t xml:space="preserve"> for Transition students and all college resources at no cost); </w:t>
      </w:r>
    </w:p>
    <w:p w14:paraId="11758968" w14:textId="54F9E105" w:rsidR="00A549D3" w:rsidRPr="00A549D3" w:rsidRDefault="00A549D3" w:rsidP="00144355">
      <w:pPr>
        <w:numPr>
          <w:ilvl w:val="0"/>
          <w:numId w:val="12"/>
        </w:numPr>
      </w:pPr>
      <w:r w:rsidRPr="00A549D3">
        <w:t>Integrate both studen</w:t>
      </w:r>
      <w:r w:rsidR="00AA25EB">
        <w:t xml:space="preserve">ts and staff of the Transition </w:t>
      </w:r>
      <w:r w:rsidR="00CB09F4">
        <w:t>Program</w:t>
      </w:r>
      <w:r w:rsidRPr="00A549D3">
        <w:t xml:space="preserve"> into the mainstream of the college’s activities, functions, and community; </w:t>
      </w:r>
    </w:p>
    <w:p w14:paraId="65252722" w14:textId="26430420" w:rsidR="00A549D3" w:rsidRPr="00A549D3" w:rsidRDefault="00A549D3" w:rsidP="00144355">
      <w:pPr>
        <w:numPr>
          <w:ilvl w:val="0"/>
          <w:numId w:val="13"/>
        </w:numPr>
      </w:pPr>
      <w:r w:rsidRPr="00A549D3">
        <w:t>Provide appropriate space</w:t>
      </w:r>
      <w:r w:rsidR="00AA25EB">
        <w:t xml:space="preserve"> for the </w:t>
      </w:r>
      <w:r w:rsidR="00CB09F4">
        <w:t>Program</w:t>
      </w:r>
      <w:r w:rsidR="003C06D2">
        <w:t>’s</w:t>
      </w:r>
      <w:r w:rsidRPr="00A549D3">
        <w:t xml:space="preserve"> component</w:t>
      </w:r>
      <w:r w:rsidR="00E31D6E">
        <w:t>’</w:t>
      </w:r>
      <w:r w:rsidRPr="00A549D3">
        <w:t xml:space="preserve">s (e.g., advising, courses, program administration); and </w:t>
      </w:r>
    </w:p>
    <w:p w14:paraId="7A869925" w14:textId="3226075F" w:rsidR="009305C5" w:rsidRDefault="00A549D3" w:rsidP="002B7A5B">
      <w:pPr>
        <w:numPr>
          <w:ilvl w:val="0"/>
          <w:numId w:val="13"/>
        </w:numPr>
        <w:sectPr w:rsidR="009305C5" w:rsidSect="00D82C18">
          <w:headerReference w:type="default" r:id="rId28"/>
          <w:footerReference w:type="default" r:id="rId29"/>
          <w:pgSz w:w="12240" w:h="15840" w:code="1"/>
          <w:pgMar w:top="1008" w:right="1440" w:bottom="576" w:left="1440" w:header="720" w:footer="720" w:gutter="0"/>
          <w:cols w:space="720"/>
          <w:docGrid w:linePitch="360"/>
        </w:sectPr>
      </w:pPr>
      <w:r w:rsidRPr="00A549D3">
        <w:t xml:space="preserve">Collaborate with local </w:t>
      </w:r>
      <w:r w:rsidR="00373B1A">
        <w:t>D</w:t>
      </w:r>
      <w:r w:rsidR="00593EE3">
        <w:t>ESE</w:t>
      </w:r>
      <w:r w:rsidRPr="00A549D3">
        <w:t xml:space="preserve">-funded </w:t>
      </w:r>
      <w:r w:rsidR="00B82660">
        <w:t>AE</w:t>
      </w:r>
      <w:r w:rsidRPr="00A549D3">
        <w:t xml:space="preserve"> programs to ensure smooth transitions for students in their next steps in postsecondary education. See Appendix </w:t>
      </w:r>
      <w:r w:rsidR="000B3014">
        <w:t>B</w:t>
      </w:r>
      <w:r w:rsidRPr="00A549D3">
        <w:t xml:space="preserve"> for information on creating </w:t>
      </w:r>
      <w:r w:rsidR="00373B1A">
        <w:t xml:space="preserve">Memoranda of </w:t>
      </w:r>
      <w:r w:rsidR="002B7A5B">
        <w:t>Agreement</w:t>
      </w:r>
      <w:r w:rsidRPr="00A549D3">
        <w:t>.</w:t>
      </w:r>
    </w:p>
    <w:p w14:paraId="4707F574" w14:textId="1234AC82" w:rsidR="00996DFB" w:rsidRPr="0086750F" w:rsidRDefault="00996DFB" w:rsidP="006034EC">
      <w:pPr>
        <w:pStyle w:val="Heading2"/>
        <w:spacing w:before="0" w:after="0"/>
        <w:rPr>
          <w:rFonts w:eastAsia="Batang"/>
          <w:color w:val="E36C0A" w:themeColor="accent6" w:themeShade="BF"/>
          <w:szCs w:val="24"/>
        </w:rPr>
      </w:pPr>
      <w:bookmarkStart w:id="25" w:name="_Toc117504252"/>
      <w:bookmarkEnd w:id="6"/>
      <w:bookmarkEnd w:id="5"/>
      <w:bookmarkEnd w:id="4"/>
      <w:bookmarkEnd w:id="3"/>
      <w:bookmarkEnd w:id="2"/>
      <w:bookmarkEnd w:id="1"/>
      <w:r>
        <w:rPr>
          <w:rStyle w:val="Hyperlink"/>
          <w:rFonts w:eastAsia="Batang"/>
          <w:b/>
          <w:color w:val="E36C0A" w:themeColor="accent6" w:themeShade="BF"/>
          <w:u w:val="none"/>
        </w:rPr>
        <w:t xml:space="preserve">Chapter 1:  </w:t>
      </w:r>
      <w:hyperlink w:anchor="_Toc468698121" w:history="1">
        <w:r w:rsidRPr="00700B4E">
          <w:rPr>
            <w:rStyle w:val="Hyperlink"/>
            <w:rFonts w:eastAsia="Batang"/>
            <w:b/>
            <w:color w:val="E36C0A" w:themeColor="accent6" w:themeShade="BF"/>
            <w:szCs w:val="24"/>
            <w:u w:val="none"/>
          </w:rPr>
          <w:t xml:space="preserve">Indicator </w:t>
        </w:r>
        <w:r>
          <w:rPr>
            <w:rStyle w:val="Hyperlink"/>
            <w:rFonts w:eastAsia="Batang"/>
            <w:b/>
            <w:color w:val="E36C0A" w:themeColor="accent6" w:themeShade="BF"/>
            <w:szCs w:val="24"/>
            <w:u w:val="none"/>
          </w:rPr>
          <w:t>1: Program Design</w:t>
        </w:r>
        <w:bookmarkEnd w:id="25"/>
        <w:r w:rsidRPr="00700B4E">
          <w:rPr>
            <w:webHidden/>
            <w:color w:val="E36C0A" w:themeColor="accent6" w:themeShade="BF"/>
            <w:szCs w:val="24"/>
          </w:rPr>
          <w:tab/>
        </w:r>
      </w:hyperlink>
    </w:p>
    <w:p w14:paraId="2B2AA724" w14:textId="77777777" w:rsidR="003E1A98" w:rsidRPr="003E1A98" w:rsidRDefault="003E1A98" w:rsidP="003E1A98">
      <w:pPr>
        <w:rPr>
          <w:b/>
          <w:bCs/>
        </w:rPr>
      </w:pPr>
      <w:r w:rsidRPr="003E1A98">
        <w:t>ACLS supports outcome-driven program design and delivery that is inspired by new ideas about teaching and learning and guided by research and evidence-based practices with the goal of advancing significant achievement and growth among students.</w:t>
      </w:r>
    </w:p>
    <w:p w14:paraId="1E5AEC18" w14:textId="77777777" w:rsidR="003E1A98" w:rsidRPr="003E1A98" w:rsidRDefault="003E1A98" w:rsidP="003E1A98">
      <w:pPr>
        <w:keepNext/>
        <w:outlineLvl w:val="2"/>
        <w:rPr>
          <w:color w:val="0000FF"/>
        </w:rPr>
      </w:pPr>
    </w:p>
    <w:p w14:paraId="2120214C" w14:textId="77777777" w:rsidR="003E1A98" w:rsidRPr="003E1A98" w:rsidRDefault="003E1A98" w:rsidP="003E1A98">
      <w:pPr>
        <w:keepNext/>
        <w:outlineLvl w:val="2"/>
        <w:rPr>
          <w:b/>
          <w:bCs/>
          <w:color w:val="0000FF"/>
        </w:rPr>
      </w:pPr>
      <w:bookmarkStart w:id="26" w:name="_Toc109195960"/>
      <w:bookmarkStart w:id="27" w:name="_Toc117504253"/>
      <w:bookmarkStart w:id="28" w:name="_Hlk69813985"/>
      <w:r w:rsidRPr="003E1A98">
        <w:rPr>
          <w:b/>
          <w:bCs/>
          <w:color w:val="0000FF"/>
        </w:rPr>
        <w:t>Diverse Populations</w:t>
      </w:r>
      <w:bookmarkEnd w:id="26"/>
      <w:bookmarkEnd w:id="27"/>
    </w:p>
    <w:p w14:paraId="68AA2C82" w14:textId="1D6D3C0A" w:rsidR="003E1A98" w:rsidRPr="003E1A98" w:rsidRDefault="003E1A98" w:rsidP="003E1A98">
      <w:r w:rsidRPr="003E1A98">
        <w:t>ACLS identifies diverse populations (e.g.,</w:t>
      </w:r>
      <w:r w:rsidR="00C92A5E">
        <w:t xml:space="preserve"> </w:t>
      </w:r>
      <w:r w:rsidRPr="003E1A98">
        <w:t xml:space="preserve">individuals experiencing homelessness, incarcerated or formerly incarcerated individuals, families) in need of services to make a smooth transition to </w:t>
      </w:r>
      <w:r w:rsidR="00C92A5E">
        <w:t>college</w:t>
      </w:r>
      <w:r w:rsidRPr="003E1A98">
        <w:t xml:space="preserve">. </w:t>
      </w:r>
      <w:bookmarkStart w:id="29" w:name="_Hlk69814009"/>
      <w:bookmarkEnd w:id="28"/>
      <w:r w:rsidRPr="003E1A98">
        <w:t xml:space="preserve">Programs are required to ensure that their program design facilitates access to </w:t>
      </w:r>
      <w:r w:rsidRPr="003E1A98">
        <w:rPr>
          <w:rFonts w:eastAsia="Batang"/>
        </w:rPr>
        <w:t>career pathways</w:t>
      </w:r>
      <w:r w:rsidRPr="003E1A98">
        <w:t xml:space="preserve"> for these populations.</w:t>
      </w:r>
      <w:bookmarkEnd w:id="29"/>
    </w:p>
    <w:p w14:paraId="637A7781" w14:textId="77777777" w:rsidR="003E1A98" w:rsidRPr="003E1A98" w:rsidRDefault="003E1A98" w:rsidP="003E1A98"/>
    <w:p w14:paraId="6C476880" w14:textId="77777777" w:rsidR="003E1A98" w:rsidRPr="003E1A98" w:rsidRDefault="003E1A98" w:rsidP="003E1A98">
      <w:r w:rsidRPr="003E1A98">
        <w:t>For more information on prioritizing services for diverse populations, see the Equitable Access chapter.</w:t>
      </w:r>
    </w:p>
    <w:p w14:paraId="012637F3" w14:textId="77777777" w:rsidR="00780C36" w:rsidRDefault="00780C36" w:rsidP="00472B68">
      <w:pPr>
        <w:pStyle w:val="Heading3"/>
      </w:pPr>
    </w:p>
    <w:p w14:paraId="323D1E39" w14:textId="337F67D5" w:rsidR="00FB7745" w:rsidRDefault="00FB7745" w:rsidP="00FB7745">
      <w:pPr>
        <w:pStyle w:val="Heading3"/>
      </w:pPr>
      <w:bookmarkStart w:id="30" w:name="_Toc117504254"/>
      <w:r w:rsidRPr="0050621C">
        <w:t>Enrollment</w:t>
      </w:r>
      <w:r w:rsidR="007D2767">
        <w:t xml:space="preserve">  Policy</w:t>
      </w:r>
      <w:bookmarkEnd w:id="30"/>
    </w:p>
    <w:p w14:paraId="6DBD4C58" w14:textId="136A9B95" w:rsidR="008917C0" w:rsidRDefault="008917C0" w:rsidP="008917C0">
      <w:r w:rsidRPr="008917C0">
        <w:t xml:space="preserve">Programs are required to maintain a minimum enrollment of 15 students per semester, no less than 12 of whom are former (or current) </w:t>
      </w:r>
      <w:r w:rsidR="00B76E91">
        <w:t>D</w:t>
      </w:r>
      <w:r w:rsidR="00593EE3">
        <w:t>ESE</w:t>
      </w:r>
      <w:r w:rsidRPr="008917C0">
        <w:t xml:space="preserve">-funded </w:t>
      </w:r>
      <w:r w:rsidR="00922BDE">
        <w:t>AE</w:t>
      </w:r>
      <w:r w:rsidRPr="008917C0">
        <w:t xml:space="preserve"> students</w:t>
      </w:r>
      <w:r w:rsidR="009B47A2">
        <w:t xml:space="preserve">. </w:t>
      </w:r>
    </w:p>
    <w:p w14:paraId="0E0C91EC" w14:textId="77777777" w:rsidR="00CE6FC7" w:rsidRDefault="00CE6FC7" w:rsidP="008917C0"/>
    <w:p w14:paraId="28D5FBEC" w14:textId="77777777" w:rsidR="00932859" w:rsidRPr="003471D7" w:rsidRDefault="00932859" w:rsidP="006133E8">
      <w:pPr>
        <w:pStyle w:val="Heading3"/>
        <w:rPr>
          <w:b w:val="0"/>
          <w:color w:val="E36C0A" w:themeColor="accent6" w:themeShade="BF"/>
        </w:rPr>
      </w:pPr>
      <w:bookmarkStart w:id="31" w:name="_Toc117504255"/>
      <w:r>
        <w:t>Dual Enrollment</w:t>
      </w:r>
      <w:bookmarkEnd w:id="31"/>
    </w:p>
    <w:p w14:paraId="342E599D" w14:textId="0A775E26" w:rsidR="00932859" w:rsidRPr="008917C0" w:rsidRDefault="00AA25EB" w:rsidP="008917C0">
      <w:r>
        <w:t xml:space="preserve">Enrollment in a Transition </w:t>
      </w:r>
      <w:r w:rsidR="00CB09F4">
        <w:t>Program</w:t>
      </w:r>
      <w:r w:rsidR="00932859">
        <w:t xml:space="preserve"> is also an option for students currently enrolled in </w:t>
      </w:r>
      <w:r w:rsidR="00213BE8">
        <w:t>D</w:t>
      </w:r>
      <w:r w:rsidR="00593EE3">
        <w:t>ESE</w:t>
      </w:r>
      <w:r w:rsidR="00932859">
        <w:t xml:space="preserve">-funded </w:t>
      </w:r>
      <w:r w:rsidR="00181B5E">
        <w:t xml:space="preserve">AE </w:t>
      </w:r>
      <w:r w:rsidR="00932859">
        <w:t xml:space="preserve">programs as long as the following criteria have been met.  </w:t>
      </w:r>
    </w:p>
    <w:p w14:paraId="71309D72" w14:textId="77777777" w:rsidR="003C7E7D" w:rsidRPr="003C7E7D" w:rsidRDefault="003C7E7D" w:rsidP="003C7E7D"/>
    <w:p w14:paraId="71150E34" w14:textId="77777777" w:rsidR="003C7E7D" w:rsidRPr="003C7E7D" w:rsidRDefault="003C7E7D" w:rsidP="00144355">
      <w:pPr>
        <w:pStyle w:val="ListParagraph"/>
        <w:numPr>
          <w:ilvl w:val="0"/>
          <w:numId w:val="14"/>
        </w:numPr>
      </w:pPr>
      <w:r>
        <w:rPr>
          <w:rFonts w:ascii="Times New Roman" w:hAnsi="Times New Roman" w:cs="Times New Roman"/>
          <w:sz w:val="24"/>
          <w:szCs w:val="24"/>
        </w:rPr>
        <w:t>Students have an identified goal of attending postsecondary education;</w:t>
      </w:r>
    </w:p>
    <w:p w14:paraId="4FCEE164" w14:textId="2D67D932" w:rsidR="003C7E7D" w:rsidRPr="003C7E7D" w:rsidRDefault="003C7E7D" w:rsidP="00144355">
      <w:pPr>
        <w:pStyle w:val="ListParagraph"/>
        <w:numPr>
          <w:ilvl w:val="0"/>
          <w:numId w:val="14"/>
        </w:numPr>
      </w:pPr>
      <w:r>
        <w:rPr>
          <w:rFonts w:ascii="Times New Roman" w:hAnsi="Times New Roman" w:cs="Times New Roman"/>
          <w:sz w:val="24"/>
          <w:szCs w:val="24"/>
        </w:rPr>
        <w:t>Students’ academic levels, as determined by ACCUPLACER score results</w:t>
      </w:r>
      <w:r w:rsidR="00873022">
        <w:rPr>
          <w:rFonts w:ascii="Times New Roman" w:hAnsi="Times New Roman" w:cs="Times New Roman"/>
          <w:sz w:val="24"/>
          <w:szCs w:val="24"/>
        </w:rPr>
        <w:t xml:space="preserve"> or </w:t>
      </w:r>
      <w:r w:rsidR="00F61DEC">
        <w:rPr>
          <w:rFonts w:ascii="Times New Roman" w:hAnsi="Times New Roman" w:cs="Times New Roman"/>
          <w:sz w:val="24"/>
          <w:szCs w:val="24"/>
        </w:rPr>
        <w:t>other required college assessment</w:t>
      </w:r>
      <w:r>
        <w:rPr>
          <w:rFonts w:ascii="Times New Roman" w:hAnsi="Times New Roman" w:cs="Times New Roman"/>
          <w:sz w:val="24"/>
          <w:szCs w:val="24"/>
        </w:rPr>
        <w:t>, are appropriate f</w:t>
      </w:r>
      <w:r w:rsidR="00F75476">
        <w:rPr>
          <w:rFonts w:ascii="Times New Roman" w:hAnsi="Times New Roman" w:cs="Times New Roman"/>
          <w:sz w:val="24"/>
          <w:szCs w:val="24"/>
        </w:rPr>
        <w:t>or enrollment in the Transition</w:t>
      </w:r>
      <w:r w:rsidR="00AA25EB">
        <w:rPr>
          <w:rFonts w:ascii="Times New Roman" w:hAnsi="Times New Roman" w:cs="Times New Roman"/>
          <w:sz w:val="24"/>
          <w:szCs w:val="24"/>
        </w:rPr>
        <w:t xml:space="preserve"> </w:t>
      </w:r>
      <w:r w:rsidR="00CB09F4">
        <w:rPr>
          <w:rFonts w:ascii="Times New Roman" w:hAnsi="Times New Roman" w:cs="Times New Roman"/>
          <w:sz w:val="24"/>
          <w:szCs w:val="24"/>
        </w:rPr>
        <w:t>Program</w:t>
      </w:r>
      <w:r>
        <w:rPr>
          <w:rFonts w:ascii="Times New Roman" w:hAnsi="Times New Roman" w:cs="Times New Roman"/>
          <w:sz w:val="24"/>
          <w:szCs w:val="24"/>
        </w:rPr>
        <w:t>;</w:t>
      </w:r>
      <w:r w:rsidR="00D6275D">
        <w:rPr>
          <w:rFonts w:ascii="Times New Roman" w:hAnsi="Times New Roman" w:cs="Times New Roman"/>
          <w:sz w:val="24"/>
          <w:szCs w:val="24"/>
        </w:rPr>
        <w:t xml:space="preserve"> </w:t>
      </w:r>
      <w:r w:rsidR="00D6275D" w:rsidRPr="00AA25EB">
        <w:rPr>
          <w:rFonts w:ascii="Times New Roman" w:hAnsi="Times New Roman" w:cs="Times New Roman"/>
          <w:sz w:val="24"/>
          <w:szCs w:val="24"/>
        </w:rPr>
        <w:t>and</w:t>
      </w:r>
    </w:p>
    <w:p w14:paraId="4EA9A6F3" w14:textId="77777777" w:rsidR="003C7E7D" w:rsidRPr="003C7E7D" w:rsidRDefault="003C7E7D" w:rsidP="00144355">
      <w:pPr>
        <w:pStyle w:val="ListParagraph"/>
        <w:numPr>
          <w:ilvl w:val="0"/>
          <w:numId w:val="14"/>
        </w:numPr>
      </w:pPr>
      <w:r>
        <w:rPr>
          <w:rFonts w:ascii="Times New Roman" w:hAnsi="Times New Roman" w:cs="Times New Roman"/>
          <w:sz w:val="24"/>
          <w:szCs w:val="24"/>
        </w:rPr>
        <w:t>The programs’ class schedules do not conflict.</w:t>
      </w:r>
    </w:p>
    <w:p w14:paraId="5D768826" w14:textId="77777777" w:rsidR="003C7E7D" w:rsidRDefault="003C7E7D" w:rsidP="003C7E7D">
      <w:pPr>
        <w:pStyle w:val="ListParagraph"/>
        <w:ind w:left="0"/>
        <w:rPr>
          <w:rFonts w:ascii="Times New Roman" w:hAnsi="Times New Roman" w:cs="Times New Roman"/>
          <w:sz w:val="24"/>
          <w:szCs w:val="24"/>
        </w:rPr>
      </w:pPr>
    </w:p>
    <w:p w14:paraId="27520BC6" w14:textId="2AB3256A" w:rsidR="006958EB" w:rsidRPr="003C7E7D" w:rsidRDefault="008917C0" w:rsidP="003C7E7D">
      <w:pPr>
        <w:pStyle w:val="ListParagraph"/>
        <w:spacing w:after="0"/>
        <w:ind w:left="0"/>
        <w:rPr>
          <w:rFonts w:ascii="Times New Roman" w:hAnsi="Times New Roman" w:cs="Times New Roman"/>
          <w:sz w:val="24"/>
          <w:szCs w:val="24"/>
        </w:rPr>
      </w:pPr>
      <w:r w:rsidRPr="003C7E7D">
        <w:rPr>
          <w:rFonts w:ascii="Times New Roman" w:hAnsi="Times New Roman" w:cs="Times New Roman"/>
          <w:sz w:val="24"/>
          <w:szCs w:val="24"/>
        </w:rPr>
        <w:t xml:space="preserve">This dual enrollment option exists as an accelerated alternative for some students and is something on which staff from both the Transition </w:t>
      </w:r>
      <w:r w:rsidR="00CB09F4">
        <w:rPr>
          <w:rFonts w:ascii="Times New Roman" w:hAnsi="Times New Roman" w:cs="Times New Roman"/>
          <w:sz w:val="24"/>
          <w:szCs w:val="24"/>
        </w:rPr>
        <w:t>Program</w:t>
      </w:r>
      <w:r w:rsidRPr="003C7E7D">
        <w:rPr>
          <w:rFonts w:ascii="Times New Roman" w:hAnsi="Times New Roman" w:cs="Times New Roman"/>
          <w:sz w:val="24"/>
          <w:szCs w:val="24"/>
        </w:rPr>
        <w:t xml:space="preserve"> and the </w:t>
      </w:r>
      <w:r w:rsidR="00F47AC2">
        <w:rPr>
          <w:rFonts w:ascii="Times New Roman" w:hAnsi="Times New Roman" w:cs="Times New Roman"/>
          <w:sz w:val="24"/>
          <w:szCs w:val="24"/>
        </w:rPr>
        <w:t>AE</w:t>
      </w:r>
      <w:r w:rsidR="00F47AC2" w:rsidRPr="003C7E7D">
        <w:rPr>
          <w:rFonts w:ascii="Times New Roman" w:hAnsi="Times New Roman" w:cs="Times New Roman"/>
          <w:sz w:val="24"/>
          <w:szCs w:val="24"/>
        </w:rPr>
        <w:t xml:space="preserve"> </w:t>
      </w:r>
      <w:r w:rsidRPr="003C7E7D">
        <w:rPr>
          <w:rFonts w:ascii="Times New Roman" w:hAnsi="Times New Roman" w:cs="Times New Roman"/>
          <w:sz w:val="24"/>
          <w:szCs w:val="24"/>
        </w:rPr>
        <w:t>program should collaborate to ensure the continued support for and success of the students.</w:t>
      </w:r>
    </w:p>
    <w:p w14:paraId="119A68F9" w14:textId="77777777" w:rsidR="003C7E7D" w:rsidRDefault="003C7E7D" w:rsidP="006958EB"/>
    <w:p w14:paraId="6BB9DB37" w14:textId="77777777" w:rsidR="003C7E7D" w:rsidRPr="0050621C" w:rsidRDefault="003C7E7D" w:rsidP="003C7E7D">
      <w:pPr>
        <w:pStyle w:val="Heading3"/>
      </w:pPr>
      <w:bookmarkStart w:id="32" w:name="_Toc117504256"/>
      <w:r>
        <w:t>Required Course</w:t>
      </w:r>
      <w:bookmarkEnd w:id="32"/>
    </w:p>
    <w:p w14:paraId="541BC71D" w14:textId="59F8F2C8" w:rsidR="003C7E7D" w:rsidRDefault="00BA3930" w:rsidP="003C7E7D">
      <w:r>
        <w:t xml:space="preserve">Transition </w:t>
      </w:r>
      <w:r w:rsidR="003C7E7D" w:rsidRPr="00F974C2">
        <w:t xml:space="preserve">Programs are required to offer a full-semester </w:t>
      </w:r>
      <w:r w:rsidR="003C7E7D" w:rsidRPr="00F974C2">
        <w:rPr>
          <w:i/>
        </w:rPr>
        <w:t>College for Success</w:t>
      </w:r>
      <w:r w:rsidR="00B04B88">
        <w:rPr>
          <w:rStyle w:val="FootnoteReference"/>
          <w:i/>
        </w:rPr>
        <w:footnoteReference w:id="5"/>
      </w:r>
      <w:r w:rsidR="003C7E7D" w:rsidRPr="00F974C2">
        <w:rPr>
          <w:i/>
        </w:rPr>
        <w:t xml:space="preserve"> </w:t>
      </w:r>
      <w:r w:rsidR="003C7E7D" w:rsidRPr="00F974C2">
        <w:t xml:space="preserve">course at no cost to students. The </w:t>
      </w:r>
      <w:r w:rsidR="003C7E7D" w:rsidRPr="00F974C2">
        <w:rPr>
          <w:i/>
        </w:rPr>
        <w:t xml:space="preserve">College for Success </w:t>
      </w:r>
      <w:r w:rsidR="003C7E7D" w:rsidRPr="00F974C2">
        <w:t>course should prepare students to understand college culture</w:t>
      </w:r>
      <w:r w:rsidR="00C65577" w:rsidRPr="00C65577">
        <w:t>,</w:t>
      </w:r>
      <w:r w:rsidR="003C7E7D" w:rsidRPr="00F974C2">
        <w:t xml:space="preserve"> navigate college systems</w:t>
      </w:r>
      <w:r w:rsidR="00C65577" w:rsidRPr="00C65577">
        <w:t>,</w:t>
      </w:r>
      <w:r w:rsidR="003C7E7D" w:rsidRPr="00F974C2">
        <w:t xml:space="preserve"> identify barriers to attainment of postsecondary education goals and strategies for overcoming these barriers</w:t>
      </w:r>
      <w:r w:rsidR="00C65577" w:rsidRPr="00C65577">
        <w:t>,</w:t>
      </w:r>
      <w:r w:rsidR="003C7E7D" w:rsidRPr="00F974C2">
        <w:t xml:space="preserve"> and acquire the readiness skills that are essential for postsecondary education success</w:t>
      </w:r>
      <w:r w:rsidR="00C65577" w:rsidRPr="00C65577">
        <w:t>.</w:t>
      </w:r>
      <w:r w:rsidR="003C7E7D" w:rsidRPr="00F974C2">
        <w:t>.</w:t>
      </w:r>
    </w:p>
    <w:p w14:paraId="48B2805F" w14:textId="03B2B162" w:rsidR="003C7E7D" w:rsidRPr="00F974C2" w:rsidRDefault="003C7E7D" w:rsidP="003C7E7D">
      <w:r w:rsidRPr="00F974C2">
        <w:t xml:space="preserve"> </w:t>
      </w:r>
    </w:p>
    <w:p w14:paraId="2FA007D6" w14:textId="30F37212" w:rsidR="00194817" w:rsidRDefault="003C7E7D" w:rsidP="006958EB">
      <w:r w:rsidRPr="00F974C2">
        <w:t xml:space="preserve">The program must also provide academic skill courses (e.g., math, </w:t>
      </w:r>
      <w:r w:rsidR="00F26A53">
        <w:t>English</w:t>
      </w:r>
      <w:r w:rsidRPr="00F974C2">
        <w:t>) at no cost to students.</w:t>
      </w:r>
    </w:p>
    <w:p w14:paraId="6FCEC137" w14:textId="77777777" w:rsidR="00B43B9D" w:rsidRDefault="00B43B9D" w:rsidP="006958EB"/>
    <w:p w14:paraId="4D92F3D0" w14:textId="53EC1202" w:rsidR="007E51ED" w:rsidRDefault="007E51ED" w:rsidP="00EF3A6F">
      <w:pPr>
        <w:pStyle w:val="Heading3"/>
      </w:pPr>
      <w:bookmarkStart w:id="33" w:name="_Toc117504257"/>
      <w:r>
        <w:t>Required Cohort Strategy</w:t>
      </w:r>
      <w:bookmarkEnd w:id="33"/>
    </w:p>
    <w:p w14:paraId="7D8DA3B7" w14:textId="5F797057" w:rsidR="007E51ED" w:rsidRDefault="007E51ED" w:rsidP="007E51ED">
      <w:r w:rsidRPr="007E51ED">
        <w:t>The program ensures that students function as members of a learning community or cohort within the college by incorporating at least one cohort strategy (e.g., students’ enrollment in a common course, ongoing group advising, a study group).</w:t>
      </w:r>
      <w:r w:rsidR="00882051">
        <w:t xml:space="preserve"> In addition, the program design must include at least one </w:t>
      </w:r>
      <w:r w:rsidR="00626D73">
        <w:t xml:space="preserve">in-person cohort course.  </w:t>
      </w:r>
    </w:p>
    <w:p w14:paraId="56BC7F56" w14:textId="77777777" w:rsidR="007E51ED" w:rsidRPr="007E51ED" w:rsidRDefault="007E51ED" w:rsidP="007E51ED"/>
    <w:p w14:paraId="29597370" w14:textId="76A5B162" w:rsidR="00EF3A6F" w:rsidRDefault="00EF3A6F" w:rsidP="00EF3A6F">
      <w:pPr>
        <w:pStyle w:val="Heading3"/>
      </w:pPr>
      <w:bookmarkStart w:id="34" w:name="_Toc117504258"/>
      <w:r>
        <w:t>Required College Credits Policy</w:t>
      </w:r>
      <w:bookmarkEnd w:id="34"/>
    </w:p>
    <w:p w14:paraId="67AE493B" w14:textId="3B22B88A" w:rsidR="00194817" w:rsidRPr="00394F9D" w:rsidRDefault="007D2767" w:rsidP="006958EB">
      <w:r w:rsidRPr="00394F9D">
        <w:t xml:space="preserve">Transition </w:t>
      </w:r>
      <w:r w:rsidR="00CB09F4">
        <w:t>Program</w:t>
      </w:r>
      <w:r w:rsidRPr="00394F9D">
        <w:t>s are required to offer students</w:t>
      </w:r>
      <w:r w:rsidR="00E70579" w:rsidRPr="00394F9D">
        <w:t xml:space="preserve"> at least two (2) </w:t>
      </w:r>
      <w:r w:rsidRPr="00394F9D">
        <w:t>credit-bearing courses</w:t>
      </w:r>
      <w:r w:rsidR="00E70579" w:rsidRPr="00394F9D">
        <w:t>, three (3) credits each,</w:t>
      </w:r>
      <w:r w:rsidR="002F6099" w:rsidRPr="00394F9D">
        <w:t xml:space="preserve"> at no cost to students enrolled in the </w:t>
      </w:r>
      <w:r w:rsidR="00CB09F4">
        <w:t>Program</w:t>
      </w:r>
      <w:r w:rsidRPr="00394F9D">
        <w:t>.</w:t>
      </w:r>
      <w:r w:rsidR="00E70579" w:rsidRPr="00394F9D">
        <w:t xml:space="preserve"> If the </w:t>
      </w:r>
      <w:r w:rsidR="00E70579" w:rsidRPr="00B04B88">
        <w:rPr>
          <w:i/>
        </w:rPr>
        <w:t>College for Success</w:t>
      </w:r>
      <w:r w:rsidR="00E70579" w:rsidRPr="00394F9D">
        <w:t xml:space="preserve"> course is three (3) credits, it counts as one of the two credit-bearing courses.</w:t>
      </w:r>
      <w:r w:rsidR="000D0A84">
        <w:t xml:space="preserve"> The Department’s preference is to fund programs that offer two cohorts. </w:t>
      </w:r>
      <w:r w:rsidR="00E70579" w:rsidRPr="00394F9D">
        <w:t xml:space="preserve">  </w:t>
      </w:r>
      <w:r w:rsidR="00194817" w:rsidRPr="00394F9D">
        <w:t xml:space="preserve"> </w:t>
      </w:r>
    </w:p>
    <w:p w14:paraId="243C4975" w14:textId="77777777" w:rsidR="00194817" w:rsidRPr="0050621C" w:rsidRDefault="00194817" w:rsidP="006958EB"/>
    <w:p w14:paraId="37DACBFF" w14:textId="77777777" w:rsidR="00932859" w:rsidRPr="0050621C" w:rsidRDefault="00932859" w:rsidP="00932859">
      <w:pPr>
        <w:pStyle w:val="Heading3"/>
      </w:pPr>
      <w:bookmarkStart w:id="35" w:name="_Toc117504259"/>
      <w:r w:rsidRPr="0050621C">
        <w:t>No Charges to Students</w:t>
      </w:r>
      <w:bookmarkEnd w:id="35"/>
    </w:p>
    <w:p w14:paraId="5FD0BBD8" w14:textId="50C7A9BE" w:rsidR="00932859" w:rsidRDefault="00AA25EB" w:rsidP="00932859">
      <w:r>
        <w:t xml:space="preserve">The </w:t>
      </w:r>
      <w:r w:rsidR="00CB09F4">
        <w:t>Program</w:t>
      </w:r>
      <w:r w:rsidR="00932859" w:rsidRPr="0050621C">
        <w:t xml:space="preserve"> must ensure that enrolled students are not charged tuition, fees, or any other charges or required to purchase books </w:t>
      </w:r>
      <w:r w:rsidR="009D4678">
        <w:t>and</w:t>
      </w:r>
      <w:r w:rsidR="00932859" w:rsidRPr="0050621C">
        <w:t xml:space="preserve"> materials needed for participation.</w:t>
      </w:r>
    </w:p>
    <w:p w14:paraId="65C32EE0" w14:textId="77777777" w:rsidR="00932859" w:rsidRDefault="00932859" w:rsidP="00472B68">
      <w:pPr>
        <w:pStyle w:val="Heading3"/>
      </w:pPr>
    </w:p>
    <w:p w14:paraId="0BEA2650" w14:textId="77777777" w:rsidR="00FB7745" w:rsidRPr="00C3669E" w:rsidRDefault="00FB7745" w:rsidP="00C3669E">
      <w:pPr>
        <w:sectPr w:rsidR="00FB7745" w:rsidRPr="00C3669E" w:rsidSect="00D82C18">
          <w:pgSz w:w="12240" w:h="15840" w:code="1"/>
          <w:pgMar w:top="1008" w:right="1440" w:bottom="576" w:left="1440" w:header="720" w:footer="720" w:gutter="0"/>
          <w:cols w:space="720"/>
          <w:titlePg/>
          <w:docGrid w:linePitch="360"/>
        </w:sectPr>
      </w:pPr>
    </w:p>
    <w:p w14:paraId="30CC83DC" w14:textId="0FC7BF44" w:rsidR="00D0119C" w:rsidRPr="0086750F" w:rsidRDefault="00F37A9D" w:rsidP="0047675C">
      <w:pPr>
        <w:pStyle w:val="Heading2"/>
        <w:tabs>
          <w:tab w:val="left" w:pos="3060"/>
        </w:tabs>
        <w:spacing w:before="0"/>
        <w:rPr>
          <w:rFonts w:eastAsia="Batang"/>
          <w:b/>
          <w:color w:val="E36C0A" w:themeColor="accent6" w:themeShade="BF"/>
          <w:szCs w:val="24"/>
        </w:rPr>
      </w:pPr>
      <w:bookmarkStart w:id="36" w:name="_Toc117504260"/>
      <w:r>
        <w:rPr>
          <w:rStyle w:val="Hyperlink"/>
          <w:rFonts w:eastAsia="Batang"/>
          <w:b/>
          <w:color w:val="E36C0A" w:themeColor="accent6" w:themeShade="BF"/>
          <w:szCs w:val="24"/>
          <w:u w:val="none"/>
        </w:rPr>
        <w:t>Chapter 2:</w:t>
      </w:r>
      <w:r w:rsidR="0086750F">
        <w:rPr>
          <w:rStyle w:val="Hyperlink"/>
          <w:rFonts w:eastAsia="Batang"/>
          <w:b/>
          <w:color w:val="E36C0A" w:themeColor="accent6" w:themeShade="BF"/>
          <w:szCs w:val="24"/>
          <w:u w:val="none"/>
        </w:rPr>
        <w:t xml:space="preserve"> </w:t>
      </w:r>
      <w:r>
        <w:rPr>
          <w:rStyle w:val="Hyperlink"/>
          <w:rFonts w:eastAsia="Batang"/>
          <w:b/>
          <w:color w:val="E36C0A" w:themeColor="accent6" w:themeShade="BF"/>
          <w:szCs w:val="24"/>
          <w:u w:val="none"/>
        </w:rPr>
        <w:t xml:space="preserve"> </w:t>
      </w:r>
      <w:hyperlink w:anchor="_Toc468698121" w:history="1">
        <w:r w:rsidR="009E185E" w:rsidRPr="00700B4E">
          <w:rPr>
            <w:rStyle w:val="Hyperlink"/>
            <w:rFonts w:eastAsia="Batang"/>
            <w:b/>
            <w:color w:val="E36C0A" w:themeColor="accent6" w:themeShade="BF"/>
            <w:szCs w:val="24"/>
            <w:u w:val="none"/>
          </w:rPr>
          <w:t>Indicator</w:t>
        </w:r>
        <w:r w:rsidR="00603758" w:rsidRPr="00700B4E">
          <w:rPr>
            <w:rStyle w:val="Hyperlink"/>
            <w:rFonts w:eastAsia="Batang"/>
            <w:b/>
            <w:color w:val="E36C0A" w:themeColor="accent6" w:themeShade="BF"/>
            <w:szCs w:val="24"/>
            <w:u w:val="none"/>
          </w:rPr>
          <w:t xml:space="preserve"> </w:t>
        </w:r>
        <w:r w:rsidR="00F61CFB" w:rsidRPr="00700B4E">
          <w:rPr>
            <w:rStyle w:val="Hyperlink"/>
            <w:rFonts w:eastAsia="Batang"/>
            <w:b/>
            <w:color w:val="E36C0A" w:themeColor="accent6" w:themeShade="BF"/>
            <w:szCs w:val="24"/>
            <w:u w:val="none"/>
          </w:rPr>
          <w:t>2</w:t>
        </w:r>
        <w:r w:rsidR="00D0119C" w:rsidRPr="00700B4E">
          <w:rPr>
            <w:rStyle w:val="Hyperlink"/>
            <w:rFonts w:eastAsia="Batang"/>
            <w:b/>
            <w:color w:val="E36C0A" w:themeColor="accent6" w:themeShade="BF"/>
            <w:szCs w:val="24"/>
            <w:u w:val="none"/>
          </w:rPr>
          <w:t xml:space="preserve">: </w:t>
        </w:r>
        <w:r w:rsidR="00BF5D34">
          <w:rPr>
            <w:rStyle w:val="Hyperlink"/>
            <w:rFonts w:eastAsia="Batang"/>
            <w:b/>
            <w:color w:val="E36C0A" w:themeColor="accent6" w:themeShade="BF"/>
            <w:szCs w:val="24"/>
            <w:u w:val="none"/>
          </w:rPr>
          <w:t>Equitable</w:t>
        </w:r>
        <w:r w:rsidR="00D0119C" w:rsidRPr="00700B4E">
          <w:rPr>
            <w:rStyle w:val="Hyperlink"/>
            <w:rFonts w:eastAsia="Batang"/>
            <w:b/>
            <w:color w:val="E36C0A" w:themeColor="accent6" w:themeShade="BF"/>
            <w:szCs w:val="24"/>
            <w:u w:val="none"/>
          </w:rPr>
          <w:t xml:space="preserve"> Access</w:t>
        </w:r>
        <w:bookmarkEnd w:id="36"/>
        <w:r w:rsidR="00D0119C" w:rsidRPr="00700B4E">
          <w:rPr>
            <w:b/>
            <w:webHidden/>
            <w:color w:val="E36C0A" w:themeColor="accent6" w:themeShade="BF"/>
            <w:szCs w:val="24"/>
          </w:rPr>
          <w:tab/>
        </w:r>
      </w:hyperlink>
    </w:p>
    <w:p w14:paraId="30EB5CA0" w14:textId="77777777" w:rsidR="00E96900" w:rsidRPr="0050621C" w:rsidRDefault="00E96900" w:rsidP="00E96900">
      <w:pPr>
        <w:pStyle w:val="Heading3"/>
      </w:pPr>
      <w:bookmarkStart w:id="37" w:name="_Toc117504261"/>
      <w:r w:rsidRPr="0050621C">
        <w:t>Eligibility</w:t>
      </w:r>
      <w:bookmarkEnd w:id="37"/>
    </w:p>
    <w:p w14:paraId="504D2776" w14:textId="298F5622" w:rsidR="00E96900" w:rsidRPr="0050621C" w:rsidRDefault="00E96900" w:rsidP="00E96900">
      <w:pPr>
        <w:widowControl w:val="0"/>
        <w:autoSpaceDE w:val="0"/>
        <w:autoSpaceDN w:val="0"/>
        <w:adjustRightInd w:val="0"/>
      </w:pPr>
      <w:r w:rsidRPr="00FB7745">
        <w:t>Programs should adhere to the college policies around student eligibility when determining the eligibility of prospective students for the</w:t>
      </w:r>
      <w:r w:rsidR="00CB09F4">
        <w:t xml:space="preserve"> Program</w:t>
      </w:r>
      <w:r w:rsidRPr="00FB7745">
        <w:t xml:space="preserve">.  </w:t>
      </w:r>
    </w:p>
    <w:p w14:paraId="6F0ECEB0" w14:textId="77777777" w:rsidR="00700B4E" w:rsidRPr="0018463A" w:rsidRDefault="00700B4E" w:rsidP="0047675C">
      <w:pPr>
        <w:pStyle w:val="Default"/>
      </w:pPr>
    </w:p>
    <w:p w14:paraId="261C1A45" w14:textId="77777777" w:rsidR="001201AD" w:rsidRDefault="006958EB" w:rsidP="00472B68">
      <w:pPr>
        <w:pStyle w:val="Heading3"/>
      </w:pPr>
      <w:bookmarkStart w:id="38" w:name="_Toc117504262"/>
      <w:r>
        <w:t xml:space="preserve">Intake, </w:t>
      </w:r>
      <w:r w:rsidR="001201AD" w:rsidRPr="001F637E">
        <w:t>Orientation</w:t>
      </w:r>
      <w:r>
        <w:t>, and Placement</w:t>
      </w:r>
      <w:bookmarkEnd w:id="38"/>
    </w:p>
    <w:p w14:paraId="192D14A6" w14:textId="14BF9A4B" w:rsidR="00EC5DC3" w:rsidRPr="0079354F" w:rsidRDefault="00EC5DC3" w:rsidP="00EC5DC3">
      <w:pPr>
        <w:rPr>
          <w:rFonts w:eastAsia="Batang"/>
        </w:rPr>
      </w:pPr>
      <w:r w:rsidRPr="0079354F">
        <w:t xml:space="preserve">At the beginning of each fiscal year, </w:t>
      </w:r>
      <w:r w:rsidR="00277BBA">
        <w:t>p</w:t>
      </w:r>
      <w:r w:rsidRPr="0079354F">
        <w:t xml:space="preserve">rograms are expected to complete new intakes for all students, including those who are continuing from the previous year. </w:t>
      </w:r>
      <w:r w:rsidRPr="0079354F">
        <w:rPr>
          <w:rFonts w:eastAsia="Batang"/>
        </w:rPr>
        <w:t>Programs are encouraged to give students program information, including program completion requirements, so that they can make an informed decision about whether they are able to pursue participation in the program.</w:t>
      </w:r>
    </w:p>
    <w:p w14:paraId="717DE950" w14:textId="77777777" w:rsidR="00EC5DC3" w:rsidRPr="0079354F" w:rsidRDefault="00EC5DC3" w:rsidP="00EC5DC3"/>
    <w:p w14:paraId="066C8712" w14:textId="77777777" w:rsidR="00EC5DC3" w:rsidRPr="0079354F" w:rsidRDefault="00EC5DC3" w:rsidP="00EC5DC3">
      <w:r w:rsidRPr="0079354F">
        <w:t xml:space="preserve">For the student intake form, see </w:t>
      </w:r>
      <w:hyperlink r:id="rId30">
        <w:r w:rsidRPr="0079354F">
          <w:rPr>
            <w:rStyle w:val="Hyperlink"/>
          </w:rPr>
          <w:t>http://www.doe.mass.edu/acls/laces/intake-form/</w:t>
        </w:r>
      </w:hyperlink>
      <w:r w:rsidRPr="0079354F">
        <w:t>.</w:t>
      </w:r>
    </w:p>
    <w:p w14:paraId="2BDC959A" w14:textId="77777777" w:rsidR="008917C0" w:rsidRDefault="008917C0" w:rsidP="008917C0"/>
    <w:p w14:paraId="257E9074" w14:textId="77777777" w:rsidR="00B642CD" w:rsidRDefault="003C06D2" w:rsidP="008917C0">
      <w:r>
        <w:t xml:space="preserve">Transition </w:t>
      </w:r>
      <w:r w:rsidR="008917C0" w:rsidRPr="00FB7745">
        <w:t>Programs will use the colleg</w:t>
      </w:r>
      <w:r w:rsidR="00161E36">
        <w:t>e’s</w:t>
      </w:r>
      <w:r w:rsidR="008917C0" w:rsidRPr="00FB7745">
        <w:t xml:space="preserve"> placement test (i.e., the ACCUPLACER) as the initial assessment to determine students’ academic skills and identify appropriate course placement. </w:t>
      </w:r>
      <w:r w:rsidR="003168E2">
        <w:t xml:space="preserve">These scores need to be entered in LACES. </w:t>
      </w:r>
    </w:p>
    <w:p w14:paraId="3CED8F6D" w14:textId="77777777" w:rsidR="00B642CD" w:rsidRDefault="00B642CD" w:rsidP="008917C0"/>
    <w:p w14:paraId="06ABB991" w14:textId="037865FF" w:rsidR="00EA5D37" w:rsidRDefault="00CF573B" w:rsidP="008917C0">
      <w:r w:rsidRPr="00EC5DC3">
        <w:t xml:space="preserve">If a </w:t>
      </w:r>
      <w:r w:rsidR="00434C58">
        <w:t>college</w:t>
      </w:r>
      <w:r w:rsidRPr="00EC5DC3">
        <w:t xml:space="preserve"> has a policy that allows students at the GED® or HiSET® College Ready Level either in whole or part (e.g., math, but not English) to bypass all or part of their placement exams and be placed in credit-bearing courses then it is not necessary for these students to take the corresponding </w:t>
      </w:r>
      <w:r w:rsidR="00E77DE6">
        <w:t>college</w:t>
      </w:r>
      <w:r>
        <w:t xml:space="preserve"> </w:t>
      </w:r>
      <w:r w:rsidRPr="00EC5DC3">
        <w:t xml:space="preserve">assessments. </w:t>
      </w:r>
      <w:r w:rsidR="003C06D2">
        <w:t>Transition</w:t>
      </w:r>
      <w:r>
        <w:t xml:space="preserve"> Programs</w:t>
      </w:r>
      <w:r w:rsidRPr="00EC5DC3">
        <w:t xml:space="preserve"> should enter the students’ GED® or HiSET® scores in the Assessments tab in LACES.</w:t>
      </w:r>
      <w:r w:rsidRPr="00EA5D37">
        <w:t xml:space="preserve">  </w:t>
      </w:r>
    </w:p>
    <w:p w14:paraId="31685899" w14:textId="3F1DF6D6" w:rsidR="00EA5D37" w:rsidRDefault="00EA5D37" w:rsidP="008917C0"/>
    <w:p w14:paraId="18F9E1DE" w14:textId="51C2A992" w:rsidR="00EA5D37" w:rsidRPr="00EA5D37" w:rsidRDefault="00EA5D37" w:rsidP="00EA5D37">
      <w:r w:rsidRPr="003168E2">
        <w:t xml:space="preserve">If a </w:t>
      </w:r>
      <w:r w:rsidR="00434C58">
        <w:t>college</w:t>
      </w:r>
      <w:r w:rsidRPr="003168E2">
        <w:t xml:space="preserve"> is using an assessment in lieu of the ACCUPLACER, </w:t>
      </w:r>
      <w:r w:rsidR="003F6C34" w:rsidRPr="003168E2">
        <w:t xml:space="preserve">for either native English speakers or English language learners, </w:t>
      </w:r>
      <w:r w:rsidRPr="003168E2">
        <w:t xml:space="preserve">the information should be entered in the Comments panel of the Student Data tab.  In the Student Record, click on the Student Data tab and then on the Comments panel.  Click Add New Record and enter the Date, Comment Type, and Comment (the results of the assessment).  For Comment Type, </w:t>
      </w:r>
      <w:r w:rsidR="00CF573B" w:rsidRPr="003168E2">
        <w:t>choose</w:t>
      </w:r>
      <w:r w:rsidRPr="003168E2">
        <w:t xml:space="preserve"> “Assessment.”  Click Save when finished.</w:t>
      </w:r>
    </w:p>
    <w:p w14:paraId="4D066A98" w14:textId="77777777" w:rsidR="00932859" w:rsidRDefault="00932859" w:rsidP="008917C0"/>
    <w:p w14:paraId="0A341C78" w14:textId="77777777" w:rsidR="00932859" w:rsidRDefault="00932859" w:rsidP="00932859">
      <w:pPr>
        <w:pStyle w:val="Heading3"/>
      </w:pPr>
      <w:bookmarkStart w:id="39" w:name="_Toc117504263"/>
      <w:r>
        <w:t>Rights and Privileges</w:t>
      </w:r>
      <w:bookmarkEnd w:id="39"/>
    </w:p>
    <w:p w14:paraId="0C34D381" w14:textId="51A84E01" w:rsidR="00932859" w:rsidRPr="00932859" w:rsidRDefault="0024498D" w:rsidP="00932859">
      <w:r>
        <w:t xml:space="preserve">The college </w:t>
      </w:r>
      <w:r w:rsidR="00972102">
        <w:t>must</w:t>
      </w:r>
      <w:r>
        <w:t xml:space="preserve"> </w:t>
      </w:r>
      <w:r w:rsidR="00F75476">
        <w:t xml:space="preserve">grant </w:t>
      </w:r>
      <w:r w:rsidR="00AA25EB">
        <w:t xml:space="preserve">Transition </w:t>
      </w:r>
      <w:r w:rsidR="00CB09F4">
        <w:t>Program</w:t>
      </w:r>
      <w:r w:rsidR="00932859" w:rsidRPr="00932859">
        <w:t xml:space="preserve"> students all the rights and privileges of its college students and provide them </w:t>
      </w:r>
      <w:r w:rsidR="00972102">
        <w:t>with</w:t>
      </w:r>
      <w:r w:rsidR="00932859" w:rsidRPr="00932859">
        <w:t xml:space="preserve"> access to college resources, including college identification cards, academic support services, health and counseling center</w:t>
      </w:r>
      <w:r w:rsidR="00C66F25">
        <w:t xml:space="preserve"> services</w:t>
      </w:r>
      <w:r w:rsidR="00932859" w:rsidRPr="00932859">
        <w:t xml:space="preserve">, athletic centers, </w:t>
      </w:r>
      <w:r w:rsidR="006270CA">
        <w:t>libraries</w:t>
      </w:r>
      <w:r w:rsidR="00932859" w:rsidRPr="00932859">
        <w:t>, information technology, career services, student organizations, and college activities.</w:t>
      </w:r>
      <w:r w:rsidR="00932859">
        <w:t xml:space="preserve"> In addition, t</w:t>
      </w:r>
      <w:r w:rsidR="00932859" w:rsidRPr="00932859">
        <w:t xml:space="preserve">he program </w:t>
      </w:r>
      <w:r w:rsidR="006270CA">
        <w:t xml:space="preserve">must </w:t>
      </w:r>
      <w:r w:rsidR="00932859" w:rsidRPr="00932859">
        <w:t xml:space="preserve">make an effort to get students involved in college activities and student organizations.    </w:t>
      </w:r>
    </w:p>
    <w:p w14:paraId="61A2C045" w14:textId="77777777" w:rsidR="008917C0" w:rsidRPr="00FB7745" w:rsidRDefault="008917C0" w:rsidP="008917C0">
      <w:r w:rsidRPr="00FB7745">
        <w:t xml:space="preserve">  </w:t>
      </w:r>
    </w:p>
    <w:p w14:paraId="129882B4" w14:textId="77777777" w:rsidR="000A26AD" w:rsidRPr="0079354F" w:rsidRDefault="000A26AD" w:rsidP="000A26AD">
      <w:pPr>
        <w:pStyle w:val="Heading4"/>
        <w:spacing w:before="0"/>
        <w:rPr>
          <w:b/>
          <w:color w:val="E36C0A" w:themeColor="accent6" w:themeShade="BF"/>
        </w:rPr>
      </w:pPr>
      <w:r w:rsidRPr="00187183">
        <w:rPr>
          <w:b/>
          <w:color w:val="B85808"/>
        </w:rPr>
        <w:t>Confidentiality (State requirement)</w:t>
      </w:r>
    </w:p>
    <w:p w14:paraId="04C736EB" w14:textId="77777777" w:rsidR="003E1966" w:rsidRDefault="000A26AD" w:rsidP="000A26AD">
      <w:pPr>
        <w:sectPr w:rsidR="003E1966" w:rsidSect="003F49E2">
          <w:pgSz w:w="12240" w:h="15840" w:code="1"/>
          <w:pgMar w:top="1440" w:right="1440" w:bottom="1440" w:left="1440" w:header="720" w:footer="720" w:gutter="0"/>
          <w:cols w:space="720"/>
          <w:docGrid w:linePitch="360"/>
        </w:sectPr>
      </w:pPr>
      <w:r w:rsidRPr="0079354F">
        <w:t xml:space="preserve">ACLS requires that confidential student records be kept in locked files and/or in password protected databases. Students’ education records, including student data in </w:t>
      </w:r>
      <w:hyperlink r:id="rId31">
        <w:r w:rsidRPr="0079354F">
          <w:rPr>
            <w:rStyle w:val="Hyperlink"/>
          </w:rPr>
          <w:t>LACES</w:t>
        </w:r>
      </w:hyperlink>
      <w:r w:rsidRPr="0079354F">
        <w:t xml:space="preserve"> and records regarding students’ disabilities, are to be treated with the same confidentiality as medical records. ACLS requires that </w:t>
      </w:r>
      <w:r w:rsidR="003C06D2">
        <w:t>Transition Programs</w:t>
      </w:r>
      <w:r w:rsidRPr="0079354F">
        <w:t xml:space="preserve"> protect the privacy of students’ education</w:t>
      </w:r>
    </w:p>
    <w:p w14:paraId="7FDAF03B" w14:textId="7D24A228" w:rsidR="000A26AD" w:rsidRDefault="000A26AD" w:rsidP="000A26AD">
      <w:r w:rsidRPr="0079354F">
        <w:t xml:space="preserve"> records and seek consent for any disclosure of personally identifiable information (PII) in students’ education records. (Note: Students entrust </w:t>
      </w:r>
      <w:r w:rsidR="003C06D2">
        <w:t>Transition Programs</w:t>
      </w:r>
      <w:r w:rsidRPr="0079354F">
        <w:t xml:space="preserve"> with PII. Toward protecting it, ACLS requires that all users of the state information management system (</w:t>
      </w:r>
      <w:hyperlink r:id="rId32">
        <w:r w:rsidRPr="0079354F">
          <w:rPr>
            <w:rStyle w:val="Hyperlink"/>
          </w:rPr>
          <w:t>LACES</w:t>
        </w:r>
      </w:hyperlink>
      <w:r w:rsidRPr="0079354F">
        <w:t xml:space="preserve">) have unique logon credentials. </w:t>
      </w:r>
      <w:r w:rsidR="003C06D2">
        <w:t>Transition Programs</w:t>
      </w:r>
      <w:r w:rsidRPr="0079354F">
        <w:t xml:space="preserve"> must immediately deactivate </w:t>
      </w:r>
      <w:hyperlink r:id="rId33">
        <w:r w:rsidRPr="0079354F">
          <w:rPr>
            <w:rStyle w:val="Hyperlink"/>
          </w:rPr>
          <w:t>LACES</w:t>
        </w:r>
      </w:hyperlink>
      <w:r w:rsidRPr="0079354F">
        <w:t xml:space="preserve"> accounts for users who leave the program.)</w:t>
      </w:r>
    </w:p>
    <w:p w14:paraId="72831BF3" w14:textId="77777777" w:rsidR="000D75B7" w:rsidRDefault="000D75B7" w:rsidP="000A26AD"/>
    <w:p w14:paraId="48E110E2" w14:textId="45673A09" w:rsidR="00FB78F7" w:rsidRPr="00A36A19" w:rsidRDefault="00FB78F7" w:rsidP="00BB3248">
      <w:pPr>
        <w:tabs>
          <w:tab w:val="left" w:pos="6336"/>
        </w:tabs>
      </w:pPr>
      <w:r w:rsidRPr="00F3624B">
        <w:rPr>
          <w:b/>
          <w:color w:val="B85808"/>
        </w:rPr>
        <w:t>Release of Information (ROI) (State requirement)</w:t>
      </w:r>
      <w:r w:rsidR="00BB3248">
        <w:rPr>
          <w:b/>
          <w:color w:val="B85808"/>
        </w:rPr>
        <w:tab/>
      </w:r>
    </w:p>
    <w:p w14:paraId="7D518670" w14:textId="5F13578F" w:rsidR="00FB78F7" w:rsidRPr="00F3624B" w:rsidRDefault="00FB78F7" w:rsidP="00FB78F7">
      <w:r w:rsidRPr="00F3624B">
        <w:t xml:space="preserve">ACLS requires that </w:t>
      </w:r>
      <w:r w:rsidR="003C06D2">
        <w:t>Transition Programs</w:t>
      </w:r>
      <w:r w:rsidRPr="00F3624B">
        <w:t xml:space="preserve"> ask students to provide their social security numbers (SSN) and sign an ROI form. The purpose of the ROI is twofold:</w:t>
      </w:r>
    </w:p>
    <w:p w14:paraId="3B9F7CCF" w14:textId="77777777" w:rsidR="00FB78F7" w:rsidRPr="00F3624B" w:rsidRDefault="00FB78F7" w:rsidP="00FB78F7">
      <w:pPr>
        <w:pStyle w:val="ListParagraph"/>
        <w:numPr>
          <w:ilvl w:val="0"/>
          <w:numId w:val="27"/>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 xml:space="preserve">to inform students, in writing, that their </w:t>
      </w:r>
      <w:r w:rsidRPr="00F3624B">
        <w:rPr>
          <w:rFonts w:ascii="Times New Roman" w:eastAsia="Calibri" w:hAnsi="Times New Roman" w:cs="Times New Roman"/>
          <w:sz w:val="24"/>
          <w:szCs w:val="24"/>
        </w:rPr>
        <w:t xml:space="preserve">personally identifiable information (PII) </w:t>
      </w:r>
      <w:r w:rsidRPr="00F3624B">
        <w:rPr>
          <w:rFonts w:ascii="Times New Roman" w:hAnsi="Times New Roman" w:cs="Times New Roman"/>
          <w:sz w:val="24"/>
          <w:szCs w:val="24"/>
        </w:rPr>
        <w:t xml:space="preserve">will be matched </w:t>
      </w:r>
      <w:r w:rsidRPr="00F3624B">
        <w:rPr>
          <w:rFonts w:ascii="Times New Roman" w:eastAsia="Calibri" w:hAnsi="Times New Roman" w:cs="Times New Roman"/>
          <w:sz w:val="24"/>
          <w:szCs w:val="24"/>
        </w:rPr>
        <w:t>with data from:</w:t>
      </w:r>
    </w:p>
    <w:p w14:paraId="7083F06E" w14:textId="77777777" w:rsidR="00FB78F7" w:rsidRPr="00F3624B" w:rsidRDefault="00FB78F7" w:rsidP="00FB78F7">
      <w:pPr>
        <w:pStyle w:val="ListParagraph"/>
        <w:numPr>
          <w:ilvl w:val="1"/>
          <w:numId w:val="27"/>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the Massachusetts Departments of Unemployment Assistance and Higher Education,</w:t>
      </w:r>
    </w:p>
    <w:p w14:paraId="10ABA6FF" w14:textId="521F0A90" w:rsidR="00FB78F7" w:rsidRPr="00F3624B" w:rsidRDefault="00FB78F7" w:rsidP="00FB78F7">
      <w:pPr>
        <w:pStyle w:val="ListParagraph"/>
        <w:numPr>
          <w:ilvl w:val="1"/>
          <w:numId w:val="27"/>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Pearson GED</w:t>
      </w:r>
      <w:r w:rsidR="0026085D" w:rsidRPr="0026085D">
        <w:rPr>
          <w:rFonts w:ascii="Segoe UI" w:hAnsi="Segoe UI" w:cs="Segoe UI"/>
          <w:color w:val="222222"/>
          <w:sz w:val="18"/>
          <w:szCs w:val="18"/>
          <w:shd w:val="clear" w:color="auto" w:fill="FFFFFF"/>
        </w:rPr>
        <w:t xml:space="preserve"> </w:t>
      </w:r>
      <w:r w:rsidR="0026085D">
        <w:rPr>
          <w:rFonts w:ascii="Segoe UI" w:hAnsi="Segoe UI" w:cs="Segoe UI"/>
          <w:color w:val="222222"/>
          <w:sz w:val="18"/>
          <w:szCs w:val="18"/>
          <w:shd w:val="clear" w:color="auto" w:fill="FFFFFF"/>
        </w:rPr>
        <w:t>®</w:t>
      </w:r>
      <w:r w:rsidRPr="00F3624B">
        <w:rPr>
          <w:rFonts w:ascii="Times New Roman" w:eastAsia="Calibri" w:hAnsi="Times New Roman" w:cs="Times New Roman"/>
          <w:sz w:val="24"/>
          <w:szCs w:val="24"/>
        </w:rPr>
        <w:t xml:space="preserve"> and </w:t>
      </w:r>
      <w:r w:rsidR="00C255D4">
        <w:rPr>
          <w:rFonts w:ascii="Times New Roman" w:eastAsia="Calibri" w:hAnsi="Times New Roman" w:cs="Times New Roman"/>
          <w:sz w:val="24"/>
          <w:szCs w:val="24"/>
        </w:rPr>
        <w:t>PSI</w:t>
      </w:r>
      <w:r w:rsidR="00C255D4" w:rsidRPr="00F3624B">
        <w:rPr>
          <w:rFonts w:ascii="Times New Roman" w:eastAsia="Calibri" w:hAnsi="Times New Roman" w:cs="Times New Roman"/>
          <w:sz w:val="24"/>
          <w:szCs w:val="24"/>
        </w:rPr>
        <w:t xml:space="preserve"> </w:t>
      </w:r>
      <w:r w:rsidRPr="00F3624B">
        <w:rPr>
          <w:rFonts w:ascii="Times New Roman" w:eastAsia="Calibri" w:hAnsi="Times New Roman" w:cs="Times New Roman"/>
          <w:sz w:val="24"/>
          <w:szCs w:val="24"/>
        </w:rPr>
        <w:t>(HiSET</w:t>
      </w:r>
      <w:r w:rsidR="0026085D" w:rsidRPr="0026085D">
        <w:rPr>
          <w:rFonts w:ascii="Segoe UI" w:hAnsi="Segoe UI" w:cs="Segoe UI"/>
          <w:color w:val="222222"/>
          <w:sz w:val="18"/>
          <w:szCs w:val="18"/>
          <w:shd w:val="clear" w:color="auto" w:fill="FFFFFF"/>
        </w:rPr>
        <w:t xml:space="preserve"> </w:t>
      </w:r>
      <w:r w:rsidR="0026085D">
        <w:rPr>
          <w:rFonts w:ascii="Segoe UI" w:hAnsi="Segoe UI" w:cs="Segoe UI"/>
          <w:color w:val="222222"/>
          <w:sz w:val="18"/>
          <w:szCs w:val="18"/>
          <w:shd w:val="clear" w:color="auto" w:fill="FFFFFF"/>
        </w:rPr>
        <w:t>®</w:t>
      </w:r>
      <w:r w:rsidRPr="00F3624B">
        <w:rPr>
          <w:rFonts w:ascii="Times New Roman" w:eastAsia="Calibri" w:hAnsi="Times New Roman" w:cs="Times New Roman"/>
          <w:sz w:val="24"/>
          <w:szCs w:val="24"/>
        </w:rPr>
        <w:t xml:space="preserve">), </w:t>
      </w:r>
    </w:p>
    <w:p w14:paraId="24324201" w14:textId="77777777" w:rsidR="00FB78F7" w:rsidRPr="00F3624B" w:rsidRDefault="00FB78F7" w:rsidP="00FB78F7">
      <w:pPr>
        <w:pStyle w:val="ListParagraph"/>
        <w:numPr>
          <w:ilvl w:val="1"/>
          <w:numId w:val="27"/>
        </w:numPr>
        <w:spacing w:after="0" w:line="240" w:lineRule="auto"/>
        <w:rPr>
          <w:rFonts w:ascii="Times New Roman" w:eastAsia="Calibri" w:hAnsi="Times New Roman" w:cs="Times New Roman"/>
          <w:sz w:val="24"/>
          <w:szCs w:val="24"/>
        </w:rPr>
      </w:pPr>
      <w:r w:rsidRPr="00F3624B">
        <w:rPr>
          <w:rFonts w:ascii="Times New Roman" w:eastAsia="Calibri" w:hAnsi="Times New Roman" w:cs="Times New Roman"/>
          <w:sz w:val="24"/>
          <w:szCs w:val="24"/>
        </w:rPr>
        <w:t>the National Student Clearing House; and</w:t>
      </w:r>
    </w:p>
    <w:p w14:paraId="371AF123" w14:textId="77777777" w:rsidR="00FB78F7" w:rsidRPr="00F3624B" w:rsidRDefault="00FB78F7" w:rsidP="00FB78F7">
      <w:pPr>
        <w:pStyle w:val="ListParagraph"/>
        <w:numPr>
          <w:ilvl w:val="0"/>
          <w:numId w:val="27"/>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to authorize the release of</w:t>
      </w:r>
      <w:r>
        <w:rPr>
          <w:rFonts w:ascii="Times New Roman" w:hAnsi="Times New Roman" w:cs="Times New Roman"/>
          <w:sz w:val="24"/>
          <w:szCs w:val="24"/>
        </w:rPr>
        <w:t xml:space="preserve"> data</w:t>
      </w:r>
      <w:r w:rsidRPr="00F3624B">
        <w:rPr>
          <w:rFonts w:ascii="Times New Roman" w:hAnsi="Times New Roman" w:cs="Times New Roman"/>
          <w:sz w:val="24"/>
          <w:szCs w:val="24"/>
        </w:rPr>
        <w:t xml:space="preserve"> matches to the program.</w:t>
      </w:r>
    </w:p>
    <w:p w14:paraId="1FA19E37" w14:textId="77777777" w:rsidR="00FB78F7" w:rsidRPr="00F3624B" w:rsidRDefault="00FB78F7" w:rsidP="00FB78F7">
      <w:r w:rsidRPr="00F3624B">
        <w:rPr>
          <w:rFonts w:eastAsia="Calibri"/>
        </w:rPr>
        <w:t>Data matched outcomes are stored securely at DESE and aggregated for federal reports.</w:t>
      </w:r>
    </w:p>
    <w:p w14:paraId="163F56EF" w14:textId="77777777" w:rsidR="00FB78F7" w:rsidRPr="00F3624B" w:rsidRDefault="00FB78F7" w:rsidP="00FB78F7"/>
    <w:p w14:paraId="16F6D615" w14:textId="77777777" w:rsidR="00FB78F7" w:rsidRDefault="00FB78F7" w:rsidP="00FB78F7">
      <w:r w:rsidRPr="00F3624B">
        <w:rPr>
          <w:rFonts w:eastAsia="Calibri"/>
        </w:rPr>
        <w:t>Students who sign the revised ROI form consent to have DESE update their LACES records with employment data, HSE test results, and postsecondary enrollment information obtained via data matching.</w:t>
      </w:r>
      <w:r>
        <w:rPr>
          <w:rFonts w:eastAsia="Calibri"/>
        </w:rPr>
        <w:t xml:space="preserve"> </w:t>
      </w:r>
      <w:r w:rsidRPr="00F3624B">
        <w:t>Declining to provide an SSN and/or sign an ROI will not impact students’ eligibility for services.</w:t>
      </w:r>
    </w:p>
    <w:p w14:paraId="167FB381" w14:textId="77777777" w:rsidR="00FB78F7" w:rsidRPr="00F3624B" w:rsidRDefault="00FB78F7" w:rsidP="00FB78F7">
      <w:pPr>
        <w:rPr>
          <w:rFonts w:eastAsia="Calibri"/>
        </w:rPr>
      </w:pPr>
    </w:p>
    <w:p w14:paraId="3C162777" w14:textId="77777777" w:rsidR="00FB78F7" w:rsidRPr="00A36A19" w:rsidRDefault="00FB78F7" w:rsidP="00FB78F7">
      <w:pPr>
        <w:rPr>
          <w:strike/>
        </w:rPr>
      </w:pPr>
      <w:r w:rsidRPr="1E8607B9">
        <w:t xml:space="preserve">For the ROI form, translated into 30 languages, see </w:t>
      </w:r>
      <w:hyperlink r:id="rId34">
        <w:r w:rsidRPr="1E8607B9">
          <w:rPr>
            <w:rStyle w:val="Hyperlink"/>
          </w:rPr>
          <w:t>http://www.doe.mass.edu/acls/laces/release-form/</w:t>
        </w:r>
      </w:hyperlink>
      <w:r w:rsidRPr="1E8607B9">
        <w:rPr>
          <w:rStyle w:val="Hyperlink"/>
        </w:rPr>
        <w:t>.</w:t>
      </w:r>
    </w:p>
    <w:p w14:paraId="596A6E20" w14:textId="77777777" w:rsidR="00BC70BB" w:rsidRPr="00E17FB0" w:rsidRDefault="00BC70BB" w:rsidP="00472B68">
      <w:pPr>
        <w:pStyle w:val="Heading3"/>
      </w:pPr>
    </w:p>
    <w:p w14:paraId="6512844E" w14:textId="77777777" w:rsidR="00D0119C" w:rsidRPr="005C26E3" w:rsidRDefault="00E242A3" w:rsidP="00472B68">
      <w:pPr>
        <w:pStyle w:val="Heading3"/>
        <w:rPr>
          <w:b w:val="0"/>
        </w:rPr>
      </w:pPr>
      <w:bookmarkStart w:id="40" w:name="_Toc109195975"/>
      <w:bookmarkStart w:id="41" w:name="_Toc117504264"/>
      <w:r>
        <w:t xml:space="preserve">The </w:t>
      </w:r>
      <w:r w:rsidR="00D0119C" w:rsidRPr="001F637E">
        <w:t>A</w:t>
      </w:r>
      <w:r w:rsidR="007A3406">
        <w:t xml:space="preserve">mericans with </w:t>
      </w:r>
      <w:r w:rsidR="00D0119C" w:rsidRPr="001F637E">
        <w:t>D</w:t>
      </w:r>
      <w:r w:rsidR="007A3406">
        <w:t xml:space="preserve">isabilities </w:t>
      </w:r>
      <w:r w:rsidR="00D0119C" w:rsidRPr="001F637E">
        <w:t>A</w:t>
      </w:r>
      <w:r w:rsidR="007A3406">
        <w:t>ct (ADA)</w:t>
      </w:r>
      <w:bookmarkEnd w:id="40"/>
      <w:bookmarkEnd w:id="41"/>
    </w:p>
    <w:p w14:paraId="126A9196" w14:textId="40E38080" w:rsidR="00E242A3" w:rsidRDefault="00E242A3" w:rsidP="0047675C">
      <w:r>
        <w:t xml:space="preserve">The </w:t>
      </w:r>
      <w:r w:rsidR="006160A5">
        <w:t>federal</w:t>
      </w:r>
      <w:r w:rsidR="006D1D0B">
        <w:t xml:space="preserve"> </w:t>
      </w:r>
      <w:r>
        <w:t xml:space="preserve">ADA places affirmative duties on public and private </w:t>
      </w:r>
      <w:r w:rsidR="00156CA3">
        <w:t>organizations</w:t>
      </w:r>
      <w:r>
        <w:t xml:space="preserve"> to ensure that individuals with disabilities can access and have equal opportunities to participate in </w:t>
      </w:r>
      <w:r w:rsidR="008F06A7">
        <w:t xml:space="preserve">public services provided by </w:t>
      </w:r>
      <w:r w:rsidR="000A4541">
        <w:t xml:space="preserve">AE programs. </w:t>
      </w:r>
      <w:r w:rsidR="003C06D2">
        <w:t>Transition</w:t>
      </w:r>
      <w:r>
        <w:t xml:space="preserve"> Programs signing the Statement of Assurances </w:t>
      </w:r>
      <w:r w:rsidR="008E03D7">
        <w:t xml:space="preserve">(SOA) </w:t>
      </w:r>
      <w:r>
        <w:t xml:space="preserve">as part of their grant applications are assuring </w:t>
      </w:r>
      <w:r w:rsidR="00180643">
        <w:t>ACLS</w:t>
      </w:r>
      <w:r>
        <w:t xml:space="preserve"> that they are aware of</w:t>
      </w:r>
      <w:r w:rsidR="00C053DC">
        <w:t xml:space="preserve"> and in compliance with</w:t>
      </w:r>
      <w:r w:rsidR="002B03C6">
        <w:t xml:space="preserve"> their ADA-related obligations.</w:t>
      </w:r>
    </w:p>
    <w:p w14:paraId="543E4E6E" w14:textId="77777777" w:rsidR="00700B4E" w:rsidRDefault="00700B4E" w:rsidP="0047675C"/>
    <w:p w14:paraId="531C0492" w14:textId="77777777" w:rsidR="00D0119C" w:rsidRPr="00700B4E" w:rsidRDefault="00D0119C" w:rsidP="0047675C">
      <w:pPr>
        <w:pStyle w:val="Heading4"/>
        <w:spacing w:before="0"/>
        <w:rPr>
          <w:b/>
          <w:color w:val="E36C0A" w:themeColor="accent6" w:themeShade="BF"/>
        </w:rPr>
      </w:pPr>
      <w:r w:rsidRPr="00187183">
        <w:rPr>
          <w:b/>
          <w:color w:val="B85808"/>
        </w:rPr>
        <w:t>Accommodations</w:t>
      </w:r>
    </w:p>
    <w:p w14:paraId="74E8317F" w14:textId="6F83365C" w:rsidR="009F6EC7" w:rsidRPr="0079354F" w:rsidRDefault="009F6EC7" w:rsidP="009F6EC7">
      <w:r w:rsidRPr="0079354F">
        <w:t xml:space="preserve">The ADA requires that </w:t>
      </w:r>
      <w:r w:rsidR="003C06D2">
        <w:t>Transition Programs</w:t>
      </w:r>
      <w:r w:rsidRPr="0079354F">
        <w:t xml:space="preserve"> make reasonable accommodations for students. To ensure that </w:t>
      </w:r>
      <w:r w:rsidR="003C06D2">
        <w:t>Transition Programs</w:t>
      </w:r>
      <w:r w:rsidRPr="0079354F">
        <w:t xml:space="preserve"> are responsive to learners with disabilities, the </w:t>
      </w:r>
      <w:r w:rsidRPr="0079354F">
        <w:rPr>
          <w:rFonts w:eastAsia="Batang"/>
        </w:rPr>
        <w:t>ADA</w:t>
      </w:r>
      <w:r w:rsidRPr="0079354F">
        <w:rPr>
          <w:color w:val="FF0000"/>
        </w:rPr>
        <w:t xml:space="preserve"> </w:t>
      </w:r>
      <w:r w:rsidRPr="0079354F">
        <w:t xml:space="preserve">requires, among other things, that </w:t>
      </w:r>
      <w:r w:rsidR="003C06D2">
        <w:t>Transition Programs</w:t>
      </w:r>
      <w:r w:rsidRPr="0079354F">
        <w:t xml:space="preserve"> designate an ADA Coordinator whose primary role is to ensure that the program is accessible and in compliance with the ADA.</w:t>
      </w:r>
    </w:p>
    <w:p w14:paraId="0ABFDAE3" w14:textId="77777777" w:rsidR="009F6EC7" w:rsidRPr="0079354F" w:rsidRDefault="009F6EC7" w:rsidP="009F6EC7"/>
    <w:p w14:paraId="7D3CF2C7" w14:textId="77777777" w:rsidR="009F6EC7" w:rsidRPr="0079354F" w:rsidRDefault="009F6EC7" w:rsidP="009F6EC7">
      <w:r w:rsidRPr="0079354F">
        <w:t xml:space="preserve">For more information on accommodations, see the Massachusetts AE assessment policies at </w:t>
      </w:r>
      <w:hyperlink r:id="rId35" w:history="1">
        <w:r w:rsidR="00881E8E" w:rsidRPr="00881E8E">
          <w:rPr>
            <w:rStyle w:val="Hyperlink"/>
          </w:rPr>
          <w:t>http://www.doe.mass.edu/acls/assessment/</w:t>
        </w:r>
      </w:hyperlink>
      <w:r w:rsidR="00881E8E">
        <w:t>.</w:t>
      </w:r>
      <w:r w:rsidR="00780C36">
        <w:t xml:space="preserve"> </w:t>
      </w:r>
      <w:r w:rsidR="00745D45" w:rsidRPr="00970819">
        <w:t>For more information</w:t>
      </w:r>
      <w:r w:rsidR="00745D45">
        <w:t xml:space="preserve"> on the ADA</w:t>
      </w:r>
      <w:r w:rsidR="00745D45" w:rsidRPr="00970819">
        <w:t xml:space="preserve">, see </w:t>
      </w:r>
      <w:hyperlink r:id="rId36" w:history="1">
        <w:r w:rsidR="00745D45" w:rsidRPr="006D1D0B">
          <w:rPr>
            <w:rStyle w:val="Hyperlink"/>
          </w:rPr>
          <w:t>http://www.doe.mass.edu/acls/disability/default.html</w:t>
        </w:r>
      </w:hyperlink>
      <w:r w:rsidR="00745D45">
        <w:t xml:space="preserve">, </w:t>
      </w:r>
      <w:hyperlink r:id="rId37" w:history="1">
        <w:r w:rsidR="00CD2B35" w:rsidRPr="00AD5F0D">
          <w:rPr>
            <w:rStyle w:val="Hyperlink"/>
          </w:rPr>
          <w:t>https://www2.ed.gov/about/offices/list/ocr/index.html</w:t>
        </w:r>
      </w:hyperlink>
      <w:r w:rsidRPr="0079354F">
        <w:t xml:space="preserve">, </w:t>
      </w:r>
      <w:hyperlink r:id="rId38" w:history="1">
        <w:r w:rsidR="002B3F54">
          <w:rPr>
            <w:rStyle w:val="Hyperlink"/>
          </w:rPr>
          <w:t>ADA.gov</w:t>
        </w:r>
      </w:hyperlink>
      <w:r w:rsidRPr="0079354F">
        <w:t xml:space="preserve"> and </w:t>
      </w:r>
      <w:hyperlink r:id="rId39" w:history="1">
        <w:r w:rsidRPr="0079354F">
          <w:rPr>
            <w:rStyle w:val="Hyperlink"/>
          </w:rPr>
          <w:t>SABES</w:t>
        </w:r>
      </w:hyperlink>
      <w:r w:rsidRPr="0079354F">
        <w:t>.</w:t>
      </w:r>
    </w:p>
    <w:p w14:paraId="263AC4F7" w14:textId="77777777" w:rsidR="00BC70BB" w:rsidRPr="0079354F" w:rsidRDefault="00BC70BB" w:rsidP="00472B68">
      <w:pPr>
        <w:pStyle w:val="Heading3"/>
      </w:pPr>
    </w:p>
    <w:p w14:paraId="09413200" w14:textId="77777777" w:rsidR="00F75E82" w:rsidRPr="00D022BC" w:rsidRDefault="00F75E82" w:rsidP="00F75E82">
      <w:pPr>
        <w:pStyle w:val="Heading4"/>
        <w:spacing w:before="0"/>
        <w:rPr>
          <w:b/>
          <w:color w:val="E36C0A" w:themeColor="accent6" w:themeShade="BF"/>
        </w:rPr>
      </w:pPr>
      <w:r w:rsidRPr="00187183">
        <w:rPr>
          <w:b/>
          <w:color w:val="B85808"/>
        </w:rPr>
        <w:t>General Education Provisions Act (GEPA)</w:t>
      </w:r>
    </w:p>
    <w:p w14:paraId="2527ECEA" w14:textId="77777777" w:rsidR="001342BC" w:rsidRPr="0079354F" w:rsidRDefault="001342BC" w:rsidP="001342BC">
      <w:pPr>
        <w:rPr>
          <w:color w:val="000000"/>
        </w:rPr>
      </w:pPr>
      <w:r w:rsidRPr="0079354F">
        <w:rPr>
          <w:color w:val="000000" w:themeColor="text1"/>
        </w:rPr>
        <w:t xml:space="preserve">In order to meet the requirements of </w:t>
      </w:r>
      <w:hyperlink r:id="rId40">
        <w:r w:rsidRPr="0079354F">
          <w:rPr>
            <w:rStyle w:val="Hyperlink"/>
          </w:rPr>
          <w:t>Section 427 of the General Education Provisions Act</w:t>
        </w:r>
      </w:hyperlink>
      <w:r w:rsidRPr="0079354F">
        <w:rPr>
          <w:color w:val="000000" w:themeColor="text1"/>
        </w:rPr>
        <w:t>, all grantees must complete and submit a GEPA statement in order to receive funding. GEPA requires that all providers funded by the U.S. Department of Education, or Massachusetts Department of Elementary and Secondary Education stipulate how they will ensure equitable participation in their programs. It is not meant to be a duplicate of the civil rights statement, but instead a description of the efforts the provider will make to ensure that barriers to participation by students, teachers, and others will be removed to allow participation.</w:t>
      </w:r>
    </w:p>
    <w:p w14:paraId="07B8885B" w14:textId="77777777" w:rsidR="001342BC" w:rsidRDefault="001342BC" w:rsidP="001342BC">
      <w:pPr>
        <w:rPr>
          <w:color w:val="000000"/>
        </w:rPr>
      </w:pPr>
    </w:p>
    <w:p w14:paraId="4D53B924" w14:textId="77777777" w:rsidR="001342BC" w:rsidRPr="009D11B9" w:rsidRDefault="001342BC" w:rsidP="001342BC">
      <w:pPr>
        <w:pStyle w:val="CommentText"/>
        <w:rPr>
          <w:color w:val="000000" w:themeColor="text1"/>
          <w:sz w:val="24"/>
          <w:szCs w:val="24"/>
        </w:rPr>
      </w:pPr>
      <w:r w:rsidRPr="009D11B9">
        <w:rPr>
          <w:color w:val="000000" w:themeColor="text1"/>
          <w:sz w:val="24"/>
          <w:szCs w:val="24"/>
        </w:rPr>
        <w:t>ACLS considers the GEPA statement</w:t>
      </w:r>
      <w:r>
        <w:rPr>
          <w:color w:val="000000" w:themeColor="text1"/>
          <w:sz w:val="24"/>
          <w:szCs w:val="24"/>
        </w:rPr>
        <w:t xml:space="preserve"> to be</w:t>
      </w:r>
      <w:r w:rsidRPr="009D11B9">
        <w:rPr>
          <w:color w:val="000000" w:themeColor="text1"/>
          <w:sz w:val="24"/>
          <w:szCs w:val="24"/>
        </w:rPr>
        <w:t xml:space="preserve"> a descriptive tool highlighting an agency’s continued commitment to anti-racism, diversity, equity, and inclusion. GEPA statements can also describe the specific actions taken annually that ensure barriers to participation are being addressed.</w:t>
      </w:r>
    </w:p>
    <w:p w14:paraId="1FF268C1" w14:textId="77777777" w:rsidR="001342BC" w:rsidRPr="0079354F" w:rsidRDefault="001342BC" w:rsidP="001342BC">
      <w:pPr>
        <w:rPr>
          <w:color w:val="000000"/>
        </w:rPr>
      </w:pPr>
    </w:p>
    <w:p w14:paraId="31A98350" w14:textId="2204149E" w:rsidR="001342BC" w:rsidRPr="0079354F" w:rsidRDefault="001342BC" w:rsidP="001342BC">
      <w:pPr>
        <w:rPr>
          <w:color w:val="000000"/>
        </w:rPr>
      </w:pPr>
      <w:r w:rsidRPr="0079354F">
        <w:rPr>
          <w:color w:val="000000" w:themeColor="text1"/>
        </w:rPr>
        <w:t xml:space="preserve">Six statutory barriers are listed: gender, race, national origin, color, disability, or age. Based on local circumstances, </w:t>
      </w:r>
      <w:r w:rsidR="003C06D2">
        <w:rPr>
          <w:color w:val="000000" w:themeColor="text1"/>
        </w:rPr>
        <w:t>Transition Programs</w:t>
      </w:r>
      <w:r w:rsidRPr="0079354F">
        <w:rPr>
          <w:color w:val="000000" w:themeColor="text1"/>
        </w:rPr>
        <w:t xml:space="preserve"> should determine whether these or other barriers may prevent students, teachers, or others from such access or participation in the adult education program. The description of steps to be taken to overcome such barriers in the GEPA form need not be lengthy; programs may provide a clear and succinct description of how they plan to address the barriers that are applicable to their circumstances. In addition, the information may be provided in a single narrative. The U.S. Department of Education (US ED) requires that programs submit a GEPA statement annually. </w:t>
      </w:r>
      <w:r w:rsidRPr="0079354F">
        <w:t>ACLS requires programs submit their GEPA statements during the annual refunding process.</w:t>
      </w:r>
    </w:p>
    <w:p w14:paraId="4F1F6DAD" w14:textId="77777777" w:rsidR="001342BC" w:rsidRPr="0079354F" w:rsidRDefault="001342BC" w:rsidP="001342BC"/>
    <w:p w14:paraId="03BF68FB" w14:textId="77777777" w:rsidR="001342BC" w:rsidRPr="0079354F" w:rsidRDefault="001342BC" w:rsidP="001342BC">
      <w:pPr>
        <w:rPr>
          <w:rFonts w:ascii="Georgia" w:hAnsi="Georgia"/>
          <w:color w:val="000000"/>
          <w:sz w:val="21"/>
          <w:szCs w:val="21"/>
        </w:rPr>
      </w:pPr>
      <w:r>
        <w:t xml:space="preserve">For examples of GEPA statements, see </w:t>
      </w:r>
      <w:hyperlink r:id="rId41">
        <w:r w:rsidRPr="4F6FA14F">
          <w:rPr>
            <w:rStyle w:val="Hyperlink"/>
          </w:rPr>
          <w:t>Grant Experts: GEPA Examples</w:t>
        </w:r>
      </w:hyperlink>
      <w:r>
        <w:t xml:space="preserve"> </w:t>
      </w:r>
      <w:r w:rsidRPr="4F6FA14F">
        <w:rPr>
          <w:color w:val="000000" w:themeColor="text1"/>
        </w:rPr>
        <w:t xml:space="preserve">and the </w:t>
      </w:r>
      <w:hyperlink r:id="rId42">
        <w:r w:rsidRPr="4F6FA14F">
          <w:rPr>
            <w:rStyle w:val="Hyperlink"/>
          </w:rPr>
          <w:t>GEPA Notice to All Applicants</w:t>
        </w:r>
      </w:hyperlink>
      <w:r w:rsidRPr="4F6FA14F">
        <w:rPr>
          <w:rFonts w:ascii="Georgia" w:hAnsi="Georgia"/>
          <w:color w:val="000000" w:themeColor="text1"/>
          <w:sz w:val="21"/>
          <w:szCs w:val="21"/>
        </w:rPr>
        <w:t>.</w:t>
      </w:r>
    </w:p>
    <w:p w14:paraId="612B2492" w14:textId="77777777" w:rsidR="001342BC" w:rsidRPr="0079354F" w:rsidRDefault="001342BC" w:rsidP="001342BC"/>
    <w:p w14:paraId="4F26E881" w14:textId="77777777" w:rsidR="001342BC" w:rsidRPr="005C26E3" w:rsidRDefault="001342BC" w:rsidP="001342BC">
      <w:pPr>
        <w:pStyle w:val="Heading3"/>
        <w:rPr>
          <w:b w:val="0"/>
          <w:bCs w:val="0"/>
        </w:rPr>
      </w:pPr>
      <w:bookmarkStart w:id="42" w:name="_Toc109195976"/>
      <w:bookmarkStart w:id="43" w:name="_Toc117504265"/>
      <w:r w:rsidRPr="1E8607B9">
        <w:t>Mandated Reporting (State requirement)</w:t>
      </w:r>
      <w:bookmarkEnd w:id="42"/>
      <w:bookmarkEnd w:id="43"/>
    </w:p>
    <w:p w14:paraId="22B2732F" w14:textId="77777777" w:rsidR="00C507E0" w:rsidRDefault="00C507E0" w:rsidP="00C507E0">
      <w:pPr>
        <w:pStyle w:val="Bullet1"/>
        <w:tabs>
          <w:tab w:val="left" w:pos="720"/>
        </w:tabs>
        <w:spacing w:before="0"/>
        <w:jc w:val="left"/>
      </w:pPr>
      <w:r>
        <w:t>Adult education staff are considered mandated reporters and are required by law to report cases of suspected abuse. Mandated reporters:</w:t>
      </w:r>
    </w:p>
    <w:p w14:paraId="32F98F24" w14:textId="77777777" w:rsidR="001342BC" w:rsidRPr="0079354F" w:rsidRDefault="001342BC" w:rsidP="001342BC">
      <w:pPr>
        <w:pStyle w:val="Bullet2"/>
        <w:numPr>
          <w:ilvl w:val="0"/>
          <w:numId w:val="4"/>
        </w:numPr>
        <w:spacing w:before="0"/>
        <w:ind w:left="720"/>
        <w:jc w:val="left"/>
      </w:pPr>
      <w:r w:rsidRPr="0079354F">
        <w:t>Include public and private school teachers, educational administrators, guidance or adjustment counselors, psychologists, attendance officers, social workers, day care providers, health care professionals, and court and public safety officials;</w:t>
      </w:r>
    </w:p>
    <w:p w14:paraId="2AF53358" w14:textId="77777777" w:rsidR="001342BC" w:rsidRPr="0079354F" w:rsidRDefault="001342BC" w:rsidP="001342BC">
      <w:pPr>
        <w:pStyle w:val="Bullet2"/>
        <w:numPr>
          <w:ilvl w:val="0"/>
          <w:numId w:val="4"/>
        </w:numPr>
        <w:spacing w:before="0"/>
        <w:ind w:left="720"/>
        <w:jc w:val="left"/>
      </w:pPr>
      <w:r w:rsidRPr="0079354F">
        <w:t>Are immune from civil or criminal liability as a result of making a report; non-mandated reporters are also protected providing the report was made in good faith;</w:t>
      </w:r>
    </w:p>
    <w:p w14:paraId="1BBF7397" w14:textId="77777777" w:rsidR="001342BC" w:rsidRPr="0079354F" w:rsidRDefault="001342BC" w:rsidP="001342BC">
      <w:pPr>
        <w:pStyle w:val="Bullet2"/>
        <w:numPr>
          <w:ilvl w:val="0"/>
          <w:numId w:val="4"/>
        </w:numPr>
        <w:spacing w:before="0"/>
        <w:ind w:left="720"/>
        <w:jc w:val="left"/>
      </w:pPr>
      <w:r w:rsidRPr="0079354F">
        <w:t>Are protected from retaliation, and identities will be kept confidential; and</w:t>
      </w:r>
    </w:p>
    <w:p w14:paraId="1AC21950" w14:textId="77777777" w:rsidR="001342BC" w:rsidRPr="0079354F" w:rsidRDefault="001342BC" w:rsidP="001342BC">
      <w:pPr>
        <w:pStyle w:val="Bullet2"/>
        <w:numPr>
          <w:ilvl w:val="0"/>
          <w:numId w:val="4"/>
        </w:numPr>
        <w:spacing w:before="0"/>
        <w:ind w:left="720"/>
        <w:jc w:val="left"/>
      </w:pPr>
      <w:r w:rsidRPr="0079354F">
        <w:t>Who fail to file a report are subject to a fine of up to $1,000.</w:t>
      </w:r>
    </w:p>
    <w:p w14:paraId="2351C10B" w14:textId="77777777" w:rsidR="00C507E0" w:rsidRDefault="00C507E0" w:rsidP="001342BC">
      <w:pPr>
        <w:pStyle w:val="Bullet2"/>
        <w:spacing w:before="0"/>
        <w:jc w:val="left"/>
      </w:pPr>
    </w:p>
    <w:p w14:paraId="12679891" w14:textId="77777777" w:rsidR="00C507E0" w:rsidRDefault="00C507E0" w:rsidP="001342BC">
      <w:pPr>
        <w:pStyle w:val="Bullet2"/>
        <w:spacing w:before="0"/>
        <w:ind w:left="180"/>
        <w:jc w:val="left"/>
      </w:pPr>
      <w:r>
        <w:t>For more information on mandated reporting, see the following table.</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Caption w:val="Mandated Reprting Responsibilities"/>
        <w:tblDescription w:val="This table lists staff mandated reporting of suspected abuse responsibilities. Reporting of abuse of individuas 0-18 years old (i.e., children) must be made to the Department of Children and Families under statute 51A. Reporting of abuse of individuals 18-59 years old (i.e., disabled adults) must be made to the Disabled Persons Protection Commisison under statute 19C. Reporting of ause of individuals 60+ years old (i.e., elderly) must be made to the Executive Office of Elder Affairs under statute 19A."/>
      </w:tblPr>
      <w:tblGrid>
        <w:gridCol w:w="1577"/>
        <w:gridCol w:w="2553"/>
        <w:gridCol w:w="2555"/>
        <w:gridCol w:w="2547"/>
      </w:tblGrid>
      <w:tr w:rsidR="00C507E0" w14:paraId="4F274953" w14:textId="77777777" w:rsidTr="00B4725F">
        <w:trPr>
          <w:trHeight w:val="288"/>
          <w:tblHeader/>
        </w:trPr>
        <w:tc>
          <w:tcPr>
            <w:tcW w:w="1584" w:type="dxa"/>
            <w:tcBorders>
              <w:top w:val="single" w:sz="8" w:space="0" w:color="auto"/>
              <w:bottom w:val="single" w:sz="6" w:space="0" w:color="auto"/>
            </w:tcBorders>
            <w:shd w:val="clear" w:color="auto" w:fill="FDE9D9" w:themeFill="accent6" w:themeFillTint="33"/>
            <w:vAlign w:val="center"/>
            <w:hideMark/>
          </w:tcPr>
          <w:p w14:paraId="2B54B6CA" w14:textId="77777777" w:rsidR="00C507E0" w:rsidRDefault="00C507E0" w:rsidP="00440F4A">
            <w:pPr>
              <w:rPr>
                <w:b/>
              </w:rPr>
            </w:pPr>
            <w:r>
              <w:rPr>
                <w:b/>
              </w:rPr>
              <w:t>Age</w:t>
            </w:r>
          </w:p>
        </w:tc>
        <w:tc>
          <w:tcPr>
            <w:tcW w:w="2592" w:type="dxa"/>
            <w:tcBorders>
              <w:top w:val="single" w:sz="8" w:space="0" w:color="auto"/>
              <w:bottom w:val="single" w:sz="6" w:space="0" w:color="auto"/>
            </w:tcBorders>
            <w:shd w:val="clear" w:color="auto" w:fill="FDE9D9" w:themeFill="accent6" w:themeFillTint="33"/>
            <w:vAlign w:val="center"/>
          </w:tcPr>
          <w:p w14:paraId="6BF51B21" w14:textId="77777777" w:rsidR="00C507E0" w:rsidRPr="008901F1" w:rsidRDefault="00C507E0" w:rsidP="00440F4A">
            <w:r w:rsidRPr="008901F1">
              <w:t>0-18 years old</w:t>
            </w:r>
          </w:p>
        </w:tc>
        <w:tc>
          <w:tcPr>
            <w:tcW w:w="2592" w:type="dxa"/>
            <w:tcBorders>
              <w:top w:val="single" w:sz="8" w:space="0" w:color="auto"/>
              <w:bottom w:val="single" w:sz="6" w:space="0" w:color="auto"/>
            </w:tcBorders>
            <w:shd w:val="clear" w:color="auto" w:fill="FDE9D9" w:themeFill="accent6" w:themeFillTint="33"/>
            <w:vAlign w:val="center"/>
            <w:hideMark/>
          </w:tcPr>
          <w:p w14:paraId="351EA039" w14:textId="77777777" w:rsidR="00C507E0" w:rsidRPr="008901F1" w:rsidRDefault="00C507E0" w:rsidP="00440F4A">
            <w:r w:rsidRPr="008901F1">
              <w:t>18-59 years old</w:t>
            </w:r>
          </w:p>
        </w:tc>
        <w:tc>
          <w:tcPr>
            <w:tcW w:w="2592" w:type="dxa"/>
            <w:tcBorders>
              <w:top w:val="single" w:sz="8" w:space="0" w:color="auto"/>
              <w:bottom w:val="single" w:sz="6" w:space="0" w:color="auto"/>
            </w:tcBorders>
            <w:shd w:val="clear" w:color="auto" w:fill="FDE9D9" w:themeFill="accent6" w:themeFillTint="33"/>
            <w:vAlign w:val="center"/>
            <w:hideMark/>
          </w:tcPr>
          <w:p w14:paraId="72F57F73" w14:textId="77777777" w:rsidR="00C507E0" w:rsidRPr="008901F1" w:rsidRDefault="00C507E0" w:rsidP="00440F4A">
            <w:r w:rsidRPr="008901F1">
              <w:t>60+ years old</w:t>
            </w:r>
          </w:p>
        </w:tc>
      </w:tr>
      <w:tr w:rsidR="00C507E0" w14:paraId="29F95E27" w14:textId="77777777" w:rsidTr="00B4725F">
        <w:trPr>
          <w:trHeight w:val="288"/>
        </w:trPr>
        <w:tc>
          <w:tcPr>
            <w:tcW w:w="1584" w:type="dxa"/>
            <w:tcBorders>
              <w:top w:val="single" w:sz="6" w:space="0" w:color="auto"/>
            </w:tcBorders>
            <w:vAlign w:val="center"/>
          </w:tcPr>
          <w:p w14:paraId="3134DA62" w14:textId="77777777" w:rsidR="00C507E0" w:rsidRDefault="00C507E0" w:rsidP="00440F4A">
            <w:pPr>
              <w:rPr>
                <w:b/>
              </w:rPr>
            </w:pPr>
            <w:r>
              <w:rPr>
                <w:b/>
              </w:rPr>
              <w:t>Population</w:t>
            </w:r>
          </w:p>
        </w:tc>
        <w:tc>
          <w:tcPr>
            <w:tcW w:w="2592" w:type="dxa"/>
            <w:tcBorders>
              <w:top w:val="single" w:sz="6" w:space="0" w:color="auto"/>
            </w:tcBorders>
            <w:vAlign w:val="center"/>
          </w:tcPr>
          <w:p w14:paraId="53AAA449" w14:textId="77777777" w:rsidR="00C507E0" w:rsidRPr="003C5E37" w:rsidRDefault="00C507E0" w:rsidP="00440F4A">
            <w:r>
              <w:t>Children</w:t>
            </w:r>
          </w:p>
        </w:tc>
        <w:tc>
          <w:tcPr>
            <w:tcW w:w="2592" w:type="dxa"/>
            <w:tcBorders>
              <w:top w:val="single" w:sz="6" w:space="0" w:color="auto"/>
            </w:tcBorders>
            <w:hideMark/>
          </w:tcPr>
          <w:p w14:paraId="546D77AF" w14:textId="77777777" w:rsidR="00C507E0" w:rsidRDefault="00C507E0" w:rsidP="00440F4A">
            <w:r>
              <w:t>Disabled Adults</w:t>
            </w:r>
          </w:p>
        </w:tc>
        <w:tc>
          <w:tcPr>
            <w:tcW w:w="2592" w:type="dxa"/>
            <w:tcBorders>
              <w:top w:val="single" w:sz="6" w:space="0" w:color="auto"/>
            </w:tcBorders>
            <w:hideMark/>
          </w:tcPr>
          <w:p w14:paraId="06955563" w14:textId="77777777" w:rsidR="00C507E0" w:rsidRDefault="00C507E0" w:rsidP="00440F4A">
            <w:r>
              <w:t>Elderly</w:t>
            </w:r>
          </w:p>
        </w:tc>
      </w:tr>
      <w:tr w:rsidR="00C507E0" w14:paraId="0BB99F0A" w14:textId="77777777" w:rsidTr="00B4725F">
        <w:trPr>
          <w:trHeight w:val="288"/>
        </w:trPr>
        <w:tc>
          <w:tcPr>
            <w:tcW w:w="1584" w:type="dxa"/>
            <w:shd w:val="clear" w:color="auto" w:fill="FDE9D9" w:themeFill="accent6" w:themeFillTint="33"/>
          </w:tcPr>
          <w:p w14:paraId="5E9DD7EE" w14:textId="77777777" w:rsidR="00C507E0" w:rsidRDefault="00C507E0" w:rsidP="00440F4A">
            <w:pPr>
              <w:rPr>
                <w:b/>
              </w:rPr>
            </w:pPr>
            <w:r>
              <w:rPr>
                <w:b/>
              </w:rPr>
              <w:t>Reporting Agency</w:t>
            </w:r>
          </w:p>
        </w:tc>
        <w:tc>
          <w:tcPr>
            <w:tcW w:w="2592" w:type="dxa"/>
            <w:shd w:val="clear" w:color="auto" w:fill="FDE9D9" w:themeFill="accent6" w:themeFillTint="33"/>
          </w:tcPr>
          <w:p w14:paraId="6871B687" w14:textId="77777777" w:rsidR="00C507E0" w:rsidRDefault="001F44A4" w:rsidP="00440F4A">
            <w:hyperlink r:id="rId43" w:history="1">
              <w:r w:rsidR="00C507E0">
                <w:rPr>
                  <w:rStyle w:val="Hyperlink"/>
                  <w:rFonts w:eastAsia="Batang"/>
                </w:rPr>
                <w:t>Department of Children and Families</w:t>
              </w:r>
            </w:hyperlink>
          </w:p>
        </w:tc>
        <w:tc>
          <w:tcPr>
            <w:tcW w:w="2592" w:type="dxa"/>
            <w:shd w:val="clear" w:color="auto" w:fill="FDE9D9" w:themeFill="accent6" w:themeFillTint="33"/>
            <w:hideMark/>
          </w:tcPr>
          <w:p w14:paraId="6D74368D" w14:textId="77777777" w:rsidR="00C507E0" w:rsidRDefault="001F44A4" w:rsidP="00440F4A">
            <w:hyperlink r:id="rId44" w:history="1">
              <w:r w:rsidR="00C507E0">
                <w:rPr>
                  <w:rStyle w:val="Hyperlink"/>
                  <w:rFonts w:eastAsia="Batang"/>
                </w:rPr>
                <w:t>Disabled Persons Protection Commission</w:t>
              </w:r>
            </w:hyperlink>
          </w:p>
        </w:tc>
        <w:tc>
          <w:tcPr>
            <w:tcW w:w="2592" w:type="dxa"/>
            <w:shd w:val="clear" w:color="auto" w:fill="FDE9D9" w:themeFill="accent6" w:themeFillTint="33"/>
            <w:hideMark/>
          </w:tcPr>
          <w:p w14:paraId="1E5DB370" w14:textId="77777777" w:rsidR="00C507E0" w:rsidRDefault="001F44A4" w:rsidP="00440F4A">
            <w:hyperlink r:id="rId45" w:history="1">
              <w:r w:rsidR="00C507E0">
                <w:rPr>
                  <w:rStyle w:val="Hyperlink"/>
                  <w:rFonts w:eastAsia="Batang"/>
                </w:rPr>
                <w:t>Executive Office of Elder Affairs</w:t>
              </w:r>
            </w:hyperlink>
          </w:p>
        </w:tc>
      </w:tr>
      <w:tr w:rsidR="00C507E0" w14:paraId="67DBBDD8" w14:textId="77777777" w:rsidTr="00B4725F">
        <w:trPr>
          <w:trHeight w:val="288"/>
        </w:trPr>
        <w:tc>
          <w:tcPr>
            <w:tcW w:w="1584" w:type="dxa"/>
          </w:tcPr>
          <w:p w14:paraId="6B1703D1" w14:textId="77777777" w:rsidR="00C507E0" w:rsidRDefault="00C507E0" w:rsidP="00440F4A">
            <w:pPr>
              <w:rPr>
                <w:b/>
              </w:rPr>
            </w:pPr>
            <w:r>
              <w:rPr>
                <w:b/>
              </w:rPr>
              <w:t>Statute</w:t>
            </w:r>
          </w:p>
        </w:tc>
        <w:tc>
          <w:tcPr>
            <w:tcW w:w="2592" w:type="dxa"/>
          </w:tcPr>
          <w:p w14:paraId="6CFA6A2D" w14:textId="77777777" w:rsidR="00C507E0" w:rsidRPr="003C5E37" w:rsidRDefault="00C507E0" w:rsidP="00440F4A">
            <w:r>
              <w:t>51A</w:t>
            </w:r>
          </w:p>
        </w:tc>
        <w:tc>
          <w:tcPr>
            <w:tcW w:w="2592" w:type="dxa"/>
            <w:hideMark/>
          </w:tcPr>
          <w:p w14:paraId="5DC826EC" w14:textId="77777777" w:rsidR="00C507E0" w:rsidRDefault="00C507E0" w:rsidP="00440F4A">
            <w:r>
              <w:t>19C</w:t>
            </w:r>
          </w:p>
        </w:tc>
        <w:tc>
          <w:tcPr>
            <w:tcW w:w="2592" w:type="dxa"/>
            <w:hideMark/>
          </w:tcPr>
          <w:p w14:paraId="628A1F32" w14:textId="77777777" w:rsidR="00C507E0" w:rsidRDefault="00C507E0" w:rsidP="00440F4A">
            <w:r>
              <w:t>19A</w:t>
            </w:r>
          </w:p>
        </w:tc>
      </w:tr>
    </w:tbl>
    <w:p w14:paraId="4ACC5D3F" w14:textId="77777777" w:rsidR="00C507E0" w:rsidRPr="00F75E82" w:rsidRDefault="00C507E0" w:rsidP="00101BEE">
      <w:pPr>
        <w:sectPr w:rsidR="00C507E0" w:rsidRPr="00F75E82" w:rsidSect="00A3257C">
          <w:pgSz w:w="12240" w:h="15840"/>
          <w:pgMar w:top="1440" w:right="1440" w:bottom="1440" w:left="1440" w:header="720" w:footer="720" w:gutter="0"/>
          <w:cols w:space="720"/>
          <w:docGrid w:linePitch="360"/>
        </w:sectPr>
      </w:pPr>
    </w:p>
    <w:p w14:paraId="1D222137" w14:textId="77777777" w:rsidR="00F07F5B" w:rsidRPr="0050292F" w:rsidRDefault="00F37A9D" w:rsidP="0050292F">
      <w:pPr>
        <w:pStyle w:val="Heading2"/>
        <w:spacing w:before="0"/>
        <w:rPr>
          <w:b/>
          <w:bCs w:val="0"/>
          <w:color w:val="E36C0A" w:themeColor="accent6" w:themeShade="BF"/>
        </w:rPr>
      </w:pPr>
      <w:bookmarkStart w:id="44" w:name="_Toc117504266"/>
      <w:r>
        <w:rPr>
          <w:rStyle w:val="Hyperlink"/>
          <w:b/>
          <w:bCs w:val="0"/>
          <w:color w:val="E36C0A" w:themeColor="accent6" w:themeShade="BF"/>
          <w:u w:val="none"/>
        </w:rPr>
        <w:t>Chapter 3:</w:t>
      </w:r>
      <w:r w:rsidR="00DE4D5A">
        <w:rPr>
          <w:rStyle w:val="Hyperlink"/>
          <w:b/>
          <w:bCs w:val="0"/>
          <w:color w:val="E36C0A" w:themeColor="accent6" w:themeShade="BF"/>
          <w:u w:val="none"/>
        </w:rPr>
        <w:t xml:space="preserve"> </w:t>
      </w:r>
      <w:r>
        <w:rPr>
          <w:rStyle w:val="Hyperlink"/>
          <w:b/>
          <w:bCs w:val="0"/>
          <w:color w:val="E36C0A" w:themeColor="accent6" w:themeShade="BF"/>
          <w:u w:val="none"/>
        </w:rPr>
        <w:t xml:space="preserve"> </w:t>
      </w:r>
      <w:hyperlink w:anchor="_Toc468698122" w:history="1">
        <w:r w:rsidR="00D12DB8" w:rsidRPr="00187F94">
          <w:rPr>
            <w:rStyle w:val="Hyperlink"/>
            <w:b/>
            <w:bCs w:val="0"/>
            <w:color w:val="E36C0A" w:themeColor="accent6" w:themeShade="BF"/>
            <w:u w:val="none"/>
          </w:rPr>
          <w:t>Indicator 3:</w:t>
        </w:r>
        <w:r w:rsidR="00DE4D5A">
          <w:rPr>
            <w:rStyle w:val="Hyperlink"/>
            <w:b/>
            <w:bCs w:val="0"/>
            <w:color w:val="E36C0A" w:themeColor="accent6" w:themeShade="BF"/>
            <w:u w:val="none"/>
          </w:rPr>
          <w:t xml:space="preserve"> </w:t>
        </w:r>
        <w:r w:rsidR="00D12DB8" w:rsidRPr="00187F94">
          <w:rPr>
            <w:rStyle w:val="Hyperlink"/>
            <w:b/>
            <w:bCs w:val="0"/>
            <w:color w:val="E36C0A" w:themeColor="accent6" w:themeShade="BF"/>
            <w:u w:val="none"/>
          </w:rPr>
          <w:t xml:space="preserve"> Career Pathways </w:t>
        </w:r>
        <w:r w:rsidR="00F07F5B">
          <w:rPr>
            <w:rStyle w:val="Hyperlink"/>
            <w:b/>
            <w:bCs w:val="0"/>
            <w:color w:val="E36C0A" w:themeColor="accent6" w:themeShade="BF"/>
            <w:u w:val="none"/>
          </w:rPr>
          <w:t>Exploration</w:t>
        </w:r>
        <w:bookmarkEnd w:id="44"/>
      </w:hyperlink>
    </w:p>
    <w:p w14:paraId="494A7CD0" w14:textId="77777777" w:rsidR="00C34801" w:rsidRPr="005C26E3" w:rsidRDefault="00C34801" w:rsidP="00C34801">
      <w:pPr>
        <w:pStyle w:val="Heading3"/>
        <w:rPr>
          <w:b w:val="0"/>
          <w:bCs w:val="0"/>
        </w:rPr>
      </w:pPr>
      <w:bookmarkStart w:id="45" w:name="_Toc109195978"/>
      <w:bookmarkStart w:id="46" w:name="_Toc117504267"/>
      <w:r w:rsidRPr="1E8607B9">
        <w:t>Local MassHire Workforce Boards (MWBs) and Memoranda of Understanding (MOU)</w:t>
      </w:r>
      <w:bookmarkEnd w:id="45"/>
      <w:bookmarkEnd w:id="46"/>
    </w:p>
    <w:p w14:paraId="49A3185F" w14:textId="77777777" w:rsidR="00C34801" w:rsidRPr="0079354F" w:rsidRDefault="00C34801" w:rsidP="00C34801">
      <w:pPr>
        <w:rPr>
          <w:rFonts w:eastAsiaTheme="minorEastAsia"/>
        </w:rPr>
      </w:pPr>
      <w:r w:rsidRPr="0079354F">
        <w:t xml:space="preserve">WIOA requires that programs collaborate with partners to enhance career pathways for students. This includes participation in planning with </w:t>
      </w:r>
      <w:hyperlink r:id="rId46" w:history="1">
        <w:r w:rsidRPr="0079354F">
          <w:rPr>
            <w:rStyle w:val="Hyperlink"/>
            <w:rFonts w:eastAsia="Batang" w:cstheme="minorBidi"/>
          </w:rPr>
          <w:t>MassHire Workforce Boards (MWBs</w:t>
        </w:r>
        <w:r w:rsidRPr="0079354F">
          <w:rPr>
            <w:rStyle w:val="Hyperlink"/>
            <w:rFonts w:eastAsia="Batang"/>
          </w:rPr>
          <w:t>)</w:t>
        </w:r>
      </w:hyperlink>
      <w:r w:rsidRPr="0079354F">
        <w:t>, development of Memoranda of Understanding (MOU), and provision of services for shared customers. It may also include continued participation in existing partnerships including, but not limited to, family literacy collaborations.</w:t>
      </w:r>
    </w:p>
    <w:p w14:paraId="10EAC211" w14:textId="77777777" w:rsidR="00C34801" w:rsidRPr="0079354F" w:rsidRDefault="00C34801" w:rsidP="00C34801"/>
    <w:p w14:paraId="1923B994" w14:textId="77777777" w:rsidR="00C34801" w:rsidRPr="0079354F" w:rsidRDefault="00C34801" w:rsidP="00C34801">
      <w:r>
        <w:t xml:space="preserve">The </w:t>
      </w:r>
      <w:hyperlink r:id="rId47">
        <w:r w:rsidRPr="23CFD7A5">
          <w:rPr>
            <w:rStyle w:val="Hyperlink"/>
          </w:rPr>
          <w:t>2020-2024 Massachusetts WIOA Combined State Plan</w:t>
        </w:r>
      </w:hyperlink>
      <w:r>
        <w:t xml:space="preserve"> and </w:t>
      </w:r>
      <w:hyperlink r:id="rId48">
        <w:r w:rsidRPr="23CFD7A5">
          <w:rPr>
            <w:rStyle w:val="Hyperlink"/>
            <w:rFonts w:eastAsia="Batang"/>
          </w:rPr>
          <w:t>Joint Partner Policy Communications</w:t>
        </w:r>
      </w:hyperlink>
      <w:r>
        <w:t xml:space="preserve"> guide the establishment of local area partnerships and local MOU. These requirements will specify how services can be connected, integrated, or enhanced by sharing staffing and/or other resources, or jointly designed to improve outcomes for shared customers (e.g., out-of-school youth, job seekers, and businesses). ACLS requires that programs in all 16 local workforce areas sign the local MOU with the exception of Boston where selected programs will sign the local MOU on behalf of all Boston-based adult education programs.</w:t>
      </w:r>
    </w:p>
    <w:p w14:paraId="0A932D79" w14:textId="77777777" w:rsidR="00C34801" w:rsidRPr="0079354F" w:rsidRDefault="00C34801" w:rsidP="00C34801"/>
    <w:p w14:paraId="4B44321B" w14:textId="77777777" w:rsidR="00C34801" w:rsidRPr="0079354F" w:rsidRDefault="00C34801" w:rsidP="00C34801">
      <w:r w:rsidRPr="1E8607B9">
        <w:t>For more information on MOU, see</w:t>
      </w:r>
      <w:r>
        <w:t xml:space="preserve"> </w:t>
      </w:r>
      <w:hyperlink r:id="rId49">
        <w:r w:rsidRPr="1E8607B9">
          <w:rPr>
            <w:rStyle w:val="Hyperlink"/>
          </w:rPr>
          <w:t>http://www.doe.mass.edu/acls/wioa.html</w:t>
        </w:r>
      </w:hyperlink>
      <w:r>
        <w:t xml:space="preserve">, </w:t>
      </w:r>
      <w:hyperlink r:id="rId50">
        <w:r w:rsidRPr="1E8607B9">
          <w:rPr>
            <w:rStyle w:val="Hyperlink"/>
          </w:rPr>
          <w:t>https://www.mass.gov/service-details/massworkforce-joint-partner-policy</w:t>
        </w:r>
      </w:hyperlink>
      <w:r>
        <w:t xml:space="preserve"> </w:t>
      </w:r>
      <w:r w:rsidRPr="1E8607B9">
        <w:t xml:space="preserve">and </w:t>
      </w:r>
      <w:hyperlink r:id="rId51">
        <w:r w:rsidRPr="1E8607B9">
          <w:rPr>
            <w:rStyle w:val="Hyperlink"/>
          </w:rPr>
          <w:t>http://www.mass.gov/massworkforce/wioa/</w:t>
        </w:r>
      </w:hyperlink>
      <w:r>
        <w:t>.</w:t>
      </w:r>
    </w:p>
    <w:p w14:paraId="2D9F09DF" w14:textId="77777777" w:rsidR="00C34801" w:rsidRDefault="00C34801" w:rsidP="00F07F5B">
      <w:pPr>
        <w:pStyle w:val="Heading3"/>
      </w:pPr>
    </w:p>
    <w:p w14:paraId="416100F7" w14:textId="5AC0B2FA" w:rsidR="00F07F5B" w:rsidRDefault="00F07F5B" w:rsidP="00F07F5B">
      <w:pPr>
        <w:pStyle w:val="Heading3"/>
      </w:pPr>
      <w:bookmarkStart w:id="47" w:name="_Toc117504269"/>
      <w:r>
        <w:t>Career Pathways Exploration</w:t>
      </w:r>
      <w:bookmarkEnd w:id="47"/>
    </w:p>
    <w:p w14:paraId="416ED03C" w14:textId="7FD6DF25" w:rsidR="00F07F5B" w:rsidRPr="00F07F5B" w:rsidRDefault="00EA0D63" w:rsidP="00F07F5B">
      <w:r>
        <w:rPr>
          <w:bCs/>
          <w:iCs/>
        </w:rPr>
        <w:t xml:space="preserve">Transition </w:t>
      </w:r>
      <w:r w:rsidR="00CB09F4">
        <w:rPr>
          <w:bCs/>
          <w:iCs/>
        </w:rPr>
        <w:t>Program</w:t>
      </w:r>
      <w:r w:rsidR="00952679">
        <w:rPr>
          <w:bCs/>
          <w:iCs/>
        </w:rPr>
        <w:t>s</w:t>
      </w:r>
      <w:r w:rsidR="008B7EB6" w:rsidRPr="008B7EB6">
        <w:rPr>
          <w:bCs/>
          <w:iCs/>
        </w:rPr>
        <w:t xml:space="preserve"> </w:t>
      </w:r>
      <w:r w:rsidR="008B7EB6">
        <w:rPr>
          <w:bCs/>
          <w:iCs/>
        </w:rPr>
        <w:t>should make</w:t>
      </w:r>
      <w:r w:rsidR="008B7EB6" w:rsidRPr="008B7EB6">
        <w:rPr>
          <w:bCs/>
          <w:iCs/>
        </w:rPr>
        <w:t xml:space="preserve"> students aware of career resources in the col</w:t>
      </w:r>
      <w:r w:rsidR="008B7EB6">
        <w:rPr>
          <w:bCs/>
          <w:iCs/>
        </w:rPr>
        <w:t>lege and the community and work</w:t>
      </w:r>
      <w:r w:rsidR="008B7EB6" w:rsidRPr="008B7EB6">
        <w:rPr>
          <w:bCs/>
          <w:iCs/>
        </w:rPr>
        <w:t xml:space="preserve"> within the college to link Transition students to activities, clubs, and organizations that would help them get greater career exposure.</w:t>
      </w:r>
      <w:r w:rsidR="007B43B4">
        <w:rPr>
          <w:bCs/>
          <w:iCs/>
        </w:rPr>
        <w:t xml:space="preserve"> Transition </w:t>
      </w:r>
      <w:r w:rsidR="00CB09F4">
        <w:rPr>
          <w:bCs/>
          <w:iCs/>
        </w:rPr>
        <w:t>Program</w:t>
      </w:r>
      <w:r w:rsidR="007B43B4">
        <w:rPr>
          <w:bCs/>
          <w:iCs/>
        </w:rPr>
        <w:t xml:space="preserve"> coordinators should </w:t>
      </w:r>
      <w:r w:rsidR="00F87C68">
        <w:rPr>
          <w:bCs/>
          <w:iCs/>
        </w:rPr>
        <w:t>also</w:t>
      </w:r>
      <w:r w:rsidR="007B43B4">
        <w:rPr>
          <w:bCs/>
          <w:iCs/>
        </w:rPr>
        <w:t xml:space="preserve"> stay current with the work of their local </w:t>
      </w:r>
      <w:hyperlink r:id="rId52" w:history="1">
        <w:r w:rsidR="007B43B4" w:rsidRPr="007B43B4">
          <w:rPr>
            <w:rStyle w:val="Hyperlink"/>
            <w:bCs/>
            <w:iCs/>
          </w:rPr>
          <w:t>MassHire Workforce Board</w:t>
        </w:r>
      </w:hyperlink>
      <w:r w:rsidR="007B43B4">
        <w:rPr>
          <w:bCs/>
          <w:iCs/>
        </w:rPr>
        <w:t xml:space="preserve"> and </w:t>
      </w:r>
      <w:hyperlink r:id="rId53" w:history="1">
        <w:r w:rsidR="004D76B7">
          <w:rPr>
            <w:rStyle w:val="Hyperlink"/>
            <w:bCs/>
            <w:iCs/>
          </w:rPr>
          <w:t>MassHire Career Center(s)</w:t>
        </w:r>
      </w:hyperlink>
      <w:r w:rsidR="004D76B7">
        <w:rPr>
          <w:rStyle w:val="Hyperlink"/>
          <w:bCs/>
          <w:iCs/>
          <w:u w:val="none"/>
        </w:rPr>
        <w:t>.</w:t>
      </w:r>
      <w:r w:rsidR="007B43B4" w:rsidRPr="0009504B">
        <w:rPr>
          <w:bCs/>
          <w:iCs/>
        </w:rPr>
        <w:t xml:space="preserve"> Program coordinators should also be familiar with their area’s </w:t>
      </w:r>
      <w:hyperlink r:id="rId54" w:history="1">
        <w:r w:rsidR="007B43B4" w:rsidRPr="0009504B">
          <w:rPr>
            <w:rStyle w:val="Hyperlink"/>
            <w:bCs/>
            <w:iCs/>
          </w:rPr>
          <w:t>Local Plan Package</w:t>
        </w:r>
      </w:hyperlink>
      <w:r w:rsidR="007B43B4" w:rsidRPr="0009504B">
        <w:rPr>
          <w:bCs/>
          <w:iCs/>
        </w:rPr>
        <w:t>.</w:t>
      </w:r>
      <w:r w:rsidR="00815950" w:rsidRPr="0009504B">
        <w:rPr>
          <w:bCs/>
          <w:iCs/>
        </w:rPr>
        <w:t xml:space="preserve">  The Local Plan Package describes the policies, procedures, and local activities that will be carried out by the local area’s workforce partners on behalf of participants and businesses.  </w:t>
      </w:r>
      <w:r w:rsidR="007B43B4" w:rsidRPr="0009504B">
        <w:rPr>
          <w:bCs/>
          <w:iCs/>
        </w:rPr>
        <w:t xml:space="preserve">   </w:t>
      </w:r>
      <w:r w:rsidR="008B7EB6" w:rsidRPr="0009504B">
        <w:rPr>
          <w:bCs/>
          <w:iCs/>
        </w:rPr>
        <w:t xml:space="preserve"> </w:t>
      </w:r>
      <w:r w:rsidR="008B7EB6" w:rsidRPr="008B7EB6">
        <w:rPr>
          <w:bCs/>
          <w:iCs/>
        </w:rPr>
        <w:t xml:space="preserve"> </w:t>
      </w:r>
    </w:p>
    <w:p w14:paraId="533752BB" w14:textId="77777777" w:rsidR="00F07F5B" w:rsidRDefault="00F07F5B" w:rsidP="00D12DB8">
      <w:pPr>
        <w:autoSpaceDE w:val="0"/>
        <w:autoSpaceDN w:val="0"/>
        <w:rPr>
          <w:rFonts w:eastAsiaTheme="minorHAnsi"/>
        </w:rPr>
      </w:pPr>
    </w:p>
    <w:p w14:paraId="0C6DADF9" w14:textId="77777777" w:rsidR="00D12DB8" w:rsidRDefault="00D12DB8" w:rsidP="00472B68">
      <w:pPr>
        <w:pStyle w:val="Heading3"/>
      </w:pPr>
    </w:p>
    <w:p w14:paraId="66B7DB5B" w14:textId="77777777" w:rsidR="00977605" w:rsidRDefault="00977605" w:rsidP="0047675C">
      <w:pPr>
        <w:sectPr w:rsidR="00977605" w:rsidSect="00A3257C">
          <w:pgSz w:w="12240" w:h="15840"/>
          <w:pgMar w:top="1440" w:right="1440" w:bottom="1440" w:left="1440" w:header="720" w:footer="720" w:gutter="0"/>
          <w:cols w:space="720"/>
          <w:docGrid w:linePitch="360"/>
        </w:sectPr>
      </w:pPr>
    </w:p>
    <w:p w14:paraId="36673136" w14:textId="77777777" w:rsidR="00D0119C" w:rsidRPr="00700B4E" w:rsidRDefault="009804C0" w:rsidP="0047675C">
      <w:pPr>
        <w:pStyle w:val="Heading2"/>
        <w:spacing w:before="0"/>
        <w:rPr>
          <w:b/>
          <w:color w:val="E36C0A" w:themeColor="accent6" w:themeShade="BF"/>
          <w:szCs w:val="24"/>
        </w:rPr>
      </w:pPr>
      <w:bookmarkStart w:id="48" w:name="_Toc117504270"/>
      <w:r>
        <w:rPr>
          <w:rStyle w:val="Hyperlink"/>
          <w:rFonts w:eastAsia="Batang"/>
          <w:b/>
          <w:color w:val="E36C0A" w:themeColor="accent6" w:themeShade="BF"/>
          <w:szCs w:val="24"/>
          <w:u w:val="none"/>
        </w:rPr>
        <w:t>Chapter 4</w:t>
      </w:r>
      <w:r w:rsidR="008244B3">
        <w:rPr>
          <w:rStyle w:val="Hyperlink"/>
          <w:rFonts w:eastAsia="Batang"/>
          <w:b/>
          <w:color w:val="E36C0A" w:themeColor="accent6" w:themeShade="BF"/>
          <w:szCs w:val="24"/>
          <w:u w:val="none"/>
        </w:rPr>
        <w:t xml:space="preserve">:  </w:t>
      </w:r>
      <w:hyperlink w:anchor="_Toc468698124" w:history="1">
        <w:r w:rsidR="009E185E" w:rsidRPr="00700B4E">
          <w:rPr>
            <w:rStyle w:val="Hyperlink"/>
            <w:rFonts w:eastAsia="Batang"/>
            <w:b/>
            <w:color w:val="E36C0A" w:themeColor="accent6" w:themeShade="BF"/>
            <w:szCs w:val="24"/>
            <w:u w:val="none"/>
          </w:rPr>
          <w:t>Indicator</w:t>
        </w:r>
        <w:r w:rsidR="00D0119C" w:rsidRPr="00700B4E">
          <w:rPr>
            <w:rStyle w:val="Hyperlink"/>
            <w:rFonts w:eastAsia="Batang"/>
            <w:b/>
            <w:color w:val="E36C0A" w:themeColor="accent6" w:themeShade="BF"/>
            <w:szCs w:val="24"/>
            <w:u w:val="none"/>
          </w:rPr>
          <w:t xml:space="preserve"> </w:t>
        </w:r>
        <w:r>
          <w:rPr>
            <w:rStyle w:val="Hyperlink"/>
            <w:rFonts w:eastAsia="Batang"/>
            <w:b/>
            <w:color w:val="E36C0A" w:themeColor="accent6" w:themeShade="BF"/>
            <w:szCs w:val="24"/>
            <w:u w:val="none"/>
          </w:rPr>
          <w:t>4</w:t>
        </w:r>
        <w:r w:rsidR="00D0119C" w:rsidRPr="00700B4E">
          <w:rPr>
            <w:rStyle w:val="Hyperlink"/>
            <w:rFonts w:eastAsia="Batang"/>
            <w:b/>
            <w:color w:val="E36C0A" w:themeColor="accent6" w:themeShade="BF"/>
            <w:szCs w:val="24"/>
            <w:u w:val="none"/>
          </w:rPr>
          <w:t>:  Student Progress</w:t>
        </w:r>
        <w:bookmarkEnd w:id="48"/>
        <w:r w:rsidR="00D0119C" w:rsidRPr="00700B4E">
          <w:rPr>
            <w:b/>
            <w:webHidden/>
            <w:color w:val="E36C0A" w:themeColor="accent6" w:themeShade="BF"/>
            <w:szCs w:val="24"/>
          </w:rPr>
          <w:tab/>
        </w:r>
      </w:hyperlink>
    </w:p>
    <w:p w14:paraId="2FD7C7D3" w14:textId="16F5A995" w:rsidR="00854A18" w:rsidRDefault="000E0740" w:rsidP="0047675C">
      <w:r>
        <w:t xml:space="preserve">Student progress through </w:t>
      </w:r>
      <w:r w:rsidR="008B04D0">
        <w:t xml:space="preserve">the Transition </w:t>
      </w:r>
      <w:r w:rsidR="00CB09F4">
        <w:t>Program</w:t>
      </w:r>
      <w:r w:rsidR="005835AC">
        <w:t xml:space="preserve"> course sequence, including any needed developmental courses or competencies, should be monitored carefully and interventions </w:t>
      </w:r>
      <w:r w:rsidR="004D76B7">
        <w:t xml:space="preserve">should be made </w:t>
      </w:r>
      <w:r w:rsidR="005835AC">
        <w:t xml:space="preserve">when necessary. </w:t>
      </w:r>
    </w:p>
    <w:p w14:paraId="0419B004" w14:textId="77777777" w:rsidR="0071545D" w:rsidRDefault="0071545D" w:rsidP="0047675C"/>
    <w:p w14:paraId="68822C11" w14:textId="77777777" w:rsidR="0071545D" w:rsidRPr="000332B9" w:rsidRDefault="0071545D" w:rsidP="0071545D">
      <w:pPr>
        <w:pStyle w:val="Heading3"/>
      </w:pPr>
      <w:bookmarkStart w:id="49" w:name="_Toc116480761"/>
      <w:bookmarkStart w:id="50" w:name="_Toc117504271"/>
      <w:r>
        <w:t>Student Outcomes</w:t>
      </w:r>
      <w:bookmarkEnd w:id="49"/>
      <w:bookmarkEnd w:id="50"/>
      <w:r w:rsidRPr="000332B9">
        <w:t xml:space="preserve"> </w:t>
      </w:r>
    </w:p>
    <w:p w14:paraId="64E1853B" w14:textId="0D5A6E70" w:rsidR="0071545D" w:rsidRPr="000332B9" w:rsidRDefault="0071545D" w:rsidP="0071545D">
      <w:r w:rsidRPr="000332B9">
        <w:t xml:space="preserve">Each year at refunding time, programs will be required to send a report to their program specialist that includes data from the past </w:t>
      </w:r>
      <w:r w:rsidR="002F61F6">
        <w:t xml:space="preserve">five </w:t>
      </w:r>
      <w:r w:rsidRPr="000332B9">
        <w:t>year</w:t>
      </w:r>
      <w:r w:rsidR="002F61F6">
        <w:t>s</w:t>
      </w:r>
      <w:r w:rsidRPr="000332B9">
        <w:t xml:space="preserve"> that demonstrate the college’s success in getting students to credit-bearing courses</w:t>
      </w:r>
      <w:r w:rsidR="00DB230D">
        <w:t xml:space="preserve"> and helping them</w:t>
      </w:r>
      <w:r w:rsidRPr="000332B9">
        <w:t xml:space="preserve"> to </w:t>
      </w:r>
      <w:r w:rsidR="00DB230D">
        <w:t>earn certificates and/or degrees</w:t>
      </w:r>
      <w:r w:rsidRPr="000332B9">
        <w:t xml:space="preserve">. </w:t>
      </w:r>
      <w:r w:rsidR="00DB230D">
        <w:t>Programs will be required to report the data below</w:t>
      </w:r>
      <w:r w:rsidRPr="000332B9">
        <w:t>.</w:t>
      </w:r>
    </w:p>
    <w:p w14:paraId="6A53DD6B" w14:textId="77777777" w:rsidR="00EC3F37" w:rsidRPr="000332B9" w:rsidRDefault="00EC3F37" w:rsidP="0071545D"/>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55"/>
        <w:gridCol w:w="954"/>
        <w:gridCol w:w="770"/>
        <w:gridCol w:w="746"/>
        <w:gridCol w:w="746"/>
        <w:gridCol w:w="787"/>
        <w:gridCol w:w="943"/>
        <w:gridCol w:w="943"/>
        <w:gridCol w:w="1073"/>
        <w:gridCol w:w="787"/>
      </w:tblGrid>
      <w:tr w:rsidR="00E27852" w:rsidRPr="002F2BD7" w14:paraId="2234EDEE" w14:textId="77777777" w:rsidTr="002F2BD7">
        <w:trPr>
          <w:tblHeader/>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1F3FA46B" w14:textId="77777777" w:rsidR="00E27852" w:rsidRPr="002F2BD7" w:rsidRDefault="00E27852" w:rsidP="00B4725F">
            <w:pPr>
              <w:jc w:val="center"/>
              <w:rPr>
                <w:b/>
                <w:sz w:val="20"/>
                <w:szCs w:val="20"/>
              </w:rPr>
            </w:pPr>
            <w:r w:rsidRPr="002F2BD7">
              <w:rPr>
                <w:b/>
                <w:sz w:val="20"/>
                <w:szCs w:val="20"/>
              </w:rPr>
              <w:t>A</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14:paraId="67936EFE" w14:textId="77777777" w:rsidR="00E27852" w:rsidRPr="002F2BD7" w:rsidRDefault="00E27852" w:rsidP="00B4725F">
            <w:pPr>
              <w:jc w:val="center"/>
              <w:rPr>
                <w:b/>
                <w:sz w:val="20"/>
                <w:szCs w:val="20"/>
              </w:rPr>
            </w:pPr>
            <w:r w:rsidRPr="002F2BD7">
              <w:rPr>
                <w:b/>
                <w:sz w:val="20"/>
                <w:szCs w:val="20"/>
              </w:rPr>
              <w:t>B</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1E15E31D" w14:textId="77777777" w:rsidR="00E27852" w:rsidRPr="002F2BD7" w:rsidRDefault="00E27852" w:rsidP="00B4725F">
            <w:pPr>
              <w:jc w:val="center"/>
              <w:rPr>
                <w:b/>
                <w:sz w:val="20"/>
                <w:szCs w:val="20"/>
              </w:rPr>
            </w:pPr>
            <w:r w:rsidRPr="002F2BD7">
              <w:rPr>
                <w:b/>
                <w:sz w:val="20"/>
                <w:szCs w:val="20"/>
              </w:rPr>
              <w:t>C</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48B68509" w14:textId="77777777" w:rsidR="00E27852" w:rsidRPr="002F2BD7" w:rsidRDefault="00E27852" w:rsidP="00B4725F">
            <w:pPr>
              <w:jc w:val="center"/>
              <w:rPr>
                <w:b/>
                <w:sz w:val="20"/>
                <w:szCs w:val="20"/>
              </w:rPr>
            </w:pPr>
            <w:r w:rsidRPr="002F2BD7">
              <w:rPr>
                <w:b/>
                <w:sz w:val="20"/>
                <w:szCs w:val="20"/>
              </w:rPr>
              <w:t>D</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1D1A7846" w14:textId="4C66F4DE" w:rsidR="00E27852" w:rsidRPr="002F2BD7" w:rsidRDefault="00486695" w:rsidP="00B4725F">
            <w:pPr>
              <w:jc w:val="center"/>
              <w:rPr>
                <w:b/>
                <w:sz w:val="20"/>
                <w:szCs w:val="20"/>
              </w:rPr>
            </w:pPr>
            <w:r>
              <w:rPr>
                <w:b/>
                <w:sz w:val="20"/>
                <w:szCs w:val="20"/>
              </w:rPr>
              <w:t>E</w:t>
            </w: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B84CC48" w14:textId="5CD857E5" w:rsidR="00E27852" w:rsidRPr="002F2BD7" w:rsidRDefault="00486695" w:rsidP="00B4725F">
            <w:pPr>
              <w:jc w:val="center"/>
              <w:rPr>
                <w:b/>
                <w:sz w:val="20"/>
                <w:szCs w:val="20"/>
              </w:rPr>
            </w:pPr>
            <w:r>
              <w:rPr>
                <w:b/>
                <w:sz w:val="20"/>
                <w:szCs w:val="20"/>
              </w:rPr>
              <w:t>F</w:t>
            </w:r>
          </w:p>
        </w:tc>
        <w:tc>
          <w:tcPr>
            <w:tcW w:w="787" w:type="dxa"/>
            <w:tcBorders>
              <w:top w:val="single" w:sz="4" w:space="0" w:color="auto"/>
              <w:left w:val="single" w:sz="4" w:space="0" w:color="auto"/>
              <w:bottom w:val="single" w:sz="4" w:space="0" w:color="auto"/>
              <w:right w:val="single" w:sz="4" w:space="0" w:color="auto"/>
            </w:tcBorders>
          </w:tcPr>
          <w:p w14:paraId="509D9822" w14:textId="0264F5B0" w:rsidR="00E27852" w:rsidRPr="002F2BD7" w:rsidRDefault="00486695" w:rsidP="00B4725F">
            <w:pPr>
              <w:jc w:val="center"/>
              <w:rPr>
                <w:b/>
                <w:sz w:val="20"/>
                <w:szCs w:val="20"/>
              </w:rPr>
            </w:pPr>
            <w:r>
              <w:rPr>
                <w:b/>
                <w:sz w:val="20"/>
                <w:szCs w:val="20"/>
              </w:rPr>
              <w:t>G</w:t>
            </w:r>
          </w:p>
        </w:tc>
        <w:tc>
          <w:tcPr>
            <w:tcW w:w="943" w:type="dxa"/>
            <w:tcBorders>
              <w:top w:val="single" w:sz="4" w:space="0" w:color="auto"/>
              <w:left w:val="single" w:sz="4" w:space="0" w:color="auto"/>
              <w:bottom w:val="single" w:sz="4" w:space="0" w:color="auto"/>
              <w:right w:val="single" w:sz="4" w:space="0" w:color="auto"/>
            </w:tcBorders>
          </w:tcPr>
          <w:p w14:paraId="48E2301C" w14:textId="77777777" w:rsidR="00E27852" w:rsidRPr="002F2BD7" w:rsidRDefault="00E27852" w:rsidP="00B4725F">
            <w:pPr>
              <w:jc w:val="center"/>
              <w:rPr>
                <w:b/>
                <w:sz w:val="20"/>
                <w:szCs w:val="20"/>
              </w:rPr>
            </w:pPr>
            <w:r w:rsidRPr="002F2BD7">
              <w:rPr>
                <w:b/>
                <w:sz w:val="20"/>
                <w:szCs w:val="20"/>
              </w:rPr>
              <w:t>H</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85C8142" w14:textId="77777777" w:rsidR="00E27852" w:rsidRPr="002F2BD7" w:rsidRDefault="00E27852" w:rsidP="00B4725F">
            <w:pPr>
              <w:jc w:val="center"/>
              <w:rPr>
                <w:b/>
                <w:sz w:val="20"/>
                <w:szCs w:val="20"/>
              </w:rPr>
            </w:pPr>
            <w:r w:rsidRPr="002F2BD7">
              <w:rPr>
                <w:b/>
                <w:sz w:val="20"/>
                <w:szCs w:val="20"/>
              </w:rPr>
              <w:t>I</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7FD787B5" w14:textId="77777777" w:rsidR="00E27852" w:rsidRPr="002F2BD7" w:rsidRDefault="00E27852" w:rsidP="00B4725F">
            <w:pPr>
              <w:jc w:val="center"/>
              <w:rPr>
                <w:b/>
                <w:sz w:val="20"/>
                <w:szCs w:val="20"/>
              </w:rPr>
            </w:pPr>
            <w:r w:rsidRPr="002F2BD7">
              <w:rPr>
                <w:b/>
                <w:sz w:val="20"/>
                <w:szCs w:val="20"/>
              </w:rPr>
              <w:t>J</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14:paraId="0A7E1694" w14:textId="77777777" w:rsidR="00E27852" w:rsidRPr="002F2BD7" w:rsidRDefault="00E27852" w:rsidP="00B4725F">
            <w:pPr>
              <w:jc w:val="center"/>
              <w:rPr>
                <w:b/>
                <w:sz w:val="20"/>
                <w:szCs w:val="20"/>
              </w:rPr>
            </w:pPr>
            <w:r w:rsidRPr="002F2BD7">
              <w:rPr>
                <w:b/>
                <w:sz w:val="20"/>
                <w:szCs w:val="20"/>
              </w:rPr>
              <w:t>K</w:t>
            </w:r>
          </w:p>
        </w:tc>
      </w:tr>
      <w:tr w:rsidR="00E27852" w:rsidRPr="002F2BD7" w14:paraId="4AB457C3" w14:textId="77777777" w:rsidTr="002F2BD7">
        <w:trPr>
          <w:trHeight w:val="1124"/>
        </w:trPr>
        <w:tc>
          <w:tcPr>
            <w:tcW w:w="646" w:type="dxa"/>
            <w:tcBorders>
              <w:top w:val="single" w:sz="4" w:space="0" w:color="auto"/>
              <w:left w:val="single" w:sz="4" w:space="0" w:color="auto"/>
              <w:bottom w:val="single" w:sz="4" w:space="0" w:color="auto"/>
              <w:right w:val="single" w:sz="4" w:space="0" w:color="auto"/>
            </w:tcBorders>
            <w:shd w:val="clear" w:color="auto" w:fill="auto"/>
            <w:hideMark/>
          </w:tcPr>
          <w:p w14:paraId="639885D8" w14:textId="77777777" w:rsidR="00E27852" w:rsidRPr="002F2BD7" w:rsidRDefault="00E27852" w:rsidP="00B4725F">
            <w:pPr>
              <w:jc w:val="center"/>
              <w:rPr>
                <w:sz w:val="20"/>
                <w:szCs w:val="20"/>
              </w:rPr>
            </w:pPr>
            <w:r w:rsidRPr="002F2BD7">
              <w:rPr>
                <w:sz w:val="20"/>
                <w:szCs w:val="20"/>
              </w:rPr>
              <w:t>Year</w:t>
            </w:r>
          </w:p>
        </w:tc>
        <w:tc>
          <w:tcPr>
            <w:tcW w:w="955" w:type="dxa"/>
            <w:tcBorders>
              <w:top w:val="single" w:sz="4" w:space="0" w:color="auto"/>
              <w:left w:val="single" w:sz="4" w:space="0" w:color="auto"/>
              <w:bottom w:val="single" w:sz="4" w:space="0" w:color="auto"/>
              <w:right w:val="single" w:sz="4" w:space="0" w:color="auto"/>
            </w:tcBorders>
            <w:shd w:val="clear" w:color="auto" w:fill="auto"/>
            <w:hideMark/>
          </w:tcPr>
          <w:p w14:paraId="6D53AD1F" w14:textId="77777777" w:rsidR="00E27852" w:rsidRPr="002F2BD7" w:rsidRDefault="00E27852" w:rsidP="00B4725F">
            <w:pPr>
              <w:jc w:val="center"/>
              <w:rPr>
                <w:sz w:val="20"/>
                <w:szCs w:val="20"/>
              </w:rPr>
            </w:pPr>
            <w:r w:rsidRPr="002F2BD7">
              <w:rPr>
                <w:sz w:val="20"/>
                <w:szCs w:val="20"/>
              </w:rPr>
              <w:t>#</w:t>
            </w:r>
          </w:p>
          <w:p w14:paraId="3E256F8E" w14:textId="77777777" w:rsidR="00E27852" w:rsidRPr="002F2BD7" w:rsidRDefault="00E27852" w:rsidP="00B4725F">
            <w:pPr>
              <w:jc w:val="center"/>
              <w:rPr>
                <w:sz w:val="20"/>
                <w:szCs w:val="20"/>
              </w:rPr>
            </w:pPr>
            <w:r w:rsidRPr="002F2BD7">
              <w:rPr>
                <w:sz w:val="20"/>
                <w:szCs w:val="20"/>
              </w:rPr>
              <w:t>Enrolled</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D3566A3" w14:textId="77777777" w:rsidR="00E27852" w:rsidRPr="002F2BD7" w:rsidRDefault="00E27852" w:rsidP="00B4725F">
            <w:pPr>
              <w:jc w:val="center"/>
              <w:rPr>
                <w:sz w:val="20"/>
                <w:szCs w:val="20"/>
              </w:rPr>
            </w:pPr>
            <w:r w:rsidRPr="002F2BD7">
              <w:rPr>
                <w:sz w:val="20"/>
                <w:szCs w:val="20"/>
              </w:rPr>
              <w:t>#</w:t>
            </w:r>
          </w:p>
          <w:p w14:paraId="44AF6311" w14:textId="77777777" w:rsidR="00E27852" w:rsidRPr="002F2BD7" w:rsidRDefault="00E27852" w:rsidP="00B4725F">
            <w:pPr>
              <w:jc w:val="center"/>
              <w:rPr>
                <w:sz w:val="20"/>
                <w:szCs w:val="20"/>
              </w:rPr>
            </w:pPr>
            <w:r w:rsidRPr="002F2BD7">
              <w:rPr>
                <w:sz w:val="20"/>
                <w:szCs w:val="20"/>
              </w:rPr>
              <w:t>carry-in from past or previous fiscal year</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17785394" w14:textId="77777777" w:rsidR="00E27852" w:rsidRPr="002F2BD7" w:rsidRDefault="00E27852" w:rsidP="00B4725F">
            <w:pPr>
              <w:jc w:val="center"/>
              <w:rPr>
                <w:sz w:val="20"/>
                <w:szCs w:val="20"/>
              </w:rPr>
            </w:pPr>
            <w:r w:rsidRPr="002F2BD7">
              <w:rPr>
                <w:sz w:val="20"/>
                <w:szCs w:val="20"/>
              </w:rPr>
              <w:t># enroll.</w:t>
            </w:r>
          </w:p>
          <w:p w14:paraId="7E2B046B" w14:textId="77777777" w:rsidR="00E27852" w:rsidRPr="002F2BD7" w:rsidRDefault="00E27852" w:rsidP="00B4725F">
            <w:pPr>
              <w:jc w:val="center"/>
              <w:rPr>
                <w:sz w:val="20"/>
                <w:szCs w:val="20"/>
              </w:rPr>
            </w:pPr>
            <w:r w:rsidRPr="002F2BD7">
              <w:rPr>
                <w:sz w:val="20"/>
                <w:szCs w:val="20"/>
              </w:rPr>
              <w:t>(B+C)</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53556ACA" w14:textId="77777777" w:rsidR="00E27852" w:rsidRPr="002F2BD7" w:rsidRDefault="00E27852" w:rsidP="00B4725F">
            <w:pPr>
              <w:jc w:val="center"/>
              <w:rPr>
                <w:sz w:val="20"/>
                <w:szCs w:val="20"/>
              </w:rPr>
            </w:pPr>
            <w:r w:rsidRPr="002F2BD7">
              <w:rPr>
                <w:sz w:val="20"/>
                <w:szCs w:val="20"/>
              </w:rPr>
              <w:t xml:space="preserve">#from D </w:t>
            </w:r>
          </w:p>
          <w:p w14:paraId="0EEEB335" w14:textId="77777777" w:rsidR="00E27852" w:rsidRPr="002F2BD7" w:rsidRDefault="00E27852" w:rsidP="00B4725F">
            <w:pPr>
              <w:jc w:val="center"/>
              <w:rPr>
                <w:sz w:val="20"/>
                <w:szCs w:val="20"/>
              </w:rPr>
            </w:pPr>
            <w:r w:rsidRPr="002F2BD7">
              <w:rPr>
                <w:sz w:val="20"/>
                <w:szCs w:val="20"/>
              </w:rPr>
              <w:t>did not comp.</w:t>
            </w: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65DBA56" w14:textId="77777777" w:rsidR="00E27852" w:rsidRPr="002F2BD7" w:rsidRDefault="00E27852" w:rsidP="00B4725F">
            <w:pPr>
              <w:jc w:val="center"/>
              <w:rPr>
                <w:sz w:val="20"/>
                <w:szCs w:val="20"/>
              </w:rPr>
            </w:pPr>
            <w:r w:rsidRPr="002F2BD7">
              <w:rPr>
                <w:sz w:val="20"/>
                <w:szCs w:val="20"/>
              </w:rPr>
              <w:t>#from D</w:t>
            </w:r>
          </w:p>
          <w:p w14:paraId="04C27D64" w14:textId="77777777" w:rsidR="00E27852" w:rsidRPr="002F2BD7" w:rsidRDefault="00E27852" w:rsidP="00B4725F">
            <w:pPr>
              <w:jc w:val="center"/>
              <w:rPr>
                <w:sz w:val="20"/>
                <w:szCs w:val="20"/>
              </w:rPr>
            </w:pPr>
            <w:r w:rsidRPr="002F2BD7">
              <w:rPr>
                <w:sz w:val="20"/>
                <w:szCs w:val="20"/>
              </w:rPr>
              <w:t xml:space="preserve"> comp.</w:t>
            </w:r>
          </w:p>
        </w:tc>
        <w:tc>
          <w:tcPr>
            <w:tcW w:w="787" w:type="dxa"/>
            <w:tcBorders>
              <w:top w:val="single" w:sz="4" w:space="0" w:color="auto"/>
              <w:left w:val="single" w:sz="4" w:space="0" w:color="auto"/>
              <w:bottom w:val="single" w:sz="4" w:space="0" w:color="auto"/>
              <w:right w:val="single" w:sz="4" w:space="0" w:color="auto"/>
            </w:tcBorders>
          </w:tcPr>
          <w:p w14:paraId="34511A74" w14:textId="46D49507" w:rsidR="00E27852" w:rsidRPr="002F2BD7" w:rsidRDefault="00E27852" w:rsidP="00B4725F">
            <w:pPr>
              <w:jc w:val="center"/>
              <w:rPr>
                <w:sz w:val="20"/>
                <w:szCs w:val="20"/>
              </w:rPr>
            </w:pPr>
            <w:r w:rsidRPr="002F2BD7">
              <w:rPr>
                <w:sz w:val="20"/>
                <w:szCs w:val="20"/>
              </w:rPr>
              <w:t xml:space="preserve">#of credits earned from </w:t>
            </w:r>
            <w:r w:rsidR="00BA4D27">
              <w:rPr>
                <w:sz w:val="20"/>
                <w:szCs w:val="20"/>
              </w:rPr>
              <w:t>F</w:t>
            </w:r>
          </w:p>
        </w:tc>
        <w:tc>
          <w:tcPr>
            <w:tcW w:w="943" w:type="dxa"/>
            <w:tcBorders>
              <w:top w:val="single" w:sz="4" w:space="0" w:color="auto"/>
              <w:left w:val="single" w:sz="4" w:space="0" w:color="auto"/>
              <w:bottom w:val="single" w:sz="4" w:space="0" w:color="auto"/>
              <w:right w:val="single" w:sz="4" w:space="0" w:color="auto"/>
            </w:tcBorders>
          </w:tcPr>
          <w:p w14:paraId="2670A5AA" w14:textId="389DB321" w:rsidR="00E27852" w:rsidRPr="002F2BD7" w:rsidRDefault="00E27852" w:rsidP="00B4725F">
            <w:pPr>
              <w:jc w:val="center"/>
              <w:rPr>
                <w:sz w:val="20"/>
                <w:szCs w:val="20"/>
              </w:rPr>
            </w:pPr>
            <w:r w:rsidRPr="002F2BD7">
              <w:rPr>
                <w:sz w:val="20"/>
                <w:szCs w:val="20"/>
              </w:rPr>
              <w:t xml:space="preserve">#from </w:t>
            </w:r>
            <w:r w:rsidR="00BA4D27">
              <w:rPr>
                <w:sz w:val="20"/>
                <w:szCs w:val="20"/>
              </w:rPr>
              <w:t>F</w:t>
            </w:r>
            <w:r w:rsidRPr="002F2BD7">
              <w:rPr>
                <w:sz w:val="20"/>
                <w:szCs w:val="20"/>
              </w:rPr>
              <w:t xml:space="preserve"> who are in a  </w:t>
            </w:r>
          </w:p>
          <w:p w14:paraId="4A903636" w14:textId="77777777" w:rsidR="00E27852" w:rsidRPr="002F2BD7" w:rsidRDefault="00E27852" w:rsidP="00B4725F">
            <w:pPr>
              <w:jc w:val="center"/>
              <w:rPr>
                <w:sz w:val="20"/>
                <w:szCs w:val="20"/>
              </w:rPr>
            </w:pPr>
            <w:r w:rsidRPr="002F2BD7">
              <w:rPr>
                <w:sz w:val="20"/>
                <w:szCs w:val="20"/>
              </w:rPr>
              <w:t>program of study</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7C8C16" w14:textId="00E955C6" w:rsidR="00E27852" w:rsidRPr="002F2BD7" w:rsidRDefault="00E27852" w:rsidP="00B4725F">
            <w:pPr>
              <w:jc w:val="center"/>
              <w:rPr>
                <w:sz w:val="20"/>
                <w:szCs w:val="20"/>
              </w:rPr>
            </w:pPr>
            <w:r w:rsidRPr="002F2BD7">
              <w:rPr>
                <w:sz w:val="20"/>
                <w:szCs w:val="20"/>
              </w:rPr>
              <w:t xml:space="preserve">#from </w:t>
            </w:r>
            <w:r w:rsidR="00BA4D27">
              <w:rPr>
                <w:sz w:val="20"/>
                <w:szCs w:val="20"/>
              </w:rPr>
              <w:t>F</w:t>
            </w:r>
            <w:r w:rsidRPr="002F2BD7">
              <w:rPr>
                <w:sz w:val="20"/>
                <w:szCs w:val="20"/>
              </w:rPr>
              <w:t xml:space="preserve"> who are not in a program of study</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14:paraId="5A16F2FF" w14:textId="26ACE8B1" w:rsidR="00E27852" w:rsidRPr="002F2BD7" w:rsidRDefault="00E27852" w:rsidP="00B4725F">
            <w:pPr>
              <w:jc w:val="center"/>
              <w:rPr>
                <w:sz w:val="20"/>
                <w:szCs w:val="20"/>
              </w:rPr>
            </w:pPr>
            <w:r w:rsidRPr="002F2BD7">
              <w:rPr>
                <w:sz w:val="20"/>
                <w:szCs w:val="20"/>
              </w:rPr>
              <w:t xml:space="preserve">#from </w:t>
            </w:r>
            <w:r w:rsidR="00BA4D27">
              <w:rPr>
                <w:sz w:val="20"/>
                <w:szCs w:val="20"/>
              </w:rPr>
              <w:t>F</w:t>
            </w:r>
            <w:r w:rsidRPr="002F2BD7">
              <w:rPr>
                <w:sz w:val="20"/>
                <w:szCs w:val="20"/>
              </w:rPr>
              <w:t xml:space="preserve"> who  earned certificate</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14:paraId="3D74F3A8" w14:textId="6D1075AB" w:rsidR="00E27852" w:rsidRPr="002F2BD7" w:rsidRDefault="00E27852" w:rsidP="00B4725F">
            <w:pPr>
              <w:jc w:val="center"/>
              <w:rPr>
                <w:sz w:val="20"/>
                <w:szCs w:val="20"/>
              </w:rPr>
            </w:pPr>
            <w:r w:rsidRPr="002F2BD7">
              <w:rPr>
                <w:sz w:val="20"/>
                <w:szCs w:val="20"/>
              </w:rPr>
              <w:t xml:space="preserve">#from </w:t>
            </w:r>
            <w:r w:rsidR="00BA4D27">
              <w:rPr>
                <w:sz w:val="20"/>
                <w:szCs w:val="20"/>
              </w:rPr>
              <w:t>F</w:t>
            </w:r>
            <w:r w:rsidRPr="002F2BD7">
              <w:rPr>
                <w:sz w:val="20"/>
                <w:szCs w:val="20"/>
              </w:rPr>
              <w:t xml:space="preserve"> who  earned  degree</w:t>
            </w:r>
          </w:p>
        </w:tc>
      </w:tr>
      <w:tr w:rsidR="00E27852" w:rsidRPr="002F2BD7" w14:paraId="48C1F508" w14:textId="77777777" w:rsidTr="002F2BD7">
        <w:tc>
          <w:tcPr>
            <w:tcW w:w="646" w:type="dxa"/>
            <w:tcBorders>
              <w:top w:val="single" w:sz="4" w:space="0" w:color="auto"/>
              <w:left w:val="single" w:sz="4" w:space="0" w:color="auto"/>
              <w:bottom w:val="single" w:sz="4" w:space="0" w:color="auto"/>
              <w:right w:val="single" w:sz="4" w:space="0" w:color="auto"/>
            </w:tcBorders>
            <w:shd w:val="clear" w:color="auto" w:fill="auto"/>
          </w:tcPr>
          <w:p w14:paraId="0397A49E" w14:textId="5549093D" w:rsidR="00E27852" w:rsidRPr="002F2BD7" w:rsidRDefault="00E27852" w:rsidP="00B4725F">
            <w:pPr>
              <w:rPr>
                <w:sz w:val="20"/>
                <w:szCs w:val="20"/>
              </w:rPr>
            </w:pPr>
          </w:p>
        </w:tc>
        <w:tc>
          <w:tcPr>
            <w:tcW w:w="955" w:type="dxa"/>
            <w:tcBorders>
              <w:top w:val="single" w:sz="4" w:space="0" w:color="auto"/>
              <w:left w:val="single" w:sz="4" w:space="0" w:color="auto"/>
              <w:bottom w:val="single" w:sz="4" w:space="0" w:color="auto"/>
              <w:right w:val="single" w:sz="4" w:space="0" w:color="auto"/>
            </w:tcBorders>
            <w:shd w:val="clear" w:color="auto" w:fill="auto"/>
          </w:tcPr>
          <w:p w14:paraId="6B92ED87" w14:textId="06D2851B" w:rsidR="00E27852" w:rsidRPr="002F2BD7" w:rsidRDefault="00E27852" w:rsidP="00B4725F">
            <w:pPr>
              <w:jc w:val="center"/>
              <w:rPr>
                <w:sz w:val="20"/>
                <w:szCs w:val="20"/>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EAF53B8" w14:textId="7433EB30" w:rsidR="00E27852" w:rsidRPr="002F2BD7" w:rsidRDefault="00E27852" w:rsidP="00B4725F">
            <w:pPr>
              <w:jc w:val="center"/>
              <w:rPr>
                <w:sz w:val="20"/>
                <w:szCs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272BA777" w14:textId="4C18F320" w:rsidR="00E27852" w:rsidRPr="002F2BD7" w:rsidRDefault="00E27852" w:rsidP="00B4725F">
            <w:pPr>
              <w:jc w:val="center"/>
              <w:rPr>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0C4502E" w14:textId="69A3CDBE" w:rsidR="00E27852" w:rsidRPr="002F2BD7" w:rsidRDefault="00E27852" w:rsidP="00B4725F">
            <w:pPr>
              <w:jc w:val="center"/>
              <w:rPr>
                <w:sz w:val="20"/>
                <w:szCs w:val="20"/>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644C749" w14:textId="766DB41E" w:rsidR="00E27852" w:rsidRPr="002F2BD7" w:rsidRDefault="00E27852" w:rsidP="00B4725F">
            <w:pPr>
              <w:jc w:val="center"/>
              <w:rPr>
                <w:sz w:val="20"/>
                <w:szCs w:val="20"/>
              </w:rPr>
            </w:pPr>
          </w:p>
        </w:tc>
        <w:tc>
          <w:tcPr>
            <w:tcW w:w="787" w:type="dxa"/>
            <w:tcBorders>
              <w:top w:val="single" w:sz="4" w:space="0" w:color="auto"/>
              <w:left w:val="single" w:sz="4" w:space="0" w:color="auto"/>
              <w:bottom w:val="single" w:sz="4" w:space="0" w:color="auto"/>
              <w:right w:val="single" w:sz="4" w:space="0" w:color="auto"/>
            </w:tcBorders>
          </w:tcPr>
          <w:p w14:paraId="679DF570" w14:textId="14936A9D" w:rsidR="00E27852" w:rsidRPr="002F2BD7" w:rsidRDefault="00E27852" w:rsidP="00B4725F">
            <w:pPr>
              <w:jc w:val="center"/>
              <w:rPr>
                <w:sz w:val="20"/>
                <w:szCs w:val="20"/>
              </w:rPr>
            </w:pPr>
          </w:p>
        </w:tc>
        <w:tc>
          <w:tcPr>
            <w:tcW w:w="943" w:type="dxa"/>
            <w:tcBorders>
              <w:top w:val="single" w:sz="4" w:space="0" w:color="auto"/>
              <w:left w:val="single" w:sz="4" w:space="0" w:color="auto"/>
              <w:bottom w:val="single" w:sz="4" w:space="0" w:color="auto"/>
              <w:right w:val="single" w:sz="4" w:space="0" w:color="auto"/>
            </w:tcBorders>
          </w:tcPr>
          <w:p w14:paraId="31DDB330" w14:textId="2B69CABC" w:rsidR="00E27852" w:rsidRPr="002F2BD7" w:rsidRDefault="00E27852" w:rsidP="00B4725F">
            <w:pPr>
              <w:jc w:val="center"/>
              <w:rPr>
                <w:sz w:val="20"/>
                <w:szCs w:val="20"/>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3008B0" w14:textId="5E70E0B8" w:rsidR="00E27852" w:rsidRPr="002F2BD7" w:rsidRDefault="00E27852" w:rsidP="00B4725F">
            <w:pPr>
              <w:jc w:val="center"/>
              <w:rPr>
                <w:sz w:val="20"/>
                <w:szCs w:val="20"/>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ACA1005" w14:textId="3E04EFD0" w:rsidR="00E27852" w:rsidRPr="002F2BD7" w:rsidRDefault="00E27852" w:rsidP="00B4725F">
            <w:pPr>
              <w:jc w:val="center"/>
              <w:rPr>
                <w:sz w:val="20"/>
                <w:szCs w:val="20"/>
              </w:rPr>
            </w:pP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4D55F9D" w14:textId="654909AC" w:rsidR="00E27852" w:rsidRPr="002F2BD7" w:rsidRDefault="00E27852" w:rsidP="00B4725F">
            <w:pPr>
              <w:jc w:val="center"/>
              <w:rPr>
                <w:sz w:val="20"/>
                <w:szCs w:val="20"/>
              </w:rPr>
            </w:pPr>
          </w:p>
        </w:tc>
      </w:tr>
    </w:tbl>
    <w:p w14:paraId="3AC10858" w14:textId="77777777" w:rsidR="0071545D" w:rsidRPr="000332B9" w:rsidRDefault="0071545D" w:rsidP="0071545D"/>
    <w:p w14:paraId="30946879" w14:textId="77777777" w:rsidR="00F24965" w:rsidRDefault="00F24965" w:rsidP="0047675C">
      <w:pPr>
        <w:rPr>
          <w:u w:val="single"/>
        </w:rPr>
      </w:pPr>
      <w:r>
        <w:rPr>
          <w:u w:val="single"/>
        </w:rPr>
        <w:t>Definitions</w:t>
      </w:r>
    </w:p>
    <w:tbl>
      <w:tblPr>
        <w:tblpPr w:leftFromText="180" w:rightFromText="180" w:vertAnchor="text" w:horzAnchor="margin" w:tblpY="248"/>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3943"/>
        <w:gridCol w:w="4590"/>
      </w:tblGrid>
      <w:tr w:rsidR="002762EE" w:rsidRPr="006544E5" w14:paraId="71BEFA32" w14:textId="77777777" w:rsidTr="0081434D">
        <w:tc>
          <w:tcPr>
            <w:tcW w:w="8905" w:type="dxa"/>
            <w:gridSpan w:val="3"/>
            <w:tcBorders>
              <w:top w:val="single" w:sz="4" w:space="0" w:color="auto"/>
              <w:left w:val="single" w:sz="4" w:space="0" w:color="auto"/>
              <w:bottom w:val="single" w:sz="4" w:space="0" w:color="auto"/>
              <w:right w:val="single" w:sz="4" w:space="0" w:color="auto"/>
            </w:tcBorders>
            <w:shd w:val="clear" w:color="auto" w:fill="auto"/>
          </w:tcPr>
          <w:p w14:paraId="290CF926" w14:textId="77777777" w:rsidR="002762EE" w:rsidRPr="006544E5" w:rsidRDefault="002762EE" w:rsidP="00B4725F">
            <w:pPr>
              <w:jc w:val="center"/>
              <w:rPr>
                <w:b/>
                <w:bCs/>
                <w:sz w:val="20"/>
                <w:szCs w:val="20"/>
              </w:rPr>
            </w:pPr>
            <w:r w:rsidRPr="006544E5">
              <w:rPr>
                <w:b/>
                <w:bCs/>
                <w:sz w:val="20"/>
                <w:szCs w:val="20"/>
              </w:rPr>
              <w:t>DEFINITIONS</w:t>
            </w:r>
          </w:p>
        </w:tc>
      </w:tr>
      <w:tr w:rsidR="002762EE" w:rsidRPr="006544E5" w14:paraId="7B9DDEAB"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469156BC" w14:textId="77777777" w:rsidR="002762EE" w:rsidRPr="006544E5" w:rsidRDefault="002762EE" w:rsidP="00B4725F">
            <w:pPr>
              <w:rPr>
                <w:sz w:val="20"/>
                <w:szCs w:val="20"/>
              </w:rPr>
            </w:pPr>
            <w:r w:rsidRPr="006544E5">
              <w:rPr>
                <w:sz w:val="20"/>
                <w:szCs w:val="20"/>
              </w:rPr>
              <w:t>A</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50B94CD4" w14:textId="77777777" w:rsidR="002762EE" w:rsidRPr="006544E5" w:rsidRDefault="002762EE" w:rsidP="00B4725F">
            <w:pPr>
              <w:rPr>
                <w:sz w:val="20"/>
                <w:szCs w:val="20"/>
              </w:rPr>
            </w:pPr>
            <w:r w:rsidRPr="006544E5">
              <w:rPr>
                <w:sz w:val="20"/>
                <w:szCs w:val="20"/>
              </w:rPr>
              <w:t>Year</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FC53562" w14:textId="77777777" w:rsidR="002762EE" w:rsidRPr="006544E5" w:rsidRDefault="002762EE" w:rsidP="00B4725F">
            <w:pPr>
              <w:rPr>
                <w:sz w:val="20"/>
                <w:szCs w:val="20"/>
              </w:rPr>
            </w:pPr>
            <w:r w:rsidRPr="006544E5">
              <w:rPr>
                <w:sz w:val="20"/>
                <w:szCs w:val="20"/>
              </w:rPr>
              <w:t xml:space="preserve">The academic year.  </w:t>
            </w:r>
          </w:p>
        </w:tc>
      </w:tr>
      <w:tr w:rsidR="002762EE" w:rsidRPr="006544E5" w14:paraId="1672CB9F"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72743FE0" w14:textId="77777777" w:rsidR="002762EE" w:rsidRPr="006544E5" w:rsidRDefault="002762EE" w:rsidP="00B4725F">
            <w:pPr>
              <w:rPr>
                <w:sz w:val="20"/>
                <w:szCs w:val="20"/>
              </w:rPr>
            </w:pPr>
            <w:r w:rsidRPr="006544E5">
              <w:rPr>
                <w:sz w:val="20"/>
                <w:szCs w:val="20"/>
              </w:rPr>
              <w:t>B</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70C37B05" w14:textId="77777777" w:rsidR="002762EE" w:rsidRPr="006544E5" w:rsidRDefault="002762EE" w:rsidP="00B4725F">
            <w:pPr>
              <w:rPr>
                <w:sz w:val="20"/>
                <w:szCs w:val="20"/>
              </w:rPr>
            </w:pPr>
            <w:r w:rsidRPr="006544E5">
              <w:rPr>
                <w:sz w:val="20"/>
                <w:szCs w:val="20"/>
              </w:rPr>
              <w:t># enrolled</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6535865" w14:textId="27153665" w:rsidR="002762EE" w:rsidRPr="006544E5" w:rsidRDefault="002762EE" w:rsidP="00B4725F">
            <w:pPr>
              <w:rPr>
                <w:sz w:val="20"/>
                <w:szCs w:val="20"/>
              </w:rPr>
            </w:pPr>
            <w:r w:rsidRPr="006544E5">
              <w:rPr>
                <w:sz w:val="20"/>
                <w:szCs w:val="20"/>
              </w:rPr>
              <w:t xml:space="preserve">The total number of active enrollments in the Transition to CC program (participating in the College for Success class and/or taking other college classes as part of the </w:t>
            </w:r>
            <w:r w:rsidR="00CB09F4" w:rsidRPr="006544E5">
              <w:rPr>
                <w:sz w:val="20"/>
                <w:szCs w:val="20"/>
              </w:rPr>
              <w:t>Transition Program</w:t>
            </w:r>
            <w:r w:rsidRPr="006544E5">
              <w:rPr>
                <w:sz w:val="20"/>
                <w:szCs w:val="20"/>
              </w:rPr>
              <w:t xml:space="preserve">) </w:t>
            </w:r>
          </w:p>
        </w:tc>
      </w:tr>
      <w:tr w:rsidR="002762EE" w:rsidRPr="006544E5" w14:paraId="26855242"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4CFA5DB1" w14:textId="77777777" w:rsidR="002762EE" w:rsidRPr="006544E5" w:rsidRDefault="002762EE" w:rsidP="00B4725F">
            <w:pPr>
              <w:rPr>
                <w:sz w:val="20"/>
                <w:szCs w:val="20"/>
              </w:rPr>
            </w:pPr>
            <w:r w:rsidRPr="006544E5">
              <w:rPr>
                <w:sz w:val="20"/>
                <w:szCs w:val="20"/>
              </w:rPr>
              <w:t>C</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3BE91B5B" w14:textId="77777777" w:rsidR="002762EE" w:rsidRPr="006544E5" w:rsidRDefault="002762EE" w:rsidP="00B4725F">
            <w:pPr>
              <w:rPr>
                <w:sz w:val="20"/>
                <w:szCs w:val="20"/>
              </w:rPr>
            </w:pPr>
            <w:r w:rsidRPr="006544E5">
              <w:rPr>
                <w:sz w:val="20"/>
                <w:szCs w:val="20"/>
              </w:rPr>
              <w:t># carry-in from previous or past fiscal year</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8CB338B" w14:textId="3AA70E34" w:rsidR="002762EE" w:rsidRPr="006544E5" w:rsidRDefault="002762EE" w:rsidP="00B4725F">
            <w:pPr>
              <w:rPr>
                <w:sz w:val="20"/>
                <w:szCs w:val="20"/>
              </w:rPr>
            </w:pPr>
            <w:r w:rsidRPr="006544E5">
              <w:rPr>
                <w:sz w:val="20"/>
                <w:szCs w:val="20"/>
              </w:rPr>
              <w:t xml:space="preserve">The number of students that </w:t>
            </w:r>
            <w:r w:rsidRPr="006544E5">
              <w:rPr>
                <w:sz w:val="20"/>
                <w:szCs w:val="20"/>
                <w:u w:val="single"/>
              </w:rPr>
              <w:t>did not complete</w:t>
            </w:r>
            <w:r w:rsidRPr="006544E5">
              <w:rPr>
                <w:sz w:val="20"/>
                <w:szCs w:val="20"/>
              </w:rPr>
              <w:t xml:space="preserve"> the </w:t>
            </w:r>
            <w:r w:rsidR="00CB09F4" w:rsidRPr="006544E5">
              <w:rPr>
                <w:sz w:val="20"/>
                <w:szCs w:val="20"/>
              </w:rPr>
              <w:t>Transition Program</w:t>
            </w:r>
            <w:r w:rsidRPr="006544E5">
              <w:rPr>
                <w:sz w:val="20"/>
                <w:szCs w:val="20"/>
              </w:rPr>
              <w:t xml:space="preserve"> the previous or past academic year but are continuing with the program that academic year.  </w:t>
            </w:r>
          </w:p>
        </w:tc>
      </w:tr>
      <w:tr w:rsidR="002762EE" w:rsidRPr="006544E5" w14:paraId="131B808C"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63B18411" w14:textId="77777777" w:rsidR="002762EE" w:rsidRPr="006544E5" w:rsidRDefault="002762EE" w:rsidP="00B4725F">
            <w:pPr>
              <w:rPr>
                <w:sz w:val="20"/>
                <w:szCs w:val="20"/>
              </w:rPr>
            </w:pPr>
            <w:r w:rsidRPr="006544E5">
              <w:rPr>
                <w:sz w:val="20"/>
                <w:szCs w:val="20"/>
              </w:rPr>
              <w:t>D</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2C247511" w14:textId="77777777" w:rsidR="002762EE" w:rsidRPr="006544E5" w:rsidRDefault="002762EE" w:rsidP="00B4725F">
            <w:pPr>
              <w:rPr>
                <w:sz w:val="20"/>
                <w:szCs w:val="20"/>
              </w:rPr>
            </w:pPr>
            <w:r w:rsidRPr="006544E5">
              <w:rPr>
                <w:sz w:val="20"/>
                <w:szCs w:val="20"/>
              </w:rPr>
              <w:t># total enrolled (B+C)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DABCE71" w14:textId="77777777" w:rsidR="002762EE" w:rsidRPr="006544E5" w:rsidRDefault="002762EE" w:rsidP="00B4725F">
            <w:pPr>
              <w:rPr>
                <w:sz w:val="20"/>
                <w:szCs w:val="20"/>
              </w:rPr>
            </w:pPr>
            <w:r w:rsidRPr="006544E5">
              <w:rPr>
                <w:sz w:val="20"/>
                <w:szCs w:val="20"/>
              </w:rPr>
              <w:t>The total number of enrollments and carry-ins in a given academic year.</w:t>
            </w:r>
          </w:p>
        </w:tc>
      </w:tr>
      <w:tr w:rsidR="0082677C" w:rsidRPr="006544E5" w14:paraId="7B558CA4" w14:textId="77777777" w:rsidTr="00B4725F">
        <w:tc>
          <w:tcPr>
            <w:tcW w:w="372" w:type="dxa"/>
            <w:tcBorders>
              <w:top w:val="single" w:sz="4" w:space="0" w:color="auto"/>
              <w:left w:val="single" w:sz="4" w:space="0" w:color="auto"/>
              <w:bottom w:val="single" w:sz="4" w:space="0" w:color="auto"/>
              <w:right w:val="single" w:sz="4" w:space="0" w:color="auto"/>
            </w:tcBorders>
            <w:shd w:val="clear" w:color="auto" w:fill="auto"/>
          </w:tcPr>
          <w:p w14:paraId="0F5FA009" w14:textId="314940AD" w:rsidR="0082677C" w:rsidRPr="006544E5" w:rsidRDefault="005B7E2D" w:rsidP="0082677C">
            <w:pPr>
              <w:rPr>
                <w:sz w:val="20"/>
                <w:szCs w:val="20"/>
              </w:rPr>
            </w:pPr>
            <w:r>
              <w:rPr>
                <w:sz w:val="20"/>
                <w:szCs w:val="20"/>
              </w:rPr>
              <w:t>E</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628B1FDB" w14:textId="77777777" w:rsidR="0082677C" w:rsidRPr="006544E5" w:rsidRDefault="0082677C" w:rsidP="0082677C">
            <w:pPr>
              <w:rPr>
                <w:sz w:val="20"/>
                <w:szCs w:val="20"/>
              </w:rPr>
            </w:pPr>
            <w:r w:rsidRPr="006544E5">
              <w:rPr>
                <w:sz w:val="20"/>
                <w:szCs w:val="20"/>
              </w:rPr>
              <w:t># from D did not complete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E52034E" w14:textId="77777777" w:rsidR="0082677C" w:rsidRPr="006544E5" w:rsidRDefault="0082677C" w:rsidP="0082677C">
            <w:pPr>
              <w:rPr>
                <w:sz w:val="20"/>
                <w:szCs w:val="20"/>
              </w:rPr>
            </w:pPr>
            <w:r w:rsidRPr="006544E5">
              <w:rPr>
                <w:sz w:val="20"/>
                <w:szCs w:val="20"/>
              </w:rPr>
              <w:t>The total number of students that did not complete the Transition Program in that academic year (they might have stopped out, dropped out, or are scheduled to continue in the Transition Program in the next academic year).</w:t>
            </w:r>
            <w:r>
              <w:rPr>
                <w:sz w:val="20"/>
                <w:szCs w:val="20"/>
              </w:rPr>
              <w:t xml:space="preserve"> </w:t>
            </w:r>
          </w:p>
        </w:tc>
      </w:tr>
      <w:tr w:rsidR="00437BAC" w:rsidRPr="006544E5" w14:paraId="411B4E39" w14:textId="77777777" w:rsidTr="00B4725F">
        <w:tc>
          <w:tcPr>
            <w:tcW w:w="372" w:type="dxa"/>
            <w:tcBorders>
              <w:top w:val="single" w:sz="4" w:space="0" w:color="auto"/>
              <w:left w:val="single" w:sz="4" w:space="0" w:color="auto"/>
              <w:bottom w:val="single" w:sz="4" w:space="0" w:color="auto"/>
              <w:right w:val="single" w:sz="4" w:space="0" w:color="auto"/>
            </w:tcBorders>
            <w:shd w:val="clear" w:color="auto" w:fill="auto"/>
          </w:tcPr>
          <w:p w14:paraId="6F1EA4F0" w14:textId="18B6D3AC" w:rsidR="00437BAC" w:rsidRPr="006544E5" w:rsidRDefault="00437BAC" w:rsidP="00437BAC">
            <w:pPr>
              <w:rPr>
                <w:sz w:val="20"/>
                <w:szCs w:val="20"/>
              </w:rPr>
            </w:pPr>
            <w:r>
              <w:rPr>
                <w:sz w:val="20"/>
                <w:szCs w:val="20"/>
              </w:rPr>
              <w:t>F</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05AA8074" w14:textId="1AE2E4BA" w:rsidR="00437BAC" w:rsidRPr="006544E5" w:rsidRDefault="00437BAC" w:rsidP="00437BAC">
            <w:pPr>
              <w:rPr>
                <w:sz w:val="20"/>
                <w:szCs w:val="20"/>
              </w:rPr>
            </w:pPr>
            <w:r w:rsidRPr="006544E5">
              <w:rPr>
                <w:sz w:val="20"/>
                <w:szCs w:val="20"/>
              </w:rPr>
              <w:t xml:space="preserve"># from </w:t>
            </w:r>
            <w:r w:rsidR="007D053E">
              <w:rPr>
                <w:sz w:val="20"/>
                <w:szCs w:val="20"/>
              </w:rPr>
              <w:t>D</w:t>
            </w:r>
            <w:r w:rsidRPr="006544E5">
              <w:rPr>
                <w:sz w:val="20"/>
                <w:szCs w:val="20"/>
              </w:rPr>
              <w:t xml:space="preserve"> completed</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90E9FF4" w14:textId="140BD888" w:rsidR="00437BAC" w:rsidRPr="006544E5" w:rsidRDefault="00437BAC" w:rsidP="00437BAC">
            <w:pPr>
              <w:rPr>
                <w:sz w:val="20"/>
                <w:szCs w:val="20"/>
              </w:rPr>
            </w:pPr>
            <w:r w:rsidRPr="006544E5">
              <w:rPr>
                <w:sz w:val="20"/>
                <w:szCs w:val="20"/>
              </w:rPr>
              <w:t>The total number of students that completed the Transition Program of study in that academic year.</w:t>
            </w:r>
            <w:r>
              <w:rPr>
                <w:sz w:val="20"/>
                <w:szCs w:val="20"/>
              </w:rPr>
              <w:t xml:space="preserve"> Credits for students who did not complete the program should not be reported here. Those credits</w:t>
            </w:r>
            <w:r w:rsidR="00EB494E">
              <w:rPr>
                <w:sz w:val="20"/>
                <w:szCs w:val="20"/>
              </w:rPr>
              <w:t xml:space="preserve"> should</w:t>
            </w:r>
            <w:r>
              <w:rPr>
                <w:sz w:val="20"/>
                <w:szCs w:val="20"/>
              </w:rPr>
              <w:t xml:space="preserve"> be reported in the year the student completes. </w:t>
            </w:r>
            <w:r w:rsidRPr="006544E5">
              <w:rPr>
                <w:sz w:val="20"/>
                <w:szCs w:val="20"/>
              </w:rPr>
              <w:t xml:space="preserve">  </w:t>
            </w:r>
          </w:p>
        </w:tc>
      </w:tr>
      <w:tr w:rsidR="002762EE" w:rsidRPr="006544E5" w14:paraId="08DA0A66"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211F36E1" w14:textId="66DF7A02" w:rsidR="002762EE" w:rsidRPr="006544E5" w:rsidRDefault="000438E9" w:rsidP="00B4725F">
            <w:pPr>
              <w:rPr>
                <w:sz w:val="20"/>
                <w:szCs w:val="20"/>
              </w:rPr>
            </w:pPr>
            <w:r>
              <w:rPr>
                <w:sz w:val="20"/>
                <w:szCs w:val="20"/>
              </w:rPr>
              <w:t>G</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45891C2C" w14:textId="01C7E3D8" w:rsidR="002762EE" w:rsidRPr="006544E5" w:rsidRDefault="002762EE" w:rsidP="00B4725F">
            <w:pPr>
              <w:rPr>
                <w:sz w:val="20"/>
                <w:szCs w:val="20"/>
              </w:rPr>
            </w:pPr>
            <w:r w:rsidRPr="006544E5">
              <w:rPr>
                <w:sz w:val="20"/>
                <w:szCs w:val="20"/>
              </w:rPr>
              <w:t xml:space="preserve"># of credits earned from </w:t>
            </w:r>
            <w:r w:rsidR="001C58E1">
              <w:rPr>
                <w:sz w:val="20"/>
                <w:szCs w:val="20"/>
              </w:rPr>
              <w:t>F</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80A93EF" w14:textId="3A840BD0" w:rsidR="002762EE" w:rsidRPr="006544E5" w:rsidRDefault="002762EE" w:rsidP="00B4725F">
            <w:pPr>
              <w:rPr>
                <w:sz w:val="20"/>
                <w:szCs w:val="20"/>
              </w:rPr>
            </w:pPr>
            <w:r w:rsidRPr="006544E5">
              <w:rPr>
                <w:sz w:val="20"/>
                <w:szCs w:val="20"/>
              </w:rPr>
              <w:t xml:space="preserve">The total number of credits earned by the students.  This number will change </w:t>
            </w:r>
            <w:r w:rsidR="002F74A1">
              <w:rPr>
                <w:sz w:val="20"/>
                <w:szCs w:val="20"/>
              </w:rPr>
              <w:t xml:space="preserve">(increase) </w:t>
            </w:r>
            <w:r w:rsidRPr="006544E5">
              <w:rPr>
                <w:sz w:val="20"/>
                <w:szCs w:val="20"/>
              </w:rPr>
              <w:t xml:space="preserve">as the years advance.  </w:t>
            </w:r>
          </w:p>
        </w:tc>
      </w:tr>
      <w:tr w:rsidR="002762EE" w:rsidRPr="006544E5" w14:paraId="67254C8D"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7748175D" w14:textId="77777777" w:rsidR="002762EE" w:rsidRPr="006544E5" w:rsidRDefault="002762EE" w:rsidP="00B4725F">
            <w:pPr>
              <w:rPr>
                <w:sz w:val="20"/>
                <w:szCs w:val="20"/>
              </w:rPr>
            </w:pPr>
            <w:r w:rsidRPr="006544E5">
              <w:rPr>
                <w:sz w:val="20"/>
                <w:szCs w:val="20"/>
              </w:rPr>
              <w:t>H</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23B549D3" w14:textId="1626CF9B" w:rsidR="002762EE" w:rsidRPr="006544E5" w:rsidRDefault="002762EE" w:rsidP="00B4725F">
            <w:pPr>
              <w:rPr>
                <w:sz w:val="20"/>
                <w:szCs w:val="20"/>
              </w:rPr>
            </w:pPr>
            <w:r w:rsidRPr="006544E5">
              <w:rPr>
                <w:sz w:val="20"/>
                <w:szCs w:val="20"/>
              </w:rPr>
              <w:t xml:space="preserve"># from </w:t>
            </w:r>
            <w:r w:rsidR="00793F72">
              <w:rPr>
                <w:sz w:val="20"/>
                <w:szCs w:val="20"/>
              </w:rPr>
              <w:t>F</w:t>
            </w:r>
            <w:r w:rsidRPr="006544E5">
              <w:rPr>
                <w:sz w:val="20"/>
                <w:szCs w:val="20"/>
              </w:rPr>
              <w:t xml:space="preserve"> who began a program of study</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CDDE19D" w14:textId="3F8449A5" w:rsidR="002762EE" w:rsidRPr="006544E5" w:rsidRDefault="002762EE" w:rsidP="00B4725F">
            <w:pPr>
              <w:rPr>
                <w:sz w:val="20"/>
                <w:szCs w:val="20"/>
              </w:rPr>
            </w:pPr>
            <w:r w:rsidRPr="006544E5">
              <w:rPr>
                <w:sz w:val="20"/>
                <w:szCs w:val="20"/>
              </w:rPr>
              <w:t xml:space="preserve">The total number of completers that are beginning or continuing a program of study after the </w:t>
            </w:r>
            <w:r w:rsidR="00CB09F4" w:rsidRPr="006544E5">
              <w:rPr>
                <w:sz w:val="20"/>
                <w:szCs w:val="20"/>
              </w:rPr>
              <w:t>Transition Program</w:t>
            </w:r>
            <w:r w:rsidRPr="006544E5">
              <w:rPr>
                <w:sz w:val="20"/>
                <w:szCs w:val="20"/>
              </w:rPr>
              <w:t xml:space="preserve"> ends.</w:t>
            </w:r>
          </w:p>
        </w:tc>
      </w:tr>
      <w:tr w:rsidR="002762EE" w:rsidRPr="006544E5" w14:paraId="18AB91DE"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1CF6BBA1" w14:textId="77777777" w:rsidR="002762EE" w:rsidRPr="006544E5" w:rsidRDefault="002762EE" w:rsidP="00B4725F">
            <w:pPr>
              <w:rPr>
                <w:sz w:val="20"/>
                <w:szCs w:val="20"/>
              </w:rPr>
            </w:pPr>
            <w:r w:rsidRPr="006544E5">
              <w:rPr>
                <w:sz w:val="20"/>
                <w:szCs w:val="20"/>
              </w:rPr>
              <w:t>I</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4088D360" w14:textId="1AE0F2D9" w:rsidR="002762EE" w:rsidRPr="006544E5" w:rsidRDefault="002762EE" w:rsidP="00B4725F">
            <w:pPr>
              <w:rPr>
                <w:sz w:val="20"/>
                <w:szCs w:val="20"/>
              </w:rPr>
            </w:pPr>
            <w:r w:rsidRPr="006544E5">
              <w:rPr>
                <w:sz w:val="20"/>
                <w:szCs w:val="20"/>
              </w:rPr>
              <w:t xml:space="preserve"># from </w:t>
            </w:r>
            <w:r w:rsidR="00793F72">
              <w:rPr>
                <w:sz w:val="20"/>
                <w:szCs w:val="20"/>
              </w:rPr>
              <w:t>F</w:t>
            </w:r>
            <w:r w:rsidRPr="006544E5">
              <w:rPr>
                <w:sz w:val="20"/>
                <w:szCs w:val="20"/>
              </w:rPr>
              <w:t xml:space="preserve"> who are not in a program of study</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C21D314" w14:textId="77777777" w:rsidR="002762EE" w:rsidRPr="006544E5" w:rsidRDefault="002762EE" w:rsidP="00B4725F">
            <w:pPr>
              <w:rPr>
                <w:sz w:val="20"/>
                <w:szCs w:val="20"/>
              </w:rPr>
            </w:pPr>
            <w:r w:rsidRPr="006544E5">
              <w:rPr>
                <w:sz w:val="20"/>
                <w:szCs w:val="20"/>
              </w:rPr>
              <w:t>The total number of students who have officially left the college or are on a leave of absence.</w:t>
            </w:r>
          </w:p>
        </w:tc>
      </w:tr>
      <w:tr w:rsidR="002762EE" w:rsidRPr="006544E5" w14:paraId="041A17C1"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1A3B52D4" w14:textId="2CB8B9E0" w:rsidR="002762EE" w:rsidRPr="006544E5" w:rsidRDefault="002F53A5" w:rsidP="00B4725F">
            <w:pPr>
              <w:rPr>
                <w:sz w:val="20"/>
                <w:szCs w:val="20"/>
              </w:rPr>
            </w:pPr>
            <w:r w:rsidRPr="006544E5">
              <w:rPr>
                <w:sz w:val="20"/>
                <w:szCs w:val="20"/>
              </w:rPr>
              <w:t>J</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70E55F7D" w14:textId="6C1E025E" w:rsidR="002762EE" w:rsidRPr="006544E5" w:rsidRDefault="002762EE" w:rsidP="00B4725F">
            <w:pPr>
              <w:rPr>
                <w:sz w:val="20"/>
                <w:szCs w:val="20"/>
              </w:rPr>
            </w:pPr>
            <w:r w:rsidRPr="006544E5">
              <w:rPr>
                <w:sz w:val="20"/>
                <w:szCs w:val="20"/>
              </w:rPr>
              <w:t xml:space="preserve"># from </w:t>
            </w:r>
            <w:r w:rsidR="00793F72">
              <w:rPr>
                <w:sz w:val="20"/>
                <w:szCs w:val="20"/>
              </w:rPr>
              <w:t>F</w:t>
            </w:r>
            <w:r w:rsidRPr="006544E5">
              <w:rPr>
                <w:sz w:val="20"/>
                <w:szCs w:val="20"/>
              </w:rPr>
              <w:t xml:space="preserve"> who earned certificate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2A8D26E6" w14:textId="77777777" w:rsidR="002762EE" w:rsidRPr="006544E5" w:rsidRDefault="002762EE" w:rsidP="00B4725F">
            <w:pPr>
              <w:rPr>
                <w:sz w:val="20"/>
                <w:szCs w:val="20"/>
              </w:rPr>
            </w:pPr>
            <w:r w:rsidRPr="006544E5">
              <w:rPr>
                <w:sz w:val="20"/>
                <w:szCs w:val="20"/>
              </w:rPr>
              <w:t>The number of students who earned a credit certificate.</w:t>
            </w:r>
          </w:p>
        </w:tc>
      </w:tr>
      <w:tr w:rsidR="002762EE" w:rsidRPr="006544E5" w14:paraId="6F56A363" w14:textId="77777777" w:rsidTr="0081434D">
        <w:tc>
          <w:tcPr>
            <w:tcW w:w="372" w:type="dxa"/>
            <w:tcBorders>
              <w:top w:val="single" w:sz="4" w:space="0" w:color="auto"/>
              <w:left w:val="single" w:sz="4" w:space="0" w:color="auto"/>
              <w:bottom w:val="single" w:sz="4" w:space="0" w:color="auto"/>
              <w:right w:val="single" w:sz="4" w:space="0" w:color="auto"/>
            </w:tcBorders>
            <w:shd w:val="clear" w:color="auto" w:fill="auto"/>
          </w:tcPr>
          <w:p w14:paraId="780E048D" w14:textId="608C9104" w:rsidR="002762EE" w:rsidRPr="006544E5" w:rsidRDefault="002F53A5" w:rsidP="00B4725F">
            <w:pPr>
              <w:rPr>
                <w:sz w:val="20"/>
                <w:szCs w:val="20"/>
              </w:rPr>
            </w:pPr>
            <w:r w:rsidRPr="006544E5">
              <w:rPr>
                <w:sz w:val="20"/>
                <w:szCs w:val="20"/>
              </w:rPr>
              <w:t>K</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4CD19354" w14:textId="022D9F39" w:rsidR="002762EE" w:rsidRPr="006544E5" w:rsidRDefault="002762EE" w:rsidP="00B4725F">
            <w:pPr>
              <w:rPr>
                <w:sz w:val="20"/>
                <w:szCs w:val="20"/>
              </w:rPr>
            </w:pPr>
            <w:r w:rsidRPr="006544E5">
              <w:rPr>
                <w:sz w:val="20"/>
                <w:szCs w:val="20"/>
              </w:rPr>
              <w:t xml:space="preserve"># from </w:t>
            </w:r>
            <w:r w:rsidR="00793F72">
              <w:rPr>
                <w:sz w:val="20"/>
                <w:szCs w:val="20"/>
              </w:rPr>
              <w:t>F</w:t>
            </w:r>
            <w:r w:rsidRPr="006544E5">
              <w:rPr>
                <w:sz w:val="20"/>
                <w:szCs w:val="20"/>
              </w:rPr>
              <w:t xml:space="preserve"> who earned degree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F0DCBF8" w14:textId="77777777" w:rsidR="002762EE" w:rsidRPr="006544E5" w:rsidRDefault="002762EE" w:rsidP="00B4725F">
            <w:pPr>
              <w:rPr>
                <w:sz w:val="20"/>
                <w:szCs w:val="20"/>
              </w:rPr>
            </w:pPr>
            <w:r w:rsidRPr="006544E5">
              <w:rPr>
                <w:sz w:val="20"/>
                <w:szCs w:val="20"/>
              </w:rPr>
              <w:t>The number of students who earned a degree.</w:t>
            </w:r>
          </w:p>
        </w:tc>
      </w:tr>
    </w:tbl>
    <w:p w14:paraId="37564268" w14:textId="77777777" w:rsidR="00563A13" w:rsidRDefault="00563A13" w:rsidP="0047675C">
      <w:pPr>
        <w:rPr>
          <w:u w:val="single"/>
        </w:rPr>
      </w:pPr>
    </w:p>
    <w:p w14:paraId="0994F72E" w14:textId="13B49D74" w:rsidR="008351E3" w:rsidRPr="008351E3" w:rsidRDefault="00882676" w:rsidP="00882676">
      <w:r>
        <w:t>Programs</w:t>
      </w:r>
      <w:r w:rsidR="008351E3" w:rsidRPr="008351E3">
        <w:t xml:space="preserve"> must provide an overview of the data and accountability systems used to capture the outcomes. </w:t>
      </w:r>
      <w:r>
        <w:t>Programs</w:t>
      </w:r>
      <w:r w:rsidR="008351E3" w:rsidRPr="008351E3">
        <w:t xml:space="preserve"> may include a brief explanation of data if needed.</w:t>
      </w:r>
      <w:r>
        <w:t xml:space="preserve"> Programs</w:t>
      </w:r>
      <w:r w:rsidR="008351E3" w:rsidRPr="008351E3">
        <w:t xml:space="preserve"> may also provide a brief overview of the type of programming listed above.  </w:t>
      </w:r>
    </w:p>
    <w:p w14:paraId="35E935A6" w14:textId="77777777" w:rsidR="00882676" w:rsidRDefault="00882676" w:rsidP="00882676"/>
    <w:p w14:paraId="32DB6791" w14:textId="3CD244CF" w:rsidR="008351E3" w:rsidRDefault="008351E3" w:rsidP="00882676">
      <w:r w:rsidRPr="008351E3">
        <w:t xml:space="preserve">All students in an academic year must be accounted for in the same academic year. The number of students that did not complete the </w:t>
      </w:r>
      <w:r w:rsidR="00CB09F4">
        <w:t>Transition Program</w:t>
      </w:r>
      <w:r w:rsidRPr="008351E3">
        <w:t xml:space="preserve"> in an academic year should be listed in Column </w:t>
      </w:r>
      <w:r w:rsidR="00CF4B3E">
        <w:t>E</w:t>
      </w:r>
      <w:r w:rsidRPr="008351E3">
        <w:t xml:space="preserve">, # did not complete. Students that did not complete in one academic year but continue in the next or future year should be listed in Column C, #carry-in from past or previous fiscal year. For example, if a student did not complete the </w:t>
      </w:r>
      <w:r w:rsidR="00CB09F4">
        <w:t>Transition Program</w:t>
      </w:r>
      <w:r w:rsidRPr="008351E3">
        <w:t xml:space="preserve"> in 201</w:t>
      </w:r>
      <w:r w:rsidR="00CF4B3E">
        <w:t>9</w:t>
      </w:r>
      <w:r w:rsidRPr="008351E3">
        <w:t xml:space="preserve"> but continued in 20</w:t>
      </w:r>
      <w:r w:rsidR="00114A12">
        <w:t>20</w:t>
      </w:r>
      <w:r w:rsidRPr="008351E3">
        <w:t xml:space="preserve"> that student would be listed in 201</w:t>
      </w:r>
      <w:r w:rsidR="00114A12">
        <w:t>9</w:t>
      </w:r>
      <w:r w:rsidRPr="008351E3">
        <w:t xml:space="preserve"> academic year Column F, # did not complete and in 20</w:t>
      </w:r>
      <w:r w:rsidR="00114A12">
        <w:t>20</w:t>
      </w:r>
      <w:r w:rsidRPr="008351E3">
        <w:t xml:space="preserve"> academic year Column C, #carry-in from past or previous fiscal year.  </w:t>
      </w:r>
    </w:p>
    <w:p w14:paraId="2BDE7845" w14:textId="77777777" w:rsidR="001E508E" w:rsidRDefault="001E508E" w:rsidP="00882676"/>
    <w:p w14:paraId="1AA74D7A" w14:textId="77777777" w:rsidR="001E508E" w:rsidRPr="008351E3" w:rsidRDefault="001E508E" w:rsidP="00882676">
      <w:pPr>
        <w:rPr>
          <w:b/>
          <w:bCs/>
        </w:rPr>
      </w:pPr>
    </w:p>
    <w:p w14:paraId="0A77696A" w14:textId="77777777" w:rsidR="00F24965" w:rsidRDefault="00F24965" w:rsidP="0047675C">
      <w:pPr>
        <w:rPr>
          <w:u w:val="single"/>
        </w:rPr>
      </w:pPr>
    </w:p>
    <w:p w14:paraId="2384F9B5" w14:textId="77777777" w:rsidR="00A47D08" w:rsidRDefault="00A47D08" w:rsidP="0047675C"/>
    <w:p w14:paraId="3F6C606F" w14:textId="77777777" w:rsidR="00A47D08" w:rsidRDefault="00A47D08">
      <w:r>
        <w:br w:type="page"/>
      </w:r>
    </w:p>
    <w:p w14:paraId="14349746" w14:textId="77777777" w:rsidR="005B0745" w:rsidRDefault="005835AC" w:rsidP="005B0745">
      <w:pPr>
        <w:pStyle w:val="Heading2"/>
        <w:spacing w:before="0"/>
        <w:rPr>
          <w:rStyle w:val="Hyperlink"/>
          <w:b/>
          <w:bCs w:val="0"/>
          <w:color w:val="E36C0A" w:themeColor="accent6" w:themeShade="BF"/>
          <w:u w:val="none"/>
        </w:rPr>
      </w:pPr>
      <w:bookmarkStart w:id="51" w:name="_Toc117504272"/>
      <w:bookmarkStart w:id="52" w:name="_Hlk2773251"/>
      <w:r>
        <w:rPr>
          <w:rStyle w:val="Hyperlink"/>
          <w:b/>
          <w:bCs w:val="0"/>
          <w:color w:val="E36C0A" w:themeColor="accent6" w:themeShade="BF"/>
          <w:u w:val="none"/>
        </w:rPr>
        <w:t>Chapter 5</w:t>
      </w:r>
      <w:r w:rsidR="00882510" w:rsidRPr="00882510">
        <w:rPr>
          <w:rStyle w:val="Hyperlink"/>
          <w:b/>
          <w:bCs w:val="0"/>
          <w:color w:val="E36C0A" w:themeColor="accent6" w:themeShade="BF"/>
          <w:u w:val="none"/>
        </w:rPr>
        <w:t xml:space="preserve">:  </w:t>
      </w:r>
      <w:hyperlink w:anchor="_Toc468698125" w:history="1">
        <w:r>
          <w:rPr>
            <w:rStyle w:val="Hyperlink"/>
            <w:b/>
            <w:bCs w:val="0"/>
            <w:color w:val="E36C0A" w:themeColor="accent6" w:themeShade="BF"/>
            <w:u w:val="none"/>
          </w:rPr>
          <w:t>Indicator 5</w:t>
        </w:r>
        <w:r w:rsidR="00D12DB8" w:rsidRPr="008C327A">
          <w:rPr>
            <w:rStyle w:val="Hyperlink"/>
            <w:b/>
            <w:bCs w:val="0"/>
            <w:color w:val="E36C0A" w:themeColor="accent6" w:themeShade="BF"/>
            <w:u w:val="none"/>
          </w:rPr>
          <w:t>:</w:t>
        </w:r>
        <w:r w:rsidR="00882510">
          <w:rPr>
            <w:rStyle w:val="Hyperlink"/>
            <w:b/>
            <w:bCs w:val="0"/>
            <w:color w:val="E36C0A" w:themeColor="accent6" w:themeShade="BF"/>
            <w:u w:val="none"/>
          </w:rPr>
          <w:t xml:space="preserve"> </w:t>
        </w:r>
        <w:r w:rsidR="00D12DB8" w:rsidRPr="008C327A">
          <w:rPr>
            <w:rStyle w:val="Hyperlink"/>
            <w:b/>
            <w:bCs w:val="0"/>
            <w:color w:val="E36C0A" w:themeColor="accent6" w:themeShade="BF"/>
            <w:u w:val="none"/>
          </w:rPr>
          <w:t xml:space="preserve"> Advising and Student Support Services</w:t>
        </w:r>
        <w:bookmarkEnd w:id="51"/>
      </w:hyperlink>
    </w:p>
    <w:p w14:paraId="37C968F6" w14:textId="77777777" w:rsidR="00196B6A" w:rsidRDefault="005835AC" w:rsidP="0049668B">
      <w:r w:rsidRPr="005B0745">
        <w:t>Programs are required to have a designated advisor to provide, coordinate, and document advising and to provide learners with support services. The advisor should be available to address barriers to participation and refer students to appropriate supports both within the college and to outside agencies when necessary.</w:t>
      </w:r>
    </w:p>
    <w:p w14:paraId="38DCB0E8" w14:textId="7637050B" w:rsidR="005835AC" w:rsidRPr="002A0534" w:rsidRDefault="005835AC" w:rsidP="00196B6A">
      <w:pPr>
        <w:pStyle w:val="Heading2"/>
        <w:spacing w:before="0" w:after="0"/>
        <w:rPr>
          <w:b/>
          <w:bCs w:val="0"/>
          <w:color w:val="E36C0A" w:themeColor="accent6" w:themeShade="BF"/>
        </w:rPr>
      </w:pPr>
      <w:r w:rsidRPr="005B0745">
        <w:rPr>
          <w:rFonts w:ascii="Times New Roman" w:hAnsi="Times New Roman" w:cs="Times New Roman"/>
          <w:color w:val="auto"/>
          <w:sz w:val="24"/>
          <w:szCs w:val="24"/>
        </w:rPr>
        <w:t xml:space="preserve">  </w:t>
      </w:r>
    </w:p>
    <w:p w14:paraId="029AC00E" w14:textId="745C90B8" w:rsidR="005835AC" w:rsidRDefault="005835AC" w:rsidP="005835AC">
      <w:r>
        <w:t xml:space="preserve">The program should work to create a culture of student self-efficacy and persistence. </w:t>
      </w:r>
      <w:r w:rsidR="004C1E4A">
        <w:t xml:space="preserve">This includes </w:t>
      </w:r>
      <w:r w:rsidRPr="005835AC">
        <w:t>development of self-management competencies</w:t>
      </w:r>
      <w:r w:rsidR="00D74417">
        <w:t xml:space="preserve"> </w:t>
      </w:r>
      <w:r w:rsidRPr="005835AC">
        <w:t xml:space="preserve">as evidenced by students monitoring their own progress; directing the choice of courses, memberships, and activities; and taking an active role in course registration and applying for financial aid. </w:t>
      </w:r>
    </w:p>
    <w:p w14:paraId="04C107B4" w14:textId="77777777" w:rsidR="003E19FE" w:rsidRDefault="003E19FE" w:rsidP="005835AC"/>
    <w:p w14:paraId="5E8E8245" w14:textId="77777777" w:rsidR="003E19FE" w:rsidRPr="0079354F" w:rsidRDefault="003E19FE" w:rsidP="003E19FE">
      <w:r w:rsidRPr="0079354F">
        <w:t xml:space="preserve">ACLS requires that advising be available to all students. At a minimum, advising services must address: </w:t>
      </w:r>
    </w:p>
    <w:p w14:paraId="1C28819C" w14:textId="39E9F6C2" w:rsidR="003E19FE" w:rsidRPr="0079354F" w:rsidRDefault="003E19FE" w:rsidP="003E19FE">
      <w:pPr>
        <w:pStyle w:val="ListParagraph"/>
        <w:numPr>
          <w:ilvl w:val="0"/>
          <w:numId w:val="28"/>
        </w:numPr>
        <w:spacing w:after="0" w:line="240" w:lineRule="auto"/>
        <w:rPr>
          <w:rFonts w:ascii="Times New Roman" w:hAnsi="Times New Roman" w:cs="Times New Roman"/>
          <w:sz w:val="24"/>
          <w:szCs w:val="24"/>
        </w:rPr>
      </w:pPr>
      <w:r w:rsidRPr="0079354F">
        <w:rPr>
          <w:rFonts w:ascii="Times New Roman" w:eastAsia="Times New Roman" w:hAnsi="Times New Roman" w:cs="Times New Roman"/>
          <w:sz w:val="24"/>
          <w:szCs w:val="24"/>
        </w:rPr>
        <w:t xml:space="preserve">Development of career pathways that allow students to make informed decisions regarding </w:t>
      </w:r>
      <w:r w:rsidR="006424CE">
        <w:rPr>
          <w:rFonts w:ascii="Times New Roman" w:eastAsia="Times New Roman" w:hAnsi="Times New Roman" w:cs="Times New Roman"/>
          <w:sz w:val="24"/>
          <w:szCs w:val="24"/>
        </w:rPr>
        <w:t>their college careers</w:t>
      </w:r>
      <w:r w:rsidRPr="0079354F">
        <w:rPr>
          <w:rFonts w:ascii="Times New Roman" w:eastAsia="Times New Roman" w:hAnsi="Times New Roman" w:cs="Times New Roman"/>
          <w:sz w:val="24"/>
          <w:szCs w:val="24"/>
        </w:rPr>
        <w:t>;</w:t>
      </w:r>
    </w:p>
    <w:p w14:paraId="590110C4" w14:textId="39ED18EE" w:rsidR="003E19FE" w:rsidRPr="0079354F" w:rsidRDefault="003E19FE" w:rsidP="003E19FE">
      <w:pPr>
        <w:pStyle w:val="ListParagraph"/>
        <w:numPr>
          <w:ilvl w:val="0"/>
          <w:numId w:val="2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Barriers to participation by referring students to outside social service agencies</w:t>
      </w:r>
      <w:r w:rsidR="00A6023A">
        <w:rPr>
          <w:rFonts w:ascii="Times New Roman" w:hAnsi="Times New Roman" w:cs="Times New Roman"/>
          <w:sz w:val="24"/>
          <w:szCs w:val="24"/>
        </w:rPr>
        <w:t xml:space="preserve"> as necessary</w:t>
      </w:r>
      <w:r w:rsidRPr="0079354F">
        <w:rPr>
          <w:rFonts w:ascii="Times New Roman" w:hAnsi="Times New Roman" w:cs="Times New Roman"/>
          <w:sz w:val="24"/>
          <w:szCs w:val="24"/>
        </w:rPr>
        <w:t>; and</w:t>
      </w:r>
    </w:p>
    <w:p w14:paraId="18ED19E7" w14:textId="67B30FA4" w:rsidR="003E19FE" w:rsidRPr="0079354F" w:rsidRDefault="003E19FE" w:rsidP="003E19FE">
      <w:pPr>
        <w:pStyle w:val="ListParagraph"/>
        <w:numPr>
          <w:ilvl w:val="0"/>
          <w:numId w:val="2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creat</w:t>
      </w:r>
      <w:r w:rsidR="00A6023A">
        <w:rPr>
          <w:rFonts w:ascii="Times New Roman" w:hAnsi="Times New Roman" w:cs="Times New Roman"/>
          <w:sz w:val="24"/>
          <w:szCs w:val="24"/>
        </w:rPr>
        <w:t>ing</w:t>
      </w:r>
      <w:r w:rsidRPr="0079354F">
        <w:rPr>
          <w:rFonts w:ascii="Times New Roman" w:hAnsi="Times New Roman" w:cs="Times New Roman"/>
          <w:sz w:val="24"/>
          <w:szCs w:val="24"/>
        </w:rPr>
        <w:t xml:space="preserve"> a culture of student self-efficacy and persistence.</w:t>
      </w:r>
    </w:p>
    <w:p w14:paraId="5B077F91" w14:textId="77777777" w:rsidR="003E19FE" w:rsidRPr="0079354F" w:rsidRDefault="003E19FE" w:rsidP="003E19FE"/>
    <w:p w14:paraId="49B5D6E9" w14:textId="46C2CC8F" w:rsidR="003E19FE" w:rsidRPr="0079354F" w:rsidRDefault="00CB09F4" w:rsidP="003E19FE">
      <w:r>
        <w:t>Transition Program</w:t>
      </w:r>
      <w:r w:rsidR="00A6023A">
        <w:t xml:space="preserve"> coordinators may find it helpful to review</w:t>
      </w:r>
      <w:r w:rsidR="003E19FE">
        <w:t xml:space="preserve"> the </w:t>
      </w:r>
      <w:hyperlink r:id="rId55">
        <w:r w:rsidR="003E19FE" w:rsidRPr="0ADF2C45">
          <w:rPr>
            <w:rStyle w:val="Hyperlink"/>
            <w:i/>
            <w:iCs/>
          </w:rPr>
          <w:t>Effective Practices Aligned with Indicator of Program Quality (IPQ) #7 Guide</w:t>
        </w:r>
      </w:hyperlink>
      <w:r w:rsidR="00030D56">
        <w:t xml:space="preserve"> developed by the SABES Program Support PD Center</w:t>
      </w:r>
      <w:r w:rsidR="003E19FE">
        <w:t xml:space="preserve"> Th</w:t>
      </w:r>
      <w:r w:rsidR="00030D56">
        <w:t>is</w:t>
      </w:r>
      <w:r w:rsidR="003E19FE">
        <w:t xml:space="preserve"> guide aligns with </w:t>
      </w:r>
      <w:r w:rsidR="00ED1722">
        <w:t xml:space="preserve">ACLS’s </w:t>
      </w:r>
      <w:hyperlink r:id="rId56">
        <w:r w:rsidR="00410B5F">
          <w:rPr>
            <w:rStyle w:val="Hyperlink"/>
          </w:rPr>
          <w:t>Advising and Support Services Indicator of Program</w:t>
        </w:r>
      </w:hyperlink>
      <w:r w:rsidR="002B2240">
        <w:rPr>
          <w:rStyle w:val="Hyperlink"/>
        </w:rPr>
        <w:t xml:space="preserve"> Q</w:t>
      </w:r>
      <w:r w:rsidR="003E19FE" w:rsidRPr="0ADF2C45">
        <w:rPr>
          <w:rStyle w:val="Hyperlink"/>
        </w:rPr>
        <w:t>uality</w:t>
      </w:r>
      <w:r w:rsidR="003E19FE" w:rsidRPr="0ADF2C45">
        <w:rPr>
          <w:rStyle w:val="Hyperlink"/>
          <w:u w:val="none"/>
        </w:rPr>
        <w:t xml:space="preserve"> </w:t>
      </w:r>
      <w:r w:rsidR="003E19FE" w:rsidRPr="0ADF2C45">
        <w:rPr>
          <w:rStyle w:val="Hyperlink"/>
          <w:color w:val="auto"/>
          <w:u w:val="none"/>
        </w:rPr>
        <w:t>(i.e., IPQ seven)</w:t>
      </w:r>
      <w:r w:rsidR="003E19FE">
        <w:t xml:space="preserve"> and includes examples of effective practices for each of the indicator's standards. </w:t>
      </w:r>
    </w:p>
    <w:p w14:paraId="53AAE7E1" w14:textId="77777777" w:rsidR="003E19FE" w:rsidRDefault="003E19FE" w:rsidP="005835AC"/>
    <w:p w14:paraId="0E0CD2D5" w14:textId="1E10AC94" w:rsidR="000B2878" w:rsidRPr="0079354F" w:rsidRDefault="00CB09F4" w:rsidP="000B2878">
      <w:pPr>
        <w:pStyle w:val="PlainText"/>
      </w:pPr>
      <w:r>
        <w:rPr>
          <w:rFonts w:ascii="Times New Roman" w:hAnsi="Times New Roman" w:cs="Times New Roman"/>
          <w:sz w:val="24"/>
          <w:szCs w:val="24"/>
        </w:rPr>
        <w:t>Transition Program</w:t>
      </w:r>
      <w:r w:rsidR="000B2878">
        <w:rPr>
          <w:rFonts w:ascii="Times New Roman" w:hAnsi="Times New Roman" w:cs="Times New Roman"/>
          <w:sz w:val="24"/>
          <w:szCs w:val="24"/>
        </w:rPr>
        <w:t xml:space="preserve"> staff are encouraged to </w:t>
      </w:r>
      <w:r w:rsidR="00EC18D2">
        <w:rPr>
          <w:rFonts w:ascii="Times New Roman" w:hAnsi="Times New Roman" w:cs="Times New Roman"/>
          <w:sz w:val="24"/>
          <w:szCs w:val="24"/>
        </w:rPr>
        <w:t xml:space="preserve">join the mailing list for </w:t>
      </w:r>
      <w:r w:rsidR="000B2878" w:rsidRPr="0079354F">
        <w:rPr>
          <w:rFonts w:ascii="Times New Roman" w:hAnsi="Times New Roman" w:cs="Times New Roman"/>
          <w:sz w:val="24"/>
          <w:szCs w:val="24"/>
        </w:rPr>
        <w:t xml:space="preserve">the </w:t>
      </w:r>
      <w:hyperlink r:id="rId57" w:history="1">
        <w:r w:rsidR="000B2878" w:rsidRPr="0079354F">
          <w:rPr>
            <w:rStyle w:val="Hyperlink"/>
            <w:rFonts w:ascii="Times New Roman" w:hAnsi="Times New Roman" w:cs="Times New Roman"/>
            <w:sz w:val="24"/>
            <w:szCs w:val="24"/>
          </w:rPr>
          <w:t>SABES Program Support PD Center</w:t>
        </w:r>
      </w:hyperlink>
      <w:r w:rsidR="002F69E6">
        <w:rPr>
          <w:rFonts w:ascii="Times New Roman" w:hAnsi="Times New Roman" w:cs="Times New Roman"/>
          <w:sz w:val="24"/>
          <w:szCs w:val="24"/>
        </w:rPr>
        <w:t xml:space="preserve"> and take advantage of the workshops and resources offered by it. </w:t>
      </w:r>
    </w:p>
    <w:p w14:paraId="134D0D88" w14:textId="77777777" w:rsidR="000B2878" w:rsidRDefault="000B2878" w:rsidP="005835AC"/>
    <w:p w14:paraId="05C69269" w14:textId="77777777" w:rsidR="00A47D08" w:rsidRDefault="00A47D08">
      <w:pPr>
        <w:rPr>
          <w:rFonts w:eastAsiaTheme="minorHAnsi"/>
          <w:b/>
          <w:bCs/>
          <w:i/>
          <w:iCs/>
        </w:rPr>
      </w:pPr>
      <w:r>
        <w:rPr>
          <w:rFonts w:eastAsiaTheme="minorHAnsi"/>
          <w:b/>
          <w:bCs/>
          <w:i/>
          <w:iCs/>
        </w:rPr>
        <w:br w:type="page"/>
      </w:r>
    </w:p>
    <w:p w14:paraId="2DEB77E7" w14:textId="77777777" w:rsidR="00D0119C" w:rsidRPr="00700B4E" w:rsidRDefault="004C1E4A" w:rsidP="0047675C">
      <w:pPr>
        <w:pStyle w:val="Heading2"/>
        <w:spacing w:before="0"/>
        <w:rPr>
          <w:b/>
          <w:color w:val="E36C0A" w:themeColor="accent6" w:themeShade="BF"/>
        </w:rPr>
      </w:pPr>
      <w:bookmarkStart w:id="53" w:name="_Toc117504273"/>
      <w:bookmarkEnd w:id="52"/>
      <w:r>
        <w:rPr>
          <w:rStyle w:val="Hyperlink"/>
          <w:rFonts w:eastAsia="Batang"/>
          <w:b/>
          <w:color w:val="E36C0A" w:themeColor="accent6" w:themeShade="BF"/>
          <w:szCs w:val="24"/>
          <w:u w:val="none"/>
        </w:rPr>
        <w:t>Chapter 6</w:t>
      </w:r>
      <w:r w:rsidR="005972B2">
        <w:rPr>
          <w:rStyle w:val="Hyperlink"/>
          <w:rFonts w:eastAsia="Batang"/>
          <w:b/>
          <w:color w:val="E36C0A" w:themeColor="accent6" w:themeShade="BF"/>
          <w:szCs w:val="24"/>
          <w:u w:val="none"/>
        </w:rPr>
        <w:t xml:space="preserve">:  </w:t>
      </w:r>
      <w:hyperlink w:anchor="_Toc468698126" w:history="1">
        <w:r w:rsidR="009E185E" w:rsidRPr="00700B4E">
          <w:rPr>
            <w:rStyle w:val="Hyperlink"/>
            <w:rFonts w:eastAsia="Batang"/>
            <w:b/>
            <w:color w:val="E36C0A" w:themeColor="accent6" w:themeShade="BF"/>
            <w:szCs w:val="24"/>
            <w:u w:val="none"/>
          </w:rPr>
          <w:t>Indicator</w:t>
        </w:r>
        <w:r>
          <w:rPr>
            <w:rStyle w:val="Hyperlink"/>
            <w:rFonts w:eastAsia="Batang"/>
            <w:b/>
            <w:color w:val="E36C0A" w:themeColor="accent6" w:themeShade="BF"/>
            <w:szCs w:val="24"/>
            <w:u w:val="none"/>
          </w:rPr>
          <w:t xml:space="preserve"> 6</w:t>
        </w:r>
        <w:r w:rsidR="00D0119C" w:rsidRPr="00700B4E">
          <w:rPr>
            <w:rStyle w:val="Hyperlink"/>
            <w:rFonts w:eastAsia="Batang"/>
            <w:b/>
            <w:color w:val="E36C0A" w:themeColor="accent6" w:themeShade="BF"/>
            <w:szCs w:val="24"/>
            <w:u w:val="none"/>
          </w:rPr>
          <w:t>:  Organizational Support</w:t>
        </w:r>
        <w:r w:rsidR="00395567">
          <w:rPr>
            <w:rStyle w:val="Hyperlink"/>
            <w:rFonts w:eastAsia="Batang"/>
            <w:b/>
            <w:color w:val="E36C0A" w:themeColor="accent6" w:themeShade="BF"/>
            <w:szCs w:val="24"/>
            <w:u w:val="none"/>
          </w:rPr>
          <w:t xml:space="preserve"> and Professional Culture</w:t>
        </w:r>
        <w:bookmarkEnd w:id="53"/>
        <w:r w:rsidR="00D0119C" w:rsidRPr="00700B4E">
          <w:rPr>
            <w:b/>
            <w:webHidden/>
            <w:color w:val="E36C0A" w:themeColor="accent6" w:themeShade="BF"/>
          </w:rPr>
          <w:tab/>
        </w:r>
      </w:hyperlink>
    </w:p>
    <w:p w14:paraId="3D639467" w14:textId="77777777" w:rsidR="00D10727" w:rsidRPr="000A3465" w:rsidRDefault="00D10727" w:rsidP="00D10727">
      <w:pPr>
        <w:pStyle w:val="Heading3"/>
      </w:pPr>
      <w:bookmarkStart w:id="54" w:name="_Toc117504274"/>
      <w:r>
        <w:t>Institutional Support</w:t>
      </w:r>
      <w:bookmarkEnd w:id="54"/>
    </w:p>
    <w:p w14:paraId="60503A8B" w14:textId="6DFB3280" w:rsidR="00395567" w:rsidRPr="000A3465" w:rsidRDefault="00D10727" w:rsidP="00D10727">
      <w:r>
        <w:t xml:space="preserve">The </w:t>
      </w:r>
      <w:r w:rsidR="008B04D0">
        <w:t xml:space="preserve">Transition </w:t>
      </w:r>
      <w:r w:rsidR="00CB09F4">
        <w:t>Program</w:t>
      </w:r>
      <w:r w:rsidRPr="00D10727">
        <w:t xml:space="preserve"> </w:t>
      </w:r>
      <w:r>
        <w:t xml:space="preserve">should be integrated into the college’s structure and </w:t>
      </w:r>
      <w:r w:rsidRPr="00D10727">
        <w:t>provide</w:t>
      </w:r>
      <w:r>
        <w:t>d</w:t>
      </w:r>
      <w:r w:rsidRPr="00D10727">
        <w:t xml:space="preserve"> with</w:t>
      </w:r>
      <w:r>
        <w:t xml:space="preserve"> all necessary</w:t>
      </w:r>
      <w:r w:rsidRPr="00D10727">
        <w:t xml:space="preserve"> financial supports</w:t>
      </w:r>
      <w:r w:rsidR="004E38E9">
        <w:t xml:space="preserve"> and </w:t>
      </w:r>
      <w:r>
        <w:t>college resources</w:t>
      </w:r>
      <w:r w:rsidRPr="00D10727">
        <w:t>.</w:t>
      </w:r>
      <w:r w:rsidR="007E0A2D">
        <w:t xml:space="preserve"> </w:t>
      </w:r>
      <w:r w:rsidR="00395567" w:rsidRPr="00395567">
        <w:t xml:space="preserve">The college </w:t>
      </w:r>
      <w:r w:rsidR="00395567">
        <w:t>should provide</w:t>
      </w:r>
      <w:r w:rsidR="00395567" w:rsidRPr="00395567">
        <w:t xml:space="preserve"> competitive salaries, benefits, and opportunities for full-time employment. </w:t>
      </w:r>
    </w:p>
    <w:p w14:paraId="00E2CECD" w14:textId="77777777" w:rsidR="00D10727" w:rsidRDefault="00D10727" w:rsidP="00472B68">
      <w:pPr>
        <w:pStyle w:val="Heading3"/>
      </w:pPr>
    </w:p>
    <w:p w14:paraId="0B138AA6" w14:textId="2B54C446" w:rsidR="00C42A31" w:rsidRPr="00C42A31" w:rsidRDefault="00C42A31" w:rsidP="00C42A31">
      <w:pPr>
        <w:pStyle w:val="Heading3"/>
      </w:pPr>
      <w:bookmarkStart w:id="55" w:name="_Toc109196007"/>
      <w:bookmarkStart w:id="56" w:name="_Toc117504275"/>
      <w:r w:rsidRPr="1E8607B9">
        <w:t>Facilities (State requirement)</w:t>
      </w:r>
      <w:bookmarkEnd w:id="55"/>
      <w:bookmarkEnd w:id="56"/>
    </w:p>
    <w:p w14:paraId="07BAB27D" w14:textId="77777777" w:rsidR="00C42A31" w:rsidRPr="0079354F" w:rsidRDefault="00C42A31" w:rsidP="00C42A31">
      <w:r w:rsidRPr="0079354F">
        <w:t>ACLS requires that grantees operate AE programs at sites that are safe, age-appropriate, conducive to learning, and that meet all city, state, and federal accessibility and safety requirements. Additionally, ACLS requires that programs ensure the privacy and security of PII and advising spaces, and that sufficient up-to-date technology is readily available for all staff.</w:t>
      </w:r>
    </w:p>
    <w:p w14:paraId="14714C7D" w14:textId="77777777" w:rsidR="000D3C82" w:rsidRDefault="000D3C82" w:rsidP="00395567">
      <w:pPr>
        <w:pStyle w:val="Heading3"/>
      </w:pPr>
    </w:p>
    <w:p w14:paraId="0C48AFEB" w14:textId="3A2F90FD" w:rsidR="00395567" w:rsidRPr="000A3465" w:rsidRDefault="00395567" w:rsidP="00395567">
      <w:pPr>
        <w:pStyle w:val="Heading3"/>
      </w:pPr>
      <w:bookmarkStart w:id="57" w:name="_Toc117504276"/>
      <w:r>
        <w:t>Minimum Qualifications</w:t>
      </w:r>
      <w:bookmarkEnd w:id="57"/>
    </w:p>
    <w:p w14:paraId="5C05E1D8" w14:textId="77777777" w:rsidR="00CE5091" w:rsidRDefault="00395567" w:rsidP="0047675C">
      <w:r w:rsidRPr="00395567">
        <w:t xml:space="preserve">The college organizational leadership </w:t>
      </w:r>
      <w:r>
        <w:t>must establish</w:t>
      </w:r>
      <w:r w:rsidRPr="00395567">
        <w:t xml:space="preserve"> minimum qualifications</w:t>
      </w:r>
      <w:r>
        <w:t xml:space="preserve"> and maintain</w:t>
      </w:r>
      <w:r w:rsidRPr="00395567">
        <w:t xml:space="preserve"> high standa</w:t>
      </w:r>
      <w:r>
        <w:t xml:space="preserve">rds for program leadership. </w:t>
      </w:r>
      <w:r w:rsidRPr="00395567">
        <w:t xml:space="preserve">The college </w:t>
      </w:r>
      <w:r>
        <w:t>must provide</w:t>
      </w:r>
      <w:r w:rsidRPr="00395567">
        <w:t xml:space="preserve"> in-depth training and on-going support to staff in leadership roles, including acting or interim staff.</w:t>
      </w:r>
    </w:p>
    <w:p w14:paraId="2845C13A" w14:textId="77777777" w:rsidR="00CE5091" w:rsidRDefault="00CE5091" w:rsidP="0047675C"/>
    <w:p w14:paraId="17128A04" w14:textId="77777777" w:rsidR="00CE5091" w:rsidRPr="00E07BD0" w:rsidRDefault="00CE5091" w:rsidP="00CE5091">
      <w:pPr>
        <w:pStyle w:val="Heading3"/>
        <w:rPr>
          <w:b w:val="0"/>
          <w:bCs w:val="0"/>
        </w:rPr>
      </w:pPr>
      <w:bookmarkStart w:id="58" w:name="_Toc109196010"/>
      <w:bookmarkStart w:id="59" w:name="_Toc117504277"/>
      <w:r w:rsidRPr="1E8607B9">
        <w:t>Administrator Qualifications (State requirement)</w:t>
      </w:r>
      <w:bookmarkEnd w:id="58"/>
      <w:bookmarkEnd w:id="59"/>
    </w:p>
    <w:p w14:paraId="09D28A40" w14:textId="7F2C4A14" w:rsidR="00CE5091" w:rsidRPr="00B62118" w:rsidRDefault="00CE5091" w:rsidP="00CE5091">
      <w:r>
        <w:t xml:space="preserve">All staff charged with implementing the roles and responsibilities of a program </w:t>
      </w:r>
      <w:r w:rsidR="00477AF0">
        <w:t>coordinator</w:t>
      </w:r>
      <w:r>
        <w:t xml:space="preserve"> (e.g., planning and management in program design, leadership, are required to have, at a minimum, a bachelor’s degree and two years of experience in education, management, or program administration.</w:t>
      </w:r>
      <w:r w:rsidR="00B62118">
        <w:t xml:space="preserve"> </w:t>
      </w:r>
      <w:r>
        <w:t>When there is a change in pro</w:t>
      </w:r>
      <w:r w:rsidR="008B18C1">
        <w:t>gram staff,</w:t>
      </w:r>
      <w:r>
        <w:t xml:space="preserve"> programs should notify ACLS and submit a copy of the new </w:t>
      </w:r>
      <w:r w:rsidR="008B18C1">
        <w:t>staff member’s</w:t>
      </w:r>
      <w:r>
        <w:t xml:space="preserve"> resume.</w:t>
      </w:r>
    </w:p>
    <w:p w14:paraId="794D8BB7" w14:textId="77777777" w:rsidR="00395567" w:rsidRDefault="00395567" w:rsidP="0047675C">
      <w:pPr>
        <w:rPr>
          <w:rFonts w:asciiTheme="minorHAnsi" w:hAnsiTheme="minorHAnsi" w:cs="Arial"/>
        </w:rPr>
      </w:pPr>
    </w:p>
    <w:p w14:paraId="2EF5DA87" w14:textId="77777777" w:rsidR="00395567" w:rsidRDefault="00395567" w:rsidP="00395567">
      <w:pPr>
        <w:pStyle w:val="Heading3"/>
      </w:pPr>
      <w:bookmarkStart w:id="60" w:name="_Toc117504278"/>
      <w:r>
        <w:t>Professional Development</w:t>
      </w:r>
      <w:bookmarkEnd w:id="60"/>
    </w:p>
    <w:p w14:paraId="28CD2803" w14:textId="56F95859" w:rsidR="00395567" w:rsidRPr="00395567" w:rsidRDefault="004D695C" w:rsidP="004D695C">
      <w:bookmarkStart w:id="61" w:name="_Toc416936200"/>
      <w:r w:rsidRPr="004D695C">
        <w:t xml:space="preserve">The </w:t>
      </w:r>
      <w:r>
        <w:t xml:space="preserve">college should regularly provide staff </w:t>
      </w:r>
      <w:r w:rsidR="00D74417">
        <w:t xml:space="preserve">with </w:t>
      </w:r>
      <w:r w:rsidRPr="004D695C">
        <w:t>quality resources, tools, and access to high-quality professional development</w:t>
      </w:r>
      <w:r>
        <w:t xml:space="preserve">. </w:t>
      </w:r>
      <w:hyperlink r:id="rId58" w:history="1">
        <w:r w:rsidR="00395567" w:rsidRPr="004D695C">
          <w:rPr>
            <w:rStyle w:val="Hyperlink"/>
          </w:rPr>
          <w:t>SABES</w:t>
        </w:r>
      </w:hyperlink>
      <w:r w:rsidR="00395567">
        <w:t xml:space="preserve"> provides free professional development to the Massach</w:t>
      </w:r>
      <w:r>
        <w:t xml:space="preserve">usetts </w:t>
      </w:r>
      <w:r w:rsidR="00465489">
        <w:t>AE</w:t>
      </w:r>
      <w:r>
        <w:t xml:space="preserve"> system. In addition, there are other </w:t>
      </w:r>
      <w:r w:rsidR="00465489">
        <w:t>professional development</w:t>
      </w:r>
      <w:r>
        <w:t xml:space="preserve"> resou</w:t>
      </w:r>
      <w:r w:rsidR="00F75476">
        <w:t>rces for Transition</w:t>
      </w:r>
      <w:r>
        <w:t xml:space="preserve"> </w:t>
      </w:r>
      <w:r w:rsidR="00CB09F4">
        <w:t>Program</w:t>
      </w:r>
      <w:r>
        <w:t xml:space="preserve">s, including </w:t>
      </w:r>
      <w:hyperlink r:id="rId59" w:history="1">
        <w:r w:rsidR="00395567" w:rsidRPr="00395567">
          <w:rPr>
            <w:rStyle w:val="Hyperlink"/>
          </w:rPr>
          <w:t>the National College Transition Network</w:t>
        </w:r>
      </w:hyperlink>
      <w:r w:rsidR="00395567" w:rsidRPr="00395567">
        <w:t xml:space="preserve">, and </w:t>
      </w:r>
      <w:hyperlink r:id="rId60" w:history="1">
        <w:r w:rsidR="00395567" w:rsidRPr="00395567">
          <w:rPr>
            <w:rStyle w:val="Hyperlink"/>
          </w:rPr>
          <w:t>LINCS.</w:t>
        </w:r>
      </w:hyperlink>
      <w:r w:rsidR="00395567" w:rsidRPr="00395567">
        <w:t xml:space="preserve"> </w:t>
      </w:r>
    </w:p>
    <w:bookmarkEnd w:id="61"/>
    <w:p w14:paraId="6184D30E" w14:textId="77777777" w:rsidR="00395567" w:rsidRDefault="00395567" w:rsidP="00395567"/>
    <w:p w14:paraId="3FA1A35E" w14:textId="77777777" w:rsidR="00A47D08" w:rsidRDefault="00A47D08">
      <w:r>
        <w:br w:type="page"/>
      </w:r>
    </w:p>
    <w:p w14:paraId="37051A7A" w14:textId="77777777" w:rsidR="007C6919" w:rsidRPr="001073B4" w:rsidRDefault="004D695C" w:rsidP="007C6919">
      <w:pPr>
        <w:pStyle w:val="Heading2"/>
        <w:spacing w:before="0"/>
        <w:rPr>
          <w:b/>
          <w:color w:val="E36C0A" w:themeColor="accent6" w:themeShade="BF"/>
        </w:rPr>
      </w:pPr>
      <w:bookmarkStart w:id="62" w:name="_Toc117504279"/>
      <w:r>
        <w:rPr>
          <w:rStyle w:val="Hyperlink"/>
          <w:rFonts w:eastAsia="Batang"/>
          <w:b/>
          <w:color w:val="E36C0A" w:themeColor="accent6" w:themeShade="BF"/>
          <w:szCs w:val="24"/>
          <w:u w:val="none"/>
        </w:rPr>
        <w:t>Chapter 7</w:t>
      </w:r>
      <w:r w:rsidR="00AF2BD6">
        <w:rPr>
          <w:rStyle w:val="Hyperlink"/>
          <w:rFonts w:eastAsia="Batang"/>
          <w:b/>
          <w:color w:val="E36C0A" w:themeColor="accent6" w:themeShade="BF"/>
          <w:szCs w:val="24"/>
          <w:u w:val="none"/>
        </w:rPr>
        <w:t xml:space="preserve">:  </w:t>
      </w:r>
      <w:hyperlink w:anchor="_Toc468698127" w:history="1">
        <w:bookmarkStart w:id="63" w:name="_Toc514673632"/>
        <w:r>
          <w:rPr>
            <w:rStyle w:val="Hyperlink"/>
            <w:rFonts w:eastAsia="Batang"/>
            <w:b/>
            <w:color w:val="E36C0A" w:themeColor="accent6" w:themeShade="BF"/>
            <w:szCs w:val="24"/>
            <w:u w:val="none"/>
          </w:rPr>
          <w:t>Indicator 7</w:t>
        </w:r>
        <w:r w:rsidR="007C6919" w:rsidRPr="001073B4">
          <w:rPr>
            <w:rStyle w:val="Hyperlink"/>
            <w:rFonts w:eastAsia="Batang"/>
            <w:b/>
            <w:color w:val="E36C0A" w:themeColor="accent6" w:themeShade="BF"/>
            <w:szCs w:val="24"/>
            <w:u w:val="none"/>
          </w:rPr>
          <w:t xml:space="preserve">:  </w:t>
        </w:r>
        <w:bookmarkEnd w:id="63"/>
        <w:r w:rsidR="003558BB">
          <w:rPr>
            <w:rStyle w:val="Hyperlink"/>
            <w:rFonts w:eastAsia="Batang"/>
            <w:b/>
            <w:color w:val="E36C0A" w:themeColor="accent6" w:themeShade="BF"/>
            <w:szCs w:val="24"/>
            <w:u w:val="none"/>
          </w:rPr>
          <w:t>Collaboration and Coordination</w:t>
        </w:r>
        <w:bookmarkEnd w:id="62"/>
        <w:r w:rsidR="007C6919" w:rsidRPr="001073B4">
          <w:rPr>
            <w:b/>
            <w:webHidden/>
            <w:color w:val="E36C0A" w:themeColor="accent6" w:themeShade="BF"/>
          </w:rPr>
          <w:tab/>
        </w:r>
      </w:hyperlink>
    </w:p>
    <w:p w14:paraId="59D57F2E" w14:textId="0241BFFD" w:rsidR="003558BB" w:rsidRDefault="008B04D0" w:rsidP="003558BB">
      <w:bookmarkStart w:id="64" w:name="_Toc514673633"/>
      <w:r>
        <w:t xml:space="preserve">The success of any Transition </w:t>
      </w:r>
      <w:r w:rsidR="00CB09F4">
        <w:t>Program</w:t>
      </w:r>
      <w:r w:rsidR="003558BB">
        <w:t xml:space="preserve"> depends on</w:t>
      </w:r>
      <w:r w:rsidR="00F622EA">
        <w:t xml:space="preserve"> the</w:t>
      </w:r>
      <w:r w:rsidR="003558BB">
        <w:t xml:space="preserve"> relationships program staff have with</w:t>
      </w:r>
      <w:r w:rsidR="001513CF">
        <w:t xml:space="preserve"> </w:t>
      </w:r>
      <w:r w:rsidR="00A65A18">
        <w:t>D</w:t>
      </w:r>
      <w:r w:rsidR="00593EE3">
        <w:t>ESE</w:t>
      </w:r>
      <w:r w:rsidR="001513CF">
        <w:t xml:space="preserve">-funded </w:t>
      </w:r>
      <w:r w:rsidR="00A65A18">
        <w:t xml:space="preserve">AE </w:t>
      </w:r>
      <w:r w:rsidR="001513CF">
        <w:t>program</w:t>
      </w:r>
      <w:r w:rsidR="00A65A18">
        <w:t>s</w:t>
      </w:r>
      <w:r w:rsidR="001513CF">
        <w:t>, college staff and</w:t>
      </w:r>
      <w:r w:rsidR="003558BB">
        <w:t xml:space="preserve"> faculty, and external partners.  </w:t>
      </w:r>
    </w:p>
    <w:p w14:paraId="6E7CDEC6" w14:textId="77777777" w:rsidR="003558BB" w:rsidRDefault="003558BB" w:rsidP="003558BB"/>
    <w:p w14:paraId="477B54AE" w14:textId="460FABBF" w:rsidR="001513CF" w:rsidRDefault="001513CF" w:rsidP="001513CF">
      <w:r>
        <w:t xml:space="preserve">As noted in Chapter 1: Program Design, Transition </w:t>
      </w:r>
      <w:r w:rsidR="00CB09F4">
        <w:t>Program</w:t>
      </w:r>
      <w:r w:rsidRPr="008917C0">
        <w:t xml:space="preserve">s are required to maintain a minimum enrollment of 15 students per semester, no less than 12 of whom are former (or current) </w:t>
      </w:r>
      <w:r w:rsidR="00593EE3">
        <w:t>ESE</w:t>
      </w:r>
      <w:r w:rsidRPr="008917C0">
        <w:t xml:space="preserve">-funded </w:t>
      </w:r>
      <w:r w:rsidR="00A65A18">
        <w:t>AE</w:t>
      </w:r>
      <w:r w:rsidRPr="008917C0">
        <w:t xml:space="preserve"> students</w:t>
      </w:r>
      <w:r w:rsidR="00D74417">
        <w:t xml:space="preserve">.  </w:t>
      </w:r>
      <w:r>
        <w:t>In order to acc</w:t>
      </w:r>
      <w:r w:rsidR="008B04D0">
        <w:t xml:space="preserve">omplish this, Transition </w:t>
      </w:r>
      <w:r w:rsidR="00CB09F4">
        <w:t>Program</w:t>
      </w:r>
      <w:r>
        <w:t xml:space="preserve">s </w:t>
      </w:r>
      <w:r w:rsidR="00A65A18">
        <w:t>must</w:t>
      </w:r>
      <w:r>
        <w:t xml:space="preserve"> active Memorand</w:t>
      </w:r>
      <w:r w:rsidR="00A65A18">
        <w:t>a</w:t>
      </w:r>
      <w:r>
        <w:t xml:space="preserve"> of Agreement with </w:t>
      </w:r>
      <w:r w:rsidR="00A65A18">
        <w:t>D</w:t>
      </w:r>
      <w:r w:rsidR="00593EE3">
        <w:t>ESE</w:t>
      </w:r>
      <w:r>
        <w:t xml:space="preserve">-funded </w:t>
      </w:r>
      <w:r w:rsidR="00A65A18">
        <w:t>AE</w:t>
      </w:r>
      <w:r>
        <w:t xml:space="preserve"> programs and other local programs.  </w:t>
      </w:r>
    </w:p>
    <w:p w14:paraId="616C6FB3" w14:textId="77777777" w:rsidR="001513CF" w:rsidRPr="003558BB" w:rsidRDefault="001513CF" w:rsidP="001513CF"/>
    <w:p w14:paraId="180613BA" w14:textId="4B8BA504" w:rsidR="00A93291" w:rsidRDefault="001513CF" w:rsidP="003558BB">
      <w:r>
        <w:t xml:space="preserve">Connections and relationships with </w:t>
      </w:r>
      <w:r w:rsidR="001F729A">
        <w:t>college departments such as financial aid</w:t>
      </w:r>
      <w:r w:rsidR="00FA4B74">
        <w:t>, academic advising, disability resources, health services, and career services</w:t>
      </w:r>
      <w:r w:rsidR="00D74417">
        <w:t xml:space="preserve"> are </w:t>
      </w:r>
      <w:r w:rsidR="00BD6B9D">
        <w:t>important</w:t>
      </w:r>
      <w:r w:rsidR="00FA4B74">
        <w:t xml:space="preserve">. </w:t>
      </w:r>
      <w:r w:rsidR="008B04D0">
        <w:t xml:space="preserve">Transition </w:t>
      </w:r>
      <w:r w:rsidR="00CB09F4">
        <w:t>Program</w:t>
      </w:r>
      <w:r w:rsidR="00FA4B74">
        <w:t xml:space="preserve">s also work with </w:t>
      </w:r>
      <w:r w:rsidR="003558BB" w:rsidRPr="003558BB">
        <w:t xml:space="preserve">WIOA and other external partners and participate in collaborations in an effort to develop and enhance connections, resources, and support services for students.  </w:t>
      </w:r>
    </w:p>
    <w:p w14:paraId="280BDF78" w14:textId="77777777" w:rsidR="00F75476" w:rsidRDefault="00F75476">
      <w:pPr>
        <w:rPr>
          <w:rStyle w:val="Heading2Char"/>
          <w:rFonts w:eastAsia="Batang"/>
          <w:b/>
          <w:bCs w:val="0"/>
          <w:color w:val="E36C0A" w:themeColor="accent6" w:themeShade="BF"/>
          <w:szCs w:val="20"/>
        </w:rPr>
      </w:pPr>
      <w:bookmarkStart w:id="65" w:name="_Toc478457034"/>
      <w:bookmarkEnd w:id="64"/>
      <w:r>
        <w:rPr>
          <w:rStyle w:val="Heading2Char"/>
          <w:rFonts w:eastAsia="Batang"/>
          <w:b/>
          <w:color w:val="E36C0A" w:themeColor="accent6" w:themeShade="BF"/>
        </w:rPr>
        <w:br w:type="page"/>
      </w:r>
    </w:p>
    <w:p w14:paraId="6A88BE0E" w14:textId="393F7392" w:rsidR="00E00110" w:rsidRPr="00700B4E" w:rsidRDefault="003558BB" w:rsidP="00611015">
      <w:pPr>
        <w:pStyle w:val="Heading2"/>
        <w:spacing w:before="0"/>
        <w:rPr>
          <w:b/>
          <w:color w:val="E36C0A" w:themeColor="accent6" w:themeShade="BF"/>
        </w:rPr>
      </w:pPr>
      <w:bookmarkStart w:id="66" w:name="_Toc117504280"/>
      <w:r>
        <w:rPr>
          <w:rStyle w:val="Heading2Char"/>
          <w:rFonts w:eastAsia="Batang"/>
          <w:b/>
          <w:color w:val="E36C0A" w:themeColor="accent6" w:themeShade="BF"/>
        </w:rPr>
        <w:t>Chapter 8</w:t>
      </w:r>
      <w:r w:rsidR="00522519">
        <w:rPr>
          <w:rStyle w:val="Heading2Char"/>
          <w:rFonts w:eastAsia="Batang"/>
          <w:b/>
          <w:color w:val="E36C0A" w:themeColor="accent6" w:themeShade="BF"/>
        </w:rPr>
        <w:t xml:space="preserve">:  </w:t>
      </w:r>
      <w:r>
        <w:rPr>
          <w:rStyle w:val="Heading2Char"/>
          <w:rFonts w:eastAsia="Batang"/>
          <w:b/>
          <w:color w:val="E36C0A" w:themeColor="accent6" w:themeShade="BF"/>
        </w:rPr>
        <w:t>Indicator 8</w:t>
      </w:r>
      <w:r w:rsidR="00E00110" w:rsidRPr="00700B4E">
        <w:rPr>
          <w:rStyle w:val="Heading2Char"/>
          <w:rFonts w:eastAsia="Batang"/>
          <w:b/>
          <w:color w:val="E36C0A" w:themeColor="accent6" w:themeShade="BF"/>
        </w:rPr>
        <w:t>:  Fiscal and Data Accountability</w:t>
      </w:r>
      <w:bookmarkEnd w:id="65"/>
      <w:bookmarkEnd w:id="66"/>
    </w:p>
    <w:p w14:paraId="549B2F1E" w14:textId="77777777" w:rsidR="00C25FAC" w:rsidRPr="0079354F" w:rsidRDefault="00C25FAC" w:rsidP="00C25FAC">
      <w:bookmarkStart w:id="67" w:name="_Toc478457036"/>
      <w:bookmarkStart w:id="68" w:name="_Toc478457035"/>
      <w:r w:rsidRPr="0079354F">
        <w:t xml:space="preserve">Organizations that accept funds (i.e., a contract, a grant) from DESE are accountable for spending public funds appropriately, maintaining sound stable financial conditions, and operating in a financially responsible and transparent manner </w:t>
      </w:r>
      <w:r w:rsidRPr="0079354F">
        <w:rPr>
          <w:color w:val="000000" w:themeColor="text1"/>
        </w:rPr>
        <w:t xml:space="preserve">with </w:t>
      </w:r>
      <w:r w:rsidRPr="0079354F">
        <w:t>data integrity. Grantees that fail to abide by federal and state fiscal and data policies will face consequences including but not limited to conditional funding, corrective action, withholding of funds, grant reduction, or grant termination.</w:t>
      </w:r>
    </w:p>
    <w:p w14:paraId="24D354D5" w14:textId="77777777" w:rsidR="00C25FAC" w:rsidRPr="0079354F" w:rsidRDefault="00C25FAC" w:rsidP="00C25FAC">
      <w:bookmarkStart w:id="69" w:name="_Hlk36460181"/>
    </w:p>
    <w:p w14:paraId="5A6A3F1A" w14:textId="77777777" w:rsidR="00C25FAC" w:rsidRPr="00295F52" w:rsidRDefault="00C25FAC" w:rsidP="00C25FAC">
      <w:pPr>
        <w:pStyle w:val="Heading3"/>
        <w:rPr>
          <w:b w:val="0"/>
          <w:bCs w:val="0"/>
        </w:rPr>
      </w:pPr>
      <w:bookmarkStart w:id="70" w:name="_Toc109196019"/>
      <w:bookmarkStart w:id="71" w:name="_Toc117504281"/>
      <w:r w:rsidRPr="1E8607B9">
        <w:t>Fiscal Responsibilities and Grant Administration</w:t>
      </w:r>
      <w:bookmarkEnd w:id="69"/>
      <w:bookmarkEnd w:id="70"/>
      <w:bookmarkEnd w:id="71"/>
    </w:p>
    <w:p w14:paraId="3903AC7A" w14:textId="44D83F33" w:rsidR="00C25FAC" w:rsidRPr="0079354F" w:rsidRDefault="00C25FAC" w:rsidP="00C25FAC">
      <w:pPr>
        <w:rPr>
          <w:color w:val="000000" w:themeColor="text1"/>
        </w:rPr>
      </w:pPr>
      <w:r w:rsidRPr="0079354F">
        <w:rPr>
          <w:color w:val="000000" w:themeColor="text1"/>
        </w:rPr>
        <w:t>Grantees must comply with the terms, conditions, and regulations accompanying the grant award, accept full legal responsibility for the administration of the project, and meet all stated requirements</w:t>
      </w:r>
      <w:r w:rsidRPr="0079354F">
        <w:rPr>
          <w:rFonts w:ascii="Arial" w:hAnsi="Arial" w:cs="Arial"/>
          <w:color w:val="000000" w:themeColor="text1"/>
          <w:sz w:val="23"/>
          <w:szCs w:val="23"/>
        </w:rPr>
        <w:t xml:space="preserve">. </w:t>
      </w:r>
      <w:r w:rsidRPr="0079354F">
        <w:rPr>
          <w:color w:val="000000" w:themeColor="text1"/>
        </w:rPr>
        <w:t xml:space="preserve">Therefore, it is essential that grantees make every effort to follow sound management practices and policies throughout the entire grant cycle. Grantees must ensure that DESE grants are managed with sound, stable fiscal practices memorialized in a comprehensive system of written internal policies and procedures (i.e., controls) that meet state and federal requirements and support the reporting of financial results annually. See </w:t>
      </w:r>
      <w:hyperlink r:id="rId61">
        <w:r w:rsidRPr="0079354F">
          <w:rPr>
            <w:rStyle w:val="Hyperlink"/>
          </w:rPr>
          <w:t>2 CFR Part 200.302</w:t>
        </w:r>
      </w:hyperlink>
      <w:r w:rsidRPr="0079354F">
        <w:rPr>
          <w:color w:val="000000" w:themeColor="text1"/>
        </w:rPr>
        <w:t xml:space="preserve"> for more information. (Note: All requirements that apply to DESE grant funds also apply to match funds.)</w:t>
      </w:r>
    </w:p>
    <w:p w14:paraId="5CFC8A9A" w14:textId="77777777" w:rsidR="00C25FAC" w:rsidRPr="0079354F" w:rsidRDefault="00C25FAC" w:rsidP="00C25FAC"/>
    <w:p w14:paraId="5F5E1E52" w14:textId="77777777" w:rsidR="00C25FAC" w:rsidRPr="0079354F" w:rsidRDefault="00C25FAC" w:rsidP="00C25FAC">
      <w:pPr>
        <w:rPr>
          <w:color w:val="000000" w:themeColor="text1"/>
        </w:rPr>
      </w:pPr>
      <w:r>
        <w:t>Grantees must have an accounting system that maintains separate and auditable records for each grant award it receives. An effective accounting system tracks revenue and expenditures to demonstrate that funds were used appropriately by budget line and according to the approved budget. Specifically, the accounting system must be able to provide data to prepare federal, state, and DESE reports. These reports include budget versus actual, time and effort, and final financial reports (FR-1</w:t>
      </w:r>
      <w:r w:rsidRPr="23CFD7A5">
        <w:rPr>
          <w:color w:val="000000" w:themeColor="text1"/>
        </w:rPr>
        <w:t xml:space="preserve">). Grantees must have effective control and accountability over all funds, property, and assets and written procedures in place that can be used to determine allowable costs under the cost principles in </w:t>
      </w:r>
      <w:hyperlink r:id="rId62">
        <w:r w:rsidRPr="23CFD7A5">
          <w:rPr>
            <w:rStyle w:val="Hyperlink"/>
          </w:rPr>
          <w:t>2 CFR Part 200 Subpart E</w:t>
        </w:r>
      </w:hyperlink>
      <w:r w:rsidRPr="23CFD7A5">
        <w:rPr>
          <w:color w:val="000000" w:themeColor="text1"/>
        </w:rPr>
        <w:t>. By maintaining such an accounting system, grantees ensure that all grant funds are expended according to applicable regulations.</w:t>
      </w:r>
    </w:p>
    <w:p w14:paraId="38BE0A9A" w14:textId="77777777" w:rsidR="00C25FAC" w:rsidRPr="0079354F" w:rsidRDefault="00C25FAC" w:rsidP="00C25FAC">
      <w:pPr>
        <w:rPr>
          <w:color w:val="000000" w:themeColor="text1"/>
        </w:rPr>
      </w:pPr>
    </w:p>
    <w:p w14:paraId="6DA9957A" w14:textId="184C1ED8" w:rsidR="00C25FAC" w:rsidRPr="0079354F" w:rsidRDefault="00C25FAC" w:rsidP="00C25FAC">
      <w:pPr>
        <w:rPr>
          <w:color w:val="000000" w:themeColor="text1"/>
        </w:rPr>
      </w:pPr>
      <w:r w:rsidRPr="007122CA">
        <w:rPr>
          <w:color w:val="000000" w:themeColor="text1"/>
        </w:rPr>
        <w:t xml:space="preserve">For administrative and programmatic guidance, see the Hierarchy of Applicable Regulations in Appendix </w:t>
      </w:r>
      <w:r w:rsidR="007122CA" w:rsidRPr="007122CA">
        <w:rPr>
          <w:color w:val="000000" w:themeColor="text1"/>
        </w:rPr>
        <w:t>C</w:t>
      </w:r>
      <w:r w:rsidRPr="007122CA">
        <w:rPr>
          <w:color w:val="000000" w:themeColor="text1"/>
        </w:rPr>
        <w:t>.</w:t>
      </w:r>
    </w:p>
    <w:p w14:paraId="31802B62" w14:textId="77777777" w:rsidR="003B23F9" w:rsidRPr="0079354F" w:rsidRDefault="003B23F9" w:rsidP="003B23F9"/>
    <w:p w14:paraId="1D0D1D5B" w14:textId="77777777" w:rsidR="003B23F9" w:rsidRPr="00295F52" w:rsidRDefault="003B23F9" w:rsidP="003B23F9">
      <w:pPr>
        <w:pStyle w:val="Heading3"/>
        <w:rPr>
          <w:b w:val="0"/>
        </w:rPr>
      </w:pPr>
      <w:bookmarkStart w:id="72" w:name="_Toc109196020"/>
      <w:bookmarkStart w:id="73" w:name="_Toc117504282"/>
      <w:r w:rsidRPr="00CA19AD">
        <w:t>Record Keeping</w:t>
      </w:r>
      <w:bookmarkEnd w:id="72"/>
      <w:bookmarkEnd w:id="73"/>
    </w:p>
    <w:p w14:paraId="1B2BDBDE" w14:textId="77777777" w:rsidR="003B23F9" w:rsidRPr="0079354F" w:rsidRDefault="003B23F9" w:rsidP="003B23F9">
      <w:r w:rsidRPr="0079354F">
        <w:t>Grantees’ financial management, accounting, and reporting systems must be able to maintain records that identify the source and application of funds for each grant and accompanying matching funds separately. The financial management, accounting, and reporting systems must be able to maintain records to identify the source and application of funds for federal and state sponsored activities in DESE grants. Specifically, the accounting system must:</w:t>
      </w:r>
    </w:p>
    <w:p w14:paraId="7C9E82C6" w14:textId="77777777" w:rsidR="00C25FAC" w:rsidRPr="0079354F" w:rsidRDefault="00C25FAC" w:rsidP="00C25FAC">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Have a chart of accounts that identifies DESE grants and matching funds applicable to each grant;</w:t>
      </w:r>
    </w:p>
    <w:p w14:paraId="680BEFCC" w14:textId="77777777" w:rsidR="00C25FAC" w:rsidRPr="0079354F" w:rsidRDefault="00C25FAC" w:rsidP="00C25FAC">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Be able to produce budget versus actual reports. These reports compare the approved budget versus actual spending and provide a useful tool because they help grantees maintain compliance with approved grant budgets. Using them, programs can forecast needed changes in individual budget line amounts, if necessary (i.e., over 10% or $10,000), obtain approval from ACLS in a timely manner, and avoid unapproved overruns. Unapproved overruns are questionable costs and may result in DESE requesting the return of those funds;</w:t>
      </w:r>
    </w:p>
    <w:p w14:paraId="2CFB4758" w14:textId="77777777" w:rsidR="00C25FAC" w:rsidRPr="0079354F" w:rsidRDefault="00C25FAC" w:rsidP="00C25FAC">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Record grant funds and required matching funds separately in the grantee’s accounting system. Comingling of funds is not an accepted practice; and</w:t>
      </w:r>
    </w:p>
    <w:p w14:paraId="3EECB377" w14:textId="77777777" w:rsidR="003B23F9" w:rsidRPr="00CA19AD" w:rsidRDefault="00C25FAC" w:rsidP="00144355">
      <w:pPr>
        <w:pStyle w:val="ListParagraph"/>
        <w:numPr>
          <w:ilvl w:val="0"/>
          <w:numId w:val="1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As required </w:t>
      </w:r>
      <w:r w:rsidR="003B23F9" w:rsidRPr="0079354F">
        <w:rPr>
          <w:rFonts w:ascii="Times New Roman" w:hAnsi="Times New Roman" w:cs="Times New Roman"/>
          <w:sz w:val="24"/>
          <w:szCs w:val="24"/>
        </w:rPr>
        <w:t>by federal and state grant regulations, include authorizations; obligations and unobligated balances; expenditures; assets; and income and interest.</w:t>
      </w:r>
    </w:p>
    <w:p w14:paraId="19ADB46C" w14:textId="77777777" w:rsidR="003B23F9" w:rsidRPr="00CA19AD" w:rsidRDefault="003B23F9" w:rsidP="003B23F9">
      <w:pPr>
        <w:rPr>
          <w:color w:val="000000" w:themeColor="text1"/>
        </w:rPr>
      </w:pPr>
    </w:p>
    <w:p w14:paraId="37EF650F" w14:textId="77777777" w:rsidR="003B23F9" w:rsidRPr="0079354F" w:rsidRDefault="003B23F9" w:rsidP="003B23F9">
      <w:pPr>
        <w:rPr>
          <w:color w:val="000000" w:themeColor="text1"/>
        </w:rPr>
      </w:pPr>
      <w:r w:rsidRPr="0079354F">
        <w:rPr>
          <w:color w:val="000000" w:themeColor="text1"/>
        </w:rPr>
        <w:t>Grantees must become familiar with basic terms for financial management of funds such as:</w:t>
      </w:r>
    </w:p>
    <w:p w14:paraId="7604B169"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Cost accounting: The method by which costs incurred are allocated to grant programs by classification (i.e., type of expenditure)</w:t>
      </w:r>
    </w:p>
    <w:p w14:paraId="2D16F57E"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Allowability: Costs are necessary, reasonable, and allocable to the grant</w:t>
      </w:r>
    </w:p>
    <w:p w14:paraId="64D4AF6C"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Allocability: The degree to which goods or services can be charged to a particular cost objective in accordance with the relative benefits received. (Note: Grantees should create allocation schedules.)</w:t>
      </w:r>
    </w:p>
    <w:p w14:paraId="4E5ABB78"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Applicable credits: Receipts or reductions in expenditures that offset or reduce direct or indirect cost items (i.e., program income, and/or discounts)</w:t>
      </w:r>
    </w:p>
    <w:p w14:paraId="09D6C064"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Direct cost: A cost that is identified with and benefits a specific grant and is generally charged on a line item basis, such as grant staff and grant supplies</w:t>
      </w:r>
    </w:p>
    <w:p w14:paraId="0E9F6EFC"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Indirect cost: A cost incurred for common or organization wide activities or services that benefit more than one grant program or project, such as rent and utilities.</w:t>
      </w:r>
      <w:r w:rsidRPr="0079354F">
        <w:rPr>
          <w:rFonts w:ascii="Times New Roman" w:hAnsi="Times New Roman" w:cs="Times New Roman"/>
          <w:color w:val="FF0000"/>
          <w:sz w:val="24"/>
          <w:szCs w:val="24"/>
        </w:rPr>
        <w:t xml:space="preserve"> </w:t>
      </w:r>
      <w:r w:rsidR="00C25FAC" w:rsidRPr="0079354F">
        <w:rPr>
          <w:rFonts w:ascii="Times New Roman" w:hAnsi="Times New Roman" w:cs="Times New Roman"/>
          <w:color w:val="000000" w:themeColor="text1"/>
          <w:sz w:val="24"/>
          <w:szCs w:val="24"/>
        </w:rPr>
        <w:t xml:space="preserve">(Note: See </w:t>
      </w:r>
      <w:hyperlink r:id="rId63">
        <w:r w:rsidR="00C25FAC" w:rsidRPr="0079354F">
          <w:rPr>
            <w:rStyle w:val="Hyperlink"/>
            <w:rFonts w:ascii="Times New Roman" w:hAnsi="Times New Roman" w:cs="Times New Roman"/>
            <w:sz w:val="24"/>
            <w:szCs w:val="24"/>
          </w:rPr>
          <w:t>34 CFR Part 76.563-569</w:t>
        </w:r>
      </w:hyperlink>
      <w:r w:rsidRPr="0079354F">
        <w:rPr>
          <w:rFonts w:ascii="Times New Roman" w:hAnsi="Times New Roman" w:cs="Times New Roman"/>
          <w:color w:val="000000" w:themeColor="text1"/>
          <w:sz w:val="24"/>
          <w:szCs w:val="24"/>
        </w:rPr>
        <w:t xml:space="preserve"> for AE grants restrictions due to the statutory requirement to supplement not supplant.)</w:t>
      </w:r>
    </w:p>
    <w:p w14:paraId="157164EF" w14:textId="77777777" w:rsidR="003B23F9" w:rsidRPr="0079354F" w:rsidRDefault="003B23F9" w:rsidP="00144355">
      <w:pPr>
        <w:pStyle w:val="ListParagraph"/>
        <w:numPr>
          <w:ilvl w:val="0"/>
          <w:numId w:val="1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Audit trail: Documentation that supports all grant related transactions</w:t>
      </w:r>
    </w:p>
    <w:p w14:paraId="3A39DED2" w14:textId="77777777" w:rsidR="003B23F9" w:rsidRPr="00CA19AD" w:rsidRDefault="003B23F9" w:rsidP="003B23F9">
      <w:pPr>
        <w:rPr>
          <w:color w:val="000000" w:themeColor="text1"/>
        </w:rPr>
      </w:pPr>
    </w:p>
    <w:p w14:paraId="5925E864" w14:textId="77777777" w:rsidR="003B23F9" w:rsidRPr="0079354F" w:rsidRDefault="003B23F9" w:rsidP="003B23F9">
      <w:pPr>
        <w:rPr>
          <w:color w:val="000000" w:themeColor="text1"/>
        </w:rPr>
      </w:pPr>
      <w:r w:rsidRPr="23CFD7A5">
        <w:rPr>
          <w:color w:val="000000" w:themeColor="text1"/>
        </w:rPr>
        <w:t xml:space="preserve">As required under </w:t>
      </w:r>
      <w:hyperlink r:id="rId64">
        <w:r w:rsidR="00C25FAC" w:rsidRPr="23CFD7A5">
          <w:rPr>
            <w:rStyle w:val="Hyperlink"/>
          </w:rPr>
          <w:t>2 CFR Part 200.62</w:t>
        </w:r>
      </w:hyperlink>
      <w:r w:rsidRPr="23CFD7A5">
        <w:rPr>
          <w:color w:val="000000" w:themeColor="text1"/>
        </w:rPr>
        <w:t>, grantees must have written financial management procedures in place that show sound internal controls over federal and state grant funds; assurance procedures for payment requests and payments; and federal and state award expenditures that can be compared to the award budget. The specific written procedures grantees must have in writing are:</w:t>
      </w:r>
    </w:p>
    <w:p w14:paraId="1E5136D2"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Allowable costs policy: How the grantee determines the costs charged to the grant are allowable and who is responsible for expenditures charged to the grant.</w:t>
      </w:r>
    </w:p>
    <w:p w14:paraId="2CB0DEBF"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Cash management: Drawdown process ensuring funds maintained and funds drawn down by the grantee are for expenditures that have been incurred or will be incurred in a reasonable </w:t>
      </w:r>
      <w:r w:rsidR="00C25FAC" w:rsidRPr="0079354F">
        <w:rPr>
          <w:rFonts w:ascii="Times New Roman" w:hAnsi="Times New Roman" w:cs="Times New Roman"/>
          <w:color w:val="000000" w:themeColor="text1"/>
          <w:sz w:val="24"/>
          <w:szCs w:val="24"/>
        </w:rPr>
        <w:t>timeframe.</w:t>
      </w:r>
      <w:r w:rsidRPr="0079354F">
        <w:rPr>
          <w:rFonts w:ascii="Times New Roman" w:hAnsi="Times New Roman" w:cs="Times New Roman"/>
          <w:color w:val="000000" w:themeColor="text1"/>
          <w:sz w:val="24"/>
          <w:szCs w:val="24"/>
        </w:rPr>
        <w:t xml:space="preserve"> Funds are only drawn down by authorized staff.</w:t>
      </w:r>
    </w:p>
    <w:p w14:paraId="185E11AB"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Procurement: Federal procurement guidelines for community-based organizations, state regulations for state agencies, and federal and local regulations for towns, cities, and school districts</w:t>
      </w:r>
    </w:p>
    <w:p w14:paraId="6BD87D26"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Travel</w:t>
      </w:r>
    </w:p>
    <w:p w14:paraId="6B460533"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Personnel policies: Policies applied to the grant should be consistently applied for all employees of the grantee.</w:t>
      </w:r>
    </w:p>
    <w:p w14:paraId="78427307"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Inventory: Assets and technology</w:t>
      </w:r>
    </w:p>
    <w:p w14:paraId="2843DD56"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Time and effort reporting: Time and effort for each employee charged to the grant for both full and split funded employees through timesheets, monthly and semi-certifications, and allocation schedules.</w:t>
      </w:r>
    </w:p>
    <w:p w14:paraId="4E8F0794"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Conflict of interest</w:t>
      </w:r>
    </w:p>
    <w:p w14:paraId="6022A2B6" w14:textId="77777777" w:rsidR="003B23F9" w:rsidRPr="0079354F" w:rsidRDefault="003B23F9" w:rsidP="00144355">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Budget process</w:t>
      </w:r>
    </w:p>
    <w:p w14:paraId="5CFE0610" w14:textId="7AED1246" w:rsidR="003B23F9" w:rsidRDefault="003B23F9" w:rsidP="003B23F9">
      <w:pPr>
        <w:pStyle w:val="ListParagraph"/>
        <w:numPr>
          <w:ilvl w:val="0"/>
          <w:numId w:val="16"/>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Records retention</w:t>
      </w:r>
    </w:p>
    <w:p w14:paraId="475F7252" w14:textId="77777777" w:rsidR="000D0A84" w:rsidRPr="00E31661" w:rsidRDefault="000D0A84" w:rsidP="003B23F9">
      <w:pPr>
        <w:pStyle w:val="ListParagraph"/>
        <w:numPr>
          <w:ilvl w:val="0"/>
          <w:numId w:val="16"/>
        </w:numPr>
        <w:spacing w:after="0" w:line="240" w:lineRule="auto"/>
        <w:rPr>
          <w:rFonts w:ascii="Times New Roman" w:hAnsi="Times New Roman" w:cs="Times New Roman"/>
          <w:color w:val="000000" w:themeColor="text1"/>
          <w:sz w:val="24"/>
          <w:szCs w:val="24"/>
        </w:rPr>
      </w:pPr>
    </w:p>
    <w:p w14:paraId="183B8C3A" w14:textId="77777777" w:rsidR="003B23F9" w:rsidRPr="006F4344" w:rsidRDefault="003B23F9" w:rsidP="003B23F9">
      <w:pPr>
        <w:pStyle w:val="Heading4"/>
        <w:spacing w:before="0"/>
        <w:rPr>
          <w:b/>
          <w:color w:val="E36C0A" w:themeColor="accent6" w:themeShade="BF"/>
        </w:rPr>
      </w:pPr>
      <w:r w:rsidRPr="00187183">
        <w:rPr>
          <w:b/>
          <w:color w:val="B85808"/>
        </w:rPr>
        <w:t>Record Retention</w:t>
      </w:r>
    </w:p>
    <w:p w14:paraId="3F7F3C93" w14:textId="77777777" w:rsidR="003B23F9" w:rsidRPr="0079354F" w:rsidRDefault="003B23F9" w:rsidP="003B23F9">
      <w:pPr>
        <w:rPr>
          <w:color w:val="000000" w:themeColor="text1"/>
        </w:rPr>
      </w:pPr>
      <w:r w:rsidRPr="23CFD7A5">
        <w:rPr>
          <w:color w:val="000000" w:themeColor="text1"/>
        </w:rPr>
        <w:t xml:space="preserve">Grantees and subcontractors of DESE must abide by </w:t>
      </w:r>
      <w:r w:rsidR="00C25FAC" w:rsidRPr="23CFD7A5">
        <w:rPr>
          <w:color w:val="000000" w:themeColor="text1"/>
        </w:rPr>
        <w:t xml:space="preserve">the </w:t>
      </w:r>
      <w:hyperlink r:id="rId65">
        <w:r w:rsidR="00C25FAC" w:rsidRPr="23CFD7A5">
          <w:rPr>
            <w:rStyle w:val="Hyperlink"/>
          </w:rPr>
          <w:t>Commonwealth of Massachusetts Regulation, 815 CMR 2.00 State Grants, Federal Grant Awards, Federal Subgrants, and Subsidies</w:t>
        </w:r>
      </w:hyperlink>
      <w:r w:rsidR="00C25FAC" w:rsidRPr="23CFD7A5">
        <w:rPr>
          <w:color w:val="000000" w:themeColor="text1"/>
        </w:rPr>
        <w:t>.</w:t>
      </w:r>
      <w:r w:rsidRPr="23CFD7A5">
        <w:rPr>
          <w:color w:val="000000" w:themeColor="text1"/>
        </w:rPr>
        <w:t xml:space="preserve"> The regulation requires that all DESE grant and subsidy recipients maintain all files, records, and documents related to the program. This includes all financial and program records, and data records for seven years beginning on the first day of the final payment of the grant or such longer period as is necessary for resolution to any claims, litigation, negotiation, and or audit. Financial and data records must be made available for review by DESE upon request. Falsification of required documentation may trigger a data and/or fiscal monitoring review from DESE, conditions placed on current funding, or result in termination of the grant.</w:t>
      </w:r>
    </w:p>
    <w:p w14:paraId="0F43B364" w14:textId="77777777" w:rsidR="003B23F9" w:rsidRPr="0079354F" w:rsidRDefault="003B23F9" w:rsidP="003B23F9">
      <w:pPr>
        <w:rPr>
          <w:color w:val="000000" w:themeColor="text1"/>
        </w:rPr>
      </w:pPr>
    </w:p>
    <w:p w14:paraId="3345AA97" w14:textId="77777777" w:rsidR="003B23F9" w:rsidRPr="0079354F" w:rsidRDefault="003B23F9" w:rsidP="003B23F9">
      <w:pPr>
        <w:rPr>
          <w:color w:val="000000" w:themeColor="text1"/>
        </w:rPr>
      </w:pPr>
      <w:r w:rsidRPr="0079354F">
        <w:rPr>
          <w:color w:val="000000" w:themeColor="text1"/>
        </w:rPr>
        <w:t>Records may be retained in electronic format. However, the grantee is expected to establish formal procedures that address records management requirements, including recordkeeping requirements and disposition.</w:t>
      </w:r>
    </w:p>
    <w:p w14:paraId="12AE4397" w14:textId="77777777" w:rsidR="003B23F9" w:rsidRPr="0079354F" w:rsidRDefault="003B23F9" w:rsidP="003B23F9">
      <w:pPr>
        <w:rPr>
          <w:color w:val="000000" w:themeColor="text1"/>
        </w:rPr>
      </w:pPr>
    </w:p>
    <w:p w14:paraId="4263BE70" w14:textId="77777777" w:rsidR="003B23F9" w:rsidRPr="00CA19AD" w:rsidRDefault="003B23F9" w:rsidP="003B23F9">
      <w:pPr>
        <w:rPr>
          <w:color w:val="000000"/>
        </w:rPr>
      </w:pPr>
      <w:r w:rsidRPr="0079354F">
        <w:rPr>
          <w:color w:val="000000" w:themeColor="text1"/>
        </w:rPr>
        <w:t xml:space="preserve">For guidance on establishing administrative controls, visit the </w:t>
      </w:r>
      <w:hyperlink r:id="rId66">
        <w:r w:rsidR="00C25FAC" w:rsidRPr="0079354F">
          <w:rPr>
            <w:rStyle w:val="Hyperlink"/>
          </w:rPr>
          <w:t>Commonwealth of Massachusetts Secretary of State Electronic Records Guidelines</w:t>
        </w:r>
      </w:hyperlink>
      <w:r w:rsidRPr="0079354F">
        <w:rPr>
          <w:color w:val="000000" w:themeColor="text1"/>
        </w:rPr>
        <w:t>.</w:t>
      </w:r>
    </w:p>
    <w:p w14:paraId="078DAC94" w14:textId="77777777" w:rsidR="003B23F9" w:rsidRPr="00CA19AD" w:rsidRDefault="003B23F9" w:rsidP="003B23F9"/>
    <w:p w14:paraId="61224DBB" w14:textId="77777777" w:rsidR="003B23F9" w:rsidRPr="006F4344" w:rsidRDefault="003B23F9" w:rsidP="003B23F9">
      <w:pPr>
        <w:pStyle w:val="Heading4"/>
        <w:spacing w:before="0"/>
        <w:rPr>
          <w:b/>
          <w:color w:val="E36C0A" w:themeColor="accent6" w:themeShade="BF"/>
        </w:rPr>
      </w:pPr>
      <w:r w:rsidRPr="00187183">
        <w:rPr>
          <w:b/>
          <w:color w:val="B85808"/>
        </w:rPr>
        <w:t>Grants Accounting and Information System</w:t>
      </w:r>
    </w:p>
    <w:p w14:paraId="7C0CDFF6" w14:textId="77777777" w:rsidR="003B23F9" w:rsidRPr="0079354F" w:rsidRDefault="003B23F9" w:rsidP="003B23F9">
      <w:bookmarkStart w:id="74" w:name="_Toc37075459"/>
      <w:r w:rsidRPr="0079354F">
        <w:t xml:space="preserve">Grantees must have an accounting system that enables them to develop and submit an annual budget that supports the services approved in the grant. The budget process must be in writing and reflect the requirements of the grant. Authorized personnel must submit grant budgets by the deadlines specified in the DESE grants accounting system, </w:t>
      </w:r>
      <w:hyperlink r:id="rId67">
        <w:r w:rsidR="00C25FAC" w:rsidRPr="0079354F">
          <w:rPr>
            <w:rStyle w:val="Hyperlink"/>
          </w:rPr>
          <w:t>EdGrants</w:t>
        </w:r>
      </w:hyperlink>
      <w:r w:rsidR="00C25FAC" w:rsidRPr="0079354F">
        <w:t>.</w:t>
      </w:r>
      <w:r w:rsidRPr="0079354F">
        <w:t xml:space="preserve"> Failure to meet the specified deadlines may delay grant approvals.</w:t>
      </w:r>
      <w:bookmarkEnd w:id="74"/>
    </w:p>
    <w:p w14:paraId="14F8E930" w14:textId="77777777" w:rsidR="003B23F9" w:rsidRPr="0079354F" w:rsidRDefault="003B23F9" w:rsidP="003B23F9"/>
    <w:p w14:paraId="2C16A3FD" w14:textId="77777777" w:rsidR="003B23F9" w:rsidRPr="00CA19AD" w:rsidRDefault="003B23F9" w:rsidP="003B23F9">
      <w:r w:rsidRPr="0079354F">
        <w:t>DESE also uses WizeHive, a flexible solution for addressing ACLS information collection needs including grant information. ACLS will send links and instructions for using WizeHive to grantees as needed.</w:t>
      </w:r>
    </w:p>
    <w:p w14:paraId="7B9DFAAC" w14:textId="77777777" w:rsidR="0022358A" w:rsidRPr="0079354F" w:rsidRDefault="0022358A" w:rsidP="00C25FAC"/>
    <w:p w14:paraId="76A6898C" w14:textId="77777777" w:rsidR="00C25FAC" w:rsidRPr="0079354F" w:rsidRDefault="00716D36" w:rsidP="00C25FAC">
      <w:r w:rsidRPr="00CA19AD">
        <w:t xml:space="preserve">For more information on grants, see </w:t>
      </w:r>
      <w:hyperlink r:id="rId68" w:history="1">
        <w:r w:rsidR="00C25FAC" w:rsidRPr="0079354F">
          <w:rPr>
            <w:rStyle w:val="Hyperlink"/>
          </w:rPr>
          <w:t>Grants for Schools: Getting Them and Using Them, A Procedural Manual</w:t>
        </w:r>
      </w:hyperlink>
      <w:r w:rsidRPr="00CA19AD">
        <w:t xml:space="preserve"> and </w:t>
      </w:r>
      <w:hyperlink r:id="rId69" w:history="1">
        <w:r w:rsidR="00C25FAC" w:rsidRPr="0079354F">
          <w:rPr>
            <w:rStyle w:val="Hyperlink"/>
          </w:rPr>
          <w:t>EdGrants: User Guides, Information and Trainings</w:t>
        </w:r>
      </w:hyperlink>
      <w:r w:rsidR="00C25FAC" w:rsidRPr="0079354F">
        <w:t>.</w:t>
      </w:r>
    </w:p>
    <w:p w14:paraId="6DF7C3CE" w14:textId="77777777" w:rsidR="00C25FAC" w:rsidRPr="0079354F" w:rsidRDefault="00C25FAC" w:rsidP="00C25FAC">
      <w:r w:rsidRPr="0079354F">
        <w:br w:type="page"/>
      </w:r>
    </w:p>
    <w:p w14:paraId="551FB118" w14:textId="77777777" w:rsidR="00716D36" w:rsidRPr="00295F52" w:rsidRDefault="00716D36" w:rsidP="00716D36">
      <w:pPr>
        <w:pStyle w:val="Heading3"/>
        <w:rPr>
          <w:b w:val="0"/>
        </w:rPr>
      </w:pPr>
      <w:bookmarkStart w:id="75" w:name="_Toc109196021"/>
      <w:bookmarkStart w:id="76" w:name="_Toc117504283"/>
      <w:r w:rsidRPr="00CA19AD">
        <w:t>Supplement not Supplant</w:t>
      </w:r>
      <w:bookmarkEnd w:id="75"/>
      <w:bookmarkEnd w:id="76"/>
    </w:p>
    <w:p w14:paraId="3BD9B7EA" w14:textId="77777777" w:rsidR="00716D36" w:rsidRPr="0079354F" w:rsidRDefault="00716D36" w:rsidP="00716D36">
      <w:pPr>
        <w:rPr>
          <w:color w:val="000000" w:themeColor="text1"/>
        </w:rPr>
      </w:pPr>
      <w:r w:rsidRPr="0079354F">
        <w:t xml:space="preserve">AE grants are not intended to support 100% of programs costs. Technically classified as restricted rate grants, because they have the statutory requirement to supplement and not supplant (i.e., SNS) other federal, state, local, or private funding, AE funds </w:t>
      </w:r>
      <w:r w:rsidRPr="0079354F">
        <w:rPr>
          <w:color w:val="000000" w:themeColor="text1"/>
        </w:rPr>
        <w:t xml:space="preserve">cannot be used for costs that are assumed to be part of the agreement of the grant nor can they be used for costs previously funded with other funds available to the grantee. </w:t>
      </w:r>
      <w:r w:rsidRPr="0079354F">
        <w:t>In other words, AE grant funds may not be used to pay for expenses that have been paid for by other federal, state, local, or private awards in the prior year or for costs assumed to be part of the determination of awarding funds to the grantee.</w:t>
      </w:r>
      <w:r>
        <w:t xml:space="preserve"> </w:t>
      </w:r>
      <w:r w:rsidRPr="0079354F">
        <w:rPr>
          <w:color w:val="000000" w:themeColor="text1"/>
        </w:rPr>
        <w:t>The funds must be used as a supplement to an existing program.</w:t>
      </w:r>
    </w:p>
    <w:p w14:paraId="2A716FD0" w14:textId="77777777" w:rsidR="00716D36" w:rsidRPr="0079354F" w:rsidRDefault="00716D36" w:rsidP="00716D36"/>
    <w:p w14:paraId="5CDB564D" w14:textId="77777777" w:rsidR="00716D36" w:rsidRPr="00CA19AD" w:rsidRDefault="00716D36" w:rsidP="00716D36">
      <w:pPr>
        <w:rPr>
          <w:color w:val="000000" w:themeColor="text1"/>
        </w:rPr>
      </w:pPr>
      <w:r w:rsidRPr="0079354F">
        <w:rPr>
          <w:color w:val="000000" w:themeColor="text1"/>
        </w:rPr>
        <w:t xml:space="preserve">This explains why grantees are expected to use existing resources to ensure the fiscal health of AE programs. For example, costs for rental of space including maintenance are assumed to be provided by the grantee when awarding the grant and therefore cannot be charged to the grant. Space attributed to the general administrative units of the grantee may be included as part of the indirect costs rate. However, the grantee must maintain records in determining indirect costs on file and have an approved indirect cost rate agreement from a federal cognizant agency or negotiate a rate with DESE. </w:t>
      </w:r>
      <w:r w:rsidR="00C25FAC" w:rsidRPr="0079354F">
        <w:rPr>
          <w:color w:val="000000" w:themeColor="text1"/>
        </w:rPr>
        <w:t xml:space="preserve">Please refer to </w:t>
      </w:r>
      <w:hyperlink r:id="rId70">
        <w:r w:rsidR="00C25FAC" w:rsidRPr="0079354F">
          <w:rPr>
            <w:rStyle w:val="Hyperlink"/>
          </w:rPr>
          <w:t>34 CFR Part 76.563-569</w:t>
        </w:r>
      </w:hyperlink>
      <w:r w:rsidRPr="0079354F">
        <w:rPr>
          <w:color w:val="000000" w:themeColor="text1"/>
        </w:rPr>
        <w:t xml:space="preserve"> for further guidance.</w:t>
      </w:r>
    </w:p>
    <w:bookmarkEnd w:id="67"/>
    <w:p w14:paraId="658ABCB5" w14:textId="77777777" w:rsidR="00E00110" w:rsidRPr="0079354F" w:rsidRDefault="00E00110" w:rsidP="0047675C"/>
    <w:p w14:paraId="16766BCF" w14:textId="77777777" w:rsidR="00C25FAC" w:rsidRPr="00295F52" w:rsidRDefault="00C25FAC" w:rsidP="00C25FAC">
      <w:pPr>
        <w:pStyle w:val="Heading3"/>
        <w:rPr>
          <w:b w:val="0"/>
          <w:bCs w:val="0"/>
        </w:rPr>
      </w:pPr>
      <w:bookmarkStart w:id="77" w:name="_Toc109196022"/>
      <w:bookmarkStart w:id="78" w:name="_Toc117504284"/>
      <w:r w:rsidRPr="1E8607B9">
        <w:t>Match and Maintenance of Effort (State requirement)</w:t>
      </w:r>
      <w:bookmarkEnd w:id="77"/>
      <w:bookmarkEnd w:id="78"/>
    </w:p>
    <w:p w14:paraId="5812A7EF" w14:textId="4303CAD4" w:rsidR="00C25FAC" w:rsidRPr="0079354F" w:rsidRDefault="00C25FAC" w:rsidP="00C25FAC">
      <w:r>
        <w:t xml:space="preserve">As per </w:t>
      </w:r>
      <w:hyperlink r:id="rId71">
        <w:r w:rsidRPr="23CFD7A5">
          <w:rPr>
            <w:rStyle w:val="Hyperlink"/>
          </w:rPr>
          <w:t>2 CFR Part 200.306</w:t>
        </w:r>
      </w:hyperlink>
      <w:r>
        <w:t xml:space="preserve">, ACLS requires that </w:t>
      </w:r>
      <w:r w:rsidR="00CB09F4">
        <w:t>Transition Program</w:t>
      </w:r>
      <w:r w:rsidR="009143F9">
        <w:t xml:space="preserve"> </w:t>
      </w:r>
      <w:r>
        <w:t xml:space="preserve">grantees provide a minimum of </w:t>
      </w:r>
      <w:r w:rsidR="009143F9">
        <w:t>3</w:t>
      </w:r>
      <w:r>
        <w:t>0% of the total grant award as match or the amount contributed in the previous year, whichever is greater (i.e., the matching share committed in year one of a multi-year grant cycle cannot be reduced without written DESE approval).</w:t>
      </w:r>
    </w:p>
    <w:p w14:paraId="5EC15D74" w14:textId="77777777" w:rsidR="00C25FAC" w:rsidRPr="0079354F" w:rsidRDefault="00C25FAC" w:rsidP="00C25FAC"/>
    <w:bookmarkEnd w:id="68"/>
    <w:p w14:paraId="3B2B1EFB" w14:textId="77777777" w:rsidR="00C25FAC" w:rsidRPr="0079354F" w:rsidRDefault="00C25FAC" w:rsidP="00C25FAC">
      <w:r w:rsidRPr="0079354F">
        <w:t xml:space="preserve">This is referred to as maintenance of effort (MOE) and it applies to the full range of commitments grantees make in the first year of a funding cycle (e.g., director qualifications, space, technology). </w:t>
      </w:r>
      <w:r w:rsidRPr="0079354F">
        <w:rPr>
          <w:color w:val="000000" w:themeColor="text1"/>
        </w:rPr>
        <w:t>Specifically, the grantee is expected to provide some funding toward the direct services to the program for their match.</w:t>
      </w:r>
    </w:p>
    <w:p w14:paraId="005055FC" w14:textId="77777777" w:rsidR="007B5D08" w:rsidRDefault="007B5D08" w:rsidP="000E4E90"/>
    <w:p w14:paraId="24FF4D03" w14:textId="77777777" w:rsidR="007B5D08" w:rsidRPr="00CA19AD" w:rsidRDefault="007B5D08" w:rsidP="007B5D08">
      <w:r w:rsidRPr="0079354F">
        <w:t>Only allowable program costs can be charged to match. As a result, indirect costs in excess of 8% cannot be recovered. (Note: Programs that have a DESE approved IDC rate of 8%, can claim a portion of that rate on the direct budget and a portion of that rate on match (e.g., 4% IDC on the direct budget and 4% IDC on the match budget). Programs that have a federally approved indirect cost (IDC) rate that exceeds the DESE approved IDC rate may not claim the difference between the 8% and the federally approved rate as match.</w:t>
      </w:r>
    </w:p>
    <w:p w14:paraId="713A22DC" w14:textId="77777777" w:rsidR="007B5D08" w:rsidRPr="00CA19AD" w:rsidRDefault="007B5D08" w:rsidP="007B5D08"/>
    <w:p w14:paraId="5E58580B" w14:textId="77777777" w:rsidR="007B5D08" w:rsidRPr="00CA19AD" w:rsidRDefault="00C25FAC" w:rsidP="007B5D08">
      <w:r>
        <w:t xml:space="preserve">All matching funds and contributions must be directly </w:t>
      </w:r>
      <w:r w:rsidR="007B5D08">
        <w:t xml:space="preserve">related to the </w:t>
      </w:r>
      <w:r>
        <w:t>grant program. This includes cash and third-party in-kind contributions.</w:t>
      </w:r>
      <w:r w:rsidR="007B5D08">
        <w:t xml:space="preserve"> These contributions must adhere to the requirements detailed in this chapter. Specifically, they must be verifiable, adequately supported with documentation, and approved in the program budget. Time and effort reporting for volunteers’ matching expenditures must adhere to the same reporting policies and procedures used for the grantees’ employees. The expenditures used as matching funds may not be included as contributions for or funded by any other federal award.</w:t>
      </w:r>
    </w:p>
    <w:p w14:paraId="7E367D3A" w14:textId="77777777" w:rsidR="007B5D08" w:rsidRPr="00CA19AD" w:rsidRDefault="007B5D08" w:rsidP="007B5D08"/>
    <w:p w14:paraId="0B6F151B" w14:textId="77777777" w:rsidR="007B5D08" w:rsidRPr="0079354F" w:rsidRDefault="007B5D08" w:rsidP="007B5D08">
      <w:r w:rsidRPr="0079354F">
        <w:t>Examples of allowable matching or cost-sharing requirement criteria are:</w:t>
      </w:r>
    </w:p>
    <w:p w14:paraId="3F896A2D" w14:textId="77777777" w:rsidR="007B5D08" w:rsidRPr="0079354F" w:rsidRDefault="007B5D08" w:rsidP="00144355">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value of the third-party in-kind contributions is applicable to the period to which the cost sharing or matching requirements apply;</w:t>
      </w:r>
    </w:p>
    <w:p w14:paraId="15BB1120" w14:textId="77777777" w:rsidR="007B5D08" w:rsidRPr="0079354F" w:rsidRDefault="007B5D08" w:rsidP="00144355">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donated services provided to a grantee or subgrantee by individuals must be valued at rates consistent with those ordinarily paid for similar work, in the grantee's or subgrantee's organization; and</w:t>
      </w:r>
    </w:p>
    <w:p w14:paraId="448CA4C2" w14:textId="77777777" w:rsidR="007B5D08" w:rsidRPr="0079354F" w:rsidRDefault="007B5D08" w:rsidP="00144355">
      <w:pPr>
        <w:pStyle w:val="ListParagraph"/>
        <w:numPr>
          <w:ilvl w:val="0"/>
          <w:numId w:val="1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third party donated supplies and loaned equipment or space must be valued at rates consistent with those common in the area where the grantee provides services.</w:t>
      </w:r>
    </w:p>
    <w:p w14:paraId="62997FCA" w14:textId="77777777" w:rsidR="007B5D08" w:rsidRPr="003B362D" w:rsidRDefault="007B5D08" w:rsidP="000E4E90"/>
    <w:p w14:paraId="35C85601" w14:textId="77777777" w:rsidR="00C25FAC" w:rsidRPr="0079354F" w:rsidRDefault="00C25FAC" w:rsidP="00C25FAC">
      <w:r w:rsidRPr="0079354F">
        <w:t xml:space="preserve">The source(s) of match funding must be documented, and the match funds must be an integral part of the approved program, </w:t>
      </w:r>
      <w:r w:rsidRPr="0079354F">
        <w:rPr>
          <w:color w:val="000000" w:themeColor="text1"/>
        </w:rPr>
        <w:t xml:space="preserve">recorded in the grantee’s financial management system for each </w:t>
      </w:r>
      <w:r w:rsidRPr="0079354F">
        <w:t>grant, fully auditable, and demonstrative of the grantee’s capacity to provide self-sustaining fiscal and program operations. Examples of acceptable match requirements include but are not limited to:</w:t>
      </w:r>
    </w:p>
    <w:p w14:paraId="6198343C" w14:textId="09E0EBC0" w:rsidR="00C25FAC" w:rsidRPr="0079354F" w:rsidRDefault="00C25FAC" w:rsidP="00C25FAC">
      <w:pPr>
        <w:pStyle w:val="ListParagraph"/>
        <w:numPr>
          <w:ilvl w:val="0"/>
          <w:numId w:val="30"/>
        </w:numPr>
        <w:spacing w:after="0" w:line="240" w:lineRule="auto"/>
        <w:rPr>
          <w:rFonts w:eastAsiaTheme="minorEastAsia"/>
          <w:sz w:val="24"/>
          <w:szCs w:val="24"/>
        </w:rPr>
      </w:pPr>
      <w:r w:rsidRPr="66C7746C">
        <w:rPr>
          <w:rFonts w:ascii="Times New Roman" w:hAnsi="Times New Roman" w:cs="Times New Roman"/>
          <w:sz w:val="24"/>
          <w:szCs w:val="24"/>
        </w:rPr>
        <w:t xml:space="preserve">Classes supported by match funds. If a program meets the match requirement with classes, these classes and students must be entered into </w:t>
      </w:r>
      <w:hyperlink r:id="rId72">
        <w:r w:rsidRPr="66C7746C">
          <w:rPr>
            <w:rStyle w:val="Hyperlink"/>
            <w:rFonts w:ascii="Times New Roman" w:hAnsi="Times New Roman" w:cs="Times New Roman"/>
            <w:sz w:val="24"/>
            <w:szCs w:val="24"/>
          </w:rPr>
          <w:t>LACES</w:t>
        </w:r>
      </w:hyperlink>
      <w:r w:rsidRPr="66C7746C">
        <w:rPr>
          <w:rFonts w:ascii="Times New Roman" w:hAnsi="Times New Roman" w:cs="Times New Roman"/>
          <w:sz w:val="24"/>
          <w:szCs w:val="24"/>
        </w:rPr>
        <w:t>.</w:t>
      </w:r>
    </w:p>
    <w:p w14:paraId="2718D3C4" w14:textId="77777777" w:rsidR="00277671" w:rsidRPr="0079354F" w:rsidRDefault="00277671" w:rsidP="00C25FAC">
      <w:pPr>
        <w:pStyle w:val="ListParagraph"/>
        <w:numPr>
          <w:ilvl w:val="0"/>
          <w:numId w:val="3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Allowable costs incurred by the grantee, subgrantee, or a cost-type contractor under the assistance agreement;</w:t>
      </w:r>
    </w:p>
    <w:p w14:paraId="7E80C43E" w14:textId="3A2473E4" w:rsidR="00E00110" w:rsidRPr="00532198" w:rsidRDefault="00E00110" w:rsidP="00C25FAC">
      <w:pPr>
        <w:pStyle w:val="ListParagraph"/>
        <w:numPr>
          <w:ilvl w:val="0"/>
          <w:numId w:val="30"/>
        </w:numPr>
        <w:spacing w:after="0" w:line="240" w:lineRule="auto"/>
        <w:rPr>
          <w:rFonts w:ascii="Times New Roman" w:hAnsi="Times New Roman" w:cs="Times New Roman"/>
          <w:sz w:val="24"/>
          <w:szCs w:val="24"/>
        </w:rPr>
      </w:pPr>
      <w:r w:rsidRPr="00532198">
        <w:rPr>
          <w:rFonts w:ascii="Times New Roman" w:hAnsi="Times New Roman" w:cs="Times New Roman"/>
          <w:sz w:val="24"/>
          <w:szCs w:val="24"/>
        </w:rPr>
        <w:t xml:space="preserve">Personnel who provide volunteer </w:t>
      </w:r>
      <w:r w:rsidR="002A5CA1" w:rsidRPr="00532198">
        <w:rPr>
          <w:rFonts w:ascii="Times New Roman" w:hAnsi="Times New Roman" w:cs="Times New Roman"/>
          <w:sz w:val="24"/>
          <w:szCs w:val="24"/>
        </w:rPr>
        <w:t xml:space="preserve">instructional </w:t>
      </w:r>
      <w:r w:rsidR="00921ABA" w:rsidRPr="00532198">
        <w:rPr>
          <w:rFonts w:ascii="Times New Roman" w:hAnsi="Times New Roman" w:cs="Times New Roman"/>
          <w:sz w:val="24"/>
          <w:szCs w:val="24"/>
        </w:rPr>
        <w:t>services (</w:t>
      </w:r>
      <w:r w:rsidR="00C25FAC" w:rsidRPr="0079354F">
        <w:rPr>
          <w:rFonts w:ascii="Times New Roman" w:hAnsi="Times New Roman" w:cs="Times New Roman"/>
          <w:sz w:val="24"/>
          <w:szCs w:val="24"/>
        </w:rPr>
        <w:t>e.g., in class, one on one tutoring). Rates for volunteer services must be consistent with rates for similar work paid by the grantee. If required skills are not paid for by the grantee, rates must be consistent with those paid for similar work in the labor market. Fringe benefits that are reasonable, necessary, allocable, and allowable may be included in the valuation but only to the extent that they are included in the grantee’s personnel policies. Time of the volunteer services must be documented using the same time and effort reporting system used for employees of the grantee. DESE limits matching contributions for volunteer time to 5% of the total grant award, not to exceed $24,000;</w:t>
      </w:r>
    </w:p>
    <w:p w14:paraId="2CF567A6" w14:textId="77777777" w:rsidR="00277671" w:rsidRPr="0079354F" w:rsidRDefault="00277671" w:rsidP="00C25FAC">
      <w:pPr>
        <w:pStyle w:val="ListParagraph"/>
        <w:numPr>
          <w:ilvl w:val="0"/>
          <w:numId w:val="3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Employees of other organizations; and</w:t>
      </w:r>
    </w:p>
    <w:p w14:paraId="5D961F26" w14:textId="3BEF6C57" w:rsidR="00277671" w:rsidRPr="0079354F" w:rsidRDefault="00E00110" w:rsidP="00C25FAC">
      <w:pPr>
        <w:pStyle w:val="ListParagraph"/>
        <w:numPr>
          <w:ilvl w:val="0"/>
          <w:numId w:val="3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 xml:space="preserve">Space may be claimed as match. The amount charged to the grant must be limited to actual usage of the space by the </w:t>
      </w:r>
      <w:r w:rsidR="00CB09F4">
        <w:rPr>
          <w:rFonts w:ascii="Times New Roman" w:hAnsi="Times New Roman" w:cs="Times New Roman"/>
          <w:sz w:val="24"/>
          <w:szCs w:val="24"/>
        </w:rPr>
        <w:t>Transition Program</w:t>
      </w:r>
      <w:r w:rsidR="00C25FAC" w:rsidRPr="0079354F">
        <w:rPr>
          <w:rFonts w:ascii="Times New Roman" w:hAnsi="Times New Roman" w:cs="Times New Roman"/>
          <w:sz w:val="24"/>
          <w:szCs w:val="24"/>
        </w:rPr>
        <w:t>.</w:t>
      </w:r>
      <w:r w:rsidRPr="0079354F">
        <w:rPr>
          <w:rFonts w:ascii="Times New Roman" w:hAnsi="Times New Roman" w:cs="Times New Roman"/>
          <w:sz w:val="24"/>
          <w:szCs w:val="24"/>
        </w:rPr>
        <w:t xml:space="preserve"> The formula for determining match is the cost per sq. ft. used by the program (e.g., classrooms, office space) multiplied by the percentage of time the space is used by the program</w:t>
      </w:r>
      <w:r w:rsidRPr="0079354F">
        <w:rPr>
          <w:rFonts w:ascii="Times New Roman" w:hAnsi="Times New Roman" w:cs="Times New Roman"/>
          <w:color w:val="1F497D" w:themeColor="text2"/>
          <w:sz w:val="24"/>
          <w:szCs w:val="24"/>
        </w:rPr>
        <w:t>.</w:t>
      </w:r>
      <w:r w:rsidR="00277671" w:rsidRPr="0079354F">
        <w:rPr>
          <w:rFonts w:ascii="Times New Roman" w:hAnsi="Times New Roman" w:cs="Times New Roman"/>
          <w:color w:val="1F497D" w:themeColor="text2"/>
          <w:sz w:val="24"/>
          <w:szCs w:val="24"/>
        </w:rPr>
        <w:t xml:space="preserve"> </w:t>
      </w:r>
      <w:r w:rsidR="00277671" w:rsidRPr="0079354F">
        <w:rPr>
          <w:rFonts w:ascii="Times New Roman" w:hAnsi="Times New Roman" w:cs="Times New Roman"/>
          <w:color w:val="000000" w:themeColor="text1"/>
          <w:sz w:val="24"/>
          <w:szCs w:val="24"/>
        </w:rPr>
        <w:t>If office space for general administrative organization wide services is included in the indirect cost calculation, it cannot be used as a match expense.</w:t>
      </w:r>
    </w:p>
    <w:p w14:paraId="6335D875" w14:textId="77777777" w:rsidR="0009274B" w:rsidRPr="0079354F" w:rsidRDefault="0009274B" w:rsidP="00C25FAC"/>
    <w:p w14:paraId="23BDF0AC" w14:textId="77777777" w:rsidR="0009274B" w:rsidRPr="00295F52" w:rsidRDefault="0009274B" w:rsidP="0009274B">
      <w:pPr>
        <w:pStyle w:val="Heading3"/>
        <w:rPr>
          <w:b w:val="0"/>
        </w:rPr>
      </w:pPr>
      <w:bookmarkStart w:id="79" w:name="_Toc109196023"/>
      <w:bookmarkStart w:id="80" w:name="_Toc117504285"/>
      <w:r w:rsidRPr="00CA19AD">
        <w:t>General Grant Requirements</w:t>
      </w:r>
      <w:bookmarkEnd w:id="79"/>
      <w:bookmarkEnd w:id="80"/>
    </w:p>
    <w:p w14:paraId="48C6CD1A" w14:textId="77777777" w:rsidR="0009274B" w:rsidRPr="0079354F" w:rsidRDefault="0009274B" w:rsidP="0009274B">
      <w:r w:rsidRPr="0079354F">
        <w:t>As the entity responsible for distributing AE grant funds and monitoring their use, DESE monitors grantee adherence to applicable state and federal requirements. Documentation and information collected for this purpose includes but is not limited to:</w:t>
      </w:r>
    </w:p>
    <w:p w14:paraId="0DB73763" w14:textId="2B6D7DC2" w:rsidR="0009274B" w:rsidRPr="0079354F" w:rsidRDefault="0009274B" w:rsidP="00144355">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Statement of Assurances (SOA): Each year an authorized signatory of the grantee must submit a signed SOA that assures compliance to DESE policies. </w:t>
      </w:r>
      <w:r w:rsidR="00C25FAC" w:rsidRPr="0079354F">
        <w:rPr>
          <w:rFonts w:ascii="Times New Roman" w:hAnsi="Times New Roman" w:cs="Times New Roman"/>
          <w:sz w:val="24"/>
          <w:szCs w:val="24"/>
        </w:rPr>
        <w:t xml:space="preserve">The failure of a grantee to demonstrate compliance with the policy requirements in the </w:t>
      </w:r>
      <w:r w:rsidR="008456CF" w:rsidRPr="00344F75">
        <w:rPr>
          <w:rFonts w:ascii="Times New Roman" w:hAnsi="Times New Roman" w:cs="Times New Roman"/>
          <w:i/>
          <w:iCs/>
          <w:sz w:val="24"/>
          <w:szCs w:val="24"/>
        </w:rPr>
        <w:t>FY24-26</w:t>
      </w:r>
      <w:r w:rsidR="008456CF" w:rsidRPr="00344F75">
        <w:rPr>
          <w:rFonts w:ascii="Times New Roman" w:hAnsi="Times New Roman" w:cs="Times New Roman"/>
          <w:sz w:val="24"/>
          <w:szCs w:val="24"/>
        </w:rPr>
        <w:t xml:space="preserve"> </w:t>
      </w:r>
      <w:r w:rsidR="007C7AD7" w:rsidRPr="00344F75">
        <w:rPr>
          <w:rFonts w:ascii="Times New Roman" w:eastAsia="Batang" w:hAnsi="Times New Roman" w:cs="Times New Roman"/>
          <w:i/>
          <w:sz w:val="24"/>
          <w:szCs w:val="24"/>
        </w:rPr>
        <w:t>Massachusetts Policies for Effective Adult Education Transition to College Programs</w:t>
      </w:r>
      <w:r w:rsidR="007C7AD7" w:rsidRPr="007C7AD7">
        <w:rPr>
          <w:rFonts w:ascii="Times New Roman" w:hAnsi="Times New Roman" w:cs="Times New Roman"/>
          <w:sz w:val="24"/>
          <w:szCs w:val="24"/>
        </w:rPr>
        <w:t xml:space="preserve"> </w:t>
      </w:r>
      <w:r w:rsidR="00C25FAC" w:rsidRPr="0079354F">
        <w:rPr>
          <w:rFonts w:ascii="Times New Roman" w:hAnsi="Times New Roman" w:cs="Times New Roman"/>
          <w:sz w:val="24"/>
          <w:szCs w:val="24"/>
        </w:rPr>
        <w:t>and in subsequent policy updates throughout the year will have consequences, including but not limited to corrective action, withholding of funds, grant reduction, or grant termination.</w:t>
      </w:r>
      <w:r w:rsidRPr="0079354F">
        <w:rPr>
          <w:rFonts w:ascii="Times New Roman" w:hAnsi="Times New Roman" w:cs="Times New Roman"/>
          <w:sz w:val="24"/>
          <w:szCs w:val="24"/>
        </w:rPr>
        <w:t xml:space="preserve"> By signing the SOA, the signatory is assuring DESE that the organization is aware of and will comply with all grant requirements and governing fiscal and data regulations.</w:t>
      </w:r>
    </w:p>
    <w:p w14:paraId="48D49BBE" w14:textId="77777777" w:rsidR="0009274B" w:rsidRPr="0079354F" w:rsidRDefault="0009274B" w:rsidP="0009274B"/>
    <w:p w14:paraId="1F67AC81" w14:textId="7D830FFC" w:rsidR="0009274B" w:rsidRPr="0079354F" w:rsidRDefault="0009274B" w:rsidP="00144355">
      <w:pPr>
        <w:pStyle w:val="ListParagraph"/>
        <w:numPr>
          <w:ilvl w:val="0"/>
          <w:numId w:val="1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Risk Management: </w:t>
      </w:r>
      <w:hyperlink r:id="rId73">
        <w:r w:rsidR="00C25FAC" w:rsidRPr="0079354F">
          <w:rPr>
            <w:rStyle w:val="Hyperlink"/>
            <w:rFonts w:ascii="Times New Roman" w:hAnsi="Times New Roman" w:cs="Times New Roman"/>
            <w:sz w:val="24"/>
            <w:szCs w:val="24"/>
          </w:rPr>
          <w:t>2 CFR Part 200.205</w:t>
        </w:r>
      </w:hyperlink>
      <w:r w:rsidRPr="0079354F">
        <w:rPr>
          <w:rFonts w:ascii="Times New Roman" w:hAnsi="Times New Roman" w:cs="Times New Roman"/>
          <w:sz w:val="24"/>
          <w:szCs w:val="24"/>
        </w:rPr>
        <w:t xml:space="preserve"> requires that DESE assess the risk of grant recipients in order to identify fiscal and programmatic conditions that could put federal and state funds at risk and, based on the results of the risk assessment, develop monitoring plans</w:t>
      </w:r>
      <w:r w:rsidRPr="0079354F">
        <w:rPr>
          <w:rStyle w:val="CommentReference"/>
          <w:rFonts w:ascii="Times New Roman" w:hAnsi="Times New Roman" w:cs="Times New Roman"/>
          <w:b/>
          <w:sz w:val="24"/>
          <w:szCs w:val="24"/>
        </w:rPr>
        <w:t>.</w:t>
      </w:r>
      <w:r w:rsidRPr="0079354F">
        <w:rPr>
          <w:rFonts w:ascii="Times New Roman" w:hAnsi="Times New Roman" w:cs="Times New Roman"/>
          <w:sz w:val="24"/>
          <w:szCs w:val="24"/>
        </w:rPr>
        <w:t xml:space="preserve"> ACLS will continually assess program risk using a risk analysis rubric that incorporates a range of fiscal and data indicators including single audit findings, fiscal monitoring review findings, unspent funds, grant to agency budget ratio, timeliness of data entry, </w:t>
      </w:r>
      <w:r w:rsidR="000D29BF">
        <w:rPr>
          <w:rFonts w:ascii="Times New Roman" w:hAnsi="Times New Roman" w:cs="Times New Roman"/>
          <w:sz w:val="24"/>
          <w:szCs w:val="24"/>
        </w:rPr>
        <w:t xml:space="preserve">and </w:t>
      </w:r>
      <w:r w:rsidRPr="0079354F">
        <w:rPr>
          <w:rFonts w:ascii="Times New Roman" w:hAnsi="Times New Roman" w:cs="Times New Roman"/>
          <w:sz w:val="24"/>
          <w:szCs w:val="24"/>
        </w:rPr>
        <w:t>data accuracy</w:t>
      </w:r>
      <w:r w:rsidR="00C25FAC" w:rsidRPr="0079354F">
        <w:rPr>
          <w:rFonts w:ascii="Times New Roman" w:hAnsi="Times New Roman" w:cs="Times New Roman"/>
          <w:sz w:val="24"/>
          <w:szCs w:val="24"/>
        </w:rPr>
        <w:t>.</w:t>
      </w:r>
      <w:r w:rsidRPr="0079354F">
        <w:rPr>
          <w:rFonts w:ascii="Times New Roman" w:hAnsi="Times New Roman" w:cs="Times New Roman"/>
          <w:sz w:val="24"/>
          <w:szCs w:val="24"/>
        </w:rPr>
        <w:t xml:space="preserve"> Mitigation could involve training and technical assistance, additional site reviews including fiscal and data audits, stops on grant payments, and grant reduction or termination.</w:t>
      </w:r>
    </w:p>
    <w:p w14:paraId="551A3751" w14:textId="77777777" w:rsidR="0009274B" w:rsidRPr="0079354F" w:rsidRDefault="0009274B" w:rsidP="0009274B"/>
    <w:p w14:paraId="69C913C0" w14:textId="77777777" w:rsidR="0009274B" w:rsidRPr="0079354F" w:rsidRDefault="0009274B" w:rsidP="00144355">
      <w:pPr>
        <w:pStyle w:val="ListParagraph"/>
        <w:numPr>
          <w:ilvl w:val="0"/>
          <w:numId w:val="20"/>
        </w:numPr>
        <w:spacing w:after="0" w:line="240" w:lineRule="auto"/>
        <w:rPr>
          <w:rFonts w:ascii="Times New Roman" w:hAnsi="Times New Roman" w:cs="Times New Roman"/>
          <w:sz w:val="24"/>
          <w:szCs w:val="24"/>
        </w:rPr>
      </w:pPr>
      <w:r w:rsidRPr="23CFD7A5">
        <w:rPr>
          <w:rFonts w:ascii="Times New Roman" w:hAnsi="Times New Roman" w:cs="Times New Roman"/>
          <w:sz w:val="24"/>
          <w:szCs w:val="24"/>
        </w:rPr>
        <w:t xml:space="preserve">Time and effort records must support payrolls and time distribution records must support </w:t>
      </w:r>
      <w:r w:rsidRPr="23CFD7A5">
        <w:rPr>
          <w:rFonts w:ascii="Times New Roman" w:hAnsi="Times New Roman" w:cs="Times New Roman"/>
          <w:color w:val="000000" w:themeColor="text1"/>
          <w:sz w:val="24"/>
          <w:szCs w:val="24"/>
        </w:rPr>
        <w:t xml:space="preserve">salaries and wages of employees for both full time staff and/or staff working on more than one grant or cost center. Grantees must have written policies and procedures on how the account for staff is charged to the grant including salaries and in-kind services used as matching funds. </w:t>
      </w:r>
      <w:r w:rsidR="00C25FAC" w:rsidRPr="23CFD7A5">
        <w:rPr>
          <w:rFonts w:ascii="Times New Roman" w:hAnsi="Times New Roman" w:cs="Times New Roman"/>
          <w:color w:val="000000" w:themeColor="text1"/>
          <w:sz w:val="24"/>
          <w:szCs w:val="24"/>
        </w:rPr>
        <w:t>Grantees should become familiar with</w:t>
      </w:r>
      <w:r w:rsidR="00C25FAC" w:rsidRPr="23CFD7A5">
        <w:rPr>
          <w:rFonts w:ascii="Times New Roman" w:hAnsi="Times New Roman" w:cs="Times New Roman"/>
          <w:color w:val="FF0000"/>
          <w:sz w:val="24"/>
          <w:szCs w:val="24"/>
        </w:rPr>
        <w:t xml:space="preserve"> </w:t>
      </w:r>
      <w:hyperlink r:id="rId74">
        <w:r w:rsidR="00C25FAC" w:rsidRPr="23CFD7A5">
          <w:rPr>
            <w:rStyle w:val="Hyperlink"/>
            <w:rFonts w:ascii="Times New Roman" w:hAnsi="Times New Roman" w:cs="Times New Roman"/>
            <w:sz w:val="24"/>
            <w:szCs w:val="24"/>
          </w:rPr>
          <w:t>2 CFR Part 200.318</w:t>
        </w:r>
      </w:hyperlink>
      <w:r w:rsidRPr="23CFD7A5">
        <w:rPr>
          <w:rFonts w:ascii="Times New Roman" w:hAnsi="Times New Roman" w:cs="Times New Roman"/>
          <w:color w:val="000000" w:themeColor="text1"/>
          <w:sz w:val="24"/>
          <w:szCs w:val="24"/>
        </w:rPr>
        <w:t>, document time and effort in payroll records, ensure that they comply with the approved budget, and keep supporting documentation for time and effort reporting. This requirement also pertains to matching funds.</w:t>
      </w:r>
    </w:p>
    <w:p w14:paraId="6207AEE6" w14:textId="77777777" w:rsidR="0009274B" w:rsidRPr="0079354F" w:rsidRDefault="0009274B" w:rsidP="0009274B">
      <w:pPr>
        <w:pStyle w:val="ListParagraph"/>
        <w:rPr>
          <w:rFonts w:ascii="Times New Roman" w:hAnsi="Times New Roman" w:cs="Times New Roman"/>
          <w:sz w:val="24"/>
          <w:szCs w:val="24"/>
        </w:rPr>
      </w:pPr>
    </w:p>
    <w:p w14:paraId="5BCD9AF3" w14:textId="77777777" w:rsidR="0009274B" w:rsidRPr="0079354F" w:rsidRDefault="00C25FAC" w:rsidP="00144355">
      <w:pPr>
        <w:pStyle w:val="ListParagraph"/>
        <w:numPr>
          <w:ilvl w:val="0"/>
          <w:numId w:val="2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Time and effort documentation is important and a requirement as per </w:t>
      </w:r>
      <w:hyperlink r:id="rId75">
        <w:r w:rsidRPr="0079354F">
          <w:rPr>
            <w:rStyle w:val="Hyperlink"/>
            <w:rFonts w:ascii="Times New Roman" w:hAnsi="Times New Roman" w:cs="Times New Roman"/>
            <w:sz w:val="24"/>
            <w:szCs w:val="24"/>
          </w:rPr>
          <w:t>2 CFR Part 200.430</w:t>
        </w:r>
      </w:hyperlink>
      <w:r w:rsidRPr="0079354F">
        <w:rPr>
          <w:rFonts w:ascii="Times New Roman" w:hAnsi="Times New Roman" w:cs="Times New Roman"/>
          <w:color w:val="000000" w:themeColor="text1"/>
          <w:sz w:val="24"/>
          <w:szCs w:val="24"/>
        </w:rPr>
        <w:t>.</w:t>
      </w:r>
      <w:r w:rsidR="0009274B" w:rsidRPr="0079354F">
        <w:rPr>
          <w:rFonts w:ascii="Times New Roman" w:hAnsi="Times New Roman" w:cs="Times New Roman"/>
          <w:color w:val="000000" w:themeColor="text1"/>
          <w:sz w:val="24"/>
          <w:szCs w:val="24"/>
        </w:rPr>
        <w:t xml:space="preserve"> The grantee must have written time and effort reporting procedures that reflect the grantee’s written personnel policies. Payroll systems must be based on records that accurately reflect the work performed and supported by a system of internal controls that provides reasonable assurances that charges are accurate, allowable, reasonable, and properly allocated. Payroll distribution records must be incorporated into the grantee’s official records and reasonably reflect employees’ total activity. Additionally, records need to support the distribution of salary or wages across specific activities or cost objectives if an employee works on more than one grant or activity. Time and effort reporting documentation requirements also apply to salaries counted as match.</w:t>
      </w:r>
    </w:p>
    <w:p w14:paraId="79BE3D9B" w14:textId="77777777" w:rsidR="0009274B" w:rsidRPr="0079354F" w:rsidRDefault="0009274B" w:rsidP="0009274B">
      <w:pPr>
        <w:rPr>
          <w:color w:val="000000" w:themeColor="text1"/>
        </w:rPr>
      </w:pPr>
    </w:p>
    <w:p w14:paraId="124E61A4" w14:textId="77777777" w:rsidR="0009274B" w:rsidRPr="0079354F" w:rsidRDefault="0009274B" w:rsidP="00144355">
      <w:pPr>
        <w:pStyle w:val="ListParagraph"/>
        <w:numPr>
          <w:ilvl w:val="0"/>
          <w:numId w:val="20"/>
        </w:numPr>
        <w:spacing w:after="0" w:line="240" w:lineRule="auto"/>
        <w:rPr>
          <w:rFonts w:ascii="Times New Roman" w:hAnsi="Times New Roman" w:cs="Times New Roman"/>
          <w:color w:val="000000"/>
          <w:sz w:val="24"/>
          <w:szCs w:val="24"/>
        </w:rPr>
      </w:pPr>
      <w:r w:rsidRPr="0079354F">
        <w:rPr>
          <w:rFonts w:ascii="Times New Roman" w:hAnsi="Times New Roman" w:cs="Times New Roman"/>
          <w:color w:val="000000" w:themeColor="text1"/>
          <w:sz w:val="24"/>
          <w:szCs w:val="24"/>
        </w:rPr>
        <w:t>A reasonable method of tracking time and effort must be employed. Estimates may be used, however, reconciliation to actual time worked and charged (i.e., planned versus actual) must occur on a regular basis. Time worked, level of effort, and dollars charged are not independent of each other. They are linked and methodologies for tracking, reporting, and the internal controls in place need to be part of the documentation associated with personnel charges to DESE grants.</w:t>
      </w:r>
    </w:p>
    <w:p w14:paraId="64048DA5" w14:textId="77777777" w:rsidR="0009274B" w:rsidRPr="0079354F" w:rsidRDefault="0009274B" w:rsidP="00C25FAC"/>
    <w:p w14:paraId="1DBACE35" w14:textId="77777777" w:rsidR="00F65BE1" w:rsidRPr="00295F52" w:rsidRDefault="00F65BE1" w:rsidP="00F65BE1">
      <w:pPr>
        <w:pStyle w:val="Heading3"/>
        <w:rPr>
          <w:b w:val="0"/>
        </w:rPr>
      </w:pPr>
      <w:bookmarkStart w:id="81" w:name="_Toc109196024"/>
      <w:bookmarkStart w:id="82" w:name="_Toc117504286"/>
      <w:r w:rsidRPr="00CA19AD">
        <w:t>Essential Budget Information</w:t>
      </w:r>
      <w:bookmarkEnd w:id="81"/>
      <w:bookmarkEnd w:id="82"/>
    </w:p>
    <w:p w14:paraId="228583DF" w14:textId="4D9259FB" w:rsidR="00C25FAC" w:rsidRPr="0079354F" w:rsidRDefault="00C25FAC" w:rsidP="00C25FAC">
      <w:r w:rsidRPr="0079354F">
        <w:t xml:space="preserve">AE grantees must be familiar with </w:t>
      </w:r>
      <w:hyperlink r:id="rId76">
        <w:r w:rsidRPr="0079354F">
          <w:rPr>
            <w:rStyle w:val="Hyperlink"/>
          </w:rPr>
          <w:t>grants management information</w:t>
        </w:r>
      </w:hyperlink>
      <w:r w:rsidRPr="0079354F">
        <w:t xml:space="preserve">, submit applications that follow the “line item” structure in </w:t>
      </w:r>
      <w:hyperlink r:id="rId77">
        <w:r w:rsidRPr="0079354F">
          <w:rPr>
            <w:rStyle w:val="Hyperlink"/>
          </w:rPr>
          <w:t>EdGrants</w:t>
        </w:r>
      </w:hyperlink>
      <w:r w:rsidRPr="0079354F">
        <w:t xml:space="preserve">, and use official </w:t>
      </w:r>
      <w:hyperlink r:id="rId78">
        <w:r w:rsidRPr="0079354F">
          <w:rPr>
            <w:rStyle w:val="Hyperlink"/>
          </w:rPr>
          <w:t>grants management forms</w:t>
        </w:r>
      </w:hyperlink>
      <w:r w:rsidRPr="0079354F">
        <w:t xml:space="preserve"> and/or ACLS required forms as identified in individual Requests for Proposals (RFP). They must also abide by rules related to administrative costs and meet DESE deadlines including the rule that all fiscal </w:t>
      </w:r>
      <w:r w:rsidRPr="0079354F">
        <w:rPr>
          <w:color w:val="000000" w:themeColor="text1"/>
        </w:rPr>
        <w:t>requirements that apply to DESE grant funds also apply to match funds.</w:t>
      </w:r>
      <w:r w:rsidR="00201237">
        <w:rPr>
          <w:color w:val="000000" w:themeColor="text1"/>
        </w:rPr>
        <w:t xml:space="preserve"> Administrative costs for Transition programs may not exceed 15%.</w:t>
      </w:r>
    </w:p>
    <w:p w14:paraId="4929F211" w14:textId="77777777" w:rsidR="00C25FAC" w:rsidRPr="00404C6A" w:rsidRDefault="00C25FAC" w:rsidP="00C25FAC">
      <w:pPr>
        <w:rPr>
          <w:sz w:val="22"/>
          <w:szCs w:val="22"/>
        </w:rPr>
      </w:pPr>
    </w:p>
    <w:p w14:paraId="7E5FC81C" w14:textId="77777777" w:rsidR="00203912" w:rsidRDefault="001F44A4" w:rsidP="00F65BE1">
      <w:hyperlink r:id="rId79">
        <w:r w:rsidR="00C25FAC" w:rsidRPr="0079354F">
          <w:rPr>
            <w:rStyle w:val="Hyperlink"/>
          </w:rPr>
          <w:t>AEFLA Sec. 233</w:t>
        </w:r>
      </w:hyperlink>
      <w:r w:rsidR="00C25FAC" w:rsidRPr="0079354F">
        <w:t xml:space="preserve"> states that professional development expenses are administrative expenses and part of the five percent limit. DESE has further defined administrative professional development expenses to include non-SABES registration fees and travel expenses including out of state travel. SABES trainings and the annual MCAE Network conference are defined by DESE as instructional expenses.</w:t>
      </w:r>
    </w:p>
    <w:p w14:paraId="78398258" w14:textId="7A5DDFCD" w:rsidR="00F65BE1" w:rsidRPr="00CA19AD" w:rsidRDefault="00F65BE1" w:rsidP="00F65BE1">
      <w:r w:rsidRPr="0079354F">
        <w:t>When preparing budgets, grantees must keep in mind the specific line item costs that are included in the calculation of administrative costs are Lines 1, 3, 4 (as it relates to Lines 1 and 3), 9, and 10.</w:t>
      </w:r>
    </w:p>
    <w:p w14:paraId="514A5C15" w14:textId="77777777" w:rsidR="00F65BE1" w:rsidRPr="00404C6A" w:rsidRDefault="00F65BE1" w:rsidP="00F65BE1">
      <w:pPr>
        <w:rPr>
          <w:sz w:val="22"/>
          <w:szCs w:val="22"/>
        </w:rPr>
      </w:pPr>
    </w:p>
    <w:p w14:paraId="2CBB840C" w14:textId="77777777" w:rsidR="00F65BE1" w:rsidRPr="006F4344" w:rsidRDefault="00F65BE1" w:rsidP="00F65BE1">
      <w:pPr>
        <w:pStyle w:val="Heading4"/>
        <w:spacing w:before="0"/>
        <w:rPr>
          <w:b/>
          <w:color w:val="E36C0A" w:themeColor="accent6" w:themeShade="BF"/>
        </w:rPr>
      </w:pPr>
      <w:r w:rsidRPr="00187183">
        <w:rPr>
          <w:b/>
          <w:color w:val="B85808"/>
        </w:rPr>
        <w:t>Budget Information Line by Line</w:t>
      </w:r>
    </w:p>
    <w:p w14:paraId="30C581D9" w14:textId="77777777" w:rsidR="00F65BE1" w:rsidRPr="0079354F" w:rsidRDefault="00F65BE1" w:rsidP="00F65BE1">
      <w:r w:rsidRPr="0079354F">
        <w:t>Allowable costs under all line items must be directly attributable to the project and documented.</w:t>
      </w:r>
    </w:p>
    <w:p w14:paraId="2413323B" w14:textId="77777777" w:rsidR="00F65BE1" w:rsidRPr="0079354F" w:rsidRDefault="00F65BE1" w:rsidP="00F65BE1">
      <w:pPr>
        <w:rPr>
          <w:color w:val="000000" w:themeColor="text1"/>
        </w:rPr>
      </w:pPr>
      <w:r w:rsidRPr="0079354F">
        <w:t>For example, j</w:t>
      </w:r>
      <w:r w:rsidRPr="0079354F">
        <w:rPr>
          <w:color w:val="000000" w:themeColor="text1"/>
        </w:rPr>
        <w:t xml:space="preserve">ob descriptions and organization charts must be maintained for all employees charged to the grant for both direct and indirect costs. The job descriptions and organizational charts should be in line with the duties performed on the grant and through the grantee’s organization. Job descriptions should also be maintained for services performed as match (e.g., volunteer and other salaries included as match for the grant). </w:t>
      </w:r>
      <w:r w:rsidRPr="0079354F">
        <w:t>Grantees should contact their assigned PS if they need assistance with budgets.</w:t>
      </w:r>
    </w:p>
    <w:p w14:paraId="0F7AD774" w14:textId="77777777" w:rsidR="00F65BE1" w:rsidRPr="00404C6A" w:rsidRDefault="00F65BE1" w:rsidP="00F65BE1">
      <w:pPr>
        <w:rPr>
          <w:sz w:val="28"/>
          <w:szCs w:val="28"/>
        </w:rPr>
      </w:pPr>
    </w:p>
    <w:p w14:paraId="76A844B2" w14:textId="61431120" w:rsidR="00F65BE1" w:rsidRPr="00CA19AD" w:rsidRDefault="00F65BE1" w:rsidP="00F65BE1">
      <w:r w:rsidRPr="0079354F">
        <w:t xml:space="preserve">For more information on grant budgets, see </w:t>
      </w:r>
      <w:hyperlink r:id="rId80">
        <w:r w:rsidR="00C25FAC" w:rsidRPr="0079354F">
          <w:rPr>
            <w:rStyle w:val="Hyperlink"/>
          </w:rPr>
          <w:t>http://www.doe.mass.edu/grants/essential.html</w:t>
        </w:r>
      </w:hyperlink>
      <w:r w:rsidR="00C25FAC" w:rsidRPr="0079354F">
        <w:t xml:space="preserve"> and Budget Information Line by Line in </w:t>
      </w:r>
      <w:r w:rsidR="00C25FAC" w:rsidRPr="00F44E0E">
        <w:t xml:space="preserve">Appendix </w:t>
      </w:r>
      <w:r w:rsidR="008456CF" w:rsidRPr="00F44E0E">
        <w:t>D</w:t>
      </w:r>
      <w:r w:rsidRPr="00F44E0E">
        <w:t>.</w:t>
      </w:r>
    </w:p>
    <w:p w14:paraId="30604C6A" w14:textId="77777777" w:rsidR="00C25FAC" w:rsidRPr="00404C6A" w:rsidRDefault="00C25FAC" w:rsidP="00C25FAC">
      <w:pPr>
        <w:pStyle w:val="Heading3"/>
        <w:rPr>
          <w:color w:val="auto"/>
          <w:sz w:val="22"/>
          <w:szCs w:val="22"/>
        </w:rPr>
      </w:pPr>
    </w:p>
    <w:p w14:paraId="796039C6" w14:textId="77777777" w:rsidR="00C25FAC" w:rsidRPr="006F4344" w:rsidRDefault="00C25FAC" w:rsidP="00C25FAC">
      <w:pPr>
        <w:pStyle w:val="Heading4"/>
        <w:spacing w:before="0"/>
        <w:rPr>
          <w:b/>
          <w:color w:val="E36C0A" w:themeColor="accent6" w:themeShade="BF"/>
        </w:rPr>
      </w:pPr>
      <w:r w:rsidRPr="00187183">
        <w:rPr>
          <w:b/>
          <w:color w:val="B85808"/>
        </w:rPr>
        <w:t>Requests for Funds</w:t>
      </w:r>
    </w:p>
    <w:p w14:paraId="7B9554C4" w14:textId="77777777" w:rsidR="00C25FAC" w:rsidRDefault="00C25FAC" w:rsidP="00C25FAC">
      <w:pPr>
        <w:rPr>
          <w:color w:val="000000" w:themeColor="text1"/>
        </w:rPr>
      </w:pPr>
      <w:r w:rsidRPr="0079354F">
        <w:t xml:space="preserve">Grantees must monitor monthly expenditures carefully and draw down funds only as needed to ensure that state and federal funds are expended on a </w:t>
      </w:r>
      <w:r w:rsidRPr="0079354F">
        <w:rPr>
          <w:color w:val="000000" w:themeColor="text1"/>
        </w:rPr>
        <w:t xml:space="preserve">consistent, timely basis, and </w:t>
      </w:r>
      <w:r w:rsidRPr="0079354F">
        <w:t xml:space="preserve">in full by the close of each fiscal year. </w:t>
      </w:r>
      <w:r w:rsidRPr="0079354F">
        <w:rPr>
          <w:color w:val="000000" w:themeColor="text1"/>
        </w:rPr>
        <w:t xml:space="preserve">The grantee must have a written cash management policy to ensure funds are only drawn down as needed and expended in a reasonable amount of time. The grantee must have an interest policy for funds held longer than a reasonable time. </w:t>
      </w:r>
      <w:r>
        <w:t>All DESE grant</w:t>
      </w:r>
      <w:r w:rsidRPr="0079354F">
        <w:t xml:space="preserve"> </w:t>
      </w:r>
      <w:r w:rsidRPr="0079354F">
        <w:rPr>
          <w:color w:val="000000" w:themeColor="text1"/>
        </w:rPr>
        <w:t>drawdown</w:t>
      </w:r>
      <w:r>
        <w:rPr>
          <w:color w:val="000000" w:themeColor="text1"/>
        </w:rPr>
        <w:t xml:space="preserve">s are processed </w:t>
      </w:r>
      <w:r w:rsidRPr="0079354F">
        <w:t xml:space="preserve">online using the </w:t>
      </w:r>
      <w:hyperlink r:id="rId81">
        <w:r w:rsidRPr="0079354F">
          <w:rPr>
            <w:rStyle w:val="Hyperlink"/>
          </w:rPr>
          <w:t>EdGrants</w:t>
        </w:r>
      </w:hyperlink>
      <w:r w:rsidRPr="0079354F">
        <w:t xml:space="preserve"> platform</w:t>
      </w:r>
      <w:r w:rsidRPr="0079354F">
        <w:rPr>
          <w:color w:val="000000" w:themeColor="text1"/>
        </w:rPr>
        <w:t xml:space="preserve">. </w:t>
      </w:r>
      <w:r>
        <w:rPr>
          <w:color w:val="000000" w:themeColor="text1"/>
        </w:rPr>
        <w:t xml:space="preserve">State agencies and correctional facilities are set up with an account in MMARS via an Interagency Service Agreement (ISA), to use their funds. </w:t>
      </w:r>
      <w:r w:rsidRPr="0079354F">
        <w:rPr>
          <w:color w:val="000000" w:themeColor="text1"/>
        </w:rPr>
        <w:t xml:space="preserve">Grantees should </w:t>
      </w:r>
      <w:r>
        <w:rPr>
          <w:color w:val="000000" w:themeColor="text1"/>
        </w:rPr>
        <w:t xml:space="preserve">not </w:t>
      </w:r>
      <w:r w:rsidRPr="0079354F">
        <w:rPr>
          <w:color w:val="000000" w:themeColor="text1"/>
        </w:rPr>
        <w:t>draw down funds if expenditures have not occurred or will not occur in a reasonable time period.</w:t>
      </w:r>
    </w:p>
    <w:p w14:paraId="2AE1DC83" w14:textId="77777777" w:rsidR="00C25FAC" w:rsidRPr="00404C6A" w:rsidRDefault="00C25FAC" w:rsidP="00C25FAC">
      <w:pPr>
        <w:rPr>
          <w:color w:val="000000" w:themeColor="text1"/>
          <w:sz w:val="22"/>
          <w:szCs w:val="22"/>
        </w:rPr>
      </w:pPr>
    </w:p>
    <w:p w14:paraId="35D56A6D" w14:textId="77777777" w:rsidR="00C25FAC" w:rsidRPr="0079354F" w:rsidRDefault="00C25FAC" w:rsidP="00C25FAC">
      <w:pPr>
        <w:rPr>
          <w:color w:val="000000" w:themeColor="text1"/>
        </w:rPr>
      </w:pPr>
      <w:r w:rsidRPr="0079354F">
        <w:rPr>
          <w:color w:val="000000" w:themeColor="text1"/>
        </w:rPr>
        <w:t>It is important to develop cash management policies and procedures that include monitoring budget versus actual expenditures, and cash on hand. Communication between program staff and fiscal staff on a monthly basis will allow the grantee to apply for amendments if needed and avoid disallowance of expenditures. Costs incurred and charged must only be for allowable costs as approved in the budget.</w:t>
      </w:r>
    </w:p>
    <w:p w14:paraId="5760B375" w14:textId="77777777" w:rsidR="00C25FAC" w:rsidRPr="00404C6A" w:rsidRDefault="00C25FAC" w:rsidP="00C25FAC">
      <w:pPr>
        <w:rPr>
          <w:sz w:val="22"/>
          <w:szCs w:val="22"/>
        </w:rPr>
      </w:pPr>
    </w:p>
    <w:p w14:paraId="33D183DE" w14:textId="77777777" w:rsidR="00C25FAC" w:rsidRPr="0079354F" w:rsidRDefault="00C25FAC" w:rsidP="00C25FAC">
      <w:r w:rsidRPr="0079354F">
        <w:t xml:space="preserve">For more information on grant management and </w:t>
      </w:r>
      <w:hyperlink r:id="rId82">
        <w:r w:rsidRPr="0079354F">
          <w:rPr>
            <w:rStyle w:val="Hyperlink"/>
          </w:rPr>
          <w:t>EdGrants</w:t>
        </w:r>
      </w:hyperlink>
      <w:r w:rsidRPr="0079354F">
        <w:t xml:space="preserve">, see </w:t>
      </w:r>
      <w:hyperlink r:id="rId83">
        <w:r w:rsidRPr="0079354F">
          <w:rPr>
            <w:rStyle w:val="Hyperlink"/>
          </w:rPr>
          <w:t>http://www.doe.mass.edu/grants/procedure/manual.html</w:t>
        </w:r>
      </w:hyperlink>
      <w:r w:rsidRPr="0079354F">
        <w:t xml:space="preserve"> and </w:t>
      </w:r>
      <w:hyperlink r:id="rId84">
        <w:r w:rsidRPr="0079354F">
          <w:rPr>
            <w:rStyle w:val="Hyperlink"/>
          </w:rPr>
          <w:t>http://www.doe.mass.edu/grants/edgrants.html</w:t>
        </w:r>
      </w:hyperlink>
      <w:r w:rsidRPr="0079354F">
        <w:t>.</w:t>
      </w:r>
    </w:p>
    <w:p w14:paraId="07BCB8DD" w14:textId="77777777" w:rsidR="00700B4E" w:rsidRPr="00404C6A" w:rsidRDefault="00700B4E" w:rsidP="00C25FAC">
      <w:pPr>
        <w:rPr>
          <w:sz w:val="22"/>
          <w:szCs w:val="22"/>
        </w:rPr>
      </w:pPr>
    </w:p>
    <w:p w14:paraId="6E0CA843" w14:textId="77777777" w:rsidR="00E00110" w:rsidRPr="006F4344" w:rsidRDefault="000332B9" w:rsidP="00C25FAC">
      <w:pPr>
        <w:pStyle w:val="Heading4"/>
        <w:spacing w:before="0"/>
        <w:rPr>
          <w:b/>
          <w:color w:val="E36C0A" w:themeColor="accent6" w:themeShade="BF"/>
        </w:rPr>
      </w:pPr>
      <w:r w:rsidRPr="00187183">
        <w:rPr>
          <w:b/>
          <w:color w:val="B85808"/>
        </w:rPr>
        <w:t>Amendments</w:t>
      </w:r>
    </w:p>
    <w:p w14:paraId="769FF218" w14:textId="77777777" w:rsidR="00E00110" w:rsidRPr="00B30D5B" w:rsidRDefault="00E00110" w:rsidP="0047675C">
      <w:r w:rsidRPr="00B30D5B">
        <w:t>Grant amendments are required when there is:</w:t>
      </w:r>
    </w:p>
    <w:p w14:paraId="71178850" w14:textId="77777777" w:rsidR="00C25FAC" w:rsidRPr="0079354F" w:rsidRDefault="00C25FAC" w:rsidP="00C25FAC">
      <w:pPr>
        <w:pStyle w:val="ListParagraph"/>
        <w:numPr>
          <w:ilvl w:val="0"/>
          <w:numId w:val="31"/>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 significant change in program objectives, personnel and/or scope of services for the grant;</w:t>
      </w:r>
    </w:p>
    <w:p w14:paraId="2ED5602C" w14:textId="77777777" w:rsidR="00E00110" w:rsidRPr="00B30D5B" w:rsidRDefault="00E00110" w:rsidP="00C25FAC">
      <w:pPr>
        <w:pStyle w:val="ListParagraph"/>
        <w:numPr>
          <w:ilvl w:val="0"/>
          <w:numId w:val="31"/>
        </w:numPr>
        <w:spacing w:after="0" w:line="240" w:lineRule="auto"/>
        <w:rPr>
          <w:rFonts w:ascii="Times New Roman" w:hAnsi="Times New Roman" w:cs="Times New Roman"/>
          <w:sz w:val="24"/>
          <w:szCs w:val="24"/>
        </w:rPr>
      </w:pPr>
      <w:r w:rsidRPr="00B30D5B">
        <w:rPr>
          <w:rFonts w:ascii="Times New Roman" w:hAnsi="Times New Roman" w:cs="Times New Roman"/>
          <w:sz w:val="24"/>
          <w:szCs w:val="24"/>
        </w:rPr>
        <w:t>an increase or decrease i</w:t>
      </w:r>
      <w:r w:rsidR="00DB35C3">
        <w:rPr>
          <w:rFonts w:ascii="Times New Roman" w:hAnsi="Times New Roman" w:cs="Times New Roman"/>
          <w:sz w:val="24"/>
          <w:szCs w:val="24"/>
        </w:rPr>
        <w:t xml:space="preserve">n the total amount of the grant; </w:t>
      </w:r>
      <w:r w:rsidR="00E7533E">
        <w:rPr>
          <w:rFonts w:ascii="Times New Roman" w:hAnsi="Times New Roman" w:cs="Times New Roman"/>
          <w:sz w:val="24"/>
          <w:szCs w:val="24"/>
        </w:rPr>
        <w:t>or</w:t>
      </w:r>
    </w:p>
    <w:p w14:paraId="4AD73C3E" w14:textId="77777777" w:rsidR="00C25FAC" w:rsidRPr="0079354F" w:rsidRDefault="00C25FAC" w:rsidP="00C25FAC">
      <w:pPr>
        <w:pStyle w:val="ListParagraph"/>
        <w:numPr>
          <w:ilvl w:val="0"/>
          <w:numId w:val="31"/>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 line item </w:t>
      </w:r>
      <w:r>
        <w:rPr>
          <w:rFonts w:ascii="Times New Roman" w:hAnsi="Times New Roman" w:cs="Times New Roman"/>
          <w:sz w:val="24"/>
          <w:szCs w:val="24"/>
        </w:rPr>
        <w:t xml:space="preserve">change </w:t>
      </w:r>
      <w:r w:rsidRPr="0079354F">
        <w:rPr>
          <w:rFonts w:ascii="Times New Roman" w:hAnsi="Times New Roman" w:cs="Times New Roman"/>
          <w:sz w:val="24"/>
          <w:szCs w:val="24"/>
        </w:rPr>
        <w:t>that exceeds $100 or 10% of the line, whichever is greater, or exceeds $10,000 must be approved by DESE</w:t>
      </w:r>
      <w:r>
        <w:rPr>
          <w:rFonts w:ascii="Times New Roman" w:hAnsi="Times New Roman" w:cs="Times New Roman"/>
          <w:sz w:val="24"/>
          <w:szCs w:val="24"/>
        </w:rPr>
        <w:t xml:space="preserve"> program staff.</w:t>
      </w:r>
    </w:p>
    <w:p w14:paraId="3E2F0292" w14:textId="77777777" w:rsidR="00C25FAC" w:rsidRPr="00404C6A" w:rsidRDefault="00C25FAC" w:rsidP="00C25FAC">
      <w:pPr>
        <w:rPr>
          <w:sz w:val="22"/>
          <w:szCs w:val="22"/>
        </w:rPr>
      </w:pPr>
    </w:p>
    <w:p w14:paraId="2C827208" w14:textId="77777777" w:rsidR="00C25FAC" w:rsidRPr="0079354F" w:rsidRDefault="00C25FAC" w:rsidP="00C25FAC">
      <w:r w:rsidRPr="0079354F">
        <w:t xml:space="preserve">When an amendment is required, the program must consult with its assigned PS for preapproval of the proposed change prior to submitting an amendment electronically via </w:t>
      </w:r>
      <w:hyperlink r:id="rId85">
        <w:r w:rsidRPr="0079354F">
          <w:rPr>
            <w:rStyle w:val="Hyperlink"/>
          </w:rPr>
          <w:t>EdGrants</w:t>
        </w:r>
      </w:hyperlink>
      <w:r w:rsidRPr="0079354F">
        <w:t xml:space="preserve">. </w:t>
      </w:r>
      <w:r>
        <w:t>Program f</w:t>
      </w:r>
      <w:r w:rsidRPr="0079354F">
        <w:t>ailure to meet assigned submission deadlines will delay grant processing and receipt of funds.</w:t>
      </w:r>
    </w:p>
    <w:p w14:paraId="235D7254" w14:textId="77777777" w:rsidR="00F65BE1" w:rsidRDefault="00F65BE1" w:rsidP="00F65BE1"/>
    <w:p w14:paraId="52F7B6B0" w14:textId="77777777" w:rsidR="00700B4E" w:rsidRPr="00F65BE1" w:rsidRDefault="00F65BE1" w:rsidP="0047675C">
      <w:pPr>
        <w:rPr>
          <w:color w:val="000000" w:themeColor="text1"/>
        </w:rPr>
      </w:pPr>
      <w:r w:rsidRPr="006C4889">
        <w:t xml:space="preserve">To allow time for amendments to be processed, programs must submit amendments at least 30 days </w:t>
      </w:r>
      <w:r w:rsidRPr="00CA19AD">
        <w:t xml:space="preserve">prior to the desired change and/or 30 days before the end of the fiscal year. </w:t>
      </w:r>
      <w:r w:rsidRPr="00CA19AD">
        <w:rPr>
          <w:color w:val="000000" w:themeColor="text1"/>
        </w:rPr>
        <w:t>Communication between program and fiscal staff on a consistent basis and the use of budget versus actual reports to monitor the grant will prevent any disallowance of expenditures by DESE.</w:t>
      </w:r>
    </w:p>
    <w:p w14:paraId="0428644B" w14:textId="77777777" w:rsidR="00700B4E" w:rsidRPr="00404C6A" w:rsidRDefault="00700B4E" w:rsidP="0047675C">
      <w:pPr>
        <w:rPr>
          <w:sz w:val="22"/>
          <w:szCs w:val="22"/>
        </w:rPr>
      </w:pPr>
    </w:p>
    <w:p w14:paraId="1C9C495F" w14:textId="77777777" w:rsidR="00256B95" w:rsidRPr="006F4344" w:rsidRDefault="00256B95" w:rsidP="00256B95">
      <w:pPr>
        <w:pStyle w:val="Heading4"/>
        <w:spacing w:before="0"/>
        <w:rPr>
          <w:b/>
          <w:color w:val="E36C0A" w:themeColor="accent6" w:themeShade="BF"/>
        </w:rPr>
      </w:pPr>
      <w:r w:rsidRPr="00187183">
        <w:rPr>
          <w:b/>
          <w:color w:val="B85808"/>
        </w:rPr>
        <w:t>Unexpended Funds</w:t>
      </w:r>
    </w:p>
    <w:p w14:paraId="32B776DD" w14:textId="77777777" w:rsidR="00256B95" w:rsidRPr="0079354F" w:rsidRDefault="00256B95" w:rsidP="00256B95">
      <w:r w:rsidRPr="0079354F">
        <w:rPr>
          <w:color w:val="000000" w:themeColor="text1"/>
        </w:rPr>
        <w:t xml:space="preserve">Grantees </w:t>
      </w:r>
      <w:r w:rsidRPr="0079354F">
        <w:t>must monitor expenses on all grants to ensure that funds are used within the approved project period of the grant.</w:t>
      </w:r>
    </w:p>
    <w:p w14:paraId="4357BC59" w14:textId="77777777" w:rsidR="00256B95" w:rsidRPr="0079354F" w:rsidRDefault="00256B95" w:rsidP="00256B95"/>
    <w:p w14:paraId="17E187CA" w14:textId="77777777" w:rsidR="00C25FAC" w:rsidRPr="0003690C" w:rsidRDefault="00C25FAC" w:rsidP="00C25FAC">
      <w:pPr>
        <w:pStyle w:val="ListParagraph"/>
        <w:numPr>
          <w:ilvl w:val="0"/>
          <w:numId w:val="3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Grant funds MUST</w:t>
      </w:r>
      <w:r w:rsidR="00256B95" w:rsidRPr="0003690C">
        <w:rPr>
          <w:rFonts w:ascii="Times New Roman" w:hAnsi="Times New Roman" w:cs="Times New Roman"/>
          <w:sz w:val="24"/>
          <w:szCs w:val="24"/>
        </w:rPr>
        <w:t xml:space="preserve"> be obligated by </w:t>
      </w:r>
      <w:r w:rsidRPr="0003690C">
        <w:rPr>
          <w:rFonts w:ascii="Times New Roman" w:hAnsi="Times New Roman" w:cs="Times New Roman"/>
          <w:sz w:val="24"/>
          <w:szCs w:val="24"/>
        </w:rPr>
        <w:t xml:space="preserve">the grant </w:t>
      </w:r>
      <w:r w:rsidR="00256B95" w:rsidRPr="0003690C">
        <w:rPr>
          <w:rFonts w:ascii="Times New Roman" w:hAnsi="Times New Roman" w:cs="Times New Roman"/>
          <w:sz w:val="24"/>
          <w:szCs w:val="24"/>
        </w:rPr>
        <w:t>end date.</w:t>
      </w:r>
    </w:p>
    <w:p w14:paraId="4223019C" w14:textId="77777777" w:rsidR="00C25FAC" w:rsidRPr="0003690C" w:rsidRDefault="00C25FAC" w:rsidP="00C25FAC">
      <w:pPr>
        <w:pStyle w:val="ListParagraph"/>
        <w:numPr>
          <w:ilvl w:val="0"/>
          <w:numId w:val="3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Goods/services MUST be received by the grant end date.</w:t>
      </w:r>
    </w:p>
    <w:p w14:paraId="5401A479" w14:textId="77777777" w:rsidR="00C25FAC" w:rsidRPr="0003690C" w:rsidRDefault="00C25FAC" w:rsidP="00C25FAC">
      <w:pPr>
        <w:pStyle w:val="ListParagraph"/>
        <w:numPr>
          <w:ilvl w:val="0"/>
          <w:numId w:val="33"/>
        </w:numPr>
        <w:spacing w:after="0" w:line="240" w:lineRule="auto"/>
        <w:ind w:left="720"/>
        <w:contextualSpacing w:val="0"/>
        <w:rPr>
          <w:rFonts w:ascii="Times New Roman" w:hAnsi="Times New Roman" w:cs="Times New Roman"/>
          <w:sz w:val="24"/>
          <w:szCs w:val="24"/>
        </w:rPr>
      </w:pPr>
      <w:r w:rsidRPr="0003690C">
        <w:rPr>
          <w:rFonts w:ascii="Times New Roman" w:hAnsi="Times New Roman" w:cs="Times New Roman"/>
          <w:sz w:val="24"/>
          <w:szCs w:val="24"/>
        </w:rPr>
        <w:t>Applicants have 60 days to finalize</w:t>
      </w:r>
      <w:r>
        <w:rPr>
          <w:rFonts w:ascii="Times New Roman" w:hAnsi="Times New Roman" w:cs="Times New Roman"/>
          <w:sz w:val="24"/>
          <w:szCs w:val="24"/>
        </w:rPr>
        <w:t>/pay</w:t>
      </w:r>
      <w:r w:rsidRPr="0003690C">
        <w:rPr>
          <w:rFonts w:ascii="Times New Roman" w:hAnsi="Times New Roman" w:cs="Times New Roman"/>
          <w:sz w:val="24"/>
          <w:szCs w:val="24"/>
        </w:rPr>
        <w:t xml:space="preserve"> invoices for obligations incurred by the grant end date.</w:t>
      </w:r>
    </w:p>
    <w:p w14:paraId="5E0F97E3" w14:textId="77777777" w:rsidR="00256B95" w:rsidRPr="00404C6A" w:rsidRDefault="00256B95" w:rsidP="00C25FAC">
      <w:pPr>
        <w:pStyle w:val="xmsonormal"/>
        <w:rPr>
          <w:rFonts w:ascii="Times New Roman" w:hAnsi="Times New Roman" w:cs="Times New Roman"/>
        </w:rPr>
      </w:pPr>
    </w:p>
    <w:p w14:paraId="1742C8D1" w14:textId="77777777" w:rsidR="00256B95" w:rsidRPr="00CA19AD" w:rsidRDefault="00256B95" w:rsidP="00256B95">
      <w:r w:rsidRPr="000A20EE">
        <w:t>Unexpended</w:t>
      </w:r>
      <w:r w:rsidRPr="0079354F">
        <w:t xml:space="preserve"> funds above $1.00 must be returned with the final financial report (i.e., FR-1) each year. The FR-1 must be filed 60 days after the close of the grant. Expenditures reported on the FR-1 must be supported in the grantees’ accounting records. The accounting system accounts should mirror the grant budget lines, or the grantee must maintain a crosswalk that links the accounts on the accounting system to the grant budget lines. DESE recommends that the grantee maintain supporting documentation to support all </w:t>
      </w:r>
      <w:r w:rsidR="00C25FAC" w:rsidRPr="0079354F">
        <w:t>filed FR-1’s</w:t>
      </w:r>
      <w:r w:rsidRPr="0079354F">
        <w:t>.</w:t>
      </w:r>
    </w:p>
    <w:p w14:paraId="781EBC3C" w14:textId="77777777" w:rsidR="00256B95" w:rsidRPr="00404C6A" w:rsidRDefault="00256B95" w:rsidP="00256B95">
      <w:pPr>
        <w:rPr>
          <w:sz w:val="22"/>
          <w:szCs w:val="22"/>
        </w:rPr>
      </w:pPr>
    </w:p>
    <w:p w14:paraId="4E28407C" w14:textId="77777777" w:rsidR="00256B95" w:rsidRPr="00CA19AD" w:rsidRDefault="00256B95" w:rsidP="00256B95">
      <w:pPr>
        <w:rPr>
          <w:color w:val="000000" w:themeColor="text1"/>
        </w:rPr>
      </w:pPr>
      <w:r w:rsidRPr="0079354F">
        <w:t xml:space="preserve">Grantees must notify their program specialist (PS) as soon as possible if funds may be unspent, including funds assigned to subcontractors, so that grant funds can be reallocated. Returned and unspent funds are indicators of risk and will be recorded in the risk analysis. Grantees that repeatedly return funds </w:t>
      </w:r>
      <w:r w:rsidRPr="0079354F">
        <w:rPr>
          <w:color w:val="000000" w:themeColor="text1"/>
        </w:rPr>
        <w:t>may have their subsequent award reduced by the amount of the funds returned and may not be eligible for increases offered during the following year.</w:t>
      </w:r>
    </w:p>
    <w:p w14:paraId="793EA418" w14:textId="77777777" w:rsidR="00256B95" w:rsidRPr="00404C6A" w:rsidRDefault="00256B95" w:rsidP="00256B95">
      <w:pPr>
        <w:rPr>
          <w:sz w:val="22"/>
          <w:szCs w:val="22"/>
        </w:rPr>
      </w:pPr>
    </w:p>
    <w:p w14:paraId="732A1EC2" w14:textId="77777777" w:rsidR="00C25FAC" w:rsidRPr="006F4344" w:rsidRDefault="00C25FAC" w:rsidP="00C25FAC">
      <w:pPr>
        <w:pStyle w:val="Heading4"/>
        <w:spacing w:before="0"/>
        <w:rPr>
          <w:b/>
          <w:color w:val="E36C0A" w:themeColor="accent6" w:themeShade="BF"/>
        </w:rPr>
      </w:pPr>
      <w:r w:rsidRPr="00187183">
        <w:rPr>
          <w:b/>
          <w:color w:val="B85808"/>
        </w:rPr>
        <w:t>Condition of Funding</w:t>
      </w:r>
    </w:p>
    <w:p w14:paraId="31EAE400" w14:textId="77777777" w:rsidR="00C25FAC" w:rsidRPr="0079354F" w:rsidRDefault="00C25FAC" w:rsidP="00C25FAC">
      <w:r w:rsidRPr="0079354F">
        <w:t>As a condition of accepting DESE funding, grantees commit to identifying DESE as the entity supporting the delivery of AE services at the program in official correspondence. Grantees additionally agree that DESE will have the right to publish and distribute any materials developed with grant funds.</w:t>
      </w:r>
    </w:p>
    <w:p w14:paraId="1B39A0A7" w14:textId="77777777" w:rsidR="00256B95" w:rsidRPr="00404C6A" w:rsidRDefault="00256B95" w:rsidP="00C25FAC">
      <w:pPr>
        <w:rPr>
          <w:sz w:val="22"/>
          <w:szCs w:val="22"/>
        </w:rPr>
      </w:pPr>
    </w:p>
    <w:p w14:paraId="0CD4F98B" w14:textId="77777777" w:rsidR="00256B95" w:rsidRPr="001900CD" w:rsidRDefault="00256B95" w:rsidP="00256B95">
      <w:pPr>
        <w:pStyle w:val="Heading3"/>
        <w:rPr>
          <w:b w:val="0"/>
        </w:rPr>
      </w:pPr>
      <w:bookmarkStart w:id="83" w:name="_Toc37075460"/>
      <w:bookmarkStart w:id="84" w:name="_Toc109196025"/>
      <w:bookmarkStart w:id="85" w:name="_Toc117504287"/>
      <w:r w:rsidRPr="00A65253">
        <w:t>Data Quality and Integrity</w:t>
      </w:r>
      <w:bookmarkEnd w:id="83"/>
      <w:bookmarkEnd w:id="84"/>
      <w:bookmarkEnd w:id="85"/>
    </w:p>
    <w:p w14:paraId="6175F8ED" w14:textId="77777777" w:rsidR="00256B95" w:rsidRPr="00B92D87" w:rsidRDefault="00256B95" w:rsidP="00256B95">
      <w:r w:rsidRPr="0079354F">
        <w:t>When grantees submit a Statement of Assurances signed by the authorized signatory of the grantee, they are assuring DESE of the accuracy of the information in their grant applications (i.e., competitive and continuation) and all grant related documentation. Grantees will be required to provide financial and data records as requested with the understanding that falsification of required documentation may trigger a data audit and/or fiscal audit or result in termination of the grant</w:t>
      </w:r>
      <w:r>
        <w:t>.</w:t>
      </w:r>
      <w:r w:rsidR="00C25FAC">
        <w:t xml:space="preserve"> </w:t>
      </w:r>
      <w:r w:rsidRPr="0079354F">
        <w:t>In addition to submitting accurate data, grantees must meet deadlines for data submission.</w:t>
      </w:r>
    </w:p>
    <w:p w14:paraId="05DB751E" w14:textId="77777777" w:rsidR="00C25FAC" w:rsidRPr="005225C7" w:rsidRDefault="00C25FAC" w:rsidP="00C25FAC">
      <w:pPr>
        <w:rPr>
          <w:sz w:val="22"/>
          <w:szCs w:val="22"/>
        </w:rPr>
      </w:pPr>
    </w:p>
    <w:p w14:paraId="2209E694" w14:textId="77777777" w:rsidR="00C25FAC" w:rsidRPr="006F4344" w:rsidRDefault="00C25FAC" w:rsidP="00C25FAC">
      <w:pPr>
        <w:pStyle w:val="Heading4"/>
        <w:spacing w:before="0"/>
        <w:rPr>
          <w:b/>
          <w:color w:val="E36C0A" w:themeColor="accent6" w:themeShade="BF"/>
        </w:rPr>
      </w:pPr>
      <w:r w:rsidRPr="00187183">
        <w:rPr>
          <w:b/>
          <w:color w:val="B85808"/>
        </w:rPr>
        <w:t>Data Entry</w:t>
      </w:r>
    </w:p>
    <w:p w14:paraId="70DF8438" w14:textId="77777777" w:rsidR="00C25FAC" w:rsidRDefault="00C25FAC" w:rsidP="00C25FAC">
      <w:r w:rsidRPr="0079354F">
        <w:t xml:space="preserve">All data, including intakes, assessment, student attendance, and other information as the need arises must be entered into </w:t>
      </w:r>
      <w:hyperlink r:id="rId86" w:history="1">
        <w:r w:rsidRPr="0079354F">
          <w:rPr>
            <w:rStyle w:val="Hyperlink"/>
          </w:rPr>
          <w:t>LACES</w:t>
        </w:r>
      </w:hyperlink>
      <w:r w:rsidRPr="0079354F">
        <w:t xml:space="preserve"> in a timely manner according to a fixed, regular schedule. Data entry must be consistent with program records in the grantee’s files.</w:t>
      </w:r>
      <w:r>
        <w:t xml:space="preserve"> </w:t>
      </w:r>
      <w:r w:rsidRPr="0079354F">
        <w:t>Programs that routinely lag in data entry will not have an accurate picture of their current performance. Routine lags in data entry may trigger a data and/or fiscal audit.</w:t>
      </w:r>
    </w:p>
    <w:p w14:paraId="515618BF" w14:textId="77777777" w:rsidR="006F69ED" w:rsidRDefault="006F69ED" w:rsidP="00C25FAC"/>
    <w:p w14:paraId="5DD7BFE6" w14:textId="27266955" w:rsidR="003F0B35" w:rsidRDefault="008E5C0C" w:rsidP="003F0B35">
      <w:r>
        <w:rPr>
          <w:rStyle w:val="Hyperlink"/>
        </w:rPr>
        <w:t xml:space="preserve">Transition Programs should enter Student, Class, and Staff data in </w:t>
      </w:r>
      <w:hyperlink r:id="rId87" w:history="1">
        <w:r w:rsidRPr="0079354F">
          <w:rPr>
            <w:rStyle w:val="Hyperlink"/>
          </w:rPr>
          <w:t>LACES</w:t>
        </w:r>
      </w:hyperlink>
      <w:r>
        <w:rPr>
          <w:rStyle w:val="Hyperlink"/>
        </w:rPr>
        <w:t xml:space="preserve">. For students, note that the </w:t>
      </w:r>
      <w:r>
        <w:t>“Assess Status in Subj Area” field in the LACES Student grid should show as “Never Assessed” for all Transition students. This is because Transition students do not take National Reporting System (NRS) assessments. Transition students instead should only take the college’s common assessment.</w:t>
      </w:r>
    </w:p>
    <w:p w14:paraId="3D73AD91" w14:textId="3245EE37" w:rsidR="00DE4B5F" w:rsidRPr="0079354F" w:rsidRDefault="00C25FAC" w:rsidP="00DE4B5F">
      <w:pPr>
        <w:rPr>
          <w:sz w:val="22"/>
          <w:szCs w:val="22"/>
        </w:rPr>
      </w:pPr>
      <w:r>
        <w:t xml:space="preserve">For more information on </w:t>
      </w:r>
      <w:hyperlink r:id="rId88" w:history="1">
        <w:r w:rsidR="008E5C0C" w:rsidRPr="0079354F">
          <w:rPr>
            <w:rStyle w:val="Hyperlink"/>
          </w:rPr>
          <w:t>LACES</w:t>
        </w:r>
      </w:hyperlink>
      <w:r w:rsidR="008E5C0C">
        <w:rPr>
          <w:rStyle w:val="Hyperlink"/>
        </w:rPr>
        <w:t xml:space="preserve"> </w:t>
      </w:r>
      <w:r>
        <w:t>data entry</w:t>
      </w:r>
      <w:r w:rsidR="00F80BD0">
        <w:t>, see</w:t>
      </w:r>
      <w:r>
        <w:t xml:space="preserve"> </w:t>
      </w:r>
      <w:hyperlink r:id="rId89">
        <w:r w:rsidR="00DE4B5F" w:rsidRPr="0079354F">
          <w:rPr>
            <w:rStyle w:val="Hyperlink"/>
            <w:rFonts w:eastAsia="Batang"/>
          </w:rPr>
          <w:t>https://sites.google.com/a/literacypro.com/laces-massachusetts-customizations/ma-laces-manual</w:t>
        </w:r>
      </w:hyperlink>
      <w:r w:rsidR="00DE4B5F" w:rsidRPr="0079354F">
        <w:t>.</w:t>
      </w:r>
    </w:p>
    <w:p w14:paraId="6D03E703" w14:textId="77777777" w:rsidR="00C25FAC" w:rsidRPr="003475B7" w:rsidRDefault="00C25FAC" w:rsidP="00C25FAC">
      <w:pPr>
        <w:rPr>
          <w:color w:val="1F497D"/>
          <w:sz w:val="22"/>
          <w:szCs w:val="22"/>
        </w:rPr>
      </w:pPr>
    </w:p>
    <w:p w14:paraId="49C25959" w14:textId="77777777" w:rsidR="00256B95" w:rsidRPr="006F4344" w:rsidRDefault="00256B95" w:rsidP="00256B95">
      <w:pPr>
        <w:pStyle w:val="Heading4"/>
        <w:spacing w:before="0"/>
        <w:rPr>
          <w:color w:val="E36C0A" w:themeColor="accent6" w:themeShade="BF"/>
        </w:rPr>
      </w:pPr>
      <w:r w:rsidRPr="00187183">
        <w:rPr>
          <w:b/>
          <w:color w:val="B85808"/>
        </w:rPr>
        <w:t>Desk Reviews</w:t>
      </w:r>
    </w:p>
    <w:p w14:paraId="710E6792" w14:textId="714B4913" w:rsidR="00C25FAC" w:rsidRPr="0079354F" w:rsidRDefault="00256B95" w:rsidP="001F2CC5">
      <w:r w:rsidRPr="0079354F">
        <w:t>ACLS uses desk reviews to ensure and improve the quality of data collection in LACES.</w:t>
      </w:r>
      <w:r w:rsidR="001F2CC5">
        <w:t xml:space="preserve"> </w:t>
      </w:r>
      <w:r w:rsidR="00C25FAC" w:rsidRPr="0079354F">
        <w:t xml:space="preserve">Five times per year, on a schedule announced by ACLS, </w:t>
      </w:r>
      <w:r w:rsidR="00633135">
        <w:t xml:space="preserve">your assigned program specialist </w:t>
      </w:r>
      <w:r w:rsidR="00AD3E30">
        <w:t xml:space="preserve">will do a desk review to check student enrollments, class creation, and student attendance. </w:t>
      </w:r>
    </w:p>
    <w:p w14:paraId="50A840C7" w14:textId="77777777" w:rsidR="00C25FAC" w:rsidRPr="003475B7" w:rsidRDefault="00C25FAC" w:rsidP="00C25FAC">
      <w:pPr>
        <w:rPr>
          <w:sz w:val="22"/>
          <w:szCs w:val="22"/>
        </w:rPr>
      </w:pPr>
    </w:p>
    <w:p w14:paraId="1A74A607" w14:textId="0246FEDD" w:rsidR="00C25FAC" w:rsidRPr="0079354F" w:rsidRDefault="005E0B0B" w:rsidP="00C25FAC">
      <w:pPr>
        <w:rPr>
          <w:color w:val="000000"/>
        </w:rPr>
      </w:pPr>
      <w:r>
        <w:rPr>
          <w:color w:val="000000" w:themeColor="text1"/>
        </w:rPr>
        <w:t xml:space="preserve">Students </w:t>
      </w:r>
      <w:r w:rsidR="00C25FAC" w:rsidRPr="0079354F">
        <w:rPr>
          <w:color w:val="000000" w:themeColor="text1"/>
        </w:rPr>
        <w:t>who have not participated for 90 days are officially exited from the program and become part of a follow-up cohort.</w:t>
      </w:r>
    </w:p>
    <w:p w14:paraId="08120D93" w14:textId="77777777" w:rsidR="00C25FAC" w:rsidRPr="003475B7" w:rsidRDefault="00C25FAC" w:rsidP="00C25FAC">
      <w:pPr>
        <w:rPr>
          <w:color w:val="000000"/>
          <w:sz w:val="22"/>
          <w:szCs w:val="22"/>
        </w:rPr>
      </w:pPr>
    </w:p>
    <w:p w14:paraId="0C016E74" w14:textId="77777777" w:rsidR="00F75476" w:rsidRDefault="00F75476">
      <w:pPr>
        <w:rPr>
          <w:rFonts w:ascii="Arial Narrow" w:hAnsi="Arial Narrow" w:cs="Arial"/>
          <w:b/>
          <w:color w:val="E36C0A" w:themeColor="accent6" w:themeShade="BF"/>
          <w:sz w:val="28"/>
          <w:szCs w:val="20"/>
        </w:rPr>
      </w:pPr>
      <w:r>
        <w:rPr>
          <w:b/>
          <w:bCs/>
          <w:color w:val="E36C0A" w:themeColor="accent6" w:themeShade="BF"/>
        </w:rPr>
        <w:br w:type="page"/>
      </w:r>
    </w:p>
    <w:p w14:paraId="0C0F8AF0" w14:textId="38222A93" w:rsidR="00337CF1" w:rsidRPr="00336E04" w:rsidRDefault="00337CF1" w:rsidP="00337CF1">
      <w:pPr>
        <w:pStyle w:val="Heading2"/>
        <w:spacing w:before="0"/>
        <w:rPr>
          <w:b/>
          <w:bCs w:val="0"/>
          <w:color w:val="E36C0A" w:themeColor="accent6" w:themeShade="BF"/>
        </w:rPr>
      </w:pPr>
      <w:bookmarkStart w:id="86" w:name="_Toc117504288"/>
      <w:r w:rsidRPr="00336E04">
        <w:rPr>
          <w:b/>
          <w:bCs w:val="0"/>
          <w:color w:val="E36C0A" w:themeColor="accent6" w:themeShade="BF"/>
        </w:rPr>
        <w:t xml:space="preserve">Appendix </w:t>
      </w:r>
      <w:r w:rsidR="00891456">
        <w:rPr>
          <w:b/>
          <w:bCs w:val="0"/>
          <w:color w:val="E36C0A" w:themeColor="accent6" w:themeShade="BF"/>
        </w:rPr>
        <w:t>A</w:t>
      </w:r>
      <w:r w:rsidRPr="00336E04">
        <w:rPr>
          <w:b/>
          <w:bCs w:val="0"/>
          <w:color w:val="E36C0A" w:themeColor="accent6" w:themeShade="BF"/>
        </w:rPr>
        <w:t xml:space="preserve">: Guidelines for Memoranda of </w:t>
      </w:r>
      <w:r>
        <w:rPr>
          <w:b/>
          <w:bCs w:val="0"/>
          <w:color w:val="E36C0A" w:themeColor="accent6" w:themeShade="BF"/>
        </w:rPr>
        <w:t>Agreement (MOA</w:t>
      </w:r>
      <w:r w:rsidRPr="00336E04">
        <w:rPr>
          <w:b/>
          <w:bCs w:val="0"/>
          <w:color w:val="E36C0A" w:themeColor="accent6" w:themeShade="BF"/>
        </w:rPr>
        <w:t>)</w:t>
      </w:r>
      <w:bookmarkEnd w:id="86"/>
    </w:p>
    <w:p w14:paraId="4B51CFA9" w14:textId="77777777" w:rsidR="00337CF1" w:rsidRDefault="00337CF1" w:rsidP="00337CF1">
      <w:pPr>
        <w:widowControl w:val="0"/>
        <w:rPr>
          <w:iCs/>
          <w:color w:val="000000"/>
        </w:rPr>
      </w:pPr>
      <w:r>
        <w:rPr>
          <w:color w:val="000000"/>
        </w:rPr>
        <w:t xml:space="preserve">The memorandum of agreement (MOA) is a written document describing the agreement between the grantee and another organization working together to deliver services. </w:t>
      </w:r>
      <w:r>
        <w:rPr>
          <w:iCs/>
          <w:color w:val="000000"/>
        </w:rPr>
        <w:t xml:space="preserve">The purpose of the MOA is to formalize and clarify the expectations of the </w:t>
      </w:r>
      <w:r>
        <w:rPr>
          <w:color w:val="000000"/>
        </w:rPr>
        <w:t>grantee and partnering program</w:t>
      </w:r>
      <w:r>
        <w:rPr>
          <w:iCs/>
          <w:color w:val="000000"/>
        </w:rPr>
        <w:t>.</w:t>
      </w:r>
    </w:p>
    <w:p w14:paraId="1C986242" w14:textId="77777777" w:rsidR="00337CF1" w:rsidRDefault="00337CF1" w:rsidP="00337CF1">
      <w:pPr>
        <w:widowControl w:val="0"/>
        <w:rPr>
          <w:iCs/>
          <w:color w:val="000000"/>
        </w:rPr>
      </w:pPr>
    </w:p>
    <w:p w14:paraId="1CFE4BFB" w14:textId="11A4155A" w:rsidR="00337CF1" w:rsidRDefault="00337CF1" w:rsidP="00337CF1">
      <w:pPr>
        <w:widowControl w:val="0"/>
        <w:rPr>
          <w:color w:val="000000"/>
        </w:rPr>
      </w:pPr>
      <w:r>
        <w:rPr>
          <w:iCs/>
          <w:color w:val="000000"/>
        </w:rPr>
        <w:t>All parties must commit to fulfilling the requirements outlined in the signed Statement of Assurances and the requirements set forth in the</w:t>
      </w:r>
      <w:r>
        <w:rPr>
          <w:i/>
          <w:iCs/>
          <w:color w:val="000000"/>
        </w:rPr>
        <w:t xml:space="preserve"> Policies</w:t>
      </w:r>
      <w:r>
        <w:rPr>
          <w:iCs/>
          <w:color w:val="000000"/>
        </w:rPr>
        <w:t>. T</w:t>
      </w:r>
      <w:r>
        <w:rPr>
          <w:color w:val="000000"/>
        </w:rPr>
        <w:t xml:space="preserve">he MOA must be revisited annually: one </w:t>
      </w:r>
      <w:r>
        <w:rPr>
          <w:bCs/>
          <w:iCs/>
          <w:color w:val="000000"/>
        </w:rPr>
        <w:t>original</w:t>
      </w:r>
      <w:r>
        <w:rPr>
          <w:iCs/>
          <w:color w:val="000000"/>
        </w:rPr>
        <w:t xml:space="preserve"> must be signed and dated by all partners</w:t>
      </w:r>
      <w:r>
        <w:rPr>
          <w:color w:val="000000"/>
        </w:rPr>
        <w:t xml:space="preserve"> and submitted to </w:t>
      </w:r>
      <w:smartTag w:uri="urn:schemas-microsoft-com:office:smarttags" w:element="stockticker">
        <w:r>
          <w:rPr>
            <w:color w:val="000000"/>
          </w:rPr>
          <w:t>ACLS</w:t>
        </w:r>
      </w:smartTag>
      <w:r>
        <w:rPr>
          <w:color w:val="000000"/>
        </w:rPr>
        <w:t>; however, with approval from the ACLS PS, the MOA may be updated at any time through written agreement of each partner</w:t>
      </w:r>
      <w:r>
        <w:rPr>
          <w:iCs/>
          <w:color w:val="000000"/>
        </w:rPr>
        <w:t>.</w:t>
      </w:r>
    </w:p>
    <w:p w14:paraId="62B59308" w14:textId="77777777" w:rsidR="00337CF1" w:rsidRDefault="00337CF1" w:rsidP="00337CF1">
      <w:pPr>
        <w:widowControl w:val="0"/>
        <w:rPr>
          <w:color w:val="000000"/>
        </w:rPr>
      </w:pPr>
    </w:p>
    <w:p w14:paraId="3FE9BAA5" w14:textId="77777777" w:rsidR="00337CF1" w:rsidRDefault="00337CF1" w:rsidP="00337CF1">
      <w:pPr>
        <w:widowControl w:val="0"/>
        <w:rPr>
          <w:color w:val="000000"/>
        </w:rPr>
      </w:pPr>
    </w:p>
    <w:p w14:paraId="04AA2B2E" w14:textId="77777777" w:rsidR="00337CF1" w:rsidRDefault="00337CF1" w:rsidP="00337CF1">
      <w:pPr>
        <w:widowControl w:val="0"/>
        <w:rPr>
          <w:color w:val="000000"/>
        </w:rPr>
      </w:pPr>
      <w:r>
        <w:rPr>
          <w:color w:val="000000"/>
        </w:rPr>
        <w:t>Required components of the MOA include an articulation of the following:</w:t>
      </w:r>
    </w:p>
    <w:p w14:paraId="0F473205" w14:textId="77777777" w:rsidR="00337CF1" w:rsidRPr="003C7FBB" w:rsidRDefault="00337CF1" w:rsidP="00144355">
      <w:pPr>
        <w:widowControl w:val="0"/>
        <w:numPr>
          <w:ilvl w:val="0"/>
          <w:numId w:val="9"/>
        </w:numPr>
        <w:rPr>
          <w:color w:val="000000"/>
        </w:rPr>
      </w:pPr>
      <w:r>
        <w:rPr>
          <w:color w:val="000000"/>
        </w:rPr>
        <w:t>purpose of the MOA</w:t>
      </w:r>
    </w:p>
    <w:p w14:paraId="3956A709" w14:textId="77777777" w:rsidR="00337CF1" w:rsidRPr="003C7FBB" w:rsidRDefault="00337CF1" w:rsidP="00144355">
      <w:pPr>
        <w:widowControl w:val="0"/>
        <w:numPr>
          <w:ilvl w:val="0"/>
          <w:numId w:val="9"/>
        </w:numPr>
        <w:rPr>
          <w:color w:val="000000"/>
        </w:rPr>
      </w:pPr>
      <w:r>
        <w:rPr>
          <w:color w:val="000000"/>
        </w:rPr>
        <w:t>description of the roles and responsibilities of staff of each partnering organization</w:t>
      </w:r>
    </w:p>
    <w:p w14:paraId="4C52C71B" w14:textId="77777777" w:rsidR="00337CF1" w:rsidRPr="003C7FBB" w:rsidRDefault="00337CF1" w:rsidP="00144355">
      <w:pPr>
        <w:widowControl w:val="0"/>
        <w:numPr>
          <w:ilvl w:val="0"/>
          <w:numId w:val="9"/>
        </w:numPr>
        <w:rPr>
          <w:color w:val="000000"/>
        </w:rPr>
      </w:pPr>
      <w:r>
        <w:rPr>
          <w:color w:val="000000"/>
        </w:rPr>
        <w:t>if the partner is offering instructional services, a detailed description of those services (number and type of classes) as reflected in the program’s program plan</w:t>
      </w:r>
    </w:p>
    <w:p w14:paraId="1EAD318D" w14:textId="77777777" w:rsidR="00337CF1" w:rsidRPr="003C7FBB" w:rsidRDefault="00337CF1" w:rsidP="00144355">
      <w:pPr>
        <w:widowControl w:val="0"/>
        <w:numPr>
          <w:ilvl w:val="0"/>
          <w:numId w:val="9"/>
        </w:numPr>
        <w:rPr>
          <w:color w:val="000000"/>
        </w:rPr>
      </w:pPr>
      <w:r>
        <w:rPr>
          <w:color w:val="000000"/>
        </w:rPr>
        <w:t>description of the scope of work, including expected results</w:t>
      </w:r>
    </w:p>
    <w:p w14:paraId="7552A06C" w14:textId="77777777" w:rsidR="00337CF1" w:rsidRPr="003C7FBB" w:rsidRDefault="00337CF1" w:rsidP="00144355">
      <w:pPr>
        <w:widowControl w:val="0"/>
        <w:numPr>
          <w:ilvl w:val="0"/>
          <w:numId w:val="9"/>
        </w:numPr>
        <w:rPr>
          <w:color w:val="000000"/>
        </w:rPr>
      </w:pPr>
      <w:r>
        <w:rPr>
          <w:color w:val="000000"/>
        </w:rPr>
        <w:t>duration of agreement articulating the beginning and end date</w:t>
      </w:r>
    </w:p>
    <w:p w14:paraId="270D6468" w14:textId="77777777" w:rsidR="00337CF1" w:rsidRPr="003C7FBB" w:rsidRDefault="00337CF1" w:rsidP="00144355">
      <w:pPr>
        <w:widowControl w:val="0"/>
        <w:numPr>
          <w:ilvl w:val="0"/>
          <w:numId w:val="9"/>
        </w:numPr>
        <w:rPr>
          <w:color w:val="000000"/>
        </w:rPr>
      </w:pPr>
      <w:r>
        <w:rPr>
          <w:color w:val="000000"/>
        </w:rPr>
        <w:t>schedule for review of MOA at a minimum three times per year: beginning, midyear, and end of year</w:t>
      </w:r>
    </w:p>
    <w:p w14:paraId="47D1A7BF" w14:textId="77777777" w:rsidR="00337CF1" w:rsidRDefault="00337CF1" w:rsidP="00144355">
      <w:pPr>
        <w:pStyle w:val="Default"/>
        <w:widowControl w:val="0"/>
        <w:numPr>
          <w:ilvl w:val="0"/>
          <w:numId w:val="9"/>
        </w:numPr>
      </w:pPr>
      <w:r>
        <w:t>articulation of grounds for termination of the MOA, for example:</w:t>
      </w:r>
    </w:p>
    <w:p w14:paraId="511D2C8B" w14:textId="77777777" w:rsidR="00337CF1" w:rsidRDefault="00337CF1" w:rsidP="00337CF1">
      <w:pPr>
        <w:pStyle w:val="Default"/>
        <w:widowControl w:val="0"/>
      </w:pPr>
    </w:p>
    <w:p w14:paraId="6742A863" w14:textId="08EB7653" w:rsidR="00337CF1" w:rsidRPr="002879A4" w:rsidRDefault="00337CF1" w:rsidP="00337CF1">
      <w:pPr>
        <w:pStyle w:val="Default"/>
        <w:widowControl w:val="0"/>
        <w:ind w:left="1080" w:right="720"/>
      </w:pPr>
      <w:r>
        <w:rPr>
          <w:i/>
        </w:rPr>
        <w:t xml:space="preserve">“This agreement may be terminated by either of the partners upon written notice delivered to the other party at least 30 days prior to intended date of termination. The grantee must terminate the agreement with the partner organization if its activities are not delivered as described in the MOA. </w:t>
      </w:r>
    </w:p>
    <w:p w14:paraId="0342BA48" w14:textId="77777777" w:rsidR="00337CF1" w:rsidRDefault="00337CF1" w:rsidP="00337CF1"/>
    <w:p w14:paraId="6B7DCFEE" w14:textId="77777777" w:rsidR="00537D3C" w:rsidRDefault="00537D3C" w:rsidP="00337CF1">
      <w:r>
        <w:t>The following items are commonly seen in Transition to College Program MOAs:</w:t>
      </w:r>
    </w:p>
    <w:p w14:paraId="6AB3B6A5" w14:textId="77777777" w:rsidR="00537D3C" w:rsidRDefault="00537D3C" w:rsidP="00337CF1"/>
    <w:p w14:paraId="3FD313F1" w14:textId="13D0AF62" w:rsidR="00473391" w:rsidRDefault="00537D3C" w:rsidP="00337CF1">
      <w:r>
        <w:t xml:space="preserve">Responsibilities of the </w:t>
      </w:r>
      <w:r w:rsidR="00CB09F4">
        <w:t>Transition Program</w:t>
      </w:r>
      <w:r>
        <w:t xml:space="preserve"> include:</w:t>
      </w:r>
    </w:p>
    <w:p w14:paraId="20D7067C" w14:textId="258BE33F" w:rsidR="00537D3C" w:rsidRPr="007E1A7E" w:rsidRDefault="00620B09" w:rsidP="00537D3C">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 xml:space="preserve">Scheduling </w:t>
      </w:r>
      <w:r w:rsidR="00FD73C1" w:rsidRPr="007E1A7E">
        <w:rPr>
          <w:rFonts w:ascii="Times New Roman" w:hAnsi="Times New Roman" w:cs="Times New Roman"/>
          <w:sz w:val="24"/>
          <w:szCs w:val="24"/>
        </w:rPr>
        <w:t>on-campus information sessions and tours, including observing a class</w:t>
      </w:r>
    </w:p>
    <w:p w14:paraId="472FC953" w14:textId="39C080E6" w:rsidR="001F2CEA" w:rsidRPr="007E1A7E" w:rsidRDefault="001F2CEA" w:rsidP="00537D3C">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 xml:space="preserve">Assist AE students in enrolling in the </w:t>
      </w:r>
      <w:r w:rsidR="00CB09F4">
        <w:rPr>
          <w:rFonts w:ascii="Times New Roman" w:hAnsi="Times New Roman" w:cs="Times New Roman"/>
          <w:sz w:val="24"/>
          <w:szCs w:val="24"/>
        </w:rPr>
        <w:t>Transition Program</w:t>
      </w:r>
    </w:p>
    <w:p w14:paraId="34156CAB" w14:textId="7681322C" w:rsidR="001F2CEA" w:rsidRPr="007E1A7E" w:rsidRDefault="001F2CEA" w:rsidP="00537D3C">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 xml:space="preserve">Regularly presenting to AE classes about the </w:t>
      </w:r>
      <w:r w:rsidR="00CB09F4">
        <w:rPr>
          <w:rFonts w:ascii="Times New Roman" w:hAnsi="Times New Roman" w:cs="Times New Roman"/>
          <w:sz w:val="24"/>
          <w:szCs w:val="24"/>
        </w:rPr>
        <w:t>Transition Program</w:t>
      </w:r>
    </w:p>
    <w:p w14:paraId="4713888A" w14:textId="45A77FC6" w:rsidR="00130D19" w:rsidRPr="00A75246" w:rsidRDefault="00C43ADC" w:rsidP="00E13A53">
      <w:pPr>
        <w:pStyle w:val="ListParagraph"/>
        <w:numPr>
          <w:ilvl w:val="0"/>
          <w:numId w:val="36"/>
        </w:numPr>
        <w:rPr>
          <w:rFonts w:ascii="Times New Roman" w:hAnsi="Times New Roman" w:cs="Times New Roman"/>
          <w:sz w:val="24"/>
          <w:szCs w:val="24"/>
        </w:rPr>
      </w:pPr>
      <w:r w:rsidRPr="007E1A7E">
        <w:rPr>
          <w:rFonts w:ascii="Times New Roman" w:hAnsi="Times New Roman" w:cs="Times New Roman"/>
          <w:sz w:val="24"/>
          <w:szCs w:val="24"/>
        </w:rPr>
        <w:t>Advising AE instructors on curricula and lesson plans designed to prepare students for college level courses</w:t>
      </w:r>
    </w:p>
    <w:p w14:paraId="1FC0D0CF" w14:textId="6A076BE6" w:rsidR="00130D19" w:rsidRDefault="006F27FA" w:rsidP="00E13A53">
      <w:r>
        <w:t xml:space="preserve">Responsibilities of the </w:t>
      </w:r>
      <w:r w:rsidR="00130D19">
        <w:t>Adult Education Agencies:</w:t>
      </w:r>
    </w:p>
    <w:p w14:paraId="466342EA" w14:textId="14D7804B" w:rsidR="0000511D" w:rsidRDefault="00130D19" w:rsidP="006F27FA">
      <w:pPr>
        <w:pStyle w:val="ListParagraph"/>
        <w:numPr>
          <w:ilvl w:val="0"/>
          <w:numId w:val="37"/>
        </w:numPr>
        <w:rPr>
          <w:rFonts w:ascii="Times New Roman" w:hAnsi="Times New Roman" w:cs="Times New Roman"/>
          <w:sz w:val="24"/>
          <w:szCs w:val="24"/>
        </w:rPr>
      </w:pPr>
      <w:r w:rsidRPr="007E1A7E">
        <w:rPr>
          <w:rFonts w:ascii="Times New Roman" w:hAnsi="Times New Roman" w:cs="Times New Roman"/>
          <w:sz w:val="24"/>
          <w:szCs w:val="24"/>
        </w:rPr>
        <w:t xml:space="preserve">Provide </w:t>
      </w:r>
      <w:r w:rsidR="00AA38B3">
        <w:rPr>
          <w:rFonts w:ascii="Times New Roman" w:hAnsi="Times New Roman" w:cs="Times New Roman"/>
          <w:sz w:val="24"/>
          <w:szCs w:val="24"/>
        </w:rPr>
        <w:t xml:space="preserve">the </w:t>
      </w:r>
      <w:r w:rsidR="00CB09F4">
        <w:rPr>
          <w:rFonts w:ascii="Times New Roman" w:hAnsi="Times New Roman" w:cs="Times New Roman"/>
          <w:sz w:val="24"/>
          <w:szCs w:val="24"/>
        </w:rPr>
        <w:t>Transition Program</w:t>
      </w:r>
      <w:r w:rsidR="00AA38B3">
        <w:rPr>
          <w:rFonts w:ascii="Times New Roman" w:hAnsi="Times New Roman" w:cs="Times New Roman"/>
          <w:sz w:val="24"/>
          <w:szCs w:val="24"/>
        </w:rPr>
        <w:t xml:space="preserve"> coordinator access to classes for program information sessions</w:t>
      </w:r>
    </w:p>
    <w:p w14:paraId="05ABEA16" w14:textId="75BB6B8F"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Designate an agency contact for the </w:t>
      </w:r>
      <w:r w:rsidR="00CB09F4">
        <w:rPr>
          <w:rFonts w:ascii="Times New Roman" w:hAnsi="Times New Roman" w:cs="Times New Roman"/>
          <w:sz w:val="24"/>
          <w:szCs w:val="24"/>
        </w:rPr>
        <w:t>Transition Program</w:t>
      </w:r>
      <w:r>
        <w:rPr>
          <w:rFonts w:ascii="Times New Roman" w:hAnsi="Times New Roman" w:cs="Times New Roman"/>
          <w:sz w:val="24"/>
          <w:szCs w:val="24"/>
        </w:rPr>
        <w:t xml:space="preserve"> coordinator.</w:t>
      </w:r>
    </w:p>
    <w:p w14:paraId="4727751D" w14:textId="352B8D0F"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Assist the </w:t>
      </w:r>
      <w:r w:rsidR="00CB09F4">
        <w:rPr>
          <w:rFonts w:ascii="Times New Roman" w:hAnsi="Times New Roman" w:cs="Times New Roman"/>
          <w:sz w:val="24"/>
          <w:szCs w:val="24"/>
        </w:rPr>
        <w:t>Transition Program</w:t>
      </w:r>
      <w:r>
        <w:rPr>
          <w:rFonts w:ascii="Times New Roman" w:hAnsi="Times New Roman" w:cs="Times New Roman"/>
          <w:sz w:val="24"/>
          <w:szCs w:val="24"/>
        </w:rPr>
        <w:t xml:space="preserve"> coordinator in scheduling informational tours of the college</w:t>
      </w:r>
    </w:p>
    <w:p w14:paraId="321BFBB1" w14:textId="438F7558"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Disseminate information about the </w:t>
      </w:r>
      <w:r w:rsidR="00CB09F4">
        <w:rPr>
          <w:rFonts w:ascii="Times New Roman" w:hAnsi="Times New Roman" w:cs="Times New Roman"/>
          <w:sz w:val="24"/>
          <w:szCs w:val="24"/>
        </w:rPr>
        <w:t>Transition Program</w:t>
      </w:r>
      <w:r>
        <w:rPr>
          <w:rFonts w:ascii="Times New Roman" w:hAnsi="Times New Roman" w:cs="Times New Roman"/>
          <w:sz w:val="24"/>
          <w:szCs w:val="24"/>
        </w:rPr>
        <w:t xml:space="preserve"> to students</w:t>
      </w:r>
    </w:p>
    <w:p w14:paraId="5793AB17" w14:textId="10516081" w:rsidR="00EF0142" w:rsidRDefault="00EF0142" w:rsidP="006F27F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Include </w:t>
      </w:r>
      <w:r w:rsidR="00CB09F4">
        <w:rPr>
          <w:rFonts w:ascii="Times New Roman" w:hAnsi="Times New Roman" w:cs="Times New Roman"/>
          <w:sz w:val="24"/>
          <w:szCs w:val="24"/>
        </w:rPr>
        <w:t>Transition Program</w:t>
      </w:r>
      <w:r>
        <w:rPr>
          <w:rFonts w:ascii="Times New Roman" w:hAnsi="Times New Roman" w:cs="Times New Roman"/>
          <w:sz w:val="24"/>
          <w:szCs w:val="24"/>
        </w:rPr>
        <w:t xml:space="preserve"> information as part of orientations for incoming students</w:t>
      </w:r>
    </w:p>
    <w:p w14:paraId="15500896" w14:textId="245633FE" w:rsidR="00337CF1" w:rsidRPr="00633F55" w:rsidRDefault="00EF0142" w:rsidP="0047675C">
      <w:pPr>
        <w:pStyle w:val="ListParagraph"/>
        <w:numPr>
          <w:ilvl w:val="0"/>
          <w:numId w:val="37"/>
        </w:numPr>
      </w:pPr>
      <w:r>
        <w:rPr>
          <w:rFonts w:ascii="Times New Roman" w:hAnsi="Times New Roman" w:cs="Times New Roman"/>
          <w:sz w:val="24"/>
          <w:szCs w:val="24"/>
        </w:rPr>
        <w:t>Collaborate with the Transition coordinator on developing curricula and lesson plans designed to prepare students for college-level courses.</w:t>
      </w:r>
    </w:p>
    <w:p w14:paraId="3A662F5F" w14:textId="77777777" w:rsidR="00F75476" w:rsidRDefault="00F75476">
      <w:pPr>
        <w:rPr>
          <w:color w:val="000000"/>
        </w:rPr>
      </w:pPr>
      <w:r>
        <w:rPr>
          <w:bCs/>
          <w:color w:val="000000"/>
        </w:rPr>
        <w:br w:type="page"/>
      </w:r>
    </w:p>
    <w:p w14:paraId="179911C5" w14:textId="4ABD7B34" w:rsidR="00256B95" w:rsidRPr="00EE4390" w:rsidRDefault="00337CF1" w:rsidP="00256B95">
      <w:pPr>
        <w:pStyle w:val="Heading2"/>
        <w:spacing w:before="0"/>
        <w:rPr>
          <w:noProof/>
          <w:color w:val="auto"/>
        </w:rPr>
      </w:pPr>
      <w:bookmarkStart w:id="87" w:name="_Toc117504289"/>
      <w:r w:rsidRPr="00D14CCC">
        <w:rPr>
          <w:b/>
          <w:noProof/>
          <w:color w:val="E36C0A" w:themeColor="accent6" w:themeShade="BF"/>
        </w:rPr>
        <w:t xml:space="preserve">Appendix </w:t>
      </w:r>
      <w:r>
        <w:rPr>
          <w:b/>
          <w:noProof/>
          <w:color w:val="E36C0A" w:themeColor="accent6" w:themeShade="BF"/>
        </w:rPr>
        <w:t>C</w:t>
      </w:r>
      <w:r w:rsidRPr="00D14CCC">
        <w:rPr>
          <w:b/>
          <w:noProof/>
          <w:color w:val="E36C0A" w:themeColor="accent6" w:themeShade="BF"/>
        </w:rPr>
        <w:t xml:space="preserve">: </w:t>
      </w:r>
      <w:r w:rsidR="00256B95" w:rsidRPr="00EE4390">
        <w:rPr>
          <w:b/>
          <w:color w:val="E36C0A" w:themeColor="accent6" w:themeShade="BF"/>
        </w:rPr>
        <w:t>Hierarchy of Applicable Regulations</w:t>
      </w:r>
      <w:bookmarkEnd w:id="87"/>
    </w:p>
    <w:p w14:paraId="664B7361" w14:textId="77777777" w:rsidR="00256B95" w:rsidRPr="00CA19AD" w:rsidRDefault="00256B95" w:rsidP="00256B95">
      <w:r w:rsidRPr="00795D5B">
        <w:t>Grantees should become familiar with applicable federal regulations as they provide the universe of fiscal requirements for AE grants and will be used as reference during fiscal monitoring reviews. There are a number of requirements that come from different sources. The following section summarizes the hierarchy of legal requirements for federal AE programs that also apply to DESE state grants.</w:t>
      </w:r>
    </w:p>
    <w:p w14:paraId="77962EA5" w14:textId="77777777" w:rsidR="00256B95" w:rsidRPr="00CA19AD" w:rsidRDefault="00256B95" w:rsidP="00256B95"/>
    <w:p w14:paraId="57886B0C" w14:textId="77777777" w:rsidR="00256B95" w:rsidRPr="00AB57E0" w:rsidRDefault="00256B95" w:rsidP="00256B95">
      <w:pPr>
        <w:pStyle w:val="Heading4"/>
        <w:spacing w:before="0"/>
        <w:rPr>
          <w:b/>
          <w:bCs w:val="0"/>
          <w:color w:val="E36C0A"/>
        </w:rPr>
      </w:pPr>
      <w:r w:rsidRPr="00AB57E0">
        <w:rPr>
          <w:b/>
          <w:bCs w:val="0"/>
          <w:color w:val="E36C0A"/>
        </w:rPr>
        <w:t>Statutes</w:t>
      </w:r>
    </w:p>
    <w:p w14:paraId="277F95FC" w14:textId="77777777" w:rsidR="00256B95" w:rsidRPr="00795D5B" w:rsidRDefault="00256B95" w:rsidP="00256B95">
      <w:pPr>
        <w:rPr>
          <w:rStyle w:val="Hyperlink"/>
          <w:color w:val="auto"/>
          <w:u w:val="none"/>
          <w:shd w:val="clear" w:color="auto" w:fill="FFFFFF"/>
        </w:rPr>
      </w:pPr>
      <w:bookmarkStart w:id="88" w:name="_Hlk36133937"/>
      <w:r w:rsidRPr="00795D5B">
        <w:t>Programmatic statutes</w:t>
      </w:r>
      <w:r w:rsidRPr="00795D5B">
        <w:rPr>
          <w:b/>
        </w:rPr>
        <w:t xml:space="preserve"> </w:t>
      </w:r>
      <w:r w:rsidRPr="00795D5B">
        <w:t>typically contain rules that govern specific federal education programs. The programmatic statute for adult education is</w:t>
      </w:r>
      <w:r w:rsidRPr="00795D5B">
        <w:rPr>
          <w:b/>
        </w:rPr>
        <w:t xml:space="preserve"> </w:t>
      </w:r>
      <w:r w:rsidRPr="00795D5B">
        <w:rPr>
          <w:rStyle w:val="headerslevel1"/>
          <w:shd w:val="clear" w:color="auto" w:fill="FFFFFF"/>
        </w:rPr>
        <w:t xml:space="preserve">the Adult Education and Family Literacy Act (AEFLA), Title II of the </w:t>
      </w:r>
      <w:hyperlink r:id="rId90" w:history="1">
        <w:r w:rsidRPr="00795D5B">
          <w:rPr>
            <w:rStyle w:val="Hyperlink"/>
            <w:shd w:val="clear" w:color="auto" w:fill="FFFFFF"/>
          </w:rPr>
          <w:t>Workforce Innovation and Opportunity Act</w:t>
        </w:r>
      </w:hyperlink>
      <w:r w:rsidRPr="00795D5B">
        <w:rPr>
          <w:rStyle w:val="Hyperlink"/>
          <w:color w:val="auto"/>
          <w:u w:val="none"/>
          <w:shd w:val="clear" w:color="auto" w:fill="FFFFFF"/>
        </w:rPr>
        <w:t>. AEFLA is the statute (i.e., legislation) that authorizes AE grants. It contains information about the program goals and objectives, permissible use of funds, fiscal requirements, and other rules unique to the program.</w:t>
      </w:r>
    </w:p>
    <w:bookmarkEnd w:id="88"/>
    <w:p w14:paraId="64A9AA3A" w14:textId="77777777" w:rsidR="00256B95" w:rsidRPr="00795D5B" w:rsidRDefault="00256B95" w:rsidP="00256B95">
      <w:pPr>
        <w:rPr>
          <w:rStyle w:val="Hyperlink"/>
          <w:color w:val="auto"/>
          <w:u w:val="none"/>
          <w:shd w:val="clear" w:color="auto" w:fill="FFFFFF"/>
        </w:rPr>
      </w:pPr>
    </w:p>
    <w:p w14:paraId="5BF4706D" w14:textId="77777777" w:rsidR="00256B95" w:rsidRPr="00795D5B" w:rsidRDefault="00256B95" w:rsidP="00256B95">
      <w:r w:rsidRPr="00795D5B">
        <w:t>Administrative statutes typically establish cross-cutting rules that apply to the management of federal education programs. An example is the General Education Provisions Act (GEPA), which defines rules regarding the timing and availability of certain education grants, appeal rights, enforcement actions, and other important administrative issues.</w:t>
      </w:r>
    </w:p>
    <w:p w14:paraId="4B89DB04" w14:textId="77777777" w:rsidR="00256B95" w:rsidRPr="00795D5B" w:rsidRDefault="00256B95" w:rsidP="00256B95">
      <w:pPr>
        <w:rPr>
          <w:rStyle w:val="Hyperlink"/>
          <w:color w:val="auto"/>
          <w:u w:val="none"/>
          <w:shd w:val="clear" w:color="auto" w:fill="FFFFFF"/>
        </w:rPr>
      </w:pPr>
    </w:p>
    <w:p w14:paraId="02A404FE" w14:textId="77777777" w:rsidR="00256B95" w:rsidRPr="00CA19AD" w:rsidRDefault="00256B95" w:rsidP="00256B95">
      <w:r w:rsidRPr="00795D5B">
        <w:t>Appropriation statutes</w:t>
      </w:r>
      <w:r w:rsidRPr="00795D5B">
        <w:rPr>
          <w:b/>
        </w:rPr>
        <w:t xml:space="preserve"> </w:t>
      </w:r>
      <w:r w:rsidRPr="00795D5B">
        <w:t>determine the specific amount of money that will fund the AE programs and may contain substantive requirements beyond simple funding, including additional programmatic or administrative requirements.</w:t>
      </w:r>
    </w:p>
    <w:p w14:paraId="69604443" w14:textId="77777777" w:rsidR="00256B95" w:rsidRPr="00CA19AD" w:rsidRDefault="00256B95" w:rsidP="00256B95"/>
    <w:p w14:paraId="2D279CD4" w14:textId="77777777" w:rsidR="00256B95" w:rsidRPr="00AB57E0" w:rsidRDefault="00256B95" w:rsidP="00256B95">
      <w:pPr>
        <w:pStyle w:val="Heading4"/>
        <w:spacing w:before="0"/>
        <w:rPr>
          <w:b/>
          <w:bCs w:val="0"/>
          <w:color w:val="E36C0A"/>
        </w:rPr>
      </w:pPr>
      <w:r w:rsidRPr="00AB57E0">
        <w:rPr>
          <w:b/>
          <w:bCs w:val="0"/>
          <w:color w:val="E36C0A"/>
        </w:rPr>
        <w:t>Regulations</w:t>
      </w:r>
    </w:p>
    <w:p w14:paraId="63B83D5E" w14:textId="77777777" w:rsidR="00256B95" w:rsidRPr="00795D5B" w:rsidRDefault="00256B95" w:rsidP="00256B95">
      <w:pPr>
        <w:rPr>
          <w:color w:val="000000"/>
        </w:rPr>
      </w:pPr>
      <w:r w:rsidRPr="00795D5B">
        <w:rPr>
          <w:color w:val="000000"/>
        </w:rPr>
        <w:t>Regulations are next in the legal hierarchy governing AE programs. Unlike statutes which are passed by Congress, regulations are drafted and adopted by the federal agency that is responsible for implementing the statute. A statute must be in place for an agency to adopt a regulation. (Note: The grant regulations specified in these documents also apply to state matching funds.)</w:t>
      </w:r>
    </w:p>
    <w:p w14:paraId="2E171C83" w14:textId="77777777" w:rsidR="00256B95" w:rsidRPr="00795D5B" w:rsidRDefault="00256B95" w:rsidP="00256B95">
      <w:pPr>
        <w:rPr>
          <w:rStyle w:val="Hyperlink"/>
          <w:color w:val="auto"/>
          <w:u w:val="none"/>
          <w:shd w:val="clear" w:color="auto" w:fill="FFFFFF"/>
        </w:rPr>
      </w:pPr>
    </w:p>
    <w:p w14:paraId="47AD8D81" w14:textId="77777777" w:rsidR="00256B95" w:rsidRPr="00795D5B" w:rsidRDefault="00256B95" w:rsidP="00256B95">
      <w:pPr>
        <w:rPr>
          <w:color w:val="000000" w:themeColor="text1"/>
        </w:rPr>
      </w:pPr>
      <w:r w:rsidRPr="00795D5B">
        <w:rPr>
          <w:rStyle w:val="Hyperlink"/>
          <w:color w:val="auto"/>
          <w:u w:val="none"/>
          <w:shd w:val="clear" w:color="auto" w:fill="FFFFFF"/>
        </w:rPr>
        <w:t>The U.S. Department of Education (US ED) is responsible for maintaining specific programmatic and administrative regulations for US ED grants. These regulations can be found in the</w:t>
      </w:r>
      <w:r w:rsidRPr="00795D5B">
        <w:t xml:space="preserve"> </w:t>
      </w:r>
      <w:r w:rsidRPr="00795D5B">
        <w:rPr>
          <w:rFonts w:eastAsia="Batang"/>
        </w:rPr>
        <w:t>Code of Federal Regulations (CFR). CFR</w:t>
      </w:r>
      <w:r w:rsidRPr="00795D5B">
        <w:t xml:space="preserve"> is the codification of the rules published in the Federal Register by the federal government. The first two numbers indicate the federal agency. Regulations pertaining to US ED are identified by the numbers 34. Therefore, 34 CFR regulations are specific to US ED grants. (Note: </w:t>
      </w:r>
      <w:r w:rsidRPr="00795D5B">
        <w:rPr>
          <w:color w:val="000000" w:themeColor="text1"/>
        </w:rPr>
        <w:t>State AE grants meet the Commonwealth’s requirement to match federal funding. As a result, these grants must adhere to the same regulations as federal awards.)</w:t>
      </w:r>
    </w:p>
    <w:p w14:paraId="681A6561" w14:textId="77777777" w:rsidR="00256B95" w:rsidRPr="00795D5B" w:rsidRDefault="00256B95" w:rsidP="00256B95">
      <w:pPr>
        <w:rPr>
          <w:color w:val="000000" w:themeColor="text1"/>
        </w:rPr>
      </w:pPr>
    </w:p>
    <w:p w14:paraId="57B01A12" w14:textId="77777777" w:rsidR="00256B95" w:rsidRPr="00795D5B" w:rsidRDefault="00256B95" w:rsidP="00256B95">
      <w:pPr>
        <w:rPr>
          <w:color w:val="000000" w:themeColor="text1"/>
        </w:rPr>
      </w:pPr>
      <w:r w:rsidRPr="00795D5B">
        <w:rPr>
          <w:color w:val="000000" w:themeColor="text1"/>
        </w:rPr>
        <w:t>Like statutes, there are programmatic and administrative regulations. In addition to agency specific regulations, there are general administrative regulations that address administrative requirements to all federal grants. The general administrative regulations have been adopted by all federal agencies and are to be adhered to along with the agency specific regulations. They address areas not specifically addressed in the agency regulations and our uniform requirements for all grants and are to be referred to if a requirement is not addressed in the agency specific regulations.</w:t>
      </w:r>
    </w:p>
    <w:p w14:paraId="19E50A98" w14:textId="77777777" w:rsidR="00256B95" w:rsidRPr="00795D5B" w:rsidRDefault="00256B95" w:rsidP="00256B95"/>
    <w:p w14:paraId="02D42BD6" w14:textId="77777777" w:rsidR="00256B95" w:rsidRPr="00795D5B" w:rsidRDefault="00256B95" w:rsidP="00256B95">
      <w:r w:rsidRPr="00795D5B">
        <w:t xml:space="preserve">Programmatic regulations typically contain rules that govern specific federal education grants. The programmatic regulation for adult education, </w:t>
      </w:r>
      <w:hyperlink r:id="rId91" w:history="1">
        <w:r w:rsidRPr="00795D5B">
          <w:rPr>
            <w:rStyle w:val="Hyperlink"/>
            <w:rFonts w:eastAsiaTheme="minorHAnsi"/>
          </w:rPr>
          <w:t>34 CFR Part 463</w:t>
        </w:r>
      </w:hyperlink>
      <w:r w:rsidRPr="00795D5B">
        <w:rPr>
          <w:rFonts w:eastAsiaTheme="minorHAnsi"/>
        </w:rPr>
        <w:t>,</w:t>
      </w:r>
      <w:r w:rsidRPr="00795D5B">
        <w:rPr>
          <w:rStyle w:val="Hyperlink"/>
          <w:rFonts w:eastAsiaTheme="minorHAnsi"/>
          <w:u w:val="none"/>
        </w:rPr>
        <w:t xml:space="preserve"> </w:t>
      </w:r>
      <w:r w:rsidRPr="00795D5B">
        <w:t>establishes specific programmatic and fiscal regulations to AE programs</w:t>
      </w:r>
      <w:r w:rsidRPr="00795D5B" w:rsidDel="00E662B3">
        <w:t xml:space="preserve"> </w:t>
      </w:r>
      <w:r w:rsidRPr="00795D5B">
        <w:t>authorized under AEFLA.</w:t>
      </w:r>
    </w:p>
    <w:p w14:paraId="20A25037" w14:textId="77777777" w:rsidR="00256B95" w:rsidRPr="00795D5B" w:rsidRDefault="00256B95" w:rsidP="00256B95"/>
    <w:p w14:paraId="0DEC0C8D" w14:textId="77777777" w:rsidR="00256B95" w:rsidRPr="00795D5B" w:rsidRDefault="00256B95" w:rsidP="00256B95">
      <w:r w:rsidRPr="00795D5B">
        <w:rPr>
          <w:color w:val="000000" w:themeColor="text1"/>
        </w:rPr>
        <w:t xml:space="preserve">US ED administrative regulations that are specific to the US ED grants awarded by DESE can be found in </w:t>
      </w:r>
      <w:hyperlink r:id="rId92" w:history="1">
        <w:r w:rsidRPr="00795D5B">
          <w:rPr>
            <w:rStyle w:val="Hyperlink"/>
          </w:rPr>
          <w:t>34 CFR Part 76</w:t>
        </w:r>
      </w:hyperlink>
      <w:r w:rsidRPr="00795D5B">
        <w:rPr>
          <w:color w:val="000000" w:themeColor="text1"/>
        </w:rPr>
        <w:t>, Administrative Requirements for State Administered Programs. These regulations provide</w:t>
      </w:r>
      <w:r w:rsidRPr="00795D5B">
        <w:t xml:space="preserve"> grant administrative requirements for all US ED federal education grants administered by DESE. </w:t>
      </w:r>
      <w:r w:rsidRPr="00795D5B">
        <w:rPr>
          <w:color w:val="000000"/>
        </w:rPr>
        <w:t>The grant regulations specified in these documents also apply to state matching funds.</w:t>
      </w:r>
    </w:p>
    <w:p w14:paraId="33AA3B0A" w14:textId="77777777" w:rsidR="00256B95" w:rsidRPr="00795D5B" w:rsidRDefault="00256B95" w:rsidP="00256B95"/>
    <w:p w14:paraId="24A7C2DB" w14:textId="77777777" w:rsidR="00256B95" w:rsidRPr="00CA19AD" w:rsidRDefault="00256B95" w:rsidP="00256B95">
      <w:r w:rsidRPr="00795D5B">
        <w:t xml:space="preserve">Uniform Grant Guidance (UGG), </w:t>
      </w:r>
      <w:hyperlink r:id="rId93" w:history="1">
        <w:r w:rsidRPr="00795D5B">
          <w:rPr>
            <w:rStyle w:val="Hyperlink"/>
          </w:rPr>
          <w:t>2 CFR Part 200</w:t>
        </w:r>
      </w:hyperlink>
      <w:r w:rsidRPr="00795D5B">
        <w:t xml:space="preserve">, are the Uniform Administrative Requirements, Cost Principles, and Audit Requirements are the </w:t>
      </w:r>
      <w:r w:rsidRPr="00795D5B">
        <w:rPr>
          <w:color w:val="000000" w:themeColor="text1"/>
        </w:rPr>
        <w:t>general administrative, cost principles, and audit requirements for all federal grants</w:t>
      </w:r>
      <w:r w:rsidRPr="00795D5B">
        <w:t xml:space="preserve">. As indicated above, </w:t>
      </w:r>
      <w:r w:rsidRPr="00795D5B">
        <w:rPr>
          <w:color w:val="000000" w:themeColor="text1"/>
        </w:rPr>
        <w:t>these regulations are the general administrative requirements for all federal grants and are to be referred to and followed if the requirement is not addressed in the 34 CFR regulations.</w:t>
      </w:r>
    </w:p>
    <w:p w14:paraId="52EB0554" w14:textId="77777777" w:rsidR="00256B95" w:rsidRPr="00CA19AD" w:rsidRDefault="00256B95" w:rsidP="00256B95"/>
    <w:p w14:paraId="1D384315" w14:textId="50893C4B" w:rsidR="00256B95" w:rsidRPr="00AB57E0" w:rsidRDefault="00256B95" w:rsidP="00256B95">
      <w:pPr>
        <w:pStyle w:val="Heading4"/>
        <w:spacing w:before="0"/>
        <w:rPr>
          <w:b/>
          <w:bCs w:val="0"/>
          <w:color w:val="E36C0A"/>
        </w:rPr>
      </w:pPr>
      <w:r w:rsidRPr="00AB57E0">
        <w:rPr>
          <w:b/>
          <w:bCs w:val="0"/>
          <w:color w:val="E36C0A"/>
        </w:rPr>
        <w:t>Non-regulatory Guidance and Policy Letters</w:t>
      </w:r>
    </w:p>
    <w:p w14:paraId="12722EC2" w14:textId="4FDE2682" w:rsidR="00D658F2" w:rsidRPr="00795D5B" w:rsidRDefault="00256B95" w:rsidP="00256B95">
      <w:r w:rsidRPr="00795D5B">
        <w:t>These provide US ED’s interpretations of statutes and regulations in plain language with user friendly guidance to grant recipients and useful indicators about how US ED interprets important aspects of their federal programs. The guidance and policy letters do not have the same legal authority as the statutes and regulations.</w:t>
      </w:r>
    </w:p>
    <w:p w14:paraId="18782D55" w14:textId="77777777" w:rsidR="00D658F2" w:rsidRPr="00795D5B" w:rsidRDefault="00D658F2">
      <w:r w:rsidRPr="00795D5B">
        <w:br w:type="page"/>
      </w:r>
    </w:p>
    <w:p w14:paraId="5916844B" w14:textId="77777777" w:rsidR="00256B95" w:rsidRPr="00EE4390" w:rsidRDefault="00256B95" w:rsidP="00256B95">
      <w:pPr>
        <w:sectPr w:rsidR="00256B95" w:rsidRPr="00EE4390" w:rsidSect="00BD4638">
          <w:headerReference w:type="default" r:id="rId94"/>
          <w:pgSz w:w="12240" w:h="15840"/>
          <w:pgMar w:top="1008" w:right="1440" w:bottom="576" w:left="1440" w:header="720" w:footer="720" w:gutter="0"/>
          <w:cols w:space="720"/>
          <w:docGrid w:linePitch="360"/>
        </w:sectPr>
      </w:pPr>
    </w:p>
    <w:p w14:paraId="6931B490" w14:textId="029448A9" w:rsidR="00151558" w:rsidRPr="00AB57E0" w:rsidRDefault="00256B95" w:rsidP="00151558">
      <w:pPr>
        <w:pStyle w:val="Heading2"/>
        <w:rPr>
          <w:b/>
          <w:bCs w:val="0"/>
          <w:noProof/>
          <w:color w:val="E36C0A"/>
        </w:rPr>
      </w:pPr>
      <w:bookmarkStart w:id="89" w:name="_Toc117504290"/>
      <w:r w:rsidRPr="00AB57E0">
        <w:rPr>
          <w:b/>
          <w:bCs w:val="0"/>
          <w:noProof/>
          <w:color w:val="E36C0A"/>
        </w:rPr>
        <w:t xml:space="preserve">Appendix </w:t>
      </w:r>
      <w:r w:rsidR="00151558" w:rsidRPr="00AB57E0">
        <w:rPr>
          <w:b/>
          <w:bCs w:val="0"/>
          <w:noProof/>
          <w:color w:val="E36C0A"/>
        </w:rPr>
        <w:t>D</w:t>
      </w:r>
      <w:r w:rsidRPr="00AB57E0">
        <w:rPr>
          <w:b/>
          <w:bCs w:val="0"/>
          <w:noProof/>
          <w:color w:val="E36C0A"/>
        </w:rPr>
        <w:t xml:space="preserve">: </w:t>
      </w:r>
      <w:r w:rsidR="00144355" w:rsidRPr="00AB57E0">
        <w:rPr>
          <w:b/>
          <w:bCs w:val="0"/>
          <w:noProof/>
          <w:color w:val="E36C0A"/>
        </w:rPr>
        <w:t>Budget Information Line by Line</w:t>
      </w:r>
      <w:bookmarkEnd w:id="89"/>
    </w:p>
    <w:p w14:paraId="18454B85" w14:textId="77777777"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Line 1: Administrators: Administrators supervise project staff and/or direct the project. Their duties include planning and management in program design, leadership, operations, human resources, budgeting, collaborations, and risk management. Regarding program supervision, all supervisory activities, including but not limited to classroom observations, curriculum development, and supervising teaching, curriculum development, and lesson planning are considered administrative. These guidelines apply regardless of the title of the position.</w:t>
      </w:r>
    </w:p>
    <w:p w14:paraId="356EE98F" w14:textId="77777777" w:rsidR="00144355" w:rsidRPr="00B65EE2" w:rsidRDefault="00144355" w:rsidP="00144355"/>
    <w:p w14:paraId="7B02EE49" w14:textId="77777777"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Line 2: Direct Service Staff: Direct service staff provide direct educational/instructional services under the project including curriculum development and similar activities when carried out by professional staff.</w:t>
      </w:r>
    </w:p>
    <w:p w14:paraId="3A7C5078" w14:textId="77777777" w:rsidR="00144355" w:rsidRPr="00B65EE2" w:rsidRDefault="00144355" w:rsidP="00144355"/>
    <w:p w14:paraId="4E27DF70" w14:textId="77777777"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sz w:val="24"/>
          <w:szCs w:val="24"/>
        </w:rPr>
        <w:t xml:space="preserve">Line 3: Support Staff: Support staff provide services necessary to support direct educational/instructional services under the project. Costs included under this line item must be directly attributable to the project and documented. </w:t>
      </w:r>
      <w:r w:rsidRPr="00B65EE2">
        <w:rPr>
          <w:rFonts w:ascii="Times New Roman" w:hAnsi="Times New Roman" w:cs="Times New Roman"/>
          <w:color w:val="000000" w:themeColor="text1"/>
          <w:sz w:val="24"/>
          <w:szCs w:val="24"/>
        </w:rPr>
        <w:t>This would include secretaries that perform duties directly related to the program (e.g., data input, IT technicians) and support directly related to the program.</w:t>
      </w:r>
    </w:p>
    <w:p w14:paraId="6AB3AF57" w14:textId="77777777" w:rsidR="00144355" w:rsidRPr="00B65EE2" w:rsidRDefault="00144355" w:rsidP="00144355"/>
    <w:p w14:paraId="0A5A8CC7" w14:textId="77777777"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Line 4: Fringe Benefits: Fringe benefits offered to project staff must be granted under approved plans and be consistent with the grantee's standards for similar costs supported with other than project funds. For example, funds may be allocated for retirement accounts if, and only if, such benefits are provided to other staff working at the applicant agency. (Note: Fringe for staff charged to Lines 1 and 3 staff contributes to programs’ overall administrative costs.)</w:t>
      </w:r>
    </w:p>
    <w:p w14:paraId="4ED75E8C" w14:textId="77777777" w:rsidR="00144355" w:rsidRPr="00B65EE2" w:rsidRDefault="00144355" w:rsidP="00144355"/>
    <w:p w14:paraId="3752F9CD" w14:textId="77777777"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sz w:val="24"/>
          <w:szCs w:val="24"/>
        </w:rPr>
        <w:t xml:space="preserve">Line 5: Stipends: Stipends, in general, are not charged to AE grants. However, staff that receive a stipend for grant activities, which are over and above their regular responsibilities, may only receive the stipend if the grantee has a policy of paying overtime for such activities. </w:t>
      </w:r>
      <w:r w:rsidRPr="00B65EE2">
        <w:rPr>
          <w:rFonts w:ascii="Times New Roman" w:hAnsi="Times New Roman" w:cs="Times New Roman"/>
          <w:color w:val="000000" w:themeColor="text1"/>
          <w:sz w:val="24"/>
          <w:szCs w:val="24"/>
        </w:rPr>
        <w:t>Stipends paid must have supporting documentation that describes the purpose of the payment and provides evidence of performance.</w:t>
      </w:r>
    </w:p>
    <w:p w14:paraId="0545F841" w14:textId="77777777" w:rsidR="00144355" w:rsidRPr="00B65EE2" w:rsidRDefault="00144355" w:rsidP="00144355"/>
    <w:p w14:paraId="685193BA" w14:textId="77777777"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color w:val="000000" w:themeColor="text1"/>
          <w:sz w:val="24"/>
          <w:szCs w:val="24"/>
        </w:rPr>
        <w:t xml:space="preserve">Line 6: Contractual: Costs must be supported with a scope of services and evidence that services were rendered through time sheets, attendance records, and the DESE budget for subcontracts/subawards. Contracts over $25,000 should have a certification from the subcontractor/sub awardee that they are not on the federal debarment and suspension list. </w:t>
      </w:r>
    </w:p>
    <w:p w14:paraId="1C9D36AA" w14:textId="77777777" w:rsidR="00144355" w:rsidRPr="00B65EE2" w:rsidRDefault="00144355" w:rsidP="00144355"/>
    <w:p w14:paraId="5646E768" w14:textId="77777777"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 xml:space="preserve">Line 7: Materials and Supplies including Computing Devices: As per </w:t>
      </w:r>
      <w:hyperlink r:id="rId95" w:history="1">
        <w:r w:rsidRPr="00B65EE2">
          <w:rPr>
            <w:rStyle w:val="Hyperlink"/>
            <w:rFonts w:ascii="Times New Roman" w:hAnsi="Times New Roman" w:cs="Times New Roman"/>
            <w:sz w:val="24"/>
            <w:szCs w:val="24"/>
          </w:rPr>
          <w:t>2 CFR Part 200.302(b)(4)</w:t>
        </w:r>
      </w:hyperlink>
      <w:r w:rsidRPr="00B65EE2">
        <w:rPr>
          <w:rFonts w:ascii="Times New Roman" w:hAnsi="Times New Roman" w:cs="Times New Roman"/>
          <w:sz w:val="24"/>
          <w:szCs w:val="24"/>
        </w:rPr>
        <w:t xml:space="preserve">, </w:t>
      </w:r>
      <w:hyperlink r:id="rId96" w:history="1">
        <w:r w:rsidRPr="00B65EE2">
          <w:rPr>
            <w:rStyle w:val="Hyperlink"/>
            <w:rFonts w:ascii="Times New Roman" w:hAnsi="Times New Roman" w:cs="Times New Roman"/>
            <w:sz w:val="24"/>
            <w:szCs w:val="24"/>
          </w:rPr>
          <w:t>2 CFR Part 200.314</w:t>
        </w:r>
      </w:hyperlink>
      <w:r w:rsidRPr="00B65EE2">
        <w:rPr>
          <w:rFonts w:ascii="Times New Roman" w:hAnsi="Times New Roman" w:cs="Times New Roman"/>
          <w:sz w:val="24"/>
          <w:szCs w:val="24"/>
        </w:rPr>
        <w:t xml:space="preserve">, and </w:t>
      </w:r>
      <w:hyperlink r:id="rId97" w:history="1">
        <w:r w:rsidRPr="00B65EE2">
          <w:rPr>
            <w:rStyle w:val="Hyperlink"/>
            <w:rFonts w:ascii="Times New Roman" w:hAnsi="Times New Roman" w:cs="Times New Roman"/>
            <w:sz w:val="24"/>
            <w:szCs w:val="24"/>
          </w:rPr>
          <w:t>2 CFR Part 200.453</w:t>
        </w:r>
      </w:hyperlink>
      <w:r w:rsidRPr="00B65EE2">
        <w:rPr>
          <w:rFonts w:ascii="Times New Roman" w:hAnsi="Times New Roman" w:cs="Times New Roman"/>
          <w:sz w:val="24"/>
          <w:szCs w:val="24"/>
        </w:rPr>
        <w:t>, costs for materials and supplies necessary to carry out a federal award are allowable. Materials and supplies</w:t>
      </w:r>
      <w:r w:rsidRPr="00B65EE2">
        <w:rPr>
          <w:rStyle w:val="FootnoteReference"/>
          <w:rFonts w:ascii="Times New Roman" w:hAnsi="Times New Roman" w:cs="Times New Roman"/>
          <w:sz w:val="24"/>
          <w:szCs w:val="24"/>
        </w:rPr>
        <w:footnoteReference w:id="6"/>
      </w:r>
      <w:r w:rsidRPr="00B65EE2">
        <w:rPr>
          <w:rFonts w:ascii="Times New Roman" w:hAnsi="Times New Roman" w:cs="Times New Roman"/>
          <w:sz w:val="24"/>
          <w:szCs w:val="24"/>
        </w:rPr>
        <w:t xml:space="preserve"> refer to all tangible property other than that described in the Equipment section below. Incoming transportation charges are a proper part of materials and supplies costs. Purchased materials and supplies must be charged at their actual prices. Grantees must maintain effective control and safeguard all </w:t>
      </w:r>
      <w:r w:rsidRPr="00B65EE2">
        <w:rPr>
          <w:rFonts w:ascii="Times New Roman" w:hAnsi="Times New Roman" w:cs="Times New Roman"/>
          <w:color w:val="000000" w:themeColor="text1"/>
          <w:sz w:val="24"/>
          <w:szCs w:val="24"/>
        </w:rPr>
        <w:t>assets</w:t>
      </w:r>
      <w:r w:rsidRPr="00B65EE2">
        <w:rPr>
          <w:rFonts w:ascii="Times New Roman" w:hAnsi="Times New Roman" w:cs="Times New Roman"/>
          <w:b/>
          <w:color w:val="000000" w:themeColor="text1"/>
          <w:sz w:val="24"/>
          <w:szCs w:val="24"/>
        </w:rPr>
        <w:t xml:space="preserve"> </w:t>
      </w:r>
      <w:r w:rsidRPr="00B65EE2">
        <w:rPr>
          <w:rFonts w:ascii="Times New Roman" w:hAnsi="Times New Roman" w:cs="Times New Roman"/>
          <w:color w:val="000000" w:themeColor="text1"/>
          <w:sz w:val="24"/>
          <w:szCs w:val="24"/>
        </w:rPr>
        <w:t>including technology</w:t>
      </w:r>
      <w:r w:rsidRPr="00B65EE2">
        <w:rPr>
          <w:rFonts w:ascii="Times New Roman" w:hAnsi="Times New Roman" w:cs="Times New Roman"/>
          <w:b/>
          <w:color w:val="000000" w:themeColor="text1"/>
          <w:sz w:val="24"/>
          <w:szCs w:val="24"/>
        </w:rPr>
        <w:t xml:space="preserve"> </w:t>
      </w:r>
      <w:r w:rsidRPr="00B65EE2">
        <w:rPr>
          <w:rFonts w:ascii="Times New Roman" w:hAnsi="Times New Roman" w:cs="Times New Roman"/>
          <w:color w:val="000000" w:themeColor="text1"/>
          <w:sz w:val="24"/>
          <w:szCs w:val="24"/>
        </w:rPr>
        <w:t xml:space="preserve">and assure </w:t>
      </w:r>
      <w:r w:rsidRPr="00B65EE2">
        <w:rPr>
          <w:rFonts w:ascii="Times New Roman" w:hAnsi="Times New Roman" w:cs="Times New Roman"/>
          <w:sz w:val="24"/>
          <w:szCs w:val="24"/>
        </w:rPr>
        <w:t>that they are used solely for authorized purposes regardless of cost.</w:t>
      </w:r>
    </w:p>
    <w:p w14:paraId="79285DD7" w14:textId="77777777" w:rsidR="00144355" w:rsidRPr="00B65EE2" w:rsidRDefault="00144355" w:rsidP="00144355"/>
    <w:p w14:paraId="1CA4F1E0" w14:textId="77777777" w:rsidR="00144355" w:rsidRPr="00B65EE2" w:rsidRDefault="00144355" w:rsidP="00144355">
      <w:pPr>
        <w:tabs>
          <w:tab w:val="left" w:pos="360"/>
        </w:tabs>
        <w:ind w:left="360"/>
      </w:pPr>
      <w:r w:rsidRPr="00B65EE2">
        <w:t>Property records for computing devices and equipment must be maintained. Records must include a description of the property, a serial number or other identification number, the source of funding for the property, who holds title, the acquisition date and cost of the property, percentage of federal participation in the costs for the federal award under which the property was acquired, the location, use and condition of the property, and any ultimate disposition data including the date of disposal and, if applicable, sale price. Grantees are required to have a written inventory policy that includes technology.</w:t>
      </w:r>
    </w:p>
    <w:p w14:paraId="7EDFE015" w14:textId="77777777" w:rsidR="00144355" w:rsidRPr="00B65EE2" w:rsidRDefault="00144355" w:rsidP="00144355"/>
    <w:p w14:paraId="6DA4914B" w14:textId="77777777" w:rsidR="00144355" w:rsidRPr="00B65EE2" w:rsidRDefault="00144355" w:rsidP="00144355">
      <w:pPr>
        <w:ind w:left="360"/>
      </w:pPr>
      <w:r w:rsidRPr="00B65EE2">
        <w:t xml:space="preserve">As per </w:t>
      </w:r>
      <w:hyperlink r:id="rId98" w:history="1">
        <w:r w:rsidRPr="00B65EE2">
          <w:rPr>
            <w:rStyle w:val="Hyperlink"/>
          </w:rPr>
          <w:t>2 CFR Part 200.313</w:t>
        </w:r>
      </w:hyperlink>
      <w:r w:rsidRPr="00B65EE2">
        <w:t>, programs that have usable equipment and/or computing devices purchased with grant funding, which will no longer be used on behalf of an DESE-funded program, must notify their ACLS PS so the PS can facilitate the reallocation of the usable equipment and/or computing devices to programs in the region. Programs that wish to follow a different procedure for disposal of computing devices and equipment should submit a written request to the state director. (Note: Date of disposal and sale price, including the method used to determine fair market value, if applicable, must be added to the equipment inventory.)</w:t>
      </w:r>
    </w:p>
    <w:p w14:paraId="5D66DA43" w14:textId="77777777" w:rsidR="00144355" w:rsidRPr="00B65EE2" w:rsidRDefault="00144355" w:rsidP="00144355">
      <w:bookmarkStart w:id="90" w:name="_Toc481137864"/>
    </w:p>
    <w:p w14:paraId="4DD02B75" w14:textId="77777777"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Line 8: Travel: Costs for employees on official business incident to the project. Costs must be consistent with the grantee’s standards for similar activities supported with other funds. Out of state travel must be approved by DESE and travel reimbursements must be reasonable, allowable. and related to grant activities.</w:t>
      </w:r>
    </w:p>
    <w:p w14:paraId="46200FA7" w14:textId="77777777" w:rsidR="00144355" w:rsidRPr="00B65EE2" w:rsidRDefault="00144355" w:rsidP="00144355"/>
    <w:p w14:paraId="570565F0" w14:textId="77777777"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color w:val="000000" w:themeColor="text1"/>
          <w:sz w:val="24"/>
          <w:szCs w:val="24"/>
        </w:rPr>
        <w:t xml:space="preserve">Line 9: Other: This line includes the allocable costs related to a Single Audit for grantees that expended an aggregate amount of federal funds of $750,000 or greater for the fiscal year. In addition, classroom space costs required to meet the additional needs of the grant that were not included in the grantee’s proposal (e.g., a satellite space at a request by DESE to provide additional services). </w:t>
      </w:r>
    </w:p>
    <w:p w14:paraId="05249417" w14:textId="77777777" w:rsidR="00144355" w:rsidRPr="00B65EE2" w:rsidRDefault="00144355" w:rsidP="00144355"/>
    <w:p w14:paraId="6751D90C" w14:textId="77777777" w:rsidR="00144355" w:rsidRPr="00B65EE2" w:rsidRDefault="00144355" w:rsidP="00144355">
      <w:pPr>
        <w:pStyle w:val="ListParagraph"/>
        <w:numPr>
          <w:ilvl w:val="0"/>
          <w:numId w:val="24"/>
        </w:numPr>
        <w:spacing w:after="0" w:line="240" w:lineRule="auto"/>
        <w:rPr>
          <w:rFonts w:ascii="Times New Roman" w:hAnsi="Times New Roman" w:cs="Times New Roman"/>
          <w:color w:val="000000" w:themeColor="text1"/>
          <w:sz w:val="24"/>
          <w:szCs w:val="24"/>
        </w:rPr>
      </w:pPr>
      <w:r w:rsidRPr="00B65EE2">
        <w:rPr>
          <w:rFonts w:ascii="Times New Roman" w:hAnsi="Times New Roman" w:cs="Times New Roman"/>
          <w:sz w:val="24"/>
          <w:szCs w:val="24"/>
        </w:rPr>
        <w:t xml:space="preserve">Line 10: </w:t>
      </w:r>
      <w:hyperlink r:id="rId99" w:history="1">
        <w:r w:rsidRPr="00B65EE2">
          <w:rPr>
            <w:rStyle w:val="Hyperlink"/>
            <w:rFonts w:ascii="Times New Roman" w:hAnsi="Times New Roman" w:cs="Times New Roman"/>
            <w:sz w:val="24"/>
            <w:szCs w:val="24"/>
          </w:rPr>
          <w:t>Indirect Costs</w:t>
        </w:r>
      </w:hyperlink>
      <w:r w:rsidRPr="00B65EE2">
        <w:rPr>
          <w:rFonts w:ascii="Times New Roman" w:hAnsi="Times New Roman" w:cs="Times New Roman"/>
          <w:sz w:val="24"/>
          <w:szCs w:val="24"/>
        </w:rPr>
        <w:t xml:space="preserve"> (IDC): The AE services program is a restricted rate program that is subject to a statutory supplement not supplant restriction. As per </w:t>
      </w:r>
      <w:hyperlink r:id="rId100" w:history="1">
        <w:r w:rsidRPr="00B65EE2">
          <w:rPr>
            <w:rStyle w:val="Hyperlink"/>
            <w:rFonts w:ascii="Times New Roman" w:hAnsi="Times New Roman" w:cs="Times New Roman"/>
            <w:sz w:val="24"/>
            <w:szCs w:val="24"/>
          </w:rPr>
          <w:t>2 CRF Part 200.56</w:t>
        </w:r>
      </w:hyperlink>
      <w:r w:rsidRPr="00B65EE2">
        <w:rPr>
          <w:rFonts w:ascii="Times New Roman" w:hAnsi="Times New Roman" w:cs="Times New Roman"/>
          <w:sz w:val="24"/>
          <w:szCs w:val="24"/>
        </w:rPr>
        <w:t xml:space="preserve"> </w:t>
      </w:r>
      <w:r w:rsidRPr="00B65EE2">
        <w:rPr>
          <w:rFonts w:ascii="Times New Roman" w:hAnsi="Times New Roman" w:cs="Times New Roman"/>
          <w:color w:val="000000" w:themeColor="text1"/>
          <w:sz w:val="24"/>
          <w:szCs w:val="24"/>
        </w:rPr>
        <w:t xml:space="preserve">and </w:t>
      </w:r>
      <w:hyperlink r:id="rId101" w:history="1">
        <w:r w:rsidRPr="00B65EE2">
          <w:rPr>
            <w:rStyle w:val="Hyperlink"/>
            <w:rFonts w:ascii="Times New Roman" w:hAnsi="Times New Roman" w:cs="Times New Roman"/>
            <w:sz w:val="24"/>
            <w:szCs w:val="24"/>
          </w:rPr>
          <w:t>34 CFR Part 76.563-569</w:t>
        </w:r>
      </w:hyperlink>
      <w:r w:rsidRPr="00B65EE2">
        <w:rPr>
          <w:rStyle w:val="FootnoteReference"/>
          <w:rFonts w:ascii="Times New Roman" w:hAnsi="Times New Roman" w:cs="Times New Roman"/>
          <w:sz w:val="24"/>
          <w:szCs w:val="24"/>
        </w:rPr>
        <w:footnoteReference w:id="7"/>
      </w:r>
      <w:r w:rsidRPr="00B65EE2">
        <w:rPr>
          <w:rFonts w:ascii="Times New Roman" w:hAnsi="Times New Roman" w:cs="Times New Roman"/>
          <w:sz w:val="24"/>
          <w:szCs w:val="24"/>
        </w:rPr>
        <w:t xml:space="preserve">, grantees are </w:t>
      </w:r>
      <w:r w:rsidRPr="00B65EE2">
        <w:rPr>
          <w:rFonts w:ascii="Times New Roman" w:hAnsi="Times New Roman" w:cs="Times New Roman"/>
          <w:color w:val="000000" w:themeColor="text1"/>
          <w:sz w:val="24"/>
          <w:szCs w:val="24"/>
        </w:rPr>
        <w:t>allowed</w:t>
      </w:r>
      <w:r w:rsidRPr="00B65EE2">
        <w:rPr>
          <w:rFonts w:ascii="Times New Roman" w:hAnsi="Times New Roman" w:cs="Times New Roman"/>
          <w:color w:val="FF0000"/>
          <w:sz w:val="24"/>
          <w:szCs w:val="24"/>
        </w:rPr>
        <w:t xml:space="preserve"> </w:t>
      </w:r>
      <w:r w:rsidRPr="00B65EE2">
        <w:rPr>
          <w:rFonts w:ascii="Times New Roman" w:hAnsi="Times New Roman" w:cs="Times New Roman"/>
          <w:sz w:val="24"/>
          <w:szCs w:val="24"/>
        </w:rPr>
        <w:t xml:space="preserve">a restricted IDC rate of eight (8) percent, unless their calculated </w:t>
      </w:r>
      <w:r w:rsidRPr="00B65EE2">
        <w:rPr>
          <w:rFonts w:ascii="Times New Roman" w:hAnsi="Times New Roman" w:cs="Times New Roman"/>
          <w:color w:val="000000" w:themeColor="text1"/>
          <w:sz w:val="24"/>
          <w:szCs w:val="24"/>
        </w:rPr>
        <w:t xml:space="preserve">restricted </w:t>
      </w:r>
      <w:r w:rsidRPr="00B65EE2">
        <w:rPr>
          <w:rFonts w:ascii="Times New Roman" w:hAnsi="Times New Roman" w:cs="Times New Roman"/>
          <w:sz w:val="24"/>
          <w:szCs w:val="24"/>
        </w:rPr>
        <w:t xml:space="preserve">IDC rates are less than 8%, in which case they must use the lower rate. If a grantee has an approved negotiated federal IDC rate, it must be submitted to DESE. If a grantee does not have an approved IDC rate, the grantee must </w:t>
      </w:r>
      <w:r w:rsidRPr="00B65EE2">
        <w:rPr>
          <w:rFonts w:ascii="Times New Roman" w:hAnsi="Times New Roman" w:cs="Times New Roman"/>
          <w:color w:val="000000" w:themeColor="text1"/>
          <w:sz w:val="24"/>
          <w:szCs w:val="24"/>
        </w:rPr>
        <w:t>negotiate a restricted indirect cost rate with DESE</w:t>
      </w:r>
      <w:r w:rsidRPr="00B65EE2">
        <w:rPr>
          <w:rFonts w:ascii="Times New Roman" w:hAnsi="Times New Roman" w:cs="Times New Roman"/>
          <w:sz w:val="24"/>
          <w:szCs w:val="24"/>
        </w:rPr>
        <w:t xml:space="preserve">. The IDC rate is calculated using costs specified in the grantee's IDC plan. </w:t>
      </w:r>
      <w:r w:rsidRPr="00B65EE2">
        <w:rPr>
          <w:rFonts w:ascii="Times New Roman" w:hAnsi="Times New Roman" w:cs="Times New Roman"/>
          <w:color w:val="000000" w:themeColor="text1"/>
          <w:sz w:val="24"/>
          <w:szCs w:val="24"/>
        </w:rPr>
        <w:t xml:space="preserve">The grantee must provide documentation to support the costs related to general administration. Other costs are the executive director and department heads that do not have organization wide duties. The costs included in the indirect cost rate proposal cannot be charged as direct costs on other federal or nonfederal programs and must be allowable costs under the cost principles of </w:t>
      </w:r>
      <w:hyperlink r:id="rId102" w:history="1">
        <w:r w:rsidRPr="00B65EE2">
          <w:rPr>
            <w:rStyle w:val="Hyperlink"/>
            <w:rFonts w:ascii="Times New Roman" w:hAnsi="Times New Roman" w:cs="Times New Roman"/>
            <w:sz w:val="24"/>
            <w:szCs w:val="24"/>
          </w:rPr>
          <w:t>2 CFR Part 200 Subpart E</w:t>
        </w:r>
      </w:hyperlink>
      <w:r w:rsidRPr="00B65EE2">
        <w:rPr>
          <w:rFonts w:ascii="Times New Roman" w:hAnsi="Times New Roman" w:cs="Times New Roman"/>
          <w:color w:val="000000" w:themeColor="text1"/>
          <w:sz w:val="24"/>
          <w:szCs w:val="24"/>
        </w:rPr>
        <w:t>.</w:t>
      </w:r>
    </w:p>
    <w:p w14:paraId="4A007F05" w14:textId="77777777" w:rsidR="00144355" w:rsidRPr="00B65EE2" w:rsidRDefault="00144355" w:rsidP="00144355"/>
    <w:p w14:paraId="1015BE9B" w14:textId="77777777" w:rsidR="00144355" w:rsidRPr="00B65EE2" w:rsidRDefault="00144355" w:rsidP="00144355">
      <w:pPr>
        <w:ind w:left="360"/>
      </w:pPr>
      <w:r w:rsidRPr="00B65EE2">
        <w:t xml:space="preserve">Grantees must annually apply to DESE </w:t>
      </w:r>
      <w:r w:rsidRPr="00B65EE2">
        <w:rPr>
          <w:color w:val="000000" w:themeColor="text1"/>
        </w:rPr>
        <w:t xml:space="preserve">Audit &amp; Compliance Unit </w:t>
      </w:r>
      <w:r w:rsidRPr="00B65EE2">
        <w:t>for an approved IDC rate prior to submission of grant applications. Grantees that do not have an approved IDC rate will not be able to claim indirect costs.</w:t>
      </w:r>
    </w:p>
    <w:p w14:paraId="2D3E0758" w14:textId="77777777" w:rsidR="00144355" w:rsidRPr="00B65EE2" w:rsidRDefault="00144355" w:rsidP="00144355"/>
    <w:p w14:paraId="3FAC75F0" w14:textId="77777777" w:rsidR="00144355" w:rsidRPr="00B65EE2" w:rsidRDefault="00144355" w:rsidP="00144355">
      <w:pPr>
        <w:ind w:left="360"/>
      </w:pPr>
      <w:r w:rsidRPr="00B65EE2">
        <w:t>When the direct grantee and a subcontractor both have approved DESE IDC rates, both agencies may charge indirect costs to the grant. However, the total dollar amount charged for indirect costs must not exceed the maximum IDC dollar amount for which the direct grantee is eligible.</w:t>
      </w:r>
    </w:p>
    <w:p w14:paraId="56355027" w14:textId="77777777" w:rsidR="00144355" w:rsidRPr="00B65EE2" w:rsidRDefault="00144355" w:rsidP="00144355">
      <w:pPr>
        <w:ind w:left="360"/>
      </w:pPr>
    </w:p>
    <w:p w14:paraId="5650CB72" w14:textId="77777777" w:rsidR="00144355" w:rsidRPr="00B65EE2" w:rsidRDefault="00144355" w:rsidP="00144355">
      <w:pPr>
        <w:ind w:left="360"/>
      </w:pPr>
      <w:r w:rsidRPr="00B65EE2">
        <w:t xml:space="preserve">When the direct grantee has an approved IDC rate, but the sub awardee/subcontractor does not have an approved IDC from a federal cognizant agency or DESE, the sub awardee/subcontractor may </w:t>
      </w:r>
      <w:r w:rsidRPr="00B65EE2">
        <w:rPr>
          <w:color w:val="000000" w:themeColor="text1"/>
        </w:rPr>
        <w:t xml:space="preserve">not charge an IDC rate. If the sub awardee/subcontractor has a federal negotiated rate agreement it must be sent to DESE Audit &amp; Compliance for review and approval. Upon approval, the sub awardee/subcontractor may charge the approved IDC rate allowed which will be limited to a maximum of 8% as </w:t>
      </w:r>
      <w:r w:rsidRPr="00B65EE2">
        <w:t>long as the dollar amount of the total indirect charged to the grant does not exceed the maximum dollar amount for which the direct grantee is eligible.</w:t>
      </w:r>
    </w:p>
    <w:p w14:paraId="7499C81A" w14:textId="77777777" w:rsidR="00144355" w:rsidRPr="00B65EE2" w:rsidRDefault="00144355" w:rsidP="00144355">
      <w:pPr>
        <w:ind w:left="360"/>
      </w:pPr>
    </w:p>
    <w:p w14:paraId="4A9E78AB" w14:textId="77777777" w:rsidR="00144355" w:rsidRPr="00B65EE2" w:rsidRDefault="00144355" w:rsidP="00144355">
      <w:pPr>
        <w:ind w:left="360"/>
      </w:pPr>
      <w:r w:rsidRPr="00B65EE2">
        <w:t xml:space="preserve">When a subcontractor has an approved IDC rate, but the direct grantee does not, the subcontractor </w:t>
      </w:r>
      <w:r w:rsidRPr="00B65EE2">
        <w:rPr>
          <w:color w:val="000000" w:themeColor="text1"/>
        </w:rPr>
        <w:t xml:space="preserve">may </w:t>
      </w:r>
      <w:r w:rsidRPr="00B65EE2">
        <w:t>claim an IDC. Subcontractors are bound by the maximum amount the direct grantee can charge under the grantee’s approved indirect rate.</w:t>
      </w:r>
    </w:p>
    <w:p w14:paraId="3C880F43" w14:textId="77777777" w:rsidR="00144355" w:rsidRPr="00B65EE2" w:rsidRDefault="00144355" w:rsidP="00144355"/>
    <w:p w14:paraId="4ABE60B2" w14:textId="77777777" w:rsidR="00144355" w:rsidRPr="00B65EE2" w:rsidRDefault="00144355" w:rsidP="00144355">
      <w:pPr>
        <w:pStyle w:val="ListParagraph"/>
        <w:numPr>
          <w:ilvl w:val="0"/>
          <w:numId w:val="24"/>
        </w:numPr>
        <w:spacing w:after="0" w:line="240" w:lineRule="auto"/>
        <w:rPr>
          <w:rFonts w:ascii="Times New Roman" w:hAnsi="Times New Roman" w:cs="Times New Roman"/>
          <w:sz w:val="24"/>
          <w:szCs w:val="24"/>
        </w:rPr>
      </w:pPr>
      <w:r w:rsidRPr="00B65EE2">
        <w:rPr>
          <w:rFonts w:ascii="Times New Roman" w:hAnsi="Times New Roman" w:cs="Times New Roman"/>
          <w:sz w:val="24"/>
          <w:szCs w:val="24"/>
        </w:rPr>
        <w:t xml:space="preserve">Line 11: Equipment: As per </w:t>
      </w:r>
      <w:hyperlink r:id="rId103" w:history="1">
        <w:r w:rsidRPr="00B65EE2">
          <w:rPr>
            <w:rStyle w:val="Hyperlink"/>
            <w:rFonts w:ascii="Times New Roman" w:hAnsi="Times New Roman" w:cs="Times New Roman"/>
            <w:sz w:val="24"/>
            <w:szCs w:val="24"/>
          </w:rPr>
          <w:t>2 CFR Parts 200.33</w:t>
        </w:r>
        <w:r w:rsidRPr="00B65EE2">
          <w:rPr>
            <w:rStyle w:val="Hyperlink"/>
            <w:rFonts w:ascii="Times New Roman" w:hAnsi="Times New Roman" w:cs="Times New Roman"/>
            <w:color w:val="000000" w:themeColor="text1"/>
            <w:sz w:val="24"/>
            <w:szCs w:val="24"/>
            <w:u w:val="none"/>
          </w:rPr>
          <w:t>,</w:t>
        </w:r>
        <w:r w:rsidRPr="00B65EE2">
          <w:rPr>
            <w:rStyle w:val="Hyperlink"/>
            <w:rFonts w:ascii="Times New Roman" w:hAnsi="Times New Roman" w:cs="Times New Roman"/>
            <w:sz w:val="24"/>
            <w:szCs w:val="24"/>
            <w:u w:val="none"/>
          </w:rPr>
          <w:t xml:space="preserve"> </w:t>
        </w:r>
        <w:r w:rsidRPr="00B65EE2">
          <w:rPr>
            <w:rStyle w:val="Hyperlink"/>
            <w:rFonts w:ascii="Times New Roman" w:hAnsi="Times New Roman" w:cs="Times New Roman"/>
            <w:sz w:val="24"/>
            <w:szCs w:val="24"/>
          </w:rPr>
          <w:t>200.313</w:t>
        </w:r>
        <w:r w:rsidRPr="00B65EE2">
          <w:rPr>
            <w:rStyle w:val="Hyperlink"/>
            <w:rFonts w:ascii="Times New Roman" w:hAnsi="Times New Roman" w:cs="Times New Roman"/>
            <w:color w:val="000000" w:themeColor="text1"/>
            <w:sz w:val="24"/>
            <w:szCs w:val="24"/>
            <w:u w:val="none"/>
          </w:rPr>
          <w:t>,</w:t>
        </w:r>
        <w:r w:rsidRPr="00B65EE2">
          <w:rPr>
            <w:rStyle w:val="Hyperlink"/>
            <w:rFonts w:ascii="Times New Roman" w:hAnsi="Times New Roman" w:cs="Times New Roman"/>
            <w:sz w:val="24"/>
            <w:szCs w:val="24"/>
            <w:u w:val="none"/>
          </w:rPr>
          <w:t xml:space="preserve"> </w:t>
        </w:r>
        <w:r w:rsidRPr="00B65EE2">
          <w:rPr>
            <w:rStyle w:val="Hyperlink"/>
            <w:rFonts w:ascii="Times New Roman" w:hAnsi="Times New Roman" w:cs="Times New Roman"/>
            <w:sz w:val="24"/>
            <w:szCs w:val="24"/>
          </w:rPr>
          <w:t>200.453</w:t>
        </w:r>
        <w:r w:rsidRPr="00B65EE2">
          <w:rPr>
            <w:rStyle w:val="Hyperlink"/>
            <w:rFonts w:ascii="Times New Roman" w:hAnsi="Times New Roman" w:cs="Times New Roman"/>
            <w:color w:val="000000" w:themeColor="text1"/>
            <w:sz w:val="24"/>
            <w:szCs w:val="24"/>
            <w:u w:val="none"/>
          </w:rPr>
          <w:t>,</w:t>
        </w:r>
        <w:r w:rsidRPr="00B65EE2">
          <w:rPr>
            <w:rStyle w:val="Hyperlink"/>
            <w:rFonts w:ascii="Times New Roman" w:hAnsi="Times New Roman" w:cs="Times New Roman"/>
            <w:sz w:val="24"/>
            <w:szCs w:val="24"/>
            <w:u w:val="none"/>
          </w:rPr>
          <w:t xml:space="preserve"> and </w:t>
        </w:r>
        <w:r w:rsidRPr="00B65EE2">
          <w:rPr>
            <w:rStyle w:val="Hyperlink"/>
            <w:rFonts w:ascii="Times New Roman" w:hAnsi="Times New Roman" w:cs="Times New Roman"/>
            <w:sz w:val="24"/>
            <w:szCs w:val="24"/>
          </w:rPr>
          <w:t>200.439</w:t>
        </w:r>
      </w:hyperlink>
      <w:r w:rsidRPr="00B65EE2">
        <w:rPr>
          <w:rFonts w:ascii="Times New Roman" w:hAnsi="Times New Roman" w:cs="Times New Roman"/>
          <w:sz w:val="24"/>
          <w:szCs w:val="24"/>
        </w:rPr>
        <w:t>, equipment is tangible, nonexpendable, property having a useful life of more than one year and an acquisition cost of $5,000 or more per unit. Equipment must be used in the program for which it was acquired. Grantees must not encumber the property without prior approval from DESE.</w:t>
      </w:r>
    </w:p>
    <w:p w14:paraId="049060F6" w14:textId="77777777" w:rsidR="00144355" w:rsidRPr="00B65EE2" w:rsidRDefault="00144355" w:rsidP="00144355"/>
    <w:bookmarkEnd w:id="90"/>
    <w:p w14:paraId="31E47E1B" w14:textId="57302625" w:rsidR="00144355" w:rsidRPr="00B65EE2" w:rsidRDefault="00144355" w:rsidP="00144355">
      <w:pPr>
        <w:ind w:left="360"/>
      </w:pPr>
      <w:r w:rsidRPr="00B65EE2">
        <w:t>During the time that equipment is used in the program for which it was acquired, grantees must also make equipment available for use on other programs currently or previously supported by the federal government, provided that such use will not interfere with the work on the program for which it was originally acquired. First preference must be given to other programs supported by the federal awarding agency that financed the equipment and second preference must be given to programs under federal awards from other federal awarding agencies. Use for non-federally-funded programs and projects is also permissible. User fees should be considered if appropriate. (Note: The most common use of AE funds for equipment is for training equipment used in the implementation of IET and IELCE grants.)</w:t>
      </w:r>
    </w:p>
    <w:p w14:paraId="57F721D3" w14:textId="1BC195F9" w:rsidR="00891A48" w:rsidRPr="00FF22B4" w:rsidRDefault="00891A48" w:rsidP="00144355">
      <w:pPr>
        <w:rPr>
          <w:highlight w:val="yellow"/>
        </w:rPr>
      </w:pPr>
    </w:p>
    <w:sectPr w:rsidR="00891A48" w:rsidRPr="00FF22B4" w:rsidSect="002762EE">
      <w:pgSz w:w="12240" w:h="15840" w:code="1"/>
      <w:pgMar w:top="1008" w:right="1440" w:bottom="57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326BC" w14:textId="77777777" w:rsidR="001F44A4" w:rsidRDefault="001F44A4">
      <w:r>
        <w:separator/>
      </w:r>
    </w:p>
  </w:endnote>
  <w:endnote w:type="continuationSeparator" w:id="0">
    <w:p w14:paraId="07FE9B1E" w14:textId="77777777" w:rsidR="001F44A4" w:rsidRDefault="001F44A4">
      <w:r>
        <w:continuationSeparator/>
      </w:r>
    </w:p>
  </w:endnote>
  <w:endnote w:type="continuationNotice" w:id="1">
    <w:p w14:paraId="5FAA6DBD" w14:textId="77777777" w:rsidR="001F44A4" w:rsidRDefault="001F4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mdITC Bk BT">
    <w:altName w:val="Courier New"/>
    <w:charset w:val="00"/>
    <w:family w:val="auto"/>
    <w:pitch w:val="variable"/>
    <w:sig w:usb0="03000000" w:usb1="00000000" w:usb2="00000000" w:usb3="00000000" w:csb0="00000001" w:csb1="00000000"/>
  </w:font>
  <w:font w:name="JLAPL E+ 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425794"/>
      <w:docPartObj>
        <w:docPartGallery w:val="Page Numbers (Bottom of Page)"/>
        <w:docPartUnique/>
      </w:docPartObj>
    </w:sdtPr>
    <w:sdtEndPr/>
    <w:sdtContent>
      <w:p w14:paraId="50BBB353" w14:textId="77777777" w:rsidR="00092590" w:rsidRDefault="00092590" w:rsidP="00092590"/>
      <w:p w14:paraId="4BDB496C" w14:textId="594EE9E6" w:rsidR="004628E3" w:rsidRDefault="001F44A4" w:rsidP="004628E3"/>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DA609" w14:textId="77777777" w:rsidR="00D53976" w:rsidRDefault="00D53976" w:rsidP="00F447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093484"/>
      <w:docPartObj>
        <w:docPartGallery w:val="Page Numbers (Bottom of Page)"/>
        <w:docPartUnique/>
      </w:docPartObj>
    </w:sdtPr>
    <w:sdtEndPr/>
    <w:sdtContent>
      <w:p w14:paraId="4F359B51" w14:textId="3EB1CC3E" w:rsidR="00881B5B" w:rsidRDefault="00881B5B" w:rsidP="00092590"/>
      <w:p w14:paraId="56944F1C" w14:textId="65D43978" w:rsidR="00881B5B" w:rsidRDefault="001F44A4" w:rsidP="004628E3"/>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C0E7" w14:textId="31E4F29E" w:rsidR="00CC36DC" w:rsidRPr="000A0877" w:rsidRDefault="00151558" w:rsidP="00CC36DC">
    <w:r>
      <w:rPr>
        <w:rFonts w:eastAsia="Batang"/>
        <w:bCs/>
        <w:color w:val="0000CC"/>
        <w:sz w:val="20"/>
        <w:szCs w:val="20"/>
      </w:rPr>
      <w:t>FY2</w:t>
    </w:r>
    <w:r w:rsidR="002F5467">
      <w:rPr>
        <w:rFonts w:eastAsia="Batang"/>
        <w:bCs/>
        <w:color w:val="0000CC"/>
        <w:sz w:val="20"/>
        <w:szCs w:val="20"/>
      </w:rPr>
      <w:t>4</w:t>
    </w:r>
    <w:r>
      <w:rPr>
        <w:rFonts w:eastAsia="Batang"/>
        <w:bCs/>
        <w:color w:val="0000CC"/>
        <w:sz w:val="20"/>
        <w:szCs w:val="20"/>
      </w:rPr>
      <w:t>-FY2</w:t>
    </w:r>
    <w:r w:rsidR="002F5467">
      <w:rPr>
        <w:rFonts w:eastAsia="Batang"/>
        <w:bCs/>
        <w:color w:val="0000CC"/>
        <w:sz w:val="20"/>
        <w:szCs w:val="20"/>
      </w:rPr>
      <w:t>6</w:t>
    </w:r>
    <w:r>
      <w:rPr>
        <w:rFonts w:eastAsia="Batang"/>
        <w:bCs/>
        <w:color w:val="0000CC"/>
        <w:sz w:val="20"/>
        <w:szCs w:val="20"/>
      </w:rPr>
      <w:t xml:space="preserve"> </w:t>
    </w:r>
    <w:r w:rsidRPr="00D93AD0">
      <w:rPr>
        <w:rFonts w:eastAsia="Batang"/>
        <w:bCs/>
        <w:color w:val="0000CC"/>
        <w:sz w:val="20"/>
        <w:szCs w:val="20"/>
      </w:rPr>
      <w:t xml:space="preserve">Massachusetts Policies for Effective </w:t>
    </w:r>
    <w:r w:rsidR="002F5467">
      <w:rPr>
        <w:rFonts w:eastAsia="Batang"/>
        <w:bCs/>
        <w:color w:val="0000CC"/>
        <w:sz w:val="20"/>
        <w:szCs w:val="20"/>
      </w:rPr>
      <w:t xml:space="preserve">Transition to </w:t>
    </w:r>
    <w:r w:rsidR="00CC36DC">
      <w:rPr>
        <w:rFonts w:eastAsia="Batang"/>
        <w:bCs/>
        <w:color w:val="0000CC"/>
        <w:sz w:val="20"/>
        <w:szCs w:val="20"/>
      </w:rPr>
      <w:t>College</w:t>
    </w:r>
    <w:r w:rsidR="002F5467">
      <w:rPr>
        <w:rFonts w:eastAsia="Batang"/>
        <w:bCs/>
        <w:color w:val="0000CC"/>
        <w:sz w:val="20"/>
        <w:szCs w:val="20"/>
      </w:rPr>
      <w:t xml:space="preserve"> Programs </w:t>
    </w:r>
  </w:p>
  <w:p w14:paraId="777FB612" w14:textId="71E37248" w:rsidR="00151558" w:rsidRDefault="0056748C" w:rsidP="00D93AD0">
    <w:r w:rsidRPr="0073198F">
      <w:rPr>
        <w:rFonts w:eastAsia="Batang"/>
        <w:color w:val="B85808"/>
        <w:sz w:val="20"/>
        <w:szCs w:val="20"/>
      </w:rPr>
      <w:t xml:space="preserve">(Revised January 2023)           </w:t>
    </w:r>
    <w:r w:rsidR="009F1DF3" w:rsidRPr="0073198F">
      <w:rPr>
        <w:color w:val="B85808"/>
        <w:sz w:val="20"/>
        <w:szCs w:val="20"/>
      </w:rPr>
      <w:t xml:space="preserve">    </w:t>
    </w:r>
    <w:r w:rsidR="009F1DF3">
      <w:rPr>
        <w:color w:val="B85808"/>
        <w:sz w:val="20"/>
        <w:szCs w:val="20"/>
      </w:rPr>
      <w:t xml:space="preserve">    </w:t>
    </w:r>
    <w:r w:rsidR="00CC36DC">
      <w:rPr>
        <w:color w:val="B85808"/>
        <w:sz w:val="20"/>
        <w:szCs w:val="20"/>
      </w:rPr>
      <w:t xml:space="preserve">                                                                                                                           </w:t>
    </w:r>
    <w:r w:rsidR="00CC36DC" w:rsidRPr="0073198F">
      <w:rPr>
        <w:color w:val="B85808"/>
        <w:sz w:val="20"/>
        <w:szCs w:val="20"/>
      </w:rPr>
      <w:t xml:space="preserve">    </w:t>
    </w:r>
    <w:r w:rsidR="00975D52" w:rsidRPr="00FA1857">
      <w:rPr>
        <w:color w:val="B85808"/>
        <w:sz w:val="20"/>
        <w:szCs w:val="20"/>
      </w:rPr>
      <w:fldChar w:fldCharType="begin"/>
    </w:r>
    <w:r w:rsidR="00975D52" w:rsidRPr="00FA1857">
      <w:rPr>
        <w:color w:val="B85808"/>
        <w:sz w:val="20"/>
        <w:szCs w:val="20"/>
      </w:rPr>
      <w:instrText xml:space="preserve"> PAGE   \* MERGEFORMAT </w:instrText>
    </w:r>
    <w:r w:rsidR="00975D52" w:rsidRPr="00FA1857">
      <w:rPr>
        <w:color w:val="B85808"/>
        <w:sz w:val="20"/>
        <w:szCs w:val="20"/>
      </w:rPr>
      <w:fldChar w:fldCharType="separate"/>
    </w:r>
    <w:r w:rsidR="00975D52" w:rsidRPr="00FA1857">
      <w:rPr>
        <w:color w:val="B85808"/>
        <w:sz w:val="20"/>
        <w:szCs w:val="20"/>
      </w:rPr>
      <w:t>1</w:t>
    </w:r>
    <w:r w:rsidR="00975D52" w:rsidRPr="00FA1857">
      <w:rPr>
        <w:color w:val="B85808"/>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68141"/>
      <w:docPartObj>
        <w:docPartGallery w:val="Page Numbers (Bottom of Page)"/>
        <w:docPartUnique/>
      </w:docPartObj>
    </w:sdtPr>
    <w:sdtEndPr/>
    <w:sdtContent>
      <w:sdt>
        <w:sdtPr>
          <w:id w:val="1425142271"/>
          <w:docPartObj>
            <w:docPartGallery w:val="Page Numbers (Bottom of Page)"/>
            <w:docPartUnique/>
          </w:docPartObj>
        </w:sdtPr>
        <w:sdtEndPr/>
        <w:sdtContent>
          <w:p w14:paraId="15DB0EBC" w14:textId="77777777" w:rsidR="000A2A19" w:rsidRPr="000A0877" w:rsidRDefault="000A2A19" w:rsidP="000A2A19">
            <w:r>
              <w:rPr>
                <w:rFonts w:eastAsia="Batang"/>
                <w:bCs/>
                <w:color w:val="0000CC"/>
                <w:sz w:val="20"/>
                <w:szCs w:val="20"/>
              </w:rPr>
              <w:t xml:space="preserve">FY24-FY26 </w:t>
            </w:r>
            <w:r w:rsidRPr="00D93AD0">
              <w:rPr>
                <w:rFonts w:eastAsia="Batang"/>
                <w:bCs/>
                <w:color w:val="0000CC"/>
                <w:sz w:val="20"/>
                <w:szCs w:val="20"/>
              </w:rPr>
              <w:t xml:space="preserve">Massachusetts Policies for Effective </w:t>
            </w:r>
            <w:r>
              <w:rPr>
                <w:rFonts w:eastAsia="Batang"/>
                <w:bCs/>
                <w:color w:val="0000CC"/>
                <w:sz w:val="20"/>
                <w:szCs w:val="20"/>
              </w:rPr>
              <w:t xml:space="preserve">Transition to College Programs </w:t>
            </w:r>
          </w:p>
          <w:p w14:paraId="0D493DD5" w14:textId="2CDD4106" w:rsidR="000A2A19" w:rsidRDefault="000A2A19" w:rsidP="004628E3">
            <w:r w:rsidRPr="0073198F">
              <w:rPr>
                <w:rFonts w:eastAsia="Batang"/>
                <w:color w:val="B85808"/>
                <w:sz w:val="20"/>
                <w:szCs w:val="20"/>
              </w:rPr>
              <w:t xml:space="preserve">(Revised January 2023)           </w:t>
            </w:r>
            <w:r w:rsidRPr="0073198F">
              <w:rPr>
                <w:color w:val="B85808"/>
                <w:sz w:val="20"/>
                <w:szCs w:val="20"/>
              </w:rPr>
              <w:t xml:space="preserve">    </w:t>
            </w:r>
            <w:r>
              <w:rPr>
                <w:color w:val="B85808"/>
                <w:sz w:val="20"/>
                <w:szCs w:val="20"/>
              </w:rPr>
              <w:t xml:space="preserve">                                                                                                                              </w:t>
            </w:r>
            <w:r w:rsidRPr="0073198F">
              <w:rPr>
                <w:color w:val="B85808"/>
                <w:sz w:val="20"/>
                <w:szCs w:val="20"/>
              </w:rPr>
              <w:t xml:space="preserve">    </w:t>
            </w:r>
            <w:r w:rsidRPr="00FA1857">
              <w:rPr>
                <w:color w:val="B85808"/>
                <w:sz w:val="20"/>
                <w:szCs w:val="20"/>
              </w:rPr>
              <w:fldChar w:fldCharType="begin"/>
            </w:r>
            <w:r w:rsidRPr="00FA1857">
              <w:rPr>
                <w:color w:val="B85808"/>
                <w:sz w:val="20"/>
                <w:szCs w:val="20"/>
              </w:rPr>
              <w:instrText xml:space="preserve"> PAGE   \* MERGEFORMAT </w:instrText>
            </w:r>
            <w:r w:rsidRPr="00FA1857">
              <w:rPr>
                <w:color w:val="B85808"/>
                <w:sz w:val="20"/>
                <w:szCs w:val="20"/>
              </w:rPr>
              <w:fldChar w:fldCharType="separate"/>
            </w:r>
            <w:r>
              <w:rPr>
                <w:color w:val="B85808"/>
                <w:sz w:val="20"/>
                <w:szCs w:val="20"/>
              </w:rPr>
              <w:t>1</w:t>
            </w:r>
            <w:r w:rsidRPr="00FA1857">
              <w:rPr>
                <w:color w:val="B85808"/>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014AD" w14:textId="77777777" w:rsidR="001F44A4" w:rsidRDefault="001F44A4">
      <w:r>
        <w:separator/>
      </w:r>
    </w:p>
  </w:footnote>
  <w:footnote w:type="continuationSeparator" w:id="0">
    <w:p w14:paraId="325F8BFF" w14:textId="77777777" w:rsidR="001F44A4" w:rsidRDefault="001F44A4">
      <w:r>
        <w:continuationSeparator/>
      </w:r>
    </w:p>
  </w:footnote>
  <w:footnote w:type="continuationNotice" w:id="1">
    <w:p w14:paraId="5BAC58A1" w14:textId="77777777" w:rsidR="001F44A4" w:rsidRDefault="001F44A4"/>
  </w:footnote>
  <w:footnote w:id="2">
    <w:p w14:paraId="58C65743" w14:textId="77777777" w:rsidR="00DC083F" w:rsidRDefault="00DC083F" w:rsidP="00DC083F">
      <w:pPr>
        <w:pStyle w:val="FootnoteText"/>
      </w:pPr>
      <w:r w:rsidRPr="00B07964">
        <w:rPr>
          <w:vertAlign w:val="superscript"/>
        </w:rPr>
        <w:footnoteRef/>
      </w:r>
      <w:r w:rsidRPr="00B07964">
        <w:rPr>
          <w:vertAlign w:val="superscript"/>
        </w:rPr>
        <w:t xml:space="preserve"> </w:t>
      </w:r>
      <w:r w:rsidRPr="001D0B78">
        <w:t>Diversity: The representation of people from a wide range of races, languages, abilities, identities, experiences, values, and perspectives. And we recognize the impact of intersectionality</w:t>
      </w:r>
      <w:r>
        <w:t>.</w:t>
      </w:r>
    </w:p>
  </w:footnote>
  <w:footnote w:id="3">
    <w:p w14:paraId="4C0E876C" w14:textId="77777777" w:rsidR="00DC083F" w:rsidRDefault="00DC083F" w:rsidP="00DC083F">
      <w:pPr>
        <w:pStyle w:val="FootnoteText"/>
      </w:pPr>
      <w:r w:rsidRPr="00B07964">
        <w:rPr>
          <w:vertAlign w:val="superscript"/>
        </w:rPr>
        <w:footnoteRef/>
      </w:r>
      <w:r w:rsidRPr="00B07964">
        <w:rPr>
          <w:vertAlign w:val="superscript"/>
        </w:rPr>
        <w:t xml:space="preserve"> </w:t>
      </w:r>
      <w:r>
        <w:t xml:space="preserve">Equity: </w:t>
      </w:r>
      <w:r w:rsidRPr="001D0B78">
        <w:t>Placing a heightened focus on groups experiencing disproportionate impact through the development of systems to remediate disparities in their experiences and outcomes, particularly racial groups.</w:t>
      </w:r>
    </w:p>
  </w:footnote>
  <w:footnote w:id="4">
    <w:p w14:paraId="646E0B28" w14:textId="77777777" w:rsidR="00DC083F" w:rsidRPr="001D0B78" w:rsidRDefault="00DC083F" w:rsidP="00DC083F">
      <w:pPr>
        <w:pStyle w:val="Default"/>
        <w:rPr>
          <w:color w:val="auto"/>
          <w:sz w:val="20"/>
          <w:szCs w:val="20"/>
        </w:rPr>
      </w:pPr>
      <w:r w:rsidRPr="00B07964">
        <w:rPr>
          <w:color w:val="auto"/>
          <w:sz w:val="20"/>
          <w:szCs w:val="20"/>
          <w:vertAlign w:val="superscript"/>
        </w:rPr>
        <w:footnoteRef/>
      </w:r>
      <w:r w:rsidRPr="00B07964">
        <w:rPr>
          <w:color w:val="auto"/>
          <w:sz w:val="20"/>
          <w:szCs w:val="20"/>
          <w:vertAlign w:val="superscript"/>
        </w:rPr>
        <w:t xml:space="preserve"> </w:t>
      </w:r>
      <w:r w:rsidRPr="001D0B78">
        <w:rPr>
          <w:color w:val="auto"/>
          <w:sz w:val="20"/>
          <w:szCs w:val="20"/>
        </w:rPr>
        <w:t>Inclusion: Pursuing deliberate actions to create welcoming environments and ensure differences are actively sought and heard, and that every individual feels a sense of belonging and a role in impacting decision-making, practices, and policies.</w:t>
      </w:r>
    </w:p>
  </w:footnote>
  <w:footnote w:id="5">
    <w:p w14:paraId="355E5B5A" w14:textId="6CFB9393" w:rsidR="00B04B88" w:rsidRDefault="00B04B88">
      <w:pPr>
        <w:pStyle w:val="FootnoteText"/>
      </w:pPr>
      <w:r>
        <w:rPr>
          <w:rStyle w:val="FootnoteReference"/>
        </w:rPr>
        <w:footnoteRef/>
      </w:r>
      <w:r>
        <w:t xml:space="preserve"> </w:t>
      </w:r>
      <w:r w:rsidR="00DE056A" w:rsidRPr="00DE056A">
        <w:rPr>
          <w:sz w:val="16"/>
          <w:szCs w:val="16"/>
        </w:rPr>
        <w:t>The title of this course varies from college to college.</w:t>
      </w:r>
    </w:p>
  </w:footnote>
  <w:footnote w:id="6">
    <w:p w14:paraId="3197A3B6" w14:textId="77777777" w:rsidR="00151558" w:rsidRPr="000318C1" w:rsidRDefault="00151558" w:rsidP="00144355">
      <w:pPr>
        <w:pStyle w:val="FootnoteText"/>
      </w:pPr>
      <w:r w:rsidRPr="000318C1">
        <w:rPr>
          <w:rStyle w:val="FootnoteReference"/>
        </w:rPr>
        <w:footnoteRef/>
      </w:r>
      <w:r w:rsidRPr="000318C1">
        <w:t xml:space="preserve"> </w:t>
      </w:r>
      <w:r>
        <w:t>Supplies include</w:t>
      </w:r>
      <w:r w:rsidRPr="00581B93">
        <w:t xml:space="preserve"> computing devices if the acquisition cost is less than $5,000,</w:t>
      </w:r>
      <w:r>
        <w:t xml:space="preserve"> regardless of the length of their</w:t>
      </w:r>
      <w:r w:rsidRPr="00581B93">
        <w:t xml:space="preserve"> useful life. Computing devices means machines used to acquire, store, analyze, process, and publish data and other information electronically, including accessories or peripherals for printing, transmitting and receiving, or storing electronic information.</w:t>
      </w:r>
    </w:p>
  </w:footnote>
  <w:footnote w:id="7">
    <w:p w14:paraId="21703F5B" w14:textId="77777777" w:rsidR="00151558" w:rsidRPr="009C5ECE" w:rsidRDefault="00151558" w:rsidP="00144355">
      <w:pPr>
        <w:pStyle w:val="FootnoteText"/>
      </w:pPr>
      <w:r w:rsidRPr="00CA19AD">
        <w:rPr>
          <w:rStyle w:val="FootnoteReference"/>
        </w:rPr>
        <w:footnoteRef/>
      </w:r>
      <w:r w:rsidRPr="00CA19AD">
        <w:t xml:space="preserve"> </w:t>
      </w:r>
      <w:r w:rsidRPr="001B3443">
        <w:t xml:space="preserve">As per </w:t>
      </w:r>
      <w:hyperlink r:id="rId1" w:history="1">
        <w:r w:rsidRPr="001B3443">
          <w:rPr>
            <w:rStyle w:val="Hyperlink"/>
          </w:rPr>
          <w:t>34 CFR 76.563-569</w:t>
        </w:r>
      </w:hyperlink>
      <w:r w:rsidRPr="001B3443">
        <w:t xml:space="preserve">, </w:t>
      </w:r>
      <w:r w:rsidRPr="001B3443">
        <w:rPr>
          <w:color w:val="000000" w:themeColor="text1"/>
        </w:rPr>
        <w:t>the restricted rate is much lower than the unrestricted indirect cost rate which must be calculated to attain the restricted rate. Certain indirect costs allowed in the unrestricted rate determination are not allowed in the restricted rate. These costs include but are not limited to, rent and maintenance costs for space other than the space occupied by the general administration staff such as the accounting, procurement, and human resources office which are organizational wide costs.</w:t>
      </w:r>
      <w:r w:rsidRPr="00CA19AD">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3CC7" w14:textId="77777777" w:rsidR="00415DB4" w:rsidRDefault="00415DB4">
    <w:pPr>
      <w:pStyle w:val="Header"/>
    </w:pPr>
  </w:p>
  <w:p w14:paraId="212DDEBB" w14:textId="77777777" w:rsidR="00415DB4" w:rsidRDefault="00415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B745A" w14:textId="77777777" w:rsidR="004E7A5A" w:rsidRDefault="004E7A5A">
    <w:pPr>
      <w:pStyle w:val="Header"/>
    </w:pPr>
  </w:p>
  <w:p w14:paraId="782A9879" w14:textId="77777777" w:rsidR="004E7A5A" w:rsidRDefault="004E7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7C09" w14:textId="77777777" w:rsidR="005C30B3" w:rsidRDefault="005C30B3">
    <w:pPr>
      <w:pStyle w:val="Header"/>
    </w:pPr>
  </w:p>
  <w:p w14:paraId="401E5331" w14:textId="77777777" w:rsidR="005C30B3" w:rsidRDefault="005C3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D4A5E" w14:paraId="5B301AB3" w14:textId="77777777" w:rsidTr="00B4725F">
      <w:tc>
        <w:tcPr>
          <w:tcW w:w="3120" w:type="dxa"/>
        </w:tcPr>
        <w:p w14:paraId="66B39F44" w14:textId="77777777" w:rsidR="006D4A5E" w:rsidRDefault="006D4A5E" w:rsidP="00B4725F">
          <w:pPr>
            <w:pStyle w:val="Header"/>
            <w:ind w:left="-115"/>
          </w:pPr>
        </w:p>
      </w:tc>
      <w:tc>
        <w:tcPr>
          <w:tcW w:w="3120" w:type="dxa"/>
        </w:tcPr>
        <w:p w14:paraId="13F1EF56" w14:textId="77777777" w:rsidR="006D4A5E" w:rsidRDefault="006D4A5E" w:rsidP="00B4725F">
          <w:pPr>
            <w:pStyle w:val="Header"/>
            <w:jc w:val="center"/>
          </w:pPr>
        </w:p>
      </w:tc>
      <w:tc>
        <w:tcPr>
          <w:tcW w:w="3120" w:type="dxa"/>
        </w:tcPr>
        <w:p w14:paraId="437784D8" w14:textId="77777777" w:rsidR="006D4A5E" w:rsidRDefault="006D4A5E" w:rsidP="00B4725F">
          <w:pPr>
            <w:pStyle w:val="Header"/>
            <w:ind w:right="-115"/>
            <w:jc w:val="right"/>
          </w:pPr>
        </w:p>
      </w:tc>
    </w:tr>
  </w:tbl>
  <w:p w14:paraId="5F7D22C3" w14:textId="77777777" w:rsidR="006D4A5E" w:rsidRDefault="006D4A5E" w:rsidP="00B4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5825"/>
    <w:multiLevelType w:val="hybridMultilevel"/>
    <w:tmpl w:val="60E47888"/>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D3BF0"/>
    <w:multiLevelType w:val="hybridMultilevel"/>
    <w:tmpl w:val="6686BA96"/>
    <w:lvl w:ilvl="0" w:tplc="6EC26A5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344923"/>
    <w:multiLevelType w:val="hybridMultilevel"/>
    <w:tmpl w:val="20BAE356"/>
    <w:lvl w:ilvl="0" w:tplc="62C0BB4C">
      <w:start w:val="1"/>
      <w:numFmt w:val="bullet"/>
      <w:lvlText w:val=""/>
      <w:lvlJc w:val="left"/>
      <w:pPr>
        <w:ind w:left="360" w:hanging="360"/>
      </w:pPr>
      <w:rPr>
        <w:rFonts w:ascii="Wingdings" w:hAnsi="Wingdings" w:hint="default"/>
        <w:color w:val="auto"/>
        <w:sz w:val="24"/>
      </w:rPr>
    </w:lvl>
    <w:lvl w:ilvl="1" w:tplc="57D03D04">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 w15:restartNumberingAfterBreak="0">
    <w:nsid w:val="25BD79A0"/>
    <w:multiLevelType w:val="hybridMultilevel"/>
    <w:tmpl w:val="56127ADC"/>
    <w:lvl w:ilvl="0" w:tplc="6B5E5460">
      <w:start w:val="1"/>
      <w:numFmt w:val="bullet"/>
      <w:lvlText w:val=""/>
      <w:lvlJc w:val="left"/>
      <w:pPr>
        <w:ind w:left="1080" w:hanging="360"/>
      </w:pPr>
      <w:rPr>
        <w:rFonts w:ascii="Wingdings" w:hAnsi="Wingdings" w:hint="default"/>
        <w:b/>
        <w:i w:val="0"/>
        <w:sz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29247A9D"/>
    <w:multiLevelType w:val="hybridMultilevel"/>
    <w:tmpl w:val="61848A5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94B58"/>
    <w:multiLevelType w:val="hybridMultilevel"/>
    <w:tmpl w:val="8DACAA20"/>
    <w:lvl w:ilvl="0" w:tplc="6B5E5460">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3728CB"/>
    <w:multiLevelType w:val="hybridMultilevel"/>
    <w:tmpl w:val="5F3293C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A0122"/>
    <w:multiLevelType w:val="hybridMultilevel"/>
    <w:tmpl w:val="53F8D02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7A40"/>
    <w:multiLevelType w:val="hybridMultilevel"/>
    <w:tmpl w:val="6D50F6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736EED"/>
    <w:multiLevelType w:val="hybridMultilevel"/>
    <w:tmpl w:val="92984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55337"/>
    <w:multiLevelType w:val="hybridMultilevel"/>
    <w:tmpl w:val="352C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B06E8"/>
    <w:multiLevelType w:val="hybridMultilevel"/>
    <w:tmpl w:val="791C8222"/>
    <w:lvl w:ilvl="0" w:tplc="F90E43EA">
      <w:start w:val="1"/>
      <w:numFmt w:val="bullet"/>
      <w:lvlText w:val=""/>
      <w:lvlJc w:val="left"/>
      <w:pPr>
        <w:tabs>
          <w:tab w:val="num" w:pos="720"/>
        </w:tabs>
        <w:ind w:left="720" w:hanging="360"/>
      </w:pPr>
      <w:rPr>
        <w:rFonts w:ascii="Symbol" w:hAnsi="Symbol" w:hint="default"/>
      </w:rPr>
    </w:lvl>
    <w:lvl w:ilvl="1" w:tplc="57D03D04"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F4943"/>
    <w:multiLevelType w:val="hybridMultilevel"/>
    <w:tmpl w:val="8D6E22DA"/>
    <w:lvl w:ilvl="0" w:tplc="6EC26A52">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6A14838"/>
    <w:multiLevelType w:val="hybridMultilevel"/>
    <w:tmpl w:val="A6D84F1A"/>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90F70"/>
    <w:multiLevelType w:val="hybridMultilevel"/>
    <w:tmpl w:val="F15CF592"/>
    <w:lvl w:ilvl="0" w:tplc="9112F836">
      <w:start w:val="1"/>
      <w:numFmt w:val="bullet"/>
      <w:lvlText w:val=""/>
      <w:lvlJc w:val="left"/>
      <w:pPr>
        <w:ind w:left="1080" w:hanging="360"/>
      </w:pPr>
      <w:rPr>
        <w:rFonts w:ascii="Wingdings" w:hAnsi="Wingdings" w:hint="default"/>
      </w:rPr>
    </w:lvl>
    <w:lvl w:ilvl="1" w:tplc="E938A100">
      <w:start w:val="1"/>
      <w:numFmt w:val="bullet"/>
      <w:lvlText w:val="o"/>
      <w:lvlJc w:val="left"/>
      <w:pPr>
        <w:ind w:left="1800" w:hanging="360"/>
      </w:pPr>
      <w:rPr>
        <w:rFonts w:ascii="Courier New" w:hAnsi="Courier New" w:hint="default"/>
      </w:rPr>
    </w:lvl>
    <w:lvl w:ilvl="2" w:tplc="2D22C368">
      <w:start w:val="1"/>
      <w:numFmt w:val="bullet"/>
      <w:lvlText w:val=""/>
      <w:lvlJc w:val="left"/>
      <w:pPr>
        <w:ind w:left="2520" w:hanging="360"/>
      </w:pPr>
      <w:rPr>
        <w:rFonts w:ascii="Wingdings" w:hAnsi="Wingdings" w:hint="default"/>
      </w:rPr>
    </w:lvl>
    <w:lvl w:ilvl="3" w:tplc="1122AD0A">
      <w:start w:val="1"/>
      <w:numFmt w:val="bullet"/>
      <w:lvlText w:val=""/>
      <w:lvlJc w:val="left"/>
      <w:pPr>
        <w:ind w:left="3240" w:hanging="360"/>
      </w:pPr>
      <w:rPr>
        <w:rFonts w:ascii="Symbol" w:hAnsi="Symbol" w:hint="default"/>
      </w:rPr>
    </w:lvl>
    <w:lvl w:ilvl="4" w:tplc="01EAF12A">
      <w:start w:val="1"/>
      <w:numFmt w:val="bullet"/>
      <w:lvlText w:val="o"/>
      <w:lvlJc w:val="left"/>
      <w:pPr>
        <w:ind w:left="3960" w:hanging="360"/>
      </w:pPr>
      <w:rPr>
        <w:rFonts w:ascii="Courier New" w:hAnsi="Courier New" w:hint="default"/>
      </w:rPr>
    </w:lvl>
    <w:lvl w:ilvl="5" w:tplc="83C48110">
      <w:start w:val="1"/>
      <w:numFmt w:val="bullet"/>
      <w:lvlText w:val=""/>
      <w:lvlJc w:val="left"/>
      <w:pPr>
        <w:ind w:left="4680" w:hanging="360"/>
      </w:pPr>
      <w:rPr>
        <w:rFonts w:ascii="Wingdings" w:hAnsi="Wingdings" w:hint="default"/>
      </w:rPr>
    </w:lvl>
    <w:lvl w:ilvl="6" w:tplc="D856E908">
      <w:start w:val="1"/>
      <w:numFmt w:val="bullet"/>
      <w:lvlText w:val=""/>
      <w:lvlJc w:val="left"/>
      <w:pPr>
        <w:ind w:left="5400" w:hanging="360"/>
      </w:pPr>
      <w:rPr>
        <w:rFonts w:ascii="Symbol" w:hAnsi="Symbol" w:hint="default"/>
      </w:rPr>
    </w:lvl>
    <w:lvl w:ilvl="7" w:tplc="578889CA">
      <w:start w:val="1"/>
      <w:numFmt w:val="bullet"/>
      <w:lvlText w:val="o"/>
      <w:lvlJc w:val="left"/>
      <w:pPr>
        <w:ind w:left="6120" w:hanging="360"/>
      </w:pPr>
      <w:rPr>
        <w:rFonts w:ascii="Courier New" w:hAnsi="Courier New" w:hint="default"/>
      </w:rPr>
    </w:lvl>
    <w:lvl w:ilvl="8" w:tplc="6B46BF10">
      <w:start w:val="1"/>
      <w:numFmt w:val="bullet"/>
      <w:lvlText w:val=""/>
      <w:lvlJc w:val="left"/>
      <w:pPr>
        <w:ind w:left="6840" w:hanging="360"/>
      </w:pPr>
      <w:rPr>
        <w:rFonts w:ascii="Wingdings" w:hAnsi="Wingdings" w:hint="default"/>
      </w:rPr>
    </w:lvl>
  </w:abstractNum>
  <w:abstractNum w:abstractNumId="16" w15:restartNumberingAfterBreak="0">
    <w:nsid w:val="4C9E17F5"/>
    <w:multiLevelType w:val="hybridMultilevel"/>
    <w:tmpl w:val="85BA991A"/>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4EBD5F26"/>
    <w:multiLevelType w:val="hybridMultilevel"/>
    <w:tmpl w:val="17C8A81C"/>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520AE"/>
    <w:multiLevelType w:val="hybridMultilevel"/>
    <w:tmpl w:val="E0A488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071AE"/>
    <w:multiLevelType w:val="hybridMultilevel"/>
    <w:tmpl w:val="C1C66A94"/>
    <w:lvl w:ilvl="0" w:tplc="6B5E5460">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332F8"/>
    <w:multiLevelType w:val="hybridMultilevel"/>
    <w:tmpl w:val="10109D94"/>
    <w:lvl w:ilvl="0" w:tplc="6E46F6E0">
      <w:start w:val="1"/>
      <w:numFmt w:val="bullet"/>
      <w:lvlText w:val="-"/>
      <w:lvlJc w:val="left"/>
      <w:pPr>
        <w:ind w:left="720" w:hanging="360"/>
      </w:pPr>
      <w:rPr>
        <w:rFonts w:ascii="Arial Narrow" w:hAnsi="Arial Narro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1215E"/>
    <w:multiLevelType w:val="hybridMultilevel"/>
    <w:tmpl w:val="BCF216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14D61"/>
    <w:multiLevelType w:val="hybridMultilevel"/>
    <w:tmpl w:val="925A2320"/>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387151"/>
    <w:multiLevelType w:val="hybridMultilevel"/>
    <w:tmpl w:val="F97E232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54ED7"/>
    <w:multiLevelType w:val="hybridMultilevel"/>
    <w:tmpl w:val="8F9012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25197"/>
    <w:multiLevelType w:val="hybridMultilevel"/>
    <w:tmpl w:val="E2D49BA4"/>
    <w:lvl w:ilvl="0" w:tplc="06E6010C">
      <w:start w:val="1"/>
      <w:numFmt w:val="bullet"/>
      <w:lvlText w:val=""/>
      <w:lvlJc w:val="left"/>
      <w:pPr>
        <w:ind w:left="360" w:hanging="360"/>
      </w:pPr>
      <w:rPr>
        <w:rFonts w:ascii="Wingdings" w:hAnsi="Wingding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2D374F"/>
    <w:multiLevelType w:val="hybridMultilevel"/>
    <w:tmpl w:val="4582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52EC7"/>
    <w:multiLevelType w:val="hybridMultilevel"/>
    <w:tmpl w:val="7FFA15D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537CA"/>
    <w:multiLevelType w:val="hybridMultilevel"/>
    <w:tmpl w:val="E5B85F52"/>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B289B"/>
    <w:multiLevelType w:val="hybridMultilevel"/>
    <w:tmpl w:val="ECBCB03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5188F"/>
    <w:multiLevelType w:val="hybridMultilevel"/>
    <w:tmpl w:val="C6AA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4293"/>
    <w:multiLevelType w:val="hybridMultilevel"/>
    <w:tmpl w:val="A83EC7C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27AA1"/>
    <w:multiLevelType w:val="hybridMultilevel"/>
    <w:tmpl w:val="51A0F6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A5967"/>
    <w:multiLevelType w:val="hybridMultilevel"/>
    <w:tmpl w:val="FE8AADCE"/>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F55086"/>
    <w:multiLevelType w:val="hybridMultilevel"/>
    <w:tmpl w:val="CB3E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D3172"/>
    <w:multiLevelType w:val="hybridMultilevel"/>
    <w:tmpl w:val="5BD0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B47CF"/>
    <w:multiLevelType w:val="multilevel"/>
    <w:tmpl w:val="FB22D278"/>
    <w:lvl w:ilvl="0">
      <w:start w:val="1"/>
      <w:numFmt w:val="bullet"/>
      <w:lvlText w:val=""/>
      <w:lvlJc w:val="left"/>
      <w:pPr>
        <w:tabs>
          <w:tab w:val="num" w:pos="720"/>
        </w:tabs>
        <w:ind w:left="720" w:hanging="360"/>
      </w:pPr>
      <w:rPr>
        <w:rFonts w:ascii="Symbol" w:hAnsi="Symbol"/>
        <w:dstrike w:val="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701C2"/>
    <w:multiLevelType w:val="hybridMultilevel"/>
    <w:tmpl w:val="5578778A"/>
    <w:lvl w:ilvl="0" w:tplc="62C0BB4C">
      <w:start w:val="1"/>
      <w:numFmt w:val="bullet"/>
      <w:lvlText w:val=""/>
      <w:lvlJc w:val="left"/>
      <w:pPr>
        <w:tabs>
          <w:tab w:val="num" w:pos="720"/>
        </w:tabs>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7BA7C40"/>
    <w:multiLevelType w:val="hybridMultilevel"/>
    <w:tmpl w:val="EF8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12438B"/>
    <w:multiLevelType w:val="hybridMultilevel"/>
    <w:tmpl w:val="D66EBB9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8433D"/>
    <w:multiLevelType w:val="hybridMultilevel"/>
    <w:tmpl w:val="5EC64B6E"/>
    <w:lvl w:ilvl="0" w:tplc="9DA2C4A8">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0"/>
  </w:num>
  <w:num w:numId="2">
    <w:abstractNumId w:val="40"/>
  </w:num>
  <w:num w:numId="3">
    <w:abstractNumId w:val="33"/>
  </w:num>
  <w:num w:numId="4">
    <w:abstractNumId w:val="22"/>
  </w:num>
  <w:num w:numId="5">
    <w:abstractNumId w:val="39"/>
  </w:num>
  <w:num w:numId="6">
    <w:abstractNumId w:val="23"/>
  </w:num>
  <w:num w:numId="7">
    <w:abstractNumId w:val="14"/>
  </w:num>
  <w:num w:numId="8">
    <w:abstractNumId w:val="2"/>
  </w:num>
  <w:num w:numId="9">
    <w:abstractNumId w:val="37"/>
  </w:num>
  <w:num w:numId="10">
    <w:abstractNumId w:val="31"/>
  </w:num>
  <w:num w:numId="11">
    <w:abstractNumId w:val="8"/>
  </w:num>
  <w:num w:numId="12">
    <w:abstractNumId w:val="12"/>
  </w:num>
  <w:num w:numId="13">
    <w:abstractNumId w:val="36"/>
  </w:num>
  <w:num w:numId="14">
    <w:abstractNumId w:val="26"/>
  </w:num>
  <w:num w:numId="15">
    <w:abstractNumId w:val="7"/>
  </w:num>
  <w:num w:numId="16">
    <w:abstractNumId w:val="21"/>
  </w:num>
  <w:num w:numId="17">
    <w:abstractNumId w:val="17"/>
  </w:num>
  <w:num w:numId="18">
    <w:abstractNumId w:val="6"/>
  </w:num>
  <w:num w:numId="19">
    <w:abstractNumId w:val="27"/>
  </w:num>
  <w:num w:numId="20">
    <w:abstractNumId w:val="0"/>
  </w:num>
  <w:num w:numId="21">
    <w:abstractNumId w:val="20"/>
  </w:num>
  <w:num w:numId="22">
    <w:abstractNumId w:val="29"/>
  </w:num>
  <w:num w:numId="23">
    <w:abstractNumId w:val="4"/>
  </w:num>
  <w:num w:numId="24">
    <w:abstractNumId w:val="25"/>
  </w:num>
  <w:num w:numId="25">
    <w:abstractNumId w:val="15"/>
  </w:num>
  <w:num w:numId="26">
    <w:abstractNumId w:val="19"/>
  </w:num>
  <w:num w:numId="27">
    <w:abstractNumId w:val="5"/>
  </w:num>
  <w:num w:numId="28">
    <w:abstractNumId w:val="1"/>
  </w:num>
  <w:num w:numId="29">
    <w:abstractNumId w:val="28"/>
  </w:num>
  <w:num w:numId="30">
    <w:abstractNumId w:val="32"/>
  </w:num>
  <w:num w:numId="31">
    <w:abstractNumId w:val="24"/>
  </w:num>
  <w:num w:numId="32">
    <w:abstractNumId w:val="18"/>
  </w:num>
  <w:num w:numId="33">
    <w:abstractNumId w:val="3"/>
  </w:num>
  <w:num w:numId="34">
    <w:abstractNumId w:val="34"/>
  </w:num>
  <w:num w:numId="35">
    <w:abstractNumId w:val="30"/>
  </w:num>
  <w:num w:numId="36">
    <w:abstractNumId w:val="38"/>
  </w:num>
  <w:num w:numId="37">
    <w:abstractNumId w:val="11"/>
  </w:num>
  <w:num w:numId="38">
    <w:abstractNumId w:val="16"/>
  </w:num>
  <w:num w:numId="39">
    <w:abstractNumId w:val="9"/>
  </w:num>
  <w:num w:numId="40">
    <w:abstractNumId w:val="13"/>
  </w:num>
  <w:num w:numId="41">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960,#eeece1,#ff5050,#3cc,#c0c,#f9f,#3c3,red"/>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4D"/>
    <w:rsid w:val="00001CA0"/>
    <w:rsid w:val="00001CB1"/>
    <w:rsid w:val="00001EFD"/>
    <w:rsid w:val="00002214"/>
    <w:rsid w:val="000024FD"/>
    <w:rsid w:val="00002D07"/>
    <w:rsid w:val="000030C4"/>
    <w:rsid w:val="00003797"/>
    <w:rsid w:val="00003CEB"/>
    <w:rsid w:val="00003DF0"/>
    <w:rsid w:val="0000467D"/>
    <w:rsid w:val="000046DC"/>
    <w:rsid w:val="0000473C"/>
    <w:rsid w:val="00004A56"/>
    <w:rsid w:val="0000511D"/>
    <w:rsid w:val="00005505"/>
    <w:rsid w:val="0000608B"/>
    <w:rsid w:val="000063EE"/>
    <w:rsid w:val="00006965"/>
    <w:rsid w:val="00006AE4"/>
    <w:rsid w:val="00006C1A"/>
    <w:rsid w:val="0000749F"/>
    <w:rsid w:val="00007E21"/>
    <w:rsid w:val="00007E7C"/>
    <w:rsid w:val="0001034A"/>
    <w:rsid w:val="00010616"/>
    <w:rsid w:val="0001070E"/>
    <w:rsid w:val="00010852"/>
    <w:rsid w:val="00010A17"/>
    <w:rsid w:val="0001106D"/>
    <w:rsid w:val="00011464"/>
    <w:rsid w:val="00011811"/>
    <w:rsid w:val="00011B92"/>
    <w:rsid w:val="00012B76"/>
    <w:rsid w:val="00014484"/>
    <w:rsid w:val="00014B89"/>
    <w:rsid w:val="00014D96"/>
    <w:rsid w:val="00014DC5"/>
    <w:rsid w:val="00014E52"/>
    <w:rsid w:val="000150E7"/>
    <w:rsid w:val="0001536C"/>
    <w:rsid w:val="0001568D"/>
    <w:rsid w:val="000161DB"/>
    <w:rsid w:val="00016270"/>
    <w:rsid w:val="00016B69"/>
    <w:rsid w:val="00017090"/>
    <w:rsid w:val="000172AD"/>
    <w:rsid w:val="0001739B"/>
    <w:rsid w:val="00017A67"/>
    <w:rsid w:val="00017AF6"/>
    <w:rsid w:val="00017B50"/>
    <w:rsid w:val="00017CDD"/>
    <w:rsid w:val="000209BC"/>
    <w:rsid w:val="0002124D"/>
    <w:rsid w:val="000212EE"/>
    <w:rsid w:val="00021381"/>
    <w:rsid w:val="00021C34"/>
    <w:rsid w:val="00021F59"/>
    <w:rsid w:val="000225A0"/>
    <w:rsid w:val="00022942"/>
    <w:rsid w:val="00023179"/>
    <w:rsid w:val="0002393C"/>
    <w:rsid w:val="0002455F"/>
    <w:rsid w:val="000245DA"/>
    <w:rsid w:val="00024994"/>
    <w:rsid w:val="00024DF7"/>
    <w:rsid w:val="000261D4"/>
    <w:rsid w:val="00026AD9"/>
    <w:rsid w:val="00026AF6"/>
    <w:rsid w:val="00026B0C"/>
    <w:rsid w:val="00026C26"/>
    <w:rsid w:val="00027273"/>
    <w:rsid w:val="00027CCE"/>
    <w:rsid w:val="00027D98"/>
    <w:rsid w:val="000302EB"/>
    <w:rsid w:val="00030D56"/>
    <w:rsid w:val="0003151C"/>
    <w:rsid w:val="00031DFB"/>
    <w:rsid w:val="00032093"/>
    <w:rsid w:val="00032636"/>
    <w:rsid w:val="0003288B"/>
    <w:rsid w:val="000331B5"/>
    <w:rsid w:val="000332B9"/>
    <w:rsid w:val="00033324"/>
    <w:rsid w:val="00033985"/>
    <w:rsid w:val="00033E7B"/>
    <w:rsid w:val="00033F26"/>
    <w:rsid w:val="0003434B"/>
    <w:rsid w:val="00034D22"/>
    <w:rsid w:val="00034D7C"/>
    <w:rsid w:val="00034E04"/>
    <w:rsid w:val="00036926"/>
    <w:rsid w:val="00036F37"/>
    <w:rsid w:val="000374B8"/>
    <w:rsid w:val="00037548"/>
    <w:rsid w:val="00037C76"/>
    <w:rsid w:val="00037F35"/>
    <w:rsid w:val="00040031"/>
    <w:rsid w:val="00040288"/>
    <w:rsid w:val="000405D4"/>
    <w:rsid w:val="00040977"/>
    <w:rsid w:val="000410A3"/>
    <w:rsid w:val="00041245"/>
    <w:rsid w:val="000415C4"/>
    <w:rsid w:val="00041A9A"/>
    <w:rsid w:val="00041AB6"/>
    <w:rsid w:val="00041B6C"/>
    <w:rsid w:val="00041CF2"/>
    <w:rsid w:val="00041DCF"/>
    <w:rsid w:val="00041F05"/>
    <w:rsid w:val="00041FBA"/>
    <w:rsid w:val="00042376"/>
    <w:rsid w:val="00042528"/>
    <w:rsid w:val="000433DC"/>
    <w:rsid w:val="000433E3"/>
    <w:rsid w:val="00043472"/>
    <w:rsid w:val="000434BE"/>
    <w:rsid w:val="000434E2"/>
    <w:rsid w:val="000438E9"/>
    <w:rsid w:val="00043B1F"/>
    <w:rsid w:val="00043E6F"/>
    <w:rsid w:val="00044324"/>
    <w:rsid w:val="00044417"/>
    <w:rsid w:val="00044603"/>
    <w:rsid w:val="000447DB"/>
    <w:rsid w:val="00044814"/>
    <w:rsid w:val="00044CCD"/>
    <w:rsid w:val="000455D9"/>
    <w:rsid w:val="00045B48"/>
    <w:rsid w:val="00045B51"/>
    <w:rsid w:val="00045D7E"/>
    <w:rsid w:val="000465F9"/>
    <w:rsid w:val="00047464"/>
    <w:rsid w:val="0004793B"/>
    <w:rsid w:val="00047959"/>
    <w:rsid w:val="00047963"/>
    <w:rsid w:val="00047FC3"/>
    <w:rsid w:val="000500FB"/>
    <w:rsid w:val="00050315"/>
    <w:rsid w:val="000503C5"/>
    <w:rsid w:val="00050988"/>
    <w:rsid w:val="00051245"/>
    <w:rsid w:val="00051792"/>
    <w:rsid w:val="00051A93"/>
    <w:rsid w:val="00051AB5"/>
    <w:rsid w:val="000521D6"/>
    <w:rsid w:val="00052369"/>
    <w:rsid w:val="000523B2"/>
    <w:rsid w:val="00053049"/>
    <w:rsid w:val="00053D4A"/>
    <w:rsid w:val="00054836"/>
    <w:rsid w:val="00054ED5"/>
    <w:rsid w:val="00054F4D"/>
    <w:rsid w:val="00055062"/>
    <w:rsid w:val="0005526E"/>
    <w:rsid w:val="00055273"/>
    <w:rsid w:val="0005528E"/>
    <w:rsid w:val="00055500"/>
    <w:rsid w:val="000559F2"/>
    <w:rsid w:val="00055E2A"/>
    <w:rsid w:val="000566E7"/>
    <w:rsid w:val="000567FA"/>
    <w:rsid w:val="00056BA6"/>
    <w:rsid w:val="00056D46"/>
    <w:rsid w:val="00057727"/>
    <w:rsid w:val="0005789F"/>
    <w:rsid w:val="000578E8"/>
    <w:rsid w:val="00057A93"/>
    <w:rsid w:val="00057F5E"/>
    <w:rsid w:val="00060016"/>
    <w:rsid w:val="0006018D"/>
    <w:rsid w:val="00060845"/>
    <w:rsid w:val="000613ED"/>
    <w:rsid w:val="00061926"/>
    <w:rsid w:val="00061AF6"/>
    <w:rsid w:val="00061E05"/>
    <w:rsid w:val="000622B6"/>
    <w:rsid w:val="00062C25"/>
    <w:rsid w:val="00062E5B"/>
    <w:rsid w:val="00063419"/>
    <w:rsid w:val="00064170"/>
    <w:rsid w:val="00064249"/>
    <w:rsid w:val="000643AC"/>
    <w:rsid w:val="000644FA"/>
    <w:rsid w:val="00064AEE"/>
    <w:rsid w:val="0006526A"/>
    <w:rsid w:val="000652F8"/>
    <w:rsid w:val="000653AC"/>
    <w:rsid w:val="00065A1A"/>
    <w:rsid w:val="0006601B"/>
    <w:rsid w:val="0006632D"/>
    <w:rsid w:val="00066FB0"/>
    <w:rsid w:val="00067230"/>
    <w:rsid w:val="00067383"/>
    <w:rsid w:val="000675BA"/>
    <w:rsid w:val="000676E6"/>
    <w:rsid w:val="00067D39"/>
    <w:rsid w:val="00067D71"/>
    <w:rsid w:val="000706FE"/>
    <w:rsid w:val="00070D78"/>
    <w:rsid w:val="00070DD2"/>
    <w:rsid w:val="00070E43"/>
    <w:rsid w:val="00071735"/>
    <w:rsid w:val="000728E1"/>
    <w:rsid w:val="00073543"/>
    <w:rsid w:val="00073735"/>
    <w:rsid w:val="00074155"/>
    <w:rsid w:val="000741ED"/>
    <w:rsid w:val="0007420C"/>
    <w:rsid w:val="000747F4"/>
    <w:rsid w:val="000748B1"/>
    <w:rsid w:val="0007494A"/>
    <w:rsid w:val="0007494F"/>
    <w:rsid w:val="00074EBF"/>
    <w:rsid w:val="00074FFE"/>
    <w:rsid w:val="000752EE"/>
    <w:rsid w:val="0007543A"/>
    <w:rsid w:val="00075B00"/>
    <w:rsid w:val="00076234"/>
    <w:rsid w:val="000763F2"/>
    <w:rsid w:val="000767D0"/>
    <w:rsid w:val="00076A0D"/>
    <w:rsid w:val="00077584"/>
    <w:rsid w:val="0007764F"/>
    <w:rsid w:val="000777BC"/>
    <w:rsid w:val="00077939"/>
    <w:rsid w:val="00077CC6"/>
    <w:rsid w:val="00080052"/>
    <w:rsid w:val="0008050F"/>
    <w:rsid w:val="00080E4D"/>
    <w:rsid w:val="00081280"/>
    <w:rsid w:val="00082C1D"/>
    <w:rsid w:val="00082D00"/>
    <w:rsid w:val="00083529"/>
    <w:rsid w:val="00084488"/>
    <w:rsid w:val="000856CF"/>
    <w:rsid w:val="00085EFC"/>
    <w:rsid w:val="0008649F"/>
    <w:rsid w:val="0008663A"/>
    <w:rsid w:val="00086B16"/>
    <w:rsid w:val="00086B2E"/>
    <w:rsid w:val="00086E9E"/>
    <w:rsid w:val="0008730B"/>
    <w:rsid w:val="000876AC"/>
    <w:rsid w:val="00087889"/>
    <w:rsid w:val="00087C6F"/>
    <w:rsid w:val="00090391"/>
    <w:rsid w:val="0009058B"/>
    <w:rsid w:val="000905F5"/>
    <w:rsid w:val="00090745"/>
    <w:rsid w:val="000915A8"/>
    <w:rsid w:val="00091604"/>
    <w:rsid w:val="00091939"/>
    <w:rsid w:val="00092590"/>
    <w:rsid w:val="000926DA"/>
    <w:rsid w:val="0009274B"/>
    <w:rsid w:val="00093798"/>
    <w:rsid w:val="00093D62"/>
    <w:rsid w:val="000944EC"/>
    <w:rsid w:val="0009504B"/>
    <w:rsid w:val="0009650B"/>
    <w:rsid w:val="00096861"/>
    <w:rsid w:val="0009727E"/>
    <w:rsid w:val="000A03A1"/>
    <w:rsid w:val="000A0877"/>
    <w:rsid w:val="000A0A1A"/>
    <w:rsid w:val="000A0EF9"/>
    <w:rsid w:val="000A1A9C"/>
    <w:rsid w:val="000A1C6E"/>
    <w:rsid w:val="000A1DAF"/>
    <w:rsid w:val="000A26AD"/>
    <w:rsid w:val="000A2A19"/>
    <w:rsid w:val="000A2C06"/>
    <w:rsid w:val="000A3465"/>
    <w:rsid w:val="000A38CF"/>
    <w:rsid w:val="000A3BBF"/>
    <w:rsid w:val="000A3BDE"/>
    <w:rsid w:val="000A3EB3"/>
    <w:rsid w:val="000A4541"/>
    <w:rsid w:val="000A501C"/>
    <w:rsid w:val="000A5787"/>
    <w:rsid w:val="000A5894"/>
    <w:rsid w:val="000A5FC4"/>
    <w:rsid w:val="000A6432"/>
    <w:rsid w:val="000A6B4B"/>
    <w:rsid w:val="000A6B9D"/>
    <w:rsid w:val="000A708A"/>
    <w:rsid w:val="000A7469"/>
    <w:rsid w:val="000A752D"/>
    <w:rsid w:val="000A7865"/>
    <w:rsid w:val="000A7A58"/>
    <w:rsid w:val="000B0445"/>
    <w:rsid w:val="000B0537"/>
    <w:rsid w:val="000B0CBF"/>
    <w:rsid w:val="000B0FD4"/>
    <w:rsid w:val="000B116A"/>
    <w:rsid w:val="000B16CB"/>
    <w:rsid w:val="000B20E1"/>
    <w:rsid w:val="000B2869"/>
    <w:rsid w:val="000B2878"/>
    <w:rsid w:val="000B2AC6"/>
    <w:rsid w:val="000B2CC6"/>
    <w:rsid w:val="000B2CC9"/>
    <w:rsid w:val="000B2FC7"/>
    <w:rsid w:val="000B3014"/>
    <w:rsid w:val="000B30B3"/>
    <w:rsid w:val="000B3333"/>
    <w:rsid w:val="000B356C"/>
    <w:rsid w:val="000B45A6"/>
    <w:rsid w:val="000B4E8F"/>
    <w:rsid w:val="000B4F31"/>
    <w:rsid w:val="000B5294"/>
    <w:rsid w:val="000B5496"/>
    <w:rsid w:val="000B593E"/>
    <w:rsid w:val="000B6438"/>
    <w:rsid w:val="000B664E"/>
    <w:rsid w:val="000B6D28"/>
    <w:rsid w:val="000B79F3"/>
    <w:rsid w:val="000B7C6A"/>
    <w:rsid w:val="000B7FB6"/>
    <w:rsid w:val="000C0546"/>
    <w:rsid w:val="000C0954"/>
    <w:rsid w:val="000C0B81"/>
    <w:rsid w:val="000C116D"/>
    <w:rsid w:val="000C1594"/>
    <w:rsid w:val="000C159E"/>
    <w:rsid w:val="000C1937"/>
    <w:rsid w:val="000C1DFF"/>
    <w:rsid w:val="000C220E"/>
    <w:rsid w:val="000C2C88"/>
    <w:rsid w:val="000C303F"/>
    <w:rsid w:val="000C3126"/>
    <w:rsid w:val="000C375D"/>
    <w:rsid w:val="000C566E"/>
    <w:rsid w:val="000C5DC5"/>
    <w:rsid w:val="000C6BB9"/>
    <w:rsid w:val="000C6C59"/>
    <w:rsid w:val="000C6DF8"/>
    <w:rsid w:val="000C7910"/>
    <w:rsid w:val="000C7DAF"/>
    <w:rsid w:val="000D0847"/>
    <w:rsid w:val="000D0A84"/>
    <w:rsid w:val="000D0B44"/>
    <w:rsid w:val="000D0C43"/>
    <w:rsid w:val="000D0E31"/>
    <w:rsid w:val="000D25FC"/>
    <w:rsid w:val="000D29BF"/>
    <w:rsid w:val="000D2C2F"/>
    <w:rsid w:val="000D2E84"/>
    <w:rsid w:val="000D3C82"/>
    <w:rsid w:val="000D3E56"/>
    <w:rsid w:val="000D4C28"/>
    <w:rsid w:val="000D4FC5"/>
    <w:rsid w:val="000D571A"/>
    <w:rsid w:val="000D63BC"/>
    <w:rsid w:val="000D75B7"/>
    <w:rsid w:val="000D76F7"/>
    <w:rsid w:val="000D7F49"/>
    <w:rsid w:val="000E0740"/>
    <w:rsid w:val="000E10A1"/>
    <w:rsid w:val="000E1128"/>
    <w:rsid w:val="000E1A2E"/>
    <w:rsid w:val="000E1BFD"/>
    <w:rsid w:val="000E210E"/>
    <w:rsid w:val="000E27DF"/>
    <w:rsid w:val="000E2B07"/>
    <w:rsid w:val="000E364B"/>
    <w:rsid w:val="000E36D0"/>
    <w:rsid w:val="000E3B26"/>
    <w:rsid w:val="000E3C04"/>
    <w:rsid w:val="000E3D80"/>
    <w:rsid w:val="000E415B"/>
    <w:rsid w:val="000E4CD9"/>
    <w:rsid w:val="000E4E90"/>
    <w:rsid w:val="000E5088"/>
    <w:rsid w:val="000E51C3"/>
    <w:rsid w:val="000E5B94"/>
    <w:rsid w:val="000E632A"/>
    <w:rsid w:val="000E6752"/>
    <w:rsid w:val="000E6902"/>
    <w:rsid w:val="000E6B78"/>
    <w:rsid w:val="000E7241"/>
    <w:rsid w:val="000E732F"/>
    <w:rsid w:val="000E7467"/>
    <w:rsid w:val="000E749D"/>
    <w:rsid w:val="000F0365"/>
    <w:rsid w:val="000F0369"/>
    <w:rsid w:val="000F0883"/>
    <w:rsid w:val="000F0983"/>
    <w:rsid w:val="000F0CF4"/>
    <w:rsid w:val="000F0F73"/>
    <w:rsid w:val="000F11F2"/>
    <w:rsid w:val="000F1566"/>
    <w:rsid w:val="000F1768"/>
    <w:rsid w:val="000F18BB"/>
    <w:rsid w:val="000F18BF"/>
    <w:rsid w:val="000F19DB"/>
    <w:rsid w:val="000F1D27"/>
    <w:rsid w:val="000F1FF8"/>
    <w:rsid w:val="000F2579"/>
    <w:rsid w:val="000F2EC8"/>
    <w:rsid w:val="000F35B6"/>
    <w:rsid w:val="000F404F"/>
    <w:rsid w:val="000F425A"/>
    <w:rsid w:val="000F54FD"/>
    <w:rsid w:val="000F575B"/>
    <w:rsid w:val="000F5A5E"/>
    <w:rsid w:val="000F5DE5"/>
    <w:rsid w:val="000F5E67"/>
    <w:rsid w:val="000F5EC3"/>
    <w:rsid w:val="000F5EE3"/>
    <w:rsid w:val="000F665C"/>
    <w:rsid w:val="000F6B8D"/>
    <w:rsid w:val="000F7524"/>
    <w:rsid w:val="00100520"/>
    <w:rsid w:val="0010063A"/>
    <w:rsid w:val="00100BA7"/>
    <w:rsid w:val="00100D7D"/>
    <w:rsid w:val="00100F32"/>
    <w:rsid w:val="0010111E"/>
    <w:rsid w:val="00101907"/>
    <w:rsid w:val="00101BEE"/>
    <w:rsid w:val="001021AF"/>
    <w:rsid w:val="00102383"/>
    <w:rsid w:val="001023D5"/>
    <w:rsid w:val="001028D4"/>
    <w:rsid w:val="00102E84"/>
    <w:rsid w:val="00105912"/>
    <w:rsid w:val="00105C48"/>
    <w:rsid w:val="001060C7"/>
    <w:rsid w:val="00106C6E"/>
    <w:rsid w:val="001073B4"/>
    <w:rsid w:val="001078C2"/>
    <w:rsid w:val="00107A3D"/>
    <w:rsid w:val="00107CA6"/>
    <w:rsid w:val="001101FA"/>
    <w:rsid w:val="00110291"/>
    <w:rsid w:val="001104EF"/>
    <w:rsid w:val="00111264"/>
    <w:rsid w:val="0011147D"/>
    <w:rsid w:val="001116A3"/>
    <w:rsid w:val="00111A87"/>
    <w:rsid w:val="00111CA7"/>
    <w:rsid w:val="00112060"/>
    <w:rsid w:val="001121C8"/>
    <w:rsid w:val="0011220B"/>
    <w:rsid w:val="001123BD"/>
    <w:rsid w:val="00112A5A"/>
    <w:rsid w:val="00112EE4"/>
    <w:rsid w:val="001134F9"/>
    <w:rsid w:val="00113E0B"/>
    <w:rsid w:val="00114134"/>
    <w:rsid w:val="00114296"/>
    <w:rsid w:val="00114588"/>
    <w:rsid w:val="001149DD"/>
    <w:rsid w:val="00114A12"/>
    <w:rsid w:val="00114C24"/>
    <w:rsid w:val="001150F4"/>
    <w:rsid w:val="001154A3"/>
    <w:rsid w:val="00115750"/>
    <w:rsid w:val="001157D2"/>
    <w:rsid w:val="001161A6"/>
    <w:rsid w:val="0011650E"/>
    <w:rsid w:val="00116AB5"/>
    <w:rsid w:val="00116D83"/>
    <w:rsid w:val="00116E95"/>
    <w:rsid w:val="0011774F"/>
    <w:rsid w:val="001178D9"/>
    <w:rsid w:val="00117906"/>
    <w:rsid w:val="00117A1F"/>
    <w:rsid w:val="001201AD"/>
    <w:rsid w:val="00120CB2"/>
    <w:rsid w:val="0012158C"/>
    <w:rsid w:val="00121731"/>
    <w:rsid w:val="00121A34"/>
    <w:rsid w:val="00122422"/>
    <w:rsid w:val="001225C8"/>
    <w:rsid w:val="0012264B"/>
    <w:rsid w:val="001229D5"/>
    <w:rsid w:val="001235B9"/>
    <w:rsid w:val="00123AEA"/>
    <w:rsid w:val="0012452A"/>
    <w:rsid w:val="0012491D"/>
    <w:rsid w:val="00124A07"/>
    <w:rsid w:val="001250E4"/>
    <w:rsid w:val="00125570"/>
    <w:rsid w:val="001256B5"/>
    <w:rsid w:val="0012582E"/>
    <w:rsid w:val="00125BFA"/>
    <w:rsid w:val="00125EA8"/>
    <w:rsid w:val="001302F9"/>
    <w:rsid w:val="00130A37"/>
    <w:rsid w:val="00130D19"/>
    <w:rsid w:val="0013229F"/>
    <w:rsid w:val="00132546"/>
    <w:rsid w:val="00133377"/>
    <w:rsid w:val="001342BC"/>
    <w:rsid w:val="001345CB"/>
    <w:rsid w:val="00135033"/>
    <w:rsid w:val="00135168"/>
    <w:rsid w:val="0013544C"/>
    <w:rsid w:val="00135E9C"/>
    <w:rsid w:val="00135EC8"/>
    <w:rsid w:val="00135F7A"/>
    <w:rsid w:val="0013675F"/>
    <w:rsid w:val="00136BB5"/>
    <w:rsid w:val="00136D4B"/>
    <w:rsid w:val="0013748C"/>
    <w:rsid w:val="00137685"/>
    <w:rsid w:val="0013792C"/>
    <w:rsid w:val="001379AA"/>
    <w:rsid w:val="001402E6"/>
    <w:rsid w:val="00140509"/>
    <w:rsid w:val="001405C3"/>
    <w:rsid w:val="00140683"/>
    <w:rsid w:val="001411C1"/>
    <w:rsid w:val="001412F4"/>
    <w:rsid w:val="00141474"/>
    <w:rsid w:val="0014170B"/>
    <w:rsid w:val="00141BC3"/>
    <w:rsid w:val="00141C99"/>
    <w:rsid w:val="00142CA3"/>
    <w:rsid w:val="00142FD9"/>
    <w:rsid w:val="001431B6"/>
    <w:rsid w:val="001432DD"/>
    <w:rsid w:val="001433D3"/>
    <w:rsid w:val="00143CBA"/>
    <w:rsid w:val="00144037"/>
    <w:rsid w:val="001441AD"/>
    <w:rsid w:val="0014423B"/>
    <w:rsid w:val="00144246"/>
    <w:rsid w:val="00144306"/>
    <w:rsid w:val="00144355"/>
    <w:rsid w:val="00144940"/>
    <w:rsid w:val="00144CC8"/>
    <w:rsid w:val="00145180"/>
    <w:rsid w:val="001452EE"/>
    <w:rsid w:val="00145680"/>
    <w:rsid w:val="00145BCE"/>
    <w:rsid w:val="00146CAB"/>
    <w:rsid w:val="001476DB"/>
    <w:rsid w:val="00147763"/>
    <w:rsid w:val="00147926"/>
    <w:rsid w:val="00150AEC"/>
    <w:rsid w:val="00150DEA"/>
    <w:rsid w:val="00151307"/>
    <w:rsid w:val="001513CF"/>
    <w:rsid w:val="00151455"/>
    <w:rsid w:val="00151558"/>
    <w:rsid w:val="00151700"/>
    <w:rsid w:val="0015193B"/>
    <w:rsid w:val="00151D4E"/>
    <w:rsid w:val="00151F0F"/>
    <w:rsid w:val="001528BD"/>
    <w:rsid w:val="00152D93"/>
    <w:rsid w:val="0015347C"/>
    <w:rsid w:val="00153E03"/>
    <w:rsid w:val="00154077"/>
    <w:rsid w:val="00154469"/>
    <w:rsid w:val="00154669"/>
    <w:rsid w:val="00154A8B"/>
    <w:rsid w:val="0015512D"/>
    <w:rsid w:val="00155529"/>
    <w:rsid w:val="0015564C"/>
    <w:rsid w:val="00155BB5"/>
    <w:rsid w:val="001562B7"/>
    <w:rsid w:val="00156345"/>
    <w:rsid w:val="00156693"/>
    <w:rsid w:val="00156868"/>
    <w:rsid w:val="00156C1D"/>
    <w:rsid w:val="00156CA3"/>
    <w:rsid w:val="00156DB1"/>
    <w:rsid w:val="00156E0F"/>
    <w:rsid w:val="00156E72"/>
    <w:rsid w:val="0015704E"/>
    <w:rsid w:val="001574DA"/>
    <w:rsid w:val="00157585"/>
    <w:rsid w:val="00157704"/>
    <w:rsid w:val="0015780B"/>
    <w:rsid w:val="00157BC5"/>
    <w:rsid w:val="00157FA1"/>
    <w:rsid w:val="00157FA9"/>
    <w:rsid w:val="0016031A"/>
    <w:rsid w:val="0016074D"/>
    <w:rsid w:val="001608E2"/>
    <w:rsid w:val="00161E36"/>
    <w:rsid w:val="00162058"/>
    <w:rsid w:val="00162AFF"/>
    <w:rsid w:val="00162F63"/>
    <w:rsid w:val="0016306F"/>
    <w:rsid w:val="0016318B"/>
    <w:rsid w:val="00163340"/>
    <w:rsid w:val="00163457"/>
    <w:rsid w:val="00164CA3"/>
    <w:rsid w:val="00164DAB"/>
    <w:rsid w:val="00164E82"/>
    <w:rsid w:val="00164EEF"/>
    <w:rsid w:val="00165155"/>
    <w:rsid w:val="00165CFC"/>
    <w:rsid w:val="00166569"/>
    <w:rsid w:val="00166BBD"/>
    <w:rsid w:val="00166BCA"/>
    <w:rsid w:val="00166D2D"/>
    <w:rsid w:val="00166E16"/>
    <w:rsid w:val="0016799F"/>
    <w:rsid w:val="00167D41"/>
    <w:rsid w:val="00167ECF"/>
    <w:rsid w:val="00167FE1"/>
    <w:rsid w:val="00170512"/>
    <w:rsid w:val="001706F0"/>
    <w:rsid w:val="00170E62"/>
    <w:rsid w:val="0017123B"/>
    <w:rsid w:val="00171550"/>
    <w:rsid w:val="00171649"/>
    <w:rsid w:val="001719C4"/>
    <w:rsid w:val="001723DF"/>
    <w:rsid w:val="00172733"/>
    <w:rsid w:val="00172E01"/>
    <w:rsid w:val="00172F2C"/>
    <w:rsid w:val="00174A09"/>
    <w:rsid w:val="00174D1B"/>
    <w:rsid w:val="00175730"/>
    <w:rsid w:val="00175BE1"/>
    <w:rsid w:val="00175DB3"/>
    <w:rsid w:val="0017604A"/>
    <w:rsid w:val="00176D36"/>
    <w:rsid w:val="0017744B"/>
    <w:rsid w:val="001778E8"/>
    <w:rsid w:val="001801B9"/>
    <w:rsid w:val="00180312"/>
    <w:rsid w:val="0018037A"/>
    <w:rsid w:val="00180643"/>
    <w:rsid w:val="00180B40"/>
    <w:rsid w:val="00181385"/>
    <w:rsid w:val="00181616"/>
    <w:rsid w:val="00181B5E"/>
    <w:rsid w:val="00181F14"/>
    <w:rsid w:val="001825F4"/>
    <w:rsid w:val="00182AAB"/>
    <w:rsid w:val="00182AAE"/>
    <w:rsid w:val="00182F84"/>
    <w:rsid w:val="001833E6"/>
    <w:rsid w:val="00183723"/>
    <w:rsid w:val="00183A6F"/>
    <w:rsid w:val="0018453D"/>
    <w:rsid w:val="0018463A"/>
    <w:rsid w:val="00184AC3"/>
    <w:rsid w:val="00184F32"/>
    <w:rsid w:val="0018620D"/>
    <w:rsid w:val="001866C8"/>
    <w:rsid w:val="00186C16"/>
    <w:rsid w:val="001870EB"/>
    <w:rsid w:val="001874C1"/>
    <w:rsid w:val="00187F94"/>
    <w:rsid w:val="001900E3"/>
    <w:rsid w:val="001901FA"/>
    <w:rsid w:val="001904CC"/>
    <w:rsid w:val="001907AF"/>
    <w:rsid w:val="00190BCF"/>
    <w:rsid w:val="00190C4D"/>
    <w:rsid w:val="00190DB0"/>
    <w:rsid w:val="00190FDD"/>
    <w:rsid w:val="00191269"/>
    <w:rsid w:val="00191DDE"/>
    <w:rsid w:val="00191EDE"/>
    <w:rsid w:val="001920EF"/>
    <w:rsid w:val="001927F0"/>
    <w:rsid w:val="001928EB"/>
    <w:rsid w:val="00192DD3"/>
    <w:rsid w:val="00193650"/>
    <w:rsid w:val="00193859"/>
    <w:rsid w:val="0019434C"/>
    <w:rsid w:val="00194817"/>
    <w:rsid w:val="00194D45"/>
    <w:rsid w:val="00195326"/>
    <w:rsid w:val="001958EE"/>
    <w:rsid w:val="001968E5"/>
    <w:rsid w:val="00196B6A"/>
    <w:rsid w:val="001978C0"/>
    <w:rsid w:val="00197CCF"/>
    <w:rsid w:val="00197D7E"/>
    <w:rsid w:val="001A026C"/>
    <w:rsid w:val="001A048F"/>
    <w:rsid w:val="001A1560"/>
    <w:rsid w:val="001A19E2"/>
    <w:rsid w:val="001A1EA4"/>
    <w:rsid w:val="001A21FF"/>
    <w:rsid w:val="001A29EF"/>
    <w:rsid w:val="001A2DEB"/>
    <w:rsid w:val="001A4273"/>
    <w:rsid w:val="001A4398"/>
    <w:rsid w:val="001A49A6"/>
    <w:rsid w:val="001A57F5"/>
    <w:rsid w:val="001A5836"/>
    <w:rsid w:val="001A6381"/>
    <w:rsid w:val="001A66E4"/>
    <w:rsid w:val="001A7535"/>
    <w:rsid w:val="001A753B"/>
    <w:rsid w:val="001A788B"/>
    <w:rsid w:val="001A7BD5"/>
    <w:rsid w:val="001A7EA5"/>
    <w:rsid w:val="001B005F"/>
    <w:rsid w:val="001B099B"/>
    <w:rsid w:val="001B1134"/>
    <w:rsid w:val="001B145A"/>
    <w:rsid w:val="001B1A61"/>
    <w:rsid w:val="001B1E9A"/>
    <w:rsid w:val="001B24F9"/>
    <w:rsid w:val="001B2C0A"/>
    <w:rsid w:val="001B3443"/>
    <w:rsid w:val="001B3491"/>
    <w:rsid w:val="001B3511"/>
    <w:rsid w:val="001B3608"/>
    <w:rsid w:val="001B37B4"/>
    <w:rsid w:val="001B3A0D"/>
    <w:rsid w:val="001B49C6"/>
    <w:rsid w:val="001B4F5A"/>
    <w:rsid w:val="001B545D"/>
    <w:rsid w:val="001B5A34"/>
    <w:rsid w:val="001B5A9B"/>
    <w:rsid w:val="001B6B91"/>
    <w:rsid w:val="001B6F41"/>
    <w:rsid w:val="001B792C"/>
    <w:rsid w:val="001B79E3"/>
    <w:rsid w:val="001B7E1F"/>
    <w:rsid w:val="001B7FD6"/>
    <w:rsid w:val="001C0996"/>
    <w:rsid w:val="001C1929"/>
    <w:rsid w:val="001C1B99"/>
    <w:rsid w:val="001C2184"/>
    <w:rsid w:val="001C24FC"/>
    <w:rsid w:val="001C37F6"/>
    <w:rsid w:val="001C3943"/>
    <w:rsid w:val="001C48CA"/>
    <w:rsid w:val="001C52B5"/>
    <w:rsid w:val="001C58E1"/>
    <w:rsid w:val="001C59CF"/>
    <w:rsid w:val="001C5AA4"/>
    <w:rsid w:val="001C5CC7"/>
    <w:rsid w:val="001C673C"/>
    <w:rsid w:val="001C69C0"/>
    <w:rsid w:val="001C7C34"/>
    <w:rsid w:val="001C7DE5"/>
    <w:rsid w:val="001D01B4"/>
    <w:rsid w:val="001D024B"/>
    <w:rsid w:val="001D06AA"/>
    <w:rsid w:val="001D0C61"/>
    <w:rsid w:val="001D0E4E"/>
    <w:rsid w:val="001D1859"/>
    <w:rsid w:val="001D1F10"/>
    <w:rsid w:val="001D1FD3"/>
    <w:rsid w:val="001D2D6D"/>
    <w:rsid w:val="001D2FD8"/>
    <w:rsid w:val="001D3205"/>
    <w:rsid w:val="001D3EF9"/>
    <w:rsid w:val="001D4042"/>
    <w:rsid w:val="001D40F5"/>
    <w:rsid w:val="001D4138"/>
    <w:rsid w:val="001D4473"/>
    <w:rsid w:val="001D4C3B"/>
    <w:rsid w:val="001D4DF0"/>
    <w:rsid w:val="001D4F9F"/>
    <w:rsid w:val="001D5193"/>
    <w:rsid w:val="001D52A2"/>
    <w:rsid w:val="001D53D7"/>
    <w:rsid w:val="001D5CD0"/>
    <w:rsid w:val="001D5CDD"/>
    <w:rsid w:val="001D6CD4"/>
    <w:rsid w:val="001D70A6"/>
    <w:rsid w:val="001D7552"/>
    <w:rsid w:val="001D7938"/>
    <w:rsid w:val="001D7B34"/>
    <w:rsid w:val="001E04B3"/>
    <w:rsid w:val="001E053A"/>
    <w:rsid w:val="001E148F"/>
    <w:rsid w:val="001E1E05"/>
    <w:rsid w:val="001E1F05"/>
    <w:rsid w:val="001E2188"/>
    <w:rsid w:val="001E2194"/>
    <w:rsid w:val="001E278F"/>
    <w:rsid w:val="001E2A64"/>
    <w:rsid w:val="001E3264"/>
    <w:rsid w:val="001E3D5C"/>
    <w:rsid w:val="001E41E4"/>
    <w:rsid w:val="001E426B"/>
    <w:rsid w:val="001E439C"/>
    <w:rsid w:val="001E490A"/>
    <w:rsid w:val="001E4A66"/>
    <w:rsid w:val="001E508E"/>
    <w:rsid w:val="001E50D8"/>
    <w:rsid w:val="001E5158"/>
    <w:rsid w:val="001E518C"/>
    <w:rsid w:val="001E52DF"/>
    <w:rsid w:val="001E53F7"/>
    <w:rsid w:val="001E560A"/>
    <w:rsid w:val="001E5754"/>
    <w:rsid w:val="001E5762"/>
    <w:rsid w:val="001E5F8B"/>
    <w:rsid w:val="001E614E"/>
    <w:rsid w:val="001E628C"/>
    <w:rsid w:val="001E6448"/>
    <w:rsid w:val="001E64D8"/>
    <w:rsid w:val="001E6CFD"/>
    <w:rsid w:val="001E7195"/>
    <w:rsid w:val="001E7F9F"/>
    <w:rsid w:val="001F0087"/>
    <w:rsid w:val="001F0362"/>
    <w:rsid w:val="001F03F5"/>
    <w:rsid w:val="001F0668"/>
    <w:rsid w:val="001F1041"/>
    <w:rsid w:val="001F13E5"/>
    <w:rsid w:val="001F1937"/>
    <w:rsid w:val="001F1AE1"/>
    <w:rsid w:val="001F1AE3"/>
    <w:rsid w:val="001F1D71"/>
    <w:rsid w:val="001F1EDB"/>
    <w:rsid w:val="001F1F85"/>
    <w:rsid w:val="001F23A1"/>
    <w:rsid w:val="001F2600"/>
    <w:rsid w:val="001F2725"/>
    <w:rsid w:val="001F2921"/>
    <w:rsid w:val="001F2C1D"/>
    <w:rsid w:val="001F2CC5"/>
    <w:rsid w:val="001F2CEA"/>
    <w:rsid w:val="001F2E83"/>
    <w:rsid w:val="001F367F"/>
    <w:rsid w:val="001F3690"/>
    <w:rsid w:val="001F3953"/>
    <w:rsid w:val="001F3975"/>
    <w:rsid w:val="001F3D9C"/>
    <w:rsid w:val="001F42FF"/>
    <w:rsid w:val="001F44A4"/>
    <w:rsid w:val="001F4EC0"/>
    <w:rsid w:val="001F4F1A"/>
    <w:rsid w:val="001F5C09"/>
    <w:rsid w:val="001F63DC"/>
    <w:rsid w:val="001F6C79"/>
    <w:rsid w:val="001F6CA9"/>
    <w:rsid w:val="001F703E"/>
    <w:rsid w:val="001F70B6"/>
    <w:rsid w:val="001F729A"/>
    <w:rsid w:val="001F73E1"/>
    <w:rsid w:val="001F7541"/>
    <w:rsid w:val="001F7755"/>
    <w:rsid w:val="001F7B2D"/>
    <w:rsid w:val="001F7DEA"/>
    <w:rsid w:val="00201237"/>
    <w:rsid w:val="00201350"/>
    <w:rsid w:val="00201444"/>
    <w:rsid w:val="00201474"/>
    <w:rsid w:val="00201D89"/>
    <w:rsid w:val="00201E34"/>
    <w:rsid w:val="00201FA6"/>
    <w:rsid w:val="002021FD"/>
    <w:rsid w:val="00202569"/>
    <w:rsid w:val="002026FA"/>
    <w:rsid w:val="0020281F"/>
    <w:rsid w:val="00202A25"/>
    <w:rsid w:val="00202BA2"/>
    <w:rsid w:val="00202E8C"/>
    <w:rsid w:val="002030C2"/>
    <w:rsid w:val="00203366"/>
    <w:rsid w:val="00203631"/>
    <w:rsid w:val="002036CC"/>
    <w:rsid w:val="00203912"/>
    <w:rsid w:val="002039A7"/>
    <w:rsid w:val="00203B45"/>
    <w:rsid w:val="00203C5F"/>
    <w:rsid w:val="00204189"/>
    <w:rsid w:val="002041D2"/>
    <w:rsid w:val="00204BA1"/>
    <w:rsid w:val="002053B2"/>
    <w:rsid w:val="002058A9"/>
    <w:rsid w:val="00205A41"/>
    <w:rsid w:val="0020644E"/>
    <w:rsid w:val="00206810"/>
    <w:rsid w:val="00206975"/>
    <w:rsid w:val="00206B73"/>
    <w:rsid w:val="0020715B"/>
    <w:rsid w:val="002111E7"/>
    <w:rsid w:val="0021156F"/>
    <w:rsid w:val="002115DD"/>
    <w:rsid w:val="00211698"/>
    <w:rsid w:val="002116E1"/>
    <w:rsid w:val="00211AD6"/>
    <w:rsid w:val="00211B19"/>
    <w:rsid w:val="00211E9F"/>
    <w:rsid w:val="0021301F"/>
    <w:rsid w:val="00213060"/>
    <w:rsid w:val="002139F9"/>
    <w:rsid w:val="00213AB6"/>
    <w:rsid w:val="00213BE8"/>
    <w:rsid w:val="00213C4B"/>
    <w:rsid w:val="00213FA4"/>
    <w:rsid w:val="00214CA5"/>
    <w:rsid w:val="00215CD1"/>
    <w:rsid w:val="00216213"/>
    <w:rsid w:val="0021628E"/>
    <w:rsid w:val="00217542"/>
    <w:rsid w:val="00217598"/>
    <w:rsid w:val="0021783A"/>
    <w:rsid w:val="00217912"/>
    <w:rsid w:val="00217C51"/>
    <w:rsid w:val="00220443"/>
    <w:rsid w:val="0022049E"/>
    <w:rsid w:val="00220511"/>
    <w:rsid w:val="002205CD"/>
    <w:rsid w:val="00220643"/>
    <w:rsid w:val="0022065E"/>
    <w:rsid w:val="00220A58"/>
    <w:rsid w:val="00220D4F"/>
    <w:rsid w:val="0022204F"/>
    <w:rsid w:val="00222C64"/>
    <w:rsid w:val="002231F5"/>
    <w:rsid w:val="002232AE"/>
    <w:rsid w:val="00223337"/>
    <w:rsid w:val="0022358A"/>
    <w:rsid w:val="00223790"/>
    <w:rsid w:val="00223A19"/>
    <w:rsid w:val="00223C88"/>
    <w:rsid w:val="002255C8"/>
    <w:rsid w:val="002257F3"/>
    <w:rsid w:val="00225BF4"/>
    <w:rsid w:val="00225C71"/>
    <w:rsid w:val="00225CB1"/>
    <w:rsid w:val="00225D47"/>
    <w:rsid w:val="00225F90"/>
    <w:rsid w:val="00226284"/>
    <w:rsid w:val="0022634D"/>
    <w:rsid w:val="00226750"/>
    <w:rsid w:val="0022692E"/>
    <w:rsid w:val="00226A78"/>
    <w:rsid w:val="002271EB"/>
    <w:rsid w:val="00227597"/>
    <w:rsid w:val="00227A4B"/>
    <w:rsid w:val="002300BA"/>
    <w:rsid w:val="00230222"/>
    <w:rsid w:val="002308B1"/>
    <w:rsid w:val="002309B3"/>
    <w:rsid w:val="00230A34"/>
    <w:rsid w:val="002311FA"/>
    <w:rsid w:val="00231621"/>
    <w:rsid w:val="00231D9E"/>
    <w:rsid w:val="00231DFA"/>
    <w:rsid w:val="00231EC2"/>
    <w:rsid w:val="00231F5C"/>
    <w:rsid w:val="00232376"/>
    <w:rsid w:val="00232AA8"/>
    <w:rsid w:val="002332DF"/>
    <w:rsid w:val="00233473"/>
    <w:rsid w:val="002334BA"/>
    <w:rsid w:val="0023359D"/>
    <w:rsid w:val="00233884"/>
    <w:rsid w:val="00233F85"/>
    <w:rsid w:val="00234A39"/>
    <w:rsid w:val="00234A7B"/>
    <w:rsid w:val="00234E0F"/>
    <w:rsid w:val="00235233"/>
    <w:rsid w:val="002356AC"/>
    <w:rsid w:val="00235CF0"/>
    <w:rsid w:val="00236DB6"/>
    <w:rsid w:val="0023714A"/>
    <w:rsid w:val="00237BF7"/>
    <w:rsid w:val="0024022B"/>
    <w:rsid w:val="002405AB"/>
    <w:rsid w:val="0024062A"/>
    <w:rsid w:val="00241C4B"/>
    <w:rsid w:val="002428F3"/>
    <w:rsid w:val="002429D4"/>
    <w:rsid w:val="00242AAD"/>
    <w:rsid w:val="00242D34"/>
    <w:rsid w:val="002430E7"/>
    <w:rsid w:val="0024388A"/>
    <w:rsid w:val="00243BDC"/>
    <w:rsid w:val="00243CEA"/>
    <w:rsid w:val="00243D17"/>
    <w:rsid w:val="002445C3"/>
    <w:rsid w:val="0024498D"/>
    <w:rsid w:val="00244D7B"/>
    <w:rsid w:val="00244E59"/>
    <w:rsid w:val="00244F4B"/>
    <w:rsid w:val="00246131"/>
    <w:rsid w:val="0024673B"/>
    <w:rsid w:val="00246742"/>
    <w:rsid w:val="00246B88"/>
    <w:rsid w:val="00250003"/>
    <w:rsid w:val="002506EF"/>
    <w:rsid w:val="0025229E"/>
    <w:rsid w:val="0025361C"/>
    <w:rsid w:val="00253675"/>
    <w:rsid w:val="00253E2D"/>
    <w:rsid w:val="00253FB3"/>
    <w:rsid w:val="002546AD"/>
    <w:rsid w:val="00255570"/>
    <w:rsid w:val="002556CC"/>
    <w:rsid w:val="00255996"/>
    <w:rsid w:val="0025690B"/>
    <w:rsid w:val="00256B95"/>
    <w:rsid w:val="00257071"/>
    <w:rsid w:val="002575D9"/>
    <w:rsid w:val="002579C0"/>
    <w:rsid w:val="00257D03"/>
    <w:rsid w:val="002600AC"/>
    <w:rsid w:val="0026048C"/>
    <w:rsid w:val="00260659"/>
    <w:rsid w:val="0026085D"/>
    <w:rsid w:val="00260CF2"/>
    <w:rsid w:val="00260E89"/>
    <w:rsid w:val="00261397"/>
    <w:rsid w:val="00261417"/>
    <w:rsid w:val="00261665"/>
    <w:rsid w:val="002618A4"/>
    <w:rsid w:val="002618FB"/>
    <w:rsid w:val="0026190B"/>
    <w:rsid w:val="00261D61"/>
    <w:rsid w:val="00261FBB"/>
    <w:rsid w:val="00262E54"/>
    <w:rsid w:val="0026319A"/>
    <w:rsid w:val="00263892"/>
    <w:rsid w:val="002639CF"/>
    <w:rsid w:val="0026461C"/>
    <w:rsid w:val="00264A40"/>
    <w:rsid w:val="002652B4"/>
    <w:rsid w:val="00265A9E"/>
    <w:rsid w:val="00265BC8"/>
    <w:rsid w:val="002663E6"/>
    <w:rsid w:val="00266712"/>
    <w:rsid w:val="002702C3"/>
    <w:rsid w:val="00270840"/>
    <w:rsid w:val="00270ABF"/>
    <w:rsid w:val="00270E8E"/>
    <w:rsid w:val="002710BA"/>
    <w:rsid w:val="00271D8B"/>
    <w:rsid w:val="00272217"/>
    <w:rsid w:val="0027275F"/>
    <w:rsid w:val="00272F05"/>
    <w:rsid w:val="00273344"/>
    <w:rsid w:val="0027386F"/>
    <w:rsid w:val="002738CF"/>
    <w:rsid w:val="00275187"/>
    <w:rsid w:val="002752FF"/>
    <w:rsid w:val="00275502"/>
    <w:rsid w:val="00275B44"/>
    <w:rsid w:val="002762EE"/>
    <w:rsid w:val="00277536"/>
    <w:rsid w:val="00277671"/>
    <w:rsid w:val="0027797E"/>
    <w:rsid w:val="00277BBA"/>
    <w:rsid w:val="00280CDB"/>
    <w:rsid w:val="0028115B"/>
    <w:rsid w:val="00281922"/>
    <w:rsid w:val="002819F2"/>
    <w:rsid w:val="00282CC8"/>
    <w:rsid w:val="00282CD4"/>
    <w:rsid w:val="00282EE4"/>
    <w:rsid w:val="00282F7A"/>
    <w:rsid w:val="0028365D"/>
    <w:rsid w:val="00283688"/>
    <w:rsid w:val="002837C3"/>
    <w:rsid w:val="002839BB"/>
    <w:rsid w:val="00283C83"/>
    <w:rsid w:val="0028483E"/>
    <w:rsid w:val="00284854"/>
    <w:rsid w:val="00284D61"/>
    <w:rsid w:val="002852E3"/>
    <w:rsid w:val="00285601"/>
    <w:rsid w:val="0028572E"/>
    <w:rsid w:val="002857D8"/>
    <w:rsid w:val="002857F9"/>
    <w:rsid w:val="002858A5"/>
    <w:rsid w:val="00285D5A"/>
    <w:rsid w:val="002862E5"/>
    <w:rsid w:val="00287396"/>
    <w:rsid w:val="002876D9"/>
    <w:rsid w:val="002879A4"/>
    <w:rsid w:val="0029003A"/>
    <w:rsid w:val="00290105"/>
    <w:rsid w:val="00290B60"/>
    <w:rsid w:val="0029125E"/>
    <w:rsid w:val="002919C6"/>
    <w:rsid w:val="002929F0"/>
    <w:rsid w:val="00292D64"/>
    <w:rsid w:val="00293360"/>
    <w:rsid w:val="002936A8"/>
    <w:rsid w:val="0029373E"/>
    <w:rsid w:val="00293847"/>
    <w:rsid w:val="00293B56"/>
    <w:rsid w:val="00293C10"/>
    <w:rsid w:val="002943BA"/>
    <w:rsid w:val="0029478A"/>
    <w:rsid w:val="00294CBC"/>
    <w:rsid w:val="00294F2C"/>
    <w:rsid w:val="00294F3E"/>
    <w:rsid w:val="0029521C"/>
    <w:rsid w:val="00295394"/>
    <w:rsid w:val="00295E57"/>
    <w:rsid w:val="00296031"/>
    <w:rsid w:val="00296099"/>
    <w:rsid w:val="00296827"/>
    <w:rsid w:val="00296CFA"/>
    <w:rsid w:val="00297571"/>
    <w:rsid w:val="002977EF"/>
    <w:rsid w:val="002977F4"/>
    <w:rsid w:val="00297A0E"/>
    <w:rsid w:val="00297D77"/>
    <w:rsid w:val="002A0534"/>
    <w:rsid w:val="002A0833"/>
    <w:rsid w:val="002A0CD7"/>
    <w:rsid w:val="002A1651"/>
    <w:rsid w:val="002A1A32"/>
    <w:rsid w:val="002A1BDF"/>
    <w:rsid w:val="002A204B"/>
    <w:rsid w:val="002A2821"/>
    <w:rsid w:val="002A3758"/>
    <w:rsid w:val="002A377B"/>
    <w:rsid w:val="002A4D35"/>
    <w:rsid w:val="002A4F3A"/>
    <w:rsid w:val="002A5122"/>
    <w:rsid w:val="002A5556"/>
    <w:rsid w:val="002A5826"/>
    <w:rsid w:val="002A5CA1"/>
    <w:rsid w:val="002A623C"/>
    <w:rsid w:val="002A6341"/>
    <w:rsid w:val="002A6774"/>
    <w:rsid w:val="002A6C99"/>
    <w:rsid w:val="002A74C6"/>
    <w:rsid w:val="002A7785"/>
    <w:rsid w:val="002A789C"/>
    <w:rsid w:val="002A7BB1"/>
    <w:rsid w:val="002B004C"/>
    <w:rsid w:val="002B00A8"/>
    <w:rsid w:val="002B038E"/>
    <w:rsid w:val="002B03C6"/>
    <w:rsid w:val="002B09E5"/>
    <w:rsid w:val="002B0AE9"/>
    <w:rsid w:val="002B1433"/>
    <w:rsid w:val="002B181A"/>
    <w:rsid w:val="002B1975"/>
    <w:rsid w:val="002B1BC1"/>
    <w:rsid w:val="002B1ECD"/>
    <w:rsid w:val="002B1EE8"/>
    <w:rsid w:val="002B2240"/>
    <w:rsid w:val="002B226C"/>
    <w:rsid w:val="002B2754"/>
    <w:rsid w:val="002B2E1E"/>
    <w:rsid w:val="002B31BC"/>
    <w:rsid w:val="002B3AA7"/>
    <w:rsid w:val="002B3F54"/>
    <w:rsid w:val="002B40D8"/>
    <w:rsid w:val="002B4708"/>
    <w:rsid w:val="002B47BE"/>
    <w:rsid w:val="002B4F0D"/>
    <w:rsid w:val="002B4F1A"/>
    <w:rsid w:val="002B54E6"/>
    <w:rsid w:val="002B5546"/>
    <w:rsid w:val="002B57C1"/>
    <w:rsid w:val="002B5B2D"/>
    <w:rsid w:val="002B6305"/>
    <w:rsid w:val="002B63A2"/>
    <w:rsid w:val="002B63D3"/>
    <w:rsid w:val="002B7A5B"/>
    <w:rsid w:val="002C0F87"/>
    <w:rsid w:val="002C1390"/>
    <w:rsid w:val="002C15D1"/>
    <w:rsid w:val="002C210F"/>
    <w:rsid w:val="002C2435"/>
    <w:rsid w:val="002C272F"/>
    <w:rsid w:val="002C339B"/>
    <w:rsid w:val="002C3633"/>
    <w:rsid w:val="002C4029"/>
    <w:rsid w:val="002C4C2C"/>
    <w:rsid w:val="002C5056"/>
    <w:rsid w:val="002C5067"/>
    <w:rsid w:val="002C52AE"/>
    <w:rsid w:val="002C5601"/>
    <w:rsid w:val="002C6600"/>
    <w:rsid w:val="002C6733"/>
    <w:rsid w:val="002C6B33"/>
    <w:rsid w:val="002C6F26"/>
    <w:rsid w:val="002C7294"/>
    <w:rsid w:val="002C76DF"/>
    <w:rsid w:val="002C7A71"/>
    <w:rsid w:val="002C7CE3"/>
    <w:rsid w:val="002D0070"/>
    <w:rsid w:val="002D0D4C"/>
    <w:rsid w:val="002D14B0"/>
    <w:rsid w:val="002D15B7"/>
    <w:rsid w:val="002D171F"/>
    <w:rsid w:val="002D1D47"/>
    <w:rsid w:val="002D24F8"/>
    <w:rsid w:val="002D2A9E"/>
    <w:rsid w:val="002D2D05"/>
    <w:rsid w:val="002D2EF1"/>
    <w:rsid w:val="002D3284"/>
    <w:rsid w:val="002D3330"/>
    <w:rsid w:val="002D3487"/>
    <w:rsid w:val="002D39D8"/>
    <w:rsid w:val="002D3A61"/>
    <w:rsid w:val="002D3CEC"/>
    <w:rsid w:val="002D47E0"/>
    <w:rsid w:val="002D4926"/>
    <w:rsid w:val="002D4B39"/>
    <w:rsid w:val="002D506E"/>
    <w:rsid w:val="002D552E"/>
    <w:rsid w:val="002D648D"/>
    <w:rsid w:val="002D6B8C"/>
    <w:rsid w:val="002D78C2"/>
    <w:rsid w:val="002E0F38"/>
    <w:rsid w:val="002E12D7"/>
    <w:rsid w:val="002E1692"/>
    <w:rsid w:val="002E259B"/>
    <w:rsid w:val="002E2766"/>
    <w:rsid w:val="002E2A8E"/>
    <w:rsid w:val="002E2D28"/>
    <w:rsid w:val="002E33CE"/>
    <w:rsid w:val="002E35A0"/>
    <w:rsid w:val="002E40DE"/>
    <w:rsid w:val="002E41B2"/>
    <w:rsid w:val="002E468E"/>
    <w:rsid w:val="002E5A17"/>
    <w:rsid w:val="002E5C13"/>
    <w:rsid w:val="002E5D59"/>
    <w:rsid w:val="002E63FD"/>
    <w:rsid w:val="002E6F30"/>
    <w:rsid w:val="002E7303"/>
    <w:rsid w:val="002E7336"/>
    <w:rsid w:val="002E78D2"/>
    <w:rsid w:val="002E7FCE"/>
    <w:rsid w:val="002F0034"/>
    <w:rsid w:val="002F0252"/>
    <w:rsid w:val="002F12E8"/>
    <w:rsid w:val="002F130B"/>
    <w:rsid w:val="002F18D9"/>
    <w:rsid w:val="002F1B1C"/>
    <w:rsid w:val="002F1D0B"/>
    <w:rsid w:val="002F21C8"/>
    <w:rsid w:val="002F2843"/>
    <w:rsid w:val="002F2BD7"/>
    <w:rsid w:val="002F32F2"/>
    <w:rsid w:val="002F3739"/>
    <w:rsid w:val="002F3B85"/>
    <w:rsid w:val="002F3DFC"/>
    <w:rsid w:val="002F3F6A"/>
    <w:rsid w:val="002F4396"/>
    <w:rsid w:val="002F53A5"/>
    <w:rsid w:val="002F5467"/>
    <w:rsid w:val="002F5AF4"/>
    <w:rsid w:val="002F5BBF"/>
    <w:rsid w:val="002F5EE6"/>
    <w:rsid w:val="002F6028"/>
    <w:rsid w:val="002F6099"/>
    <w:rsid w:val="002F61D6"/>
    <w:rsid w:val="002F61F6"/>
    <w:rsid w:val="002F6293"/>
    <w:rsid w:val="002F69E6"/>
    <w:rsid w:val="002F6C66"/>
    <w:rsid w:val="002F6DF6"/>
    <w:rsid w:val="002F7038"/>
    <w:rsid w:val="002F712C"/>
    <w:rsid w:val="002F747F"/>
    <w:rsid w:val="002F74A1"/>
    <w:rsid w:val="002F761E"/>
    <w:rsid w:val="002F7687"/>
    <w:rsid w:val="002F7A5F"/>
    <w:rsid w:val="003005D5"/>
    <w:rsid w:val="00300E1A"/>
    <w:rsid w:val="00300FF1"/>
    <w:rsid w:val="00301C9C"/>
    <w:rsid w:val="00301F0A"/>
    <w:rsid w:val="00302610"/>
    <w:rsid w:val="003027FB"/>
    <w:rsid w:val="00302882"/>
    <w:rsid w:val="003028F5"/>
    <w:rsid w:val="003029A3"/>
    <w:rsid w:val="00302ADE"/>
    <w:rsid w:val="00303195"/>
    <w:rsid w:val="00303BA4"/>
    <w:rsid w:val="00303F98"/>
    <w:rsid w:val="003046BD"/>
    <w:rsid w:val="00305C47"/>
    <w:rsid w:val="00305DD2"/>
    <w:rsid w:val="0030601C"/>
    <w:rsid w:val="003068A9"/>
    <w:rsid w:val="00306A07"/>
    <w:rsid w:val="00306F96"/>
    <w:rsid w:val="00307290"/>
    <w:rsid w:val="00307BE4"/>
    <w:rsid w:val="00307E68"/>
    <w:rsid w:val="00310997"/>
    <w:rsid w:val="00310BDB"/>
    <w:rsid w:val="00310E76"/>
    <w:rsid w:val="003111FB"/>
    <w:rsid w:val="0031125D"/>
    <w:rsid w:val="00311564"/>
    <w:rsid w:val="00311AFB"/>
    <w:rsid w:val="00311C03"/>
    <w:rsid w:val="00311C21"/>
    <w:rsid w:val="00311C99"/>
    <w:rsid w:val="00312539"/>
    <w:rsid w:val="0031289B"/>
    <w:rsid w:val="003129A1"/>
    <w:rsid w:val="00312A26"/>
    <w:rsid w:val="003130B2"/>
    <w:rsid w:val="0031335E"/>
    <w:rsid w:val="003137D0"/>
    <w:rsid w:val="003153DA"/>
    <w:rsid w:val="003153E8"/>
    <w:rsid w:val="003158BB"/>
    <w:rsid w:val="00315D89"/>
    <w:rsid w:val="003162F6"/>
    <w:rsid w:val="003163A6"/>
    <w:rsid w:val="003163B7"/>
    <w:rsid w:val="003168E2"/>
    <w:rsid w:val="00317644"/>
    <w:rsid w:val="003201E0"/>
    <w:rsid w:val="00320431"/>
    <w:rsid w:val="00320917"/>
    <w:rsid w:val="00320A53"/>
    <w:rsid w:val="00320BF5"/>
    <w:rsid w:val="00320E1A"/>
    <w:rsid w:val="003226DE"/>
    <w:rsid w:val="00322B28"/>
    <w:rsid w:val="00323591"/>
    <w:rsid w:val="00323A05"/>
    <w:rsid w:val="00323A5F"/>
    <w:rsid w:val="00324342"/>
    <w:rsid w:val="00324771"/>
    <w:rsid w:val="00324AE3"/>
    <w:rsid w:val="00325A53"/>
    <w:rsid w:val="00325E21"/>
    <w:rsid w:val="003261EA"/>
    <w:rsid w:val="00326B68"/>
    <w:rsid w:val="00326CFA"/>
    <w:rsid w:val="00327088"/>
    <w:rsid w:val="0032733C"/>
    <w:rsid w:val="0032766E"/>
    <w:rsid w:val="003277A2"/>
    <w:rsid w:val="003278F8"/>
    <w:rsid w:val="00330071"/>
    <w:rsid w:val="00330094"/>
    <w:rsid w:val="00330624"/>
    <w:rsid w:val="0033119B"/>
    <w:rsid w:val="00331BE3"/>
    <w:rsid w:val="00332E5A"/>
    <w:rsid w:val="00332E89"/>
    <w:rsid w:val="003330E3"/>
    <w:rsid w:val="0033353D"/>
    <w:rsid w:val="00333962"/>
    <w:rsid w:val="003348CD"/>
    <w:rsid w:val="00335271"/>
    <w:rsid w:val="003359B5"/>
    <w:rsid w:val="00335E61"/>
    <w:rsid w:val="0033638B"/>
    <w:rsid w:val="0033652A"/>
    <w:rsid w:val="003365BC"/>
    <w:rsid w:val="00336796"/>
    <w:rsid w:val="00336E04"/>
    <w:rsid w:val="00337CF1"/>
    <w:rsid w:val="00337E7B"/>
    <w:rsid w:val="0034074F"/>
    <w:rsid w:val="00340D56"/>
    <w:rsid w:val="00340FC6"/>
    <w:rsid w:val="003422A4"/>
    <w:rsid w:val="003423FA"/>
    <w:rsid w:val="003432E9"/>
    <w:rsid w:val="003432FD"/>
    <w:rsid w:val="0034366D"/>
    <w:rsid w:val="00343B22"/>
    <w:rsid w:val="00343EEC"/>
    <w:rsid w:val="00343F09"/>
    <w:rsid w:val="003440F8"/>
    <w:rsid w:val="003441A7"/>
    <w:rsid w:val="00344420"/>
    <w:rsid w:val="00344F75"/>
    <w:rsid w:val="00345C64"/>
    <w:rsid w:val="00346086"/>
    <w:rsid w:val="0034692E"/>
    <w:rsid w:val="00346A8F"/>
    <w:rsid w:val="003471D7"/>
    <w:rsid w:val="0034787E"/>
    <w:rsid w:val="00347B2B"/>
    <w:rsid w:val="0035028C"/>
    <w:rsid w:val="003504C9"/>
    <w:rsid w:val="003508AA"/>
    <w:rsid w:val="00350A0E"/>
    <w:rsid w:val="00350C66"/>
    <w:rsid w:val="00350D29"/>
    <w:rsid w:val="00351330"/>
    <w:rsid w:val="003513A3"/>
    <w:rsid w:val="003527B5"/>
    <w:rsid w:val="00352A9D"/>
    <w:rsid w:val="00352CE7"/>
    <w:rsid w:val="0035482C"/>
    <w:rsid w:val="00354C8B"/>
    <w:rsid w:val="00354C9D"/>
    <w:rsid w:val="00354EC3"/>
    <w:rsid w:val="00355105"/>
    <w:rsid w:val="003551BA"/>
    <w:rsid w:val="003558BB"/>
    <w:rsid w:val="00355F18"/>
    <w:rsid w:val="003562C2"/>
    <w:rsid w:val="003566C0"/>
    <w:rsid w:val="00356938"/>
    <w:rsid w:val="003570F5"/>
    <w:rsid w:val="00357A37"/>
    <w:rsid w:val="00357A75"/>
    <w:rsid w:val="00360D29"/>
    <w:rsid w:val="00360F4C"/>
    <w:rsid w:val="0036114B"/>
    <w:rsid w:val="003615AF"/>
    <w:rsid w:val="00361AF0"/>
    <w:rsid w:val="00361EC3"/>
    <w:rsid w:val="00362538"/>
    <w:rsid w:val="00363742"/>
    <w:rsid w:val="003649CD"/>
    <w:rsid w:val="00364BF6"/>
    <w:rsid w:val="00364D7D"/>
    <w:rsid w:val="00365436"/>
    <w:rsid w:val="00366098"/>
    <w:rsid w:val="00366A1F"/>
    <w:rsid w:val="00367323"/>
    <w:rsid w:val="00367A5C"/>
    <w:rsid w:val="00371031"/>
    <w:rsid w:val="00371034"/>
    <w:rsid w:val="00371A78"/>
    <w:rsid w:val="00371DBF"/>
    <w:rsid w:val="003720AE"/>
    <w:rsid w:val="003721DE"/>
    <w:rsid w:val="0037230B"/>
    <w:rsid w:val="0037298A"/>
    <w:rsid w:val="003730F1"/>
    <w:rsid w:val="00373102"/>
    <w:rsid w:val="003731CE"/>
    <w:rsid w:val="00373344"/>
    <w:rsid w:val="0037346F"/>
    <w:rsid w:val="00373AF6"/>
    <w:rsid w:val="00373B1A"/>
    <w:rsid w:val="003745D8"/>
    <w:rsid w:val="003749B2"/>
    <w:rsid w:val="003749CF"/>
    <w:rsid w:val="00374CA2"/>
    <w:rsid w:val="00374EE6"/>
    <w:rsid w:val="003753F2"/>
    <w:rsid w:val="0037546B"/>
    <w:rsid w:val="0037554E"/>
    <w:rsid w:val="003759BC"/>
    <w:rsid w:val="00375F6F"/>
    <w:rsid w:val="003760A6"/>
    <w:rsid w:val="003760EA"/>
    <w:rsid w:val="00376323"/>
    <w:rsid w:val="00377129"/>
    <w:rsid w:val="0037736B"/>
    <w:rsid w:val="00377778"/>
    <w:rsid w:val="00377CC9"/>
    <w:rsid w:val="00377EF6"/>
    <w:rsid w:val="003803E3"/>
    <w:rsid w:val="00380AF6"/>
    <w:rsid w:val="00381413"/>
    <w:rsid w:val="0038193E"/>
    <w:rsid w:val="00382596"/>
    <w:rsid w:val="003827AC"/>
    <w:rsid w:val="00382FFC"/>
    <w:rsid w:val="00383772"/>
    <w:rsid w:val="003839B5"/>
    <w:rsid w:val="00383F5A"/>
    <w:rsid w:val="0038446D"/>
    <w:rsid w:val="00384845"/>
    <w:rsid w:val="0038598E"/>
    <w:rsid w:val="00385A65"/>
    <w:rsid w:val="0038628F"/>
    <w:rsid w:val="0038682F"/>
    <w:rsid w:val="00386880"/>
    <w:rsid w:val="00386943"/>
    <w:rsid w:val="003869AF"/>
    <w:rsid w:val="00386A80"/>
    <w:rsid w:val="00386CA0"/>
    <w:rsid w:val="00387089"/>
    <w:rsid w:val="003871C1"/>
    <w:rsid w:val="003873CF"/>
    <w:rsid w:val="0038761B"/>
    <w:rsid w:val="00387EF6"/>
    <w:rsid w:val="00387FDF"/>
    <w:rsid w:val="003902ED"/>
    <w:rsid w:val="00391278"/>
    <w:rsid w:val="00391718"/>
    <w:rsid w:val="00391A54"/>
    <w:rsid w:val="003921F7"/>
    <w:rsid w:val="003924FC"/>
    <w:rsid w:val="0039280E"/>
    <w:rsid w:val="00392874"/>
    <w:rsid w:val="0039292F"/>
    <w:rsid w:val="00392BB5"/>
    <w:rsid w:val="00393CDC"/>
    <w:rsid w:val="00393D20"/>
    <w:rsid w:val="00393EDC"/>
    <w:rsid w:val="0039413C"/>
    <w:rsid w:val="0039422C"/>
    <w:rsid w:val="003943AB"/>
    <w:rsid w:val="00394807"/>
    <w:rsid w:val="00394F9D"/>
    <w:rsid w:val="00395567"/>
    <w:rsid w:val="00395616"/>
    <w:rsid w:val="00395750"/>
    <w:rsid w:val="00395E32"/>
    <w:rsid w:val="003960FA"/>
    <w:rsid w:val="003963ED"/>
    <w:rsid w:val="00396D71"/>
    <w:rsid w:val="00396DA0"/>
    <w:rsid w:val="00396F46"/>
    <w:rsid w:val="00396FDD"/>
    <w:rsid w:val="00397230"/>
    <w:rsid w:val="0039793F"/>
    <w:rsid w:val="00397C5D"/>
    <w:rsid w:val="003A07BE"/>
    <w:rsid w:val="003A08F4"/>
    <w:rsid w:val="003A0FF1"/>
    <w:rsid w:val="003A135E"/>
    <w:rsid w:val="003A188C"/>
    <w:rsid w:val="003A24FE"/>
    <w:rsid w:val="003A251A"/>
    <w:rsid w:val="003A32E1"/>
    <w:rsid w:val="003A3C08"/>
    <w:rsid w:val="003A40DA"/>
    <w:rsid w:val="003A460D"/>
    <w:rsid w:val="003A507A"/>
    <w:rsid w:val="003A51C0"/>
    <w:rsid w:val="003A5227"/>
    <w:rsid w:val="003A5331"/>
    <w:rsid w:val="003A567D"/>
    <w:rsid w:val="003A57F9"/>
    <w:rsid w:val="003A5D93"/>
    <w:rsid w:val="003A636B"/>
    <w:rsid w:val="003A72F6"/>
    <w:rsid w:val="003A7C06"/>
    <w:rsid w:val="003B02EA"/>
    <w:rsid w:val="003B05CD"/>
    <w:rsid w:val="003B1C85"/>
    <w:rsid w:val="003B1EBB"/>
    <w:rsid w:val="003B1F2E"/>
    <w:rsid w:val="003B2084"/>
    <w:rsid w:val="003B23F9"/>
    <w:rsid w:val="003B2643"/>
    <w:rsid w:val="003B2D24"/>
    <w:rsid w:val="003B33B5"/>
    <w:rsid w:val="003B3571"/>
    <w:rsid w:val="003B362D"/>
    <w:rsid w:val="003B3BEA"/>
    <w:rsid w:val="003B477D"/>
    <w:rsid w:val="003B481E"/>
    <w:rsid w:val="003B4B25"/>
    <w:rsid w:val="003B4B74"/>
    <w:rsid w:val="003B4DA9"/>
    <w:rsid w:val="003B4FB2"/>
    <w:rsid w:val="003B5A8D"/>
    <w:rsid w:val="003B5EC9"/>
    <w:rsid w:val="003B5F3C"/>
    <w:rsid w:val="003B6B8B"/>
    <w:rsid w:val="003B70E6"/>
    <w:rsid w:val="003B7366"/>
    <w:rsid w:val="003B7A0C"/>
    <w:rsid w:val="003C0036"/>
    <w:rsid w:val="003C0049"/>
    <w:rsid w:val="003C06D2"/>
    <w:rsid w:val="003C1038"/>
    <w:rsid w:val="003C1BD9"/>
    <w:rsid w:val="003C1C56"/>
    <w:rsid w:val="003C1CDD"/>
    <w:rsid w:val="003C1EEF"/>
    <w:rsid w:val="003C2BF1"/>
    <w:rsid w:val="003C3E31"/>
    <w:rsid w:val="003C3E7E"/>
    <w:rsid w:val="003C3FE1"/>
    <w:rsid w:val="003C4BD3"/>
    <w:rsid w:val="003C5792"/>
    <w:rsid w:val="003C5E06"/>
    <w:rsid w:val="003C5E37"/>
    <w:rsid w:val="003C61EF"/>
    <w:rsid w:val="003C61FE"/>
    <w:rsid w:val="003C6251"/>
    <w:rsid w:val="003C6986"/>
    <w:rsid w:val="003C6A56"/>
    <w:rsid w:val="003C6B80"/>
    <w:rsid w:val="003C6DBA"/>
    <w:rsid w:val="003C716C"/>
    <w:rsid w:val="003C7430"/>
    <w:rsid w:val="003C7E7D"/>
    <w:rsid w:val="003C7FBB"/>
    <w:rsid w:val="003D05D9"/>
    <w:rsid w:val="003D0B03"/>
    <w:rsid w:val="003D0E11"/>
    <w:rsid w:val="003D114A"/>
    <w:rsid w:val="003D1781"/>
    <w:rsid w:val="003D17FA"/>
    <w:rsid w:val="003D19EA"/>
    <w:rsid w:val="003D1BFD"/>
    <w:rsid w:val="003D22C1"/>
    <w:rsid w:val="003D280F"/>
    <w:rsid w:val="003D2AD7"/>
    <w:rsid w:val="003D3E3A"/>
    <w:rsid w:val="003D3EEB"/>
    <w:rsid w:val="003D3F32"/>
    <w:rsid w:val="003D3F47"/>
    <w:rsid w:val="003D41DF"/>
    <w:rsid w:val="003D44C4"/>
    <w:rsid w:val="003D450D"/>
    <w:rsid w:val="003D5430"/>
    <w:rsid w:val="003D54F7"/>
    <w:rsid w:val="003D55A3"/>
    <w:rsid w:val="003D56C2"/>
    <w:rsid w:val="003D5C62"/>
    <w:rsid w:val="003D5F78"/>
    <w:rsid w:val="003D66B1"/>
    <w:rsid w:val="003D66FA"/>
    <w:rsid w:val="003D67C4"/>
    <w:rsid w:val="003D681B"/>
    <w:rsid w:val="003D724B"/>
    <w:rsid w:val="003D759B"/>
    <w:rsid w:val="003D76D4"/>
    <w:rsid w:val="003D7E1B"/>
    <w:rsid w:val="003E00AA"/>
    <w:rsid w:val="003E052E"/>
    <w:rsid w:val="003E088E"/>
    <w:rsid w:val="003E09A8"/>
    <w:rsid w:val="003E0BEF"/>
    <w:rsid w:val="003E0D4A"/>
    <w:rsid w:val="003E1771"/>
    <w:rsid w:val="003E1966"/>
    <w:rsid w:val="003E19FE"/>
    <w:rsid w:val="003E1A98"/>
    <w:rsid w:val="003E2A04"/>
    <w:rsid w:val="003E2B89"/>
    <w:rsid w:val="003E2E3A"/>
    <w:rsid w:val="003E35D4"/>
    <w:rsid w:val="003E465E"/>
    <w:rsid w:val="003E4C0D"/>
    <w:rsid w:val="003E57EC"/>
    <w:rsid w:val="003E5F9B"/>
    <w:rsid w:val="003E620A"/>
    <w:rsid w:val="003E6454"/>
    <w:rsid w:val="003E6CBE"/>
    <w:rsid w:val="003E6DA2"/>
    <w:rsid w:val="003E718C"/>
    <w:rsid w:val="003E7A1F"/>
    <w:rsid w:val="003E7B31"/>
    <w:rsid w:val="003E7BBA"/>
    <w:rsid w:val="003F0163"/>
    <w:rsid w:val="003F0436"/>
    <w:rsid w:val="003F0646"/>
    <w:rsid w:val="003F0B35"/>
    <w:rsid w:val="003F0EF9"/>
    <w:rsid w:val="003F1DC1"/>
    <w:rsid w:val="003F20AB"/>
    <w:rsid w:val="003F2B36"/>
    <w:rsid w:val="003F33A0"/>
    <w:rsid w:val="003F3527"/>
    <w:rsid w:val="003F3607"/>
    <w:rsid w:val="003F49E2"/>
    <w:rsid w:val="003F4A76"/>
    <w:rsid w:val="003F4D4E"/>
    <w:rsid w:val="003F4E16"/>
    <w:rsid w:val="003F5415"/>
    <w:rsid w:val="003F5738"/>
    <w:rsid w:val="003F6236"/>
    <w:rsid w:val="003F6741"/>
    <w:rsid w:val="003F6C34"/>
    <w:rsid w:val="003F6DDF"/>
    <w:rsid w:val="003F7F5A"/>
    <w:rsid w:val="004000EE"/>
    <w:rsid w:val="0040012F"/>
    <w:rsid w:val="004001F3"/>
    <w:rsid w:val="00400479"/>
    <w:rsid w:val="00400556"/>
    <w:rsid w:val="00400685"/>
    <w:rsid w:val="004012DA"/>
    <w:rsid w:val="0040144E"/>
    <w:rsid w:val="00401C50"/>
    <w:rsid w:val="00401FE1"/>
    <w:rsid w:val="00402064"/>
    <w:rsid w:val="00402121"/>
    <w:rsid w:val="004026FE"/>
    <w:rsid w:val="00402738"/>
    <w:rsid w:val="00402DA3"/>
    <w:rsid w:val="00402DC6"/>
    <w:rsid w:val="00403043"/>
    <w:rsid w:val="00403AD6"/>
    <w:rsid w:val="00404025"/>
    <w:rsid w:val="0040489C"/>
    <w:rsid w:val="00406400"/>
    <w:rsid w:val="0040666A"/>
    <w:rsid w:val="004067AA"/>
    <w:rsid w:val="00406993"/>
    <w:rsid w:val="00406B50"/>
    <w:rsid w:val="00406D3F"/>
    <w:rsid w:val="00407398"/>
    <w:rsid w:val="00407782"/>
    <w:rsid w:val="00407A5F"/>
    <w:rsid w:val="00407C07"/>
    <w:rsid w:val="0041000A"/>
    <w:rsid w:val="00410385"/>
    <w:rsid w:val="00410794"/>
    <w:rsid w:val="00410B5F"/>
    <w:rsid w:val="00410C2F"/>
    <w:rsid w:val="0041170E"/>
    <w:rsid w:val="00411AE8"/>
    <w:rsid w:val="00411B55"/>
    <w:rsid w:val="00411B6C"/>
    <w:rsid w:val="004120DF"/>
    <w:rsid w:val="004128F7"/>
    <w:rsid w:val="00412A53"/>
    <w:rsid w:val="00412F79"/>
    <w:rsid w:val="0041328E"/>
    <w:rsid w:val="00413529"/>
    <w:rsid w:val="004139BD"/>
    <w:rsid w:val="00413B62"/>
    <w:rsid w:val="00413CCC"/>
    <w:rsid w:val="0041405C"/>
    <w:rsid w:val="0041447F"/>
    <w:rsid w:val="00414486"/>
    <w:rsid w:val="0041461D"/>
    <w:rsid w:val="0041481C"/>
    <w:rsid w:val="00414936"/>
    <w:rsid w:val="0041524B"/>
    <w:rsid w:val="004156CA"/>
    <w:rsid w:val="00415AAC"/>
    <w:rsid w:val="00415CDB"/>
    <w:rsid w:val="00415DB4"/>
    <w:rsid w:val="00416CA8"/>
    <w:rsid w:val="00416EBA"/>
    <w:rsid w:val="0041758A"/>
    <w:rsid w:val="00417B15"/>
    <w:rsid w:val="00420654"/>
    <w:rsid w:val="00420EF3"/>
    <w:rsid w:val="004210A5"/>
    <w:rsid w:val="004210B0"/>
    <w:rsid w:val="00421E1F"/>
    <w:rsid w:val="00422307"/>
    <w:rsid w:val="00422F27"/>
    <w:rsid w:val="004233DF"/>
    <w:rsid w:val="00423D45"/>
    <w:rsid w:val="004248B1"/>
    <w:rsid w:val="00424BEA"/>
    <w:rsid w:val="00424D2F"/>
    <w:rsid w:val="00424E93"/>
    <w:rsid w:val="00425290"/>
    <w:rsid w:val="00425DEC"/>
    <w:rsid w:val="00425F43"/>
    <w:rsid w:val="00426953"/>
    <w:rsid w:val="00426AFB"/>
    <w:rsid w:val="00426E38"/>
    <w:rsid w:val="00426E59"/>
    <w:rsid w:val="004273AC"/>
    <w:rsid w:val="00427548"/>
    <w:rsid w:val="004301BF"/>
    <w:rsid w:val="0043080C"/>
    <w:rsid w:val="004308CC"/>
    <w:rsid w:val="00431584"/>
    <w:rsid w:val="00431622"/>
    <w:rsid w:val="00431A57"/>
    <w:rsid w:val="00431C06"/>
    <w:rsid w:val="00431E50"/>
    <w:rsid w:val="00432674"/>
    <w:rsid w:val="00432D5C"/>
    <w:rsid w:val="00432DB4"/>
    <w:rsid w:val="00432E57"/>
    <w:rsid w:val="004335AD"/>
    <w:rsid w:val="004335D4"/>
    <w:rsid w:val="00433C15"/>
    <w:rsid w:val="004341D9"/>
    <w:rsid w:val="00434348"/>
    <w:rsid w:val="00434654"/>
    <w:rsid w:val="004346C0"/>
    <w:rsid w:val="0043495F"/>
    <w:rsid w:val="00434C58"/>
    <w:rsid w:val="00434E51"/>
    <w:rsid w:val="004352A7"/>
    <w:rsid w:val="00435A5C"/>
    <w:rsid w:val="00435CD1"/>
    <w:rsid w:val="00435F77"/>
    <w:rsid w:val="004367C0"/>
    <w:rsid w:val="00436F47"/>
    <w:rsid w:val="00437588"/>
    <w:rsid w:val="004379A6"/>
    <w:rsid w:val="00437A39"/>
    <w:rsid w:val="00437B84"/>
    <w:rsid w:val="00437BAC"/>
    <w:rsid w:val="00437BF6"/>
    <w:rsid w:val="00437E87"/>
    <w:rsid w:val="00440BC4"/>
    <w:rsid w:val="00440C17"/>
    <w:rsid w:val="00440F4A"/>
    <w:rsid w:val="004411D0"/>
    <w:rsid w:val="00441375"/>
    <w:rsid w:val="00441A45"/>
    <w:rsid w:val="00442A3C"/>
    <w:rsid w:val="00442ABF"/>
    <w:rsid w:val="004439F1"/>
    <w:rsid w:val="00443C89"/>
    <w:rsid w:val="00443E5F"/>
    <w:rsid w:val="004451F3"/>
    <w:rsid w:val="004452FC"/>
    <w:rsid w:val="004459F0"/>
    <w:rsid w:val="00446CC2"/>
    <w:rsid w:val="00446DC1"/>
    <w:rsid w:val="0044754E"/>
    <w:rsid w:val="00450312"/>
    <w:rsid w:val="0045055B"/>
    <w:rsid w:val="004509CE"/>
    <w:rsid w:val="004509D6"/>
    <w:rsid w:val="00450D87"/>
    <w:rsid w:val="00450F88"/>
    <w:rsid w:val="004519F0"/>
    <w:rsid w:val="0045281E"/>
    <w:rsid w:val="00453042"/>
    <w:rsid w:val="004532C0"/>
    <w:rsid w:val="00453B29"/>
    <w:rsid w:val="00453C43"/>
    <w:rsid w:val="00453E60"/>
    <w:rsid w:val="00453F2C"/>
    <w:rsid w:val="00453F72"/>
    <w:rsid w:val="00454504"/>
    <w:rsid w:val="004549A0"/>
    <w:rsid w:val="00454C37"/>
    <w:rsid w:val="00454C50"/>
    <w:rsid w:val="00455036"/>
    <w:rsid w:val="00455185"/>
    <w:rsid w:val="0045599D"/>
    <w:rsid w:val="00455C77"/>
    <w:rsid w:val="00455EBE"/>
    <w:rsid w:val="00455F3C"/>
    <w:rsid w:val="00456155"/>
    <w:rsid w:val="004568E4"/>
    <w:rsid w:val="0045694D"/>
    <w:rsid w:val="004569C9"/>
    <w:rsid w:val="00457E35"/>
    <w:rsid w:val="00457F72"/>
    <w:rsid w:val="00457F91"/>
    <w:rsid w:val="0046006B"/>
    <w:rsid w:val="00461383"/>
    <w:rsid w:val="00461941"/>
    <w:rsid w:val="00461D18"/>
    <w:rsid w:val="004628E3"/>
    <w:rsid w:val="00462938"/>
    <w:rsid w:val="0046297B"/>
    <w:rsid w:val="00463B02"/>
    <w:rsid w:val="00463C67"/>
    <w:rsid w:val="00464E2F"/>
    <w:rsid w:val="00465489"/>
    <w:rsid w:val="00465755"/>
    <w:rsid w:val="00465A14"/>
    <w:rsid w:val="00465C84"/>
    <w:rsid w:val="00466886"/>
    <w:rsid w:val="00466C13"/>
    <w:rsid w:val="00466EEF"/>
    <w:rsid w:val="00466F2E"/>
    <w:rsid w:val="00467D62"/>
    <w:rsid w:val="00470037"/>
    <w:rsid w:val="00470FE0"/>
    <w:rsid w:val="00471091"/>
    <w:rsid w:val="004717F6"/>
    <w:rsid w:val="004719C2"/>
    <w:rsid w:val="00471F9E"/>
    <w:rsid w:val="004729B5"/>
    <w:rsid w:val="00472A6D"/>
    <w:rsid w:val="00472B68"/>
    <w:rsid w:val="00472CBA"/>
    <w:rsid w:val="00472E9B"/>
    <w:rsid w:val="00473391"/>
    <w:rsid w:val="00473489"/>
    <w:rsid w:val="00473BC9"/>
    <w:rsid w:val="00475495"/>
    <w:rsid w:val="004754C4"/>
    <w:rsid w:val="004761CF"/>
    <w:rsid w:val="004761D9"/>
    <w:rsid w:val="0047675C"/>
    <w:rsid w:val="00476CD4"/>
    <w:rsid w:val="00477754"/>
    <w:rsid w:val="0047794C"/>
    <w:rsid w:val="00477AF0"/>
    <w:rsid w:val="00480150"/>
    <w:rsid w:val="0048058E"/>
    <w:rsid w:val="00480971"/>
    <w:rsid w:val="00480F42"/>
    <w:rsid w:val="00481372"/>
    <w:rsid w:val="004818C0"/>
    <w:rsid w:val="004820C6"/>
    <w:rsid w:val="004821E3"/>
    <w:rsid w:val="00482527"/>
    <w:rsid w:val="00482934"/>
    <w:rsid w:val="004829A6"/>
    <w:rsid w:val="004829DF"/>
    <w:rsid w:val="00482C50"/>
    <w:rsid w:val="004838B5"/>
    <w:rsid w:val="004839A6"/>
    <w:rsid w:val="0048424F"/>
    <w:rsid w:val="00484B1A"/>
    <w:rsid w:val="00485549"/>
    <w:rsid w:val="0048624E"/>
    <w:rsid w:val="0048665A"/>
    <w:rsid w:val="00486695"/>
    <w:rsid w:val="00487534"/>
    <w:rsid w:val="00487A01"/>
    <w:rsid w:val="00487B90"/>
    <w:rsid w:val="00487FC9"/>
    <w:rsid w:val="00490209"/>
    <w:rsid w:val="0049023B"/>
    <w:rsid w:val="004908CB"/>
    <w:rsid w:val="00490C16"/>
    <w:rsid w:val="00490FDD"/>
    <w:rsid w:val="004912DF"/>
    <w:rsid w:val="004914A5"/>
    <w:rsid w:val="00491555"/>
    <w:rsid w:val="0049184D"/>
    <w:rsid w:val="00492662"/>
    <w:rsid w:val="00492AB3"/>
    <w:rsid w:val="0049310A"/>
    <w:rsid w:val="00493344"/>
    <w:rsid w:val="00493619"/>
    <w:rsid w:val="004939A1"/>
    <w:rsid w:val="00493DA6"/>
    <w:rsid w:val="00493F6C"/>
    <w:rsid w:val="0049412C"/>
    <w:rsid w:val="00494918"/>
    <w:rsid w:val="00494CE4"/>
    <w:rsid w:val="00494ECF"/>
    <w:rsid w:val="004954D1"/>
    <w:rsid w:val="00495A00"/>
    <w:rsid w:val="00495EA1"/>
    <w:rsid w:val="0049626A"/>
    <w:rsid w:val="004965C6"/>
    <w:rsid w:val="0049668B"/>
    <w:rsid w:val="004979E1"/>
    <w:rsid w:val="00497D1E"/>
    <w:rsid w:val="00497DE0"/>
    <w:rsid w:val="004A00AB"/>
    <w:rsid w:val="004A14FE"/>
    <w:rsid w:val="004A1B25"/>
    <w:rsid w:val="004A1D2A"/>
    <w:rsid w:val="004A2213"/>
    <w:rsid w:val="004A2709"/>
    <w:rsid w:val="004A27C9"/>
    <w:rsid w:val="004A2E37"/>
    <w:rsid w:val="004A2EF1"/>
    <w:rsid w:val="004A321F"/>
    <w:rsid w:val="004A3915"/>
    <w:rsid w:val="004A3C47"/>
    <w:rsid w:val="004A3F0C"/>
    <w:rsid w:val="004A428D"/>
    <w:rsid w:val="004A486D"/>
    <w:rsid w:val="004A4BD3"/>
    <w:rsid w:val="004A4E6E"/>
    <w:rsid w:val="004A51CD"/>
    <w:rsid w:val="004A55D8"/>
    <w:rsid w:val="004A62A6"/>
    <w:rsid w:val="004A6872"/>
    <w:rsid w:val="004A7C3C"/>
    <w:rsid w:val="004A7DAD"/>
    <w:rsid w:val="004A7FA7"/>
    <w:rsid w:val="004B0291"/>
    <w:rsid w:val="004B089F"/>
    <w:rsid w:val="004B12FA"/>
    <w:rsid w:val="004B18E9"/>
    <w:rsid w:val="004B1B5B"/>
    <w:rsid w:val="004B2788"/>
    <w:rsid w:val="004B283C"/>
    <w:rsid w:val="004B2F59"/>
    <w:rsid w:val="004B3083"/>
    <w:rsid w:val="004B3217"/>
    <w:rsid w:val="004B3463"/>
    <w:rsid w:val="004B3516"/>
    <w:rsid w:val="004B3D6D"/>
    <w:rsid w:val="004B4A53"/>
    <w:rsid w:val="004B4B21"/>
    <w:rsid w:val="004B4B43"/>
    <w:rsid w:val="004B509F"/>
    <w:rsid w:val="004B6075"/>
    <w:rsid w:val="004B65C5"/>
    <w:rsid w:val="004B7848"/>
    <w:rsid w:val="004B7DBD"/>
    <w:rsid w:val="004C0D0C"/>
    <w:rsid w:val="004C12DB"/>
    <w:rsid w:val="004C1E4A"/>
    <w:rsid w:val="004C1E82"/>
    <w:rsid w:val="004C1F25"/>
    <w:rsid w:val="004C2299"/>
    <w:rsid w:val="004C2C1C"/>
    <w:rsid w:val="004C2C90"/>
    <w:rsid w:val="004C2EF2"/>
    <w:rsid w:val="004C3043"/>
    <w:rsid w:val="004C34FB"/>
    <w:rsid w:val="004C34FC"/>
    <w:rsid w:val="004C3941"/>
    <w:rsid w:val="004C4496"/>
    <w:rsid w:val="004C4739"/>
    <w:rsid w:val="004C4BC0"/>
    <w:rsid w:val="004C529E"/>
    <w:rsid w:val="004C552D"/>
    <w:rsid w:val="004C5BE1"/>
    <w:rsid w:val="004C5F19"/>
    <w:rsid w:val="004C6182"/>
    <w:rsid w:val="004C6568"/>
    <w:rsid w:val="004C67A2"/>
    <w:rsid w:val="004C68D9"/>
    <w:rsid w:val="004C6DB6"/>
    <w:rsid w:val="004C7409"/>
    <w:rsid w:val="004C746D"/>
    <w:rsid w:val="004D102F"/>
    <w:rsid w:val="004D1297"/>
    <w:rsid w:val="004D166F"/>
    <w:rsid w:val="004D1776"/>
    <w:rsid w:val="004D214E"/>
    <w:rsid w:val="004D23CC"/>
    <w:rsid w:val="004D2504"/>
    <w:rsid w:val="004D2706"/>
    <w:rsid w:val="004D2B5C"/>
    <w:rsid w:val="004D3022"/>
    <w:rsid w:val="004D36FB"/>
    <w:rsid w:val="004D38AE"/>
    <w:rsid w:val="004D38B4"/>
    <w:rsid w:val="004D3916"/>
    <w:rsid w:val="004D4B5C"/>
    <w:rsid w:val="004D5296"/>
    <w:rsid w:val="004D5434"/>
    <w:rsid w:val="004D5A48"/>
    <w:rsid w:val="004D60D4"/>
    <w:rsid w:val="004D695C"/>
    <w:rsid w:val="004D6A76"/>
    <w:rsid w:val="004D7015"/>
    <w:rsid w:val="004D7523"/>
    <w:rsid w:val="004D76B7"/>
    <w:rsid w:val="004D7872"/>
    <w:rsid w:val="004D7CD3"/>
    <w:rsid w:val="004D7F53"/>
    <w:rsid w:val="004E0BD2"/>
    <w:rsid w:val="004E14BB"/>
    <w:rsid w:val="004E178A"/>
    <w:rsid w:val="004E1C1F"/>
    <w:rsid w:val="004E20A6"/>
    <w:rsid w:val="004E2583"/>
    <w:rsid w:val="004E3879"/>
    <w:rsid w:val="004E38E9"/>
    <w:rsid w:val="004E5B28"/>
    <w:rsid w:val="004E5FEA"/>
    <w:rsid w:val="004E6231"/>
    <w:rsid w:val="004E6293"/>
    <w:rsid w:val="004E68BB"/>
    <w:rsid w:val="004E6ED5"/>
    <w:rsid w:val="004E747B"/>
    <w:rsid w:val="004E7873"/>
    <w:rsid w:val="004E7A5A"/>
    <w:rsid w:val="004F02A4"/>
    <w:rsid w:val="004F0325"/>
    <w:rsid w:val="004F0965"/>
    <w:rsid w:val="004F1268"/>
    <w:rsid w:val="004F1599"/>
    <w:rsid w:val="004F1F0D"/>
    <w:rsid w:val="004F22B3"/>
    <w:rsid w:val="004F23A7"/>
    <w:rsid w:val="004F2A25"/>
    <w:rsid w:val="004F336F"/>
    <w:rsid w:val="004F4248"/>
    <w:rsid w:val="004F4625"/>
    <w:rsid w:val="004F4F3C"/>
    <w:rsid w:val="004F5760"/>
    <w:rsid w:val="004F6398"/>
    <w:rsid w:val="004F67BF"/>
    <w:rsid w:val="004F69C8"/>
    <w:rsid w:val="004F6AB9"/>
    <w:rsid w:val="004F6C13"/>
    <w:rsid w:val="004F7034"/>
    <w:rsid w:val="004F7138"/>
    <w:rsid w:val="004F760C"/>
    <w:rsid w:val="004F7D34"/>
    <w:rsid w:val="0050086B"/>
    <w:rsid w:val="005008F8"/>
    <w:rsid w:val="00500C26"/>
    <w:rsid w:val="00500FCC"/>
    <w:rsid w:val="00501016"/>
    <w:rsid w:val="0050199D"/>
    <w:rsid w:val="00501AAD"/>
    <w:rsid w:val="00501C76"/>
    <w:rsid w:val="00501E0C"/>
    <w:rsid w:val="005021C8"/>
    <w:rsid w:val="0050292F"/>
    <w:rsid w:val="00502BD0"/>
    <w:rsid w:val="00502DE4"/>
    <w:rsid w:val="00503250"/>
    <w:rsid w:val="005034A4"/>
    <w:rsid w:val="0050436C"/>
    <w:rsid w:val="00504DD3"/>
    <w:rsid w:val="00504E61"/>
    <w:rsid w:val="0050555E"/>
    <w:rsid w:val="00505741"/>
    <w:rsid w:val="00505B6D"/>
    <w:rsid w:val="00506023"/>
    <w:rsid w:val="0050621C"/>
    <w:rsid w:val="005066AB"/>
    <w:rsid w:val="005067F8"/>
    <w:rsid w:val="00506899"/>
    <w:rsid w:val="0050694D"/>
    <w:rsid w:val="0050729B"/>
    <w:rsid w:val="0050758E"/>
    <w:rsid w:val="00507615"/>
    <w:rsid w:val="00507950"/>
    <w:rsid w:val="00507978"/>
    <w:rsid w:val="00507B41"/>
    <w:rsid w:val="00510006"/>
    <w:rsid w:val="0051018B"/>
    <w:rsid w:val="005103F2"/>
    <w:rsid w:val="00510466"/>
    <w:rsid w:val="005104BF"/>
    <w:rsid w:val="00510E60"/>
    <w:rsid w:val="00511386"/>
    <w:rsid w:val="00511F8B"/>
    <w:rsid w:val="00512201"/>
    <w:rsid w:val="00512C53"/>
    <w:rsid w:val="0051318A"/>
    <w:rsid w:val="00513506"/>
    <w:rsid w:val="0051354B"/>
    <w:rsid w:val="005137CA"/>
    <w:rsid w:val="00513BA7"/>
    <w:rsid w:val="00513BF4"/>
    <w:rsid w:val="00514904"/>
    <w:rsid w:val="00514BFE"/>
    <w:rsid w:val="00515D26"/>
    <w:rsid w:val="00515F21"/>
    <w:rsid w:val="0051603D"/>
    <w:rsid w:val="005166F0"/>
    <w:rsid w:val="0051689C"/>
    <w:rsid w:val="00517654"/>
    <w:rsid w:val="00517C30"/>
    <w:rsid w:val="0052014E"/>
    <w:rsid w:val="00520306"/>
    <w:rsid w:val="00520514"/>
    <w:rsid w:val="00520959"/>
    <w:rsid w:val="00521060"/>
    <w:rsid w:val="00521558"/>
    <w:rsid w:val="00522519"/>
    <w:rsid w:val="0052278A"/>
    <w:rsid w:val="00522B26"/>
    <w:rsid w:val="00522BB8"/>
    <w:rsid w:val="00522F57"/>
    <w:rsid w:val="00522F9A"/>
    <w:rsid w:val="00522FC9"/>
    <w:rsid w:val="005232CB"/>
    <w:rsid w:val="00523743"/>
    <w:rsid w:val="005238EB"/>
    <w:rsid w:val="00523A67"/>
    <w:rsid w:val="00524238"/>
    <w:rsid w:val="00524581"/>
    <w:rsid w:val="00524BB5"/>
    <w:rsid w:val="00524DD1"/>
    <w:rsid w:val="005256DE"/>
    <w:rsid w:val="005259F8"/>
    <w:rsid w:val="00525D89"/>
    <w:rsid w:val="0052621D"/>
    <w:rsid w:val="005263A9"/>
    <w:rsid w:val="005264E3"/>
    <w:rsid w:val="00526B67"/>
    <w:rsid w:val="0052717F"/>
    <w:rsid w:val="0052738C"/>
    <w:rsid w:val="005275AA"/>
    <w:rsid w:val="005300F8"/>
    <w:rsid w:val="00530271"/>
    <w:rsid w:val="0053065C"/>
    <w:rsid w:val="00530D93"/>
    <w:rsid w:val="00531780"/>
    <w:rsid w:val="00531C67"/>
    <w:rsid w:val="0053200A"/>
    <w:rsid w:val="00532021"/>
    <w:rsid w:val="00532088"/>
    <w:rsid w:val="00532198"/>
    <w:rsid w:val="005325F8"/>
    <w:rsid w:val="0053263D"/>
    <w:rsid w:val="00532B11"/>
    <w:rsid w:val="00532B63"/>
    <w:rsid w:val="0053344F"/>
    <w:rsid w:val="005339B7"/>
    <w:rsid w:val="00533B52"/>
    <w:rsid w:val="0053479F"/>
    <w:rsid w:val="00534F47"/>
    <w:rsid w:val="00535E06"/>
    <w:rsid w:val="00537ACC"/>
    <w:rsid w:val="00537D2C"/>
    <w:rsid w:val="00537D3C"/>
    <w:rsid w:val="00537E11"/>
    <w:rsid w:val="00540217"/>
    <w:rsid w:val="00540D29"/>
    <w:rsid w:val="005417C3"/>
    <w:rsid w:val="0054213D"/>
    <w:rsid w:val="00542AC9"/>
    <w:rsid w:val="0054304C"/>
    <w:rsid w:val="00543781"/>
    <w:rsid w:val="0054485C"/>
    <w:rsid w:val="0054543B"/>
    <w:rsid w:val="00545A1F"/>
    <w:rsid w:val="00545A32"/>
    <w:rsid w:val="00546D22"/>
    <w:rsid w:val="00546DB2"/>
    <w:rsid w:val="00547202"/>
    <w:rsid w:val="005476C2"/>
    <w:rsid w:val="00547704"/>
    <w:rsid w:val="005503E9"/>
    <w:rsid w:val="00550477"/>
    <w:rsid w:val="00550CE4"/>
    <w:rsid w:val="00550F7A"/>
    <w:rsid w:val="005511FD"/>
    <w:rsid w:val="005517BA"/>
    <w:rsid w:val="00551B36"/>
    <w:rsid w:val="00551C43"/>
    <w:rsid w:val="00552AB1"/>
    <w:rsid w:val="00552B51"/>
    <w:rsid w:val="00552B62"/>
    <w:rsid w:val="00552C02"/>
    <w:rsid w:val="00552C80"/>
    <w:rsid w:val="00552EF0"/>
    <w:rsid w:val="005532A3"/>
    <w:rsid w:val="0055350B"/>
    <w:rsid w:val="00553DB7"/>
    <w:rsid w:val="005543F4"/>
    <w:rsid w:val="00554674"/>
    <w:rsid w:val="00554C9F"/>
    <w:rsid w:val="0055532D"/>
    <w:rsid w:val="00555495"/>
    <w:rsid w:val="0055566D"/>
    <w:rsid w:val="00555749"/>
    <w:rsid w:val="00555E21"/>
    <w:rsid w:val="00555FDE"/>
    <w:rsid w:val="00556154"/>
    <w:rsid w:val="005578A0"/>
    <w:rsid w:val="005578C5"/>
    <w:rsid w:val="00557AA7"/>
    <w:rsid w:val="00557B76"/>
    <w:rsid w:val="005606BB"/>
    <w:rsid w:val="005608C3"/>
    <w:rsid w:val="00560987"/>
    <w:rsid w:val="00560F0A"/>
    <w:rsid w:val="00561033"/>
    <w:rsid w:val="005615DF"/>
    <w:rsid w:val="005621FF"/>
    <w:rsid w:val="005622C4"/>
    <w:rsid w:val="005627B6"/>
    <w:rsid w:val="005628AC"/>
    <w:rsid w:val="00562A9F"/>
    <w:rsid w:val="00562C5A"/>
    <w:rsid w:val="00562FBE"/>
    <w:rsid w:val="0056305A"/>
    <w:rsid w:val="00563103"/>
    <w:rsid w:val="005632C8"/>
    <w:rsid w:val="00563519"/>
    <w:rsid w:val="00563A13"/>
    <w:rsid w:val="00563E5D"/>
    <w:rsid w:val="00564B31"/>
    <w:rsid w:val="00564B9E"/>
    <w:rsid w:val="005657BA"/>
    <w:rsid w:val="00565AB4"/>
    <w:rsid w:val="0056608D"/>
    <w:rsid w:val="00566607"/>
    <w:rsid w:val="00566722"/>
    <w:rsid w:val="0056748C"/>
    <w:rsid w:val="00567545"/>
    <w:rsid w:val="00567F21"/>
    <w:rsid w:val="005703EF"/>
    <w:rsid w:val="0057043C"/>
    <w:rsid w:val="00570D5A"/>
    <w:rsid w:val="00570F2C"/>
    <w:rsid w:val="00571301"/>
    <w:rsid w:val="005718DF"/>
    <w:rsid w:val="00571B49"/>
    <w:rsid w:val="0057227B"/>
    <w:rsid w:val="00572E33"/>
    <w:rsid w:val="0057336D"/>
    <w:rsid w:val="005735A4"/>
    <w:rsid w:val="0057375F"/>
    <w:rsid w:val="00573E40"/>
    <w:rsid w:val="005745D8"/>
    <w:rsid w:val="00574F22"/>
    <w:rsid w:val="00575BAC"/>
    <w:rsid w:val="00576055"/>
    <w:rsid w:val="00576425"/>
    <w:rsid w:val="005765BB"/>
    <w:rsid w:val="00577169"/>
    <w:rsid w:val="0057723D"/>
    <w:rsid w:val="0058018C"/>
    <w:rsid w:val="00580842"/>
    <w:rsid w:val="00580943"/>
    <w:rsid w:val="00581331"/>
    <w:rsid w:val="005819F2"/>
    <w:rsid w:val="0058272C"/>
    <w:rsid w:val="005828BA"/>
    <w:rsid w:val="00582B97"/>
    <w:rsid w:val="00582D7A"/>
    <w:rsid w:val="00582F2D"/>
    <w:rsid w:val="005835AC"/>
    <w:rsid w:val="00583B00"/>
    <w:rsid w:val="0058408E"/>
    <w:rsid w:val="00584946"/>
    <w:rsid w:val="00585B9E"/>
    <w:rsid w:val="00586576"/>
    <w:rsid w:val="00586C2E"/>
    <w:rsid w:val="005878E3"/>
    <w:rsid w:val="00590588"/>
    <w:rsid w:val="00590592"/>
    <w:rsid w:val="005908BD"/>
    <w:rsid w:val="00590DA9"/>
    <w:rsid w:val="005911B8"/>
    <w:rsid w:val="0059215C"/>
    <w:rsid w:val="0059223E"/>
    <w:rsid w:val="00592F90"/>
    <w:rsid w:val="0059340D"/>
    <w:rsid w:val="00593887"/>
    <w:rsid w:val="00593A53"/>
    <w:rsid w:val="00593CE7"/>
    <w:rsid w:val="00593DB8"/>
    <w:rsid w:val="00593EE3"/>
    <w:rsid w:val="00593F14"/>
    <w:rsid w:val="00595209"/>
    <w:rsid w:val="00595299"/>
    <w:rsid w:val="0059543A"/>
    <w:rsid w:val="00596071"/>
    <w:rsid w:val="00597178"/>
    <w:rsid w:val="005972B2"/>
    <w:rsid w:val="00597C2A"/>
    <w:rsid w:val="005A0054"/>
    <w:rsid w:val="005A00B3"/>
    <w:rsid w:val="005A0295"/>
    <w:rsid w:val="005A13B9"/>
    <w:rsid w:val="005A1841"/>
    <w:rsid w:val="005A1966"/>
    <w:rsid w:val="005A1F7E"/>
    <w:rsid w:val="005A28C1"/>
    <w:rsid w:val="005A2BEA"/>
    <w:rsid w:val="005A2C8A"/>
    <w:rsid w:val="005A3004"/>
    <w:rsid w:val="005A3219"/>
    <w:rsid w:val="005A3719"/>
    <w:rsid w:val="005A3CA1"/>
    <w:rsid w:val="005A3CAE"/>
    <w:rsid w:val="005A3E38"/>
    <w:rsid w:val="005A4481"/>
    <w:rsid w:val="005A46A5"/>
    <w:rsid w:val="005A5182"/>
    <w:rsid w:val="005A518E"/>
    <w:rsid w:val="005A53B5"/>
    <w:rsid w:val="005A5916"/>
    <w:rsid w:val="005A5D50"/>
    <w:rsid w:val="005A606A"/>
    <w:rsid w:val="005A622E"/>
    <w:rsid w:val="005A627D"/>
    <w:rsid w:val="005A6A15"/>
    <w:rsid w:val="005A6A78"/>
    <w:rsid w:val="005A6B75"/>
    <w:rsid w:val="005A7C48"/>
    <w:rsid w:val="005A7F1C"/>
    <w:rsid w:val="005B05BC"/>
    <w:rsid w:val="005B0745"/>
    <w:rsid w:val="005B0AE2"/>
    <w:rsid w:val="005B12E3"/>
    <w:rsid w:val="005B146B"/>
    <w:rsid w:val="005B157F"/>
    <w:rsid w:val="005B1843"/>
    <w:rsid w:val="005B189C"/>
    <w:rsid w:val="005B1C2F"/>
    <w:rsid w:val="005B27B6"/>
    <w:rsid w:val="005B2951"/>
    <w:rsid w:val="005B2E4D"/>
    <w:rsid w:val="005B2EE3"/>
    <w:rsid w:val="005B37D3"/>
    <w:rsid w:val="005B3C08"/>
    <w:rsid w:val="005B4093"/>
    <w:rsid w:val="005B46E6"/>
    <w:rsid w:val="005B51A5"/>
    <w:rsid w:val="005B5311"/>
    <w:rsid w:val="005B56B7"/>
    <w:rsid w:val="005B5FE1"/>
    <w:rsid w:val="005B6238"/>
    <w:rsid w:val="005B736B"/>
    <w:rsid w:val="005B73D4"/>
    <w:rsid w:val="005B74CF"/>
    <w:rsid w:val="005B75DD"/>
    <w:rsid w:val="005B7E2D"/>
    <w:rsid w:val="005B7F6C"/>
    <w:rsid w:val="005C0A4B"/>
    <w:rsid w:val="005C0DEB"/>
    <w:rsid w:val="005C1654"/>
    <w:rsid w:val="005C2B7A"/>
    <w:rsid w:val="005C30B3"/>
    <w:rsid w:val="005C343F"/>
    <w:rsid w:val="005C39B8"/>
    <w:rsid w:val="005C49F7"/>
    <w:rsid w:val="005C5C12"/>
    <w:rsid w:val="005C5C8A"/>
    <w:rsid w:val="005C601E"/>
    <w:rsid w:val="005C64E3"/>
    <w:rsid w:val="005D0263"/>
    <w:rsid w:val="005D03B4"/>
    <w:rsid w:val="005D0BEF"/>
    <w:rsid w:val="005D19AC"/>
    <w:rsid w:val="005D1AC1"/>
    <w:rsid w:val="005D258C"/>
    <w:rsid w:val="005D295B"/>
    <w:rsid w:val="005D2FD3"/>
    <w:rsid w:val="005D3053"/>
    <w:rsid w:val="005D32C3"/>
    <w:rsid w:val="005D36D4"/>
    <w:rsid w:val="005D3AF9"/>
    <w:rsid w:val="005D401D"/>
    <w:rsid w:val="005D4B81"/>
    <w:rsid w:val="005D4B98"/>
    <w:rsid w:val="005D4B9A"/>
    <w:rsid w:val="005D4C7A"/>
    <w:rsid w:val="005D5827"/>
    <w:rsid w:val="005D6045"/>
    <w:rsid w:val="005D633F"/>
    <w:rsid w:val="005D6533"/>
    <w:rsid w:val="005D6608"/>
    <w:rsid w:val="005D696E"/>
    <w:rsid w:val="005D6D71"/>
    <w:rsid w:val="005D6F93"/>
    <w:rsid w:val="005D70E0"/>
    <w:rsid w:val="005D7DC9"/>
    <w:rsid w:val="005E052E"/>
    <w:rsid w:val="005E0891"/>
    <w:rsid w:val="005E098C"/>
    <w:rsid w:val="005E0B0B"/>
    <w:rsid w:val="005E0B47"/>
    <w:rsid w:val="005E0B94"/>
    <w:rsid w:val="005E1157"/>
    <w:rsid w:val="005E1AE5"/>
    <w:rsid w:val="005E1D83"/>
    <w:rsid w:val="005E2821"/>
    <w:rsid w:val="005E2C41"/>
    <w:rsid w:val="005E3325"/>
    <w:rsid w:val="005E33A0"/>
    <w:rsid w:val="005E3593"/>
    <w:rsid w:val="005E3A4E"/>
    <w:rsid w:val="005E3AAC"/>
    <w:rsid w:val="005E3C66"/>
    <w:rsid w:val="005E4A46"/>
    <w:rsid w:val="005E4DF2"/>
    <w:rsid w:val="005E5228"/>
    <w:rsid w:val="005E5C16"/>
    <w:rsid w:val="005E5CC6"/>
    <w:rsid w:val="005E5E16"/>
    <w:rsid w:val="005E5FFA"/>
    <w:rsid w:val="005E634C"/>
    <w:rsid w:val="005E66B5"/>
    <w:rsid w:val="005E711D"/>
    <w:rsid w:val="005E7707"/>
    <w:rsid w:val="005E7B27"/>
    <w:rsid w:val="005E7BC5"/>
    <w:rsid w:val="005E7EAD"/>
    <w:rsid w:val="005F05C4"/>
    <w:rsid w:val="005F0653"/>
    <w:rsid w:val="005F0EFA"/>
    <w:rsid w:val="005F1264"/>
    <w:rsid w:val="005F12BF"/>
    <w:rsid w:val="005F187D"/>
    <w:rsid w:val="005F2BB6"/>
    <w:rsid w:val="005F3B8D"/>
    <w:rsid w:val="005F4B37"/>
    <w:rsid w:val="005F4C7E"/>
    <w:rsid w:val="005F4CDA"/>
    <w:rsid w:val="005F4EEC"/>
    <w:rsid w:val="005F4FF1"/>
    <w:rsid w:val="005F523A"/>
    <w:rsid w:val="005F5AD2"/>
    <w:rsid w:val="005F5F82"/>
    <w:rsid w:val="005F6077"/>
    <w:rsid w:val="005F62BF"/>
    <w:rsid w:val="005F6492"/>
    <w:rsid w:val="005F6696"/>
    <w:rsid w:val="005F6993"/>
    <w:rsid w:val="005F6BEC"/>
    <w:rsid w:val="005F71C0"/>
    <w:rsid w:val="005F73EB"/>
    <w:rsid w:val="005F774B"/>
    <w:rsid w:val="005F7D97"/>
    <w:rsid w:val="005F7EE9"/>
    <w:rsid w:val="0060011A"/>
    <w:rsid w:val="00600888"/>
    <w:rsid w:val="006018EC"/>
    <w:rsid w:val="0060199D"/>
    <w:rsid w:val="00601B26"/>
    <w:rsid w:val="00601DB6"/>
    <w:rsid w:val="00601E14"/>
    <w:rsid w:val="0060202E"/>
    <w:rsid w:val="0060225C"/>
    <w:rsid w:val="00602FE8"/>
    <w:rsid w:val="006030CF"/>
    <w:rsid w:val="006034EC"/>
    <w:rsid w:val="00603758"/>
    <w:rsid w:val="00603D34"/>
    <w:rsid w:val="006040E5"/>
    <w:rsid w:val="006045A4"/>
    <w:rsid w:val="006046B0"/>
    <w:rsid w:val="00604A4B"/>
    <w:rsid w:val="00604A75"/>
    <w:rsid w:val="00604B8E"/>
    <w:rsid w:val="00604FE4"/>
    <w:rsid w:val="0060579B"/>
    <w:rsid w:val="00605FFA"/>
    <w:rsid w:val="00607025"/>
    <w:rsid w:val="00607096"/>
    <w:rsid w:val="00607778"/>
    <w:rsid w:val="006079D7"/>
    <w:rsid w:val="00607C00"/>
    <w:rsid w:val="00610861"/>
    <w:rsid w:val="00610DBD"/>
    <w:rsid w:val="00610E1D"/>
    <w:rsid w:val="00611015"/>
    <w:rsid w:val="006110C5"/>
    <w:rsid w:val="00611116"/>
    <w:rsid w:val="006112B9"/>
    <w:rsid w:val="00611456"/>
    <w:rsid w:val="006114D2"/>
    <w:rsid w:val="006116F2"/>
    <w:rsid w:val="00611CAD"/>
    <w:rsid w:val="006120D6"/>
    <w:rsid w:val="0061267F"/>
    <w:rsid w:val="00612C29"/>
    <w:rsid w:val="00612C52"/>
    <w:rsid w:val="00612FA7"/>
    <w:rsid w:val="006133E8"/>
    <w:rsid w:val="006138B3"/>
    <w:rsid w:val="00613AE5"/>
    <w:rsid w:val="00613EAF"/>
    <w:rsid w:val="00614429"/>
    <w:rsid w:val="00614FB9"/>
    <w:rsid w:val="0061509C"/>
    <w:rsid w:val="00615212"/>
    <w:rsid w:val="0061536C"/>
    <w:rsid w:val="006155B9"/>
    <w:rsid w:val="006160A5"/>
    <w:rsid w:val="006161B7"/>
    <w:rsid w:val="006165BC"/>
    <w:rsid w:val="00616790"/>
    <w:rsid w:val="0061684E"/>
    <w:rsid w:val="00617133"/>
    <w:rsid w:val="006171AF"/>
    <w:rsid w:val="00617412"/>
    <w:rsid w:val="006178FB"/>
    <w:rsid w:val="00617F0C"/>
    <w:rsid w:val="00620076"/>
    <w:rsid w:val="00620528"/>
    <w:rsid w:val="00620B09"/>
    <w:rsid w:val="00620B69"/>
    <w:rsid w:val="00620D93"/>
    <w:rsid w:val="00621002"/>
    <w:rsid w:val="006215F0"/>
    <w:rsid w:val="006219FC"/>
    <w:rsid w:val="00621E3B"/>
    <w:rsid w:val="006223C8"/>
    <w:rsid w:val="006228C4"/>
    <w:rsid w:val="00622BA0"/>
    <w:rsid w:val="00622D0E"/>
    <w:rsid w:val="006231EE"/>
    <w:rsid w:val="00623BB6"/>
    <w:rsid w:val="00624513"/>
    <w:rsid w:val="00624554"/>
    <w:rsid w:val="00624967"/>
    <w:rsid w:val="006261DC"/>
    <w:rsid w:val="00626658"/>
    <w:rsid w:val="00626D4D"/>
    <w:rsid w:val="00626D73"/>
    <w:rsid w:val="006270CA"/>
    <w:rsid w:val="006273E6"/>
    <w:rsid w:val="00627836"/>
    <w:rsid w:val="00627A4C"/>
    <w:rsid w:val="006305C1"/>
    <w:rsid w:val="0063130B"/>
    <w:rsid w:val="00631450"/>
    <w:rsid w:val="00631521"/>
    <w:rsid w:val="006326FF"/>
    <w:rsid w:val="0063279D"/>
    <w:rsid w:val="006327AC"/>
    <w:rsid w:val="00633135"/>
    <w:rsid w:val="00633F55"/>
    <w:rsid w:val="00633FA9"/>
    <w:rsid w:val="00634940"/>
    <w:rsid w:val="00634953"/>
    <w:rsid w:val="00634962"/>
    <w:rsid w:val="00634C99"/>
    <w:rsid w:val="00634E34"/>
    <w:rsid w:val="00636579"/>
    <w:rsid w:val="006366A9"/>
    <w:rsid w:val="006367B5"/>
    <w:rsid w:val="00636DC2"/>
    <w:rsid w:val="006371C1"/>
    <w:rsid w:val="006372C8"/>
    <w:rsid w:val="00637719"/>
    <w:rsid w:val="00637D85"/>
    <w:rsid w:val="0064083C"/>
    <w:rsid w:val="00640CB2"/>
    <w:rsid w:val="00640F03"/>
    <w:rsid w:val="006417F7"/>
    <w:rsid w:val="00641DE0"/>
    <w:rsid w:val="006424CE"/>
    <w:rsid w:val="00642D4A"/>
    <w:rsid w:val="00643325"/>
    <w:rsid w:val="00643865"/>
    <w:rsid w:val="00643FB5"/>
    <w:rsid w:val="0064445A"/>
    <w:rsid w:val="0064508A"/>
    <w:rsid w:val="006457E5"/>
    <w:rsid w:val="00646178"/>
    <w:rsid w:val="0064634C"/>
    <w:rsid w:val="0064679F"/>
    <w:rsid w:val="00647837"/>
    <w:rsid w:val="006501C3"/>
    <w:rsid w:val="00650345"/>
    <w:rsid w:val="006506C9"/>
    <w:rsid w:val="00650958"/>
    <w:rsid w:val="00650A21"/>
    <w:rsid w:val="00650E3C"/>
    <w:rsid w:val="00651079"/>
    <w:rsid w:val="00651134"/>
    <w:rsid w:val="006512EF"/>
    <w:rsid w:val="00651D24"/>
    <w:rsid w:val="00651EA1"/>
    <w:rsid w:val="00652135"/>
    <w:rsid w:val="006526ED"/>
    <w:rsid w:val="00652E5E"/>
    <w:rsid w:val="00653164"/>
    <w:rsid w:val="00653266"/>
    <w:rsid w:val="006536C3"/>
    <w:rsid w:val="00653896"/>
    <w:rsid w:val="006542D0"/>
    <w:rsid w:val="006544E5"/>
    <w:rsid w:val="00654F39"/>
    <w:rsid w:val="00655110"/>
    <w:rsid w:val="00655365"/>
    <w:rsid w:val="0065544F"/>
    <w:rsid w:val="0065546D"/>
    <w:rsid w:val="0065547E"/>
    <w:rsid w:val="00655859"/>
    <w:rsid w:val="00656167"/>
    <w:rsid w:val="00656351"/>
    <w:rsid w:val="00656463"/>
    <w:rsid w:val="0066020F"/>
    <w:rsid w:val="00660381"/>
    <w:rsid w:val="00660396"/>
    <w:rsid w:val="0066077A"/>
    <w:rsid w:val="00660C34"/>
    <w:rsid w:val="00660E99"/>
    <w:rsid w:val="00661B8F"/>
    <w:rsid w:val="006627B2"/>
    <w:rsid w:val="00662BB7"/>
    <w:rsid w:val="00662E7B"/>
    <w:rsid w:val="00663613"/>
    <w:rsid w:val="006636FB"/>
    <w:rsid w:val="00663CB6"/>
    <w:rsid w:val="00664469"/>
    <w:rsid w:val="00664B99"/>
    <w:rsid w:val="00664D61"/>
    <w:rsid w:val="00664ED9"/>
    <w:rsid w:val="00664FA1"/>
    <w:rsid w:val="0066555D"/>
    <w:rsid w:val="00665B1C"/>
    <w:rsid w:val="006662A8"/>
    <w:rsid w:val="00666CC2"/>
    <w:rsid w:val="00667181"/>
    <w:rsid w:val="006672DF"/>
    <w:rsid w:val="00667423"/>
    <w:rsid w:val="00667480"/>
    <w:rsid w:val="0066770A"/>
    <w:rsid w:val="00667743"/>
    <w:rsid w:val="00667B57"/>
    <w:rsid w:val="00667FDF"/>
    <w:rsid w:val="0067084F"/>
    <w:rsid w:val="006709F5"/>
    <w:rsid w:val="00670A67"/>
    <w:rsid w:val="00670AD6"/>
    <w:rsid w:val="00671048"/>
    <w:rsid w:val="00671416"/>
    <w:rsid w:val="0067156D"/>
    <w:rsid w:val="00671C23"/>
    <w:rsid w:val="00671E0E"/>
    <w:rsid w:val="006723FB"/>
    <w:rsid w:val="0067286F"/>
    <w:rsid w:val="006730DC"/>
    <w:rsid w:val="0067347F"/>
    <w:rsid w:val="00673675"/>
    <w:rsid w:val="00673D33"/>
    <w:rsid w:val="006743F6"/>
    <w:rsid w:val="006747A3"/>
    <w:rsid w:val="006747EC"/>
    <w:rsid w:val="00675466"/>
    <w:rsid w:val="00675853"/>
    <w:rsid w:val="00675D06"/>
    <w:rsid w:val="00675E85"/>
    <w:rsid w:val="00676BB3"/>
    <w:rsid w:val="00677303"/>
    <w:rsid w:val="00677452"/>
    <w:rsid w:val="00677AF5"/>
    <w:rsid w:val="006805B3"/>
    <w:rsid w:val="00680A02"/>
    <w:rsid w:val="006815D2"/>
    <w:rsid w:val="00681A93"/>
    <w:rsid w:val="006824F4"/>
    <w:rsid w:val="006827E9"/>
    <w:rsid w:val="00682E36"/>
    <w:rsid w:val="006831A7"/>
    <w:rsid w:val="0068457F"/>
    <w:rsid w:val="00684B56"/>
    <w:rsid w:val="00684D16"/>
    <w:rsid w:val="00684D3C"/>
    <w:rsid w:val="00684D7A"/>
    <w:rsid w:val="00685110"/>
    <w:rsid w:val="0068550F"/>
    <w:rsid w:val="00685BD8"/>
    <w:rsid w:val="00685E6D"/>
    <w:rsid w:val="00686407"/>
    <w:rsid w:val="0068648E"/>
    <w:rsid w:val="00686B53"/>
    <w:rsid w:val="00686BD4"/>
    <w:rsid w:val="00686DA6"/>
    <w:rsid w:val="0068730E"/>
    <w:rsid w:val="00687566"/>
    <w:rsid w:val="00687C72"/>
    <w:rsid w:val="00687DD8"/>
    <w:rsid w:val="0069012B"/>
    <w:rsid w:val="00690B07"/>
    <w:rsid w:val="00691686"/>
    <w:rsid w:val="006917CE"/>
    <w:rsid w:val="00691B97"/>
    <w:rsid w:val="00691FFF"/>
    <w:rsid w:val="00692E85"/>
    <w:rsid w:val="006930E1"/>
    <w:rsid w:val="0069385D"/>
    <w:rsid w:val="00693B88"/>
    <w:rsid w:val="00693CEE"/>
    <w:rsid w:val="00694637"/>
    <w:rsid w:val="00694882"/>
    <w:rsid w:val="00694D12"/>
    <w:rsid w:val="00695230"/>
    <w:rsid w:val="006953DE"/>
    <w:rsid w:val="006958EB"/>
    <w:rsid w:val="00695CA7"/>
    <w:rsid w:val="006961BD"/>
    <w:rsid w:val="00696526"/>
    <w:rsid w:val="00696A11"/>
    <w:rsid w:val="0069790D"/>
    <w:rsid w:val="00697A8D"/>
    <w:rsid w:val="00697DC3"/>
    <w:rsid w:val="006A088B"/>
    <w:rsid w:val="006A0A52"/>
    <w:rsid w:val="006A1CAD"/>
    <w:rsid w:val="006A1D70"/>
    <w:rsid w:val="006A231C"/>
    <w:rsid w:val="006A2603"/>
    <w:rsid w:val="006A2E96"/>
    <w:rsid w:val="006A4B41"/>
    <w:rsid w:val="006A4BDC"/>
    <w:rsid w:val="006A4D9C"/>
    <w:rsid w:val="006A53D4"/>
    <w:rsid w:val="006A53DF"/>
    <w:rsid w:val="006A54C0"/>
    <w:rsid w:val="006A55BA"/>
    <w:rsid w:val="006A5F3F"/>
    <w:rsid w:val="006A70EE"/>
    <w:rsid w:val="006A7C2D"/>
    <w:rsid w:val="006A7CCB"/>
    <w:rsid w:val="006A7D08"/>
    <w:rsid w:val="006A7D14"/>
    <w:rsid w:val="006B02CC"/>
    <w:rsid w:val="006B03DA"/>
    <w:rsid w:val="006B06A5"/>
    <w:rsid w:val="006B0BC9"/>
    <w:rsid w:val="006B1291"/>
    <w:rsid w:val="006B15CF"/>
    <w:rsid w:val="006B1E30"/>
    <w:rsid w:val="006B1FA2"/>
    <w:rsid w:val="006B2A4B"/>
    <w:rsid w:val="006B2D8C"/>
    <w:rsid w:val="006B2FB1"/>
    <w:rsid w:val="006B30B8"/>
    <w:rsid w:val="006B3170"/>
    <w:rsid w:val="006B31FA"/>
    <w:rsid w:val="006B3F6A"/>
    <w:rsid w:val="006B48EF"/>
    <w:rsid w:val="006B4A76"/>
    <w:rsid w:val="006B5462"/>
    <w:rsid w:val="006B5768"/>
    <w:rsid w:val="006B5A26"/>
    <w:rsid w:val="006B60FA"/>
    <w:rsid w:val="006B631B"/>
    <w:rsid w:val="006B6784"/>
    <w:rsid w:val="006B68D3"/>
    <w:rsid w:val="006B6B72"/>
    <w:rsid w:val="006B6C8D"/>
    <w:rsid w:val="006B6D0C"/>
    <w:rsid w:val="006B6D27"/>
    <w:rsid w:val="006B79F4"/>
    <w:rsid w:val="006C023A"/>
    <w:rsid w:val="006C08DF"/>
    <w:rsid w:val="006C0D9E"/>
    <w:rsid w:val="006C124D"/>
    <w:rsid w:val="006C1649"/>
    <w:rsid w:val="006C176E"/>
    <w:rsid w:val="006C1A08"/>
    <w:rsid w:val="006C1BA2"/>
    <w:rsid w:val="006C1C43"/>
    <w:rsid w:val="006C2662"/>
    <w:rsid w:val="006C2E22"/>
    <w:rsid w:val="006C33A3"/>
    <w:rsid w:val="006C34AB"/>
    <w:rsid w:val="006C3ACD"/>
    <w:rsid w:val="006C3BDC"/>
    <w:rsid w:val="006C3C31"/>
    <w:rsid w:val="006C403B"/>
    <w:rsid w:val="006C4C7F"/>
    <w:rsid w:val="006C4E1B"/>
    <w:rsid w:val="006C4FD4"/>
    <w:rsid w:val="006C500B"/>
    <w:rsid w:val="006C531E"/>
    <w:rsid w:val="006C56B2"/>
    <w:rsid w:val="006C5A5F"/>
    <w:rsid w:val="006C5DB0"/>
    <w:rsid w:val="006C6333"/>
    <w:rsid w:val="006C7819"/>
    <w:rsid w:val="006C7C94"/>
    <w:rsid w:val="006D03AF"/>
    <w:rsid w:val="006D05EC"/>
    <w:rsid w:val="006D08B9"/>
    <w:rsid w:val="006D08FE"/>
    <w:rsid w:val="006D1A26"/>
    <w:rsid w:val="006D1D0B"/>
    <w:rsid w:val="006D1F31"/>
    <w:rsid w:val="006D24F9"/>
    <w:rsid w:val="006D26BD"/>
    <w:rsid w:val="006D273D"/>
    <w:rsid w:val="006D30F9"/>
    <w:rsid w:val="006D366C"/>
    <w:rsid w:val="006D384F"/>
    <w:rsid w:val="006D4A5E"/>
    <w:rsid w:val="006D4D85"/>
    <w:rsid w:val="006D4ECE"/>
    <w:rsid w:val="006D4FEA"/>
    <w:rsid w:val="006D519A"/>
    <w:rsid w:val="006D51E7"/>
    <w:rsid w:val="006D5983"/>
    <w:rsid w:val="006D6000"/>
    <w:rsid w:val="006D678F"/>
    <w:rsid w:val="006D6B7B"/>
    <w:rsid w:val="006E04C1"/>
    <w:rsid w:val="006E0568"/>
    <w:rsid w:val="006E06A4"/>
    <w:rsid w:val="006E07DC"/>
    <w:rsid w:val="006E0C67"/>
    <w:rsid w:val="006E0DF2"/>
    <w:rsid w:val="006E14C2"/>
    <w:rsid w:val="006E1734"/>
    <w:rsid w:val="006E256A"/>
    <w:rsid w:val="006E3099"/>
    <w:rsid w:val="006E3466"/>
    <w:rsid w:val="006E3572"/>
    <w:rsid w:val="006E3FAE"/>
    <w:rsid w:val="006E4181"/>
    <w:rsid w:val="006E44CB"/>
    <w:rsid w:val="006E4D85"/>
    <w:rsid w:val="006E4F4B"/>
    <w:rsid w:val="006E532D"/>
    <w:rsid w:val="006E541C"/>
    <w:rsid w:val="006E5561"/>
    <w:rsid w:val="006E5C26"/>
    <w:rsid w:val="006E63C7"/>
    <w:rsid w:val="006E78B7"/>
    <w:rsid w:val="006E7A49"/>
    <w:rsid w:val="006F0461"/>
    <w:rsid w:val="006F0465"/>
    <w:rsid w:val="006F0717"/>
    <w:rsid w:val="006F0CCF"/>
    <w:rsid w:val="006F125B"/>
    <w:rsid w:val="006F12A6"/>
    <w:rsid w:val="006F1E23"/>
    <w:rsid w:val="006F1EFB"/>
    <w:rsid w:val="006F1F9B"/>
    <w:rsid w:val="006F2658"/>
    <w:rsid w:val="006F27FA"/>
    <w:rsid w:val="006F27FC"/>
    <w:rsid w:val="006F2963"/>
    <w:rsid w:val="006F31FA"/>
    <w:rsid w:val="006F3C9D"/>
    <w:rsid w:val="006F411E"/>
    <w:rsid w:val="006F429C"/>
    <w:rsid w:val="006F461F"/>
    <w:rsid w:val="006F62FB"/>
    <w:rsid w:val="006F689D"/>
    <w:rsid w:val="006F6976"/>
    <w:rsid w:val="006F69ED"/>
    <w:rsid w:val="006F6A09"/>
    <w:rsid w:val="006F6B62"/>
    <w:rsid w:val="006F6B64"/>
    <w:rsid w:val="006F7032"/>
    <w:rsid w:val="006F7522"/>
    <w:rsid w:val="006F782C"/>
    <w:rsid w:val="006F7BA7"/>
    <w:rsid w:val="00700663"/>
    <w:rsid w:val="00700B4E"/>
    <w:rsid w:val="00700EAE"/>
    <w:rsid w:val="0070152D"/>
    <w:rsid w:val="00701590"/>
    <w:rsid w:val="007015BE"/>
    <w:rsid w:val="00701930"/>
    <w:rsid w:val="00701B3D"/>
    <w:rsid w:val="00701F65"/>
    <w:rsid w:val="0070220F"/>
    <w:rsid w:val="00702DD1"/>
    <w:rsid w:val="00702E59"/>
    <w:rsid w:val="00703696"/>
    <w:rsid w:val="00703C89"/>
    <w:rsid w:val="00703F2A"/>
    <w:rsid w:val="00704180"/>
    <w:rsid w:val="00704252"/>
    <w:rsid w:val="00704349"/>
    <w:rsid w:val="0070454B"/>
    <w:rsid w:val="00704E1F"/>
    <w:rsid w:val="00706061"/>
    <w:rsid w:val="00706368"/>
    <w:rsid w:val="007068F7"/>
    <w:rsid w:val="00706E6E"/>
    <w:rsid w:val="00707025"/>
    <w:rsid w:val="007070C6"/>
    <w:rsid w:val="0070737E"/>
    <w:rsid w:val="00707564"/>
    <w:rsid w:val="00707E54"/>
    <w:rsid w:val="00710511"/>
    <w:rsid w:val="00710CAC"/>
    <w:rsid w:val="00710D59"/>
    <w:rsid w:val="00711D1E"/>
    <w:rsid w:val="00711DA1"/>
    <w:rsid w:val="007122CA"/>
    <w:rsid w:val="00712ABA"/>
    <w:rsid w:val="00712D72"/>
    <w:rsid w:val="007139CB"/>
    <w:rsid w:val="00713A68"/>
    <w:rsid w:val="00714A04"/>
    <w:rsid w:val="00714B7F"/>
    <w:rsid w:val="00715051"/>
    <w:rsid w:val="007150C0"/>
    <w:rsid w:val="0071545D"/>
    <w:rsid w:val="007154F3"/>
    <w:rsid w:val="00715ED7"/>
    <w:rsid w:val="00715FC3"/>
    <w:rsid w:val="00716062"/>
    <w:rsid w:val="0071624A"/>
    <w:rsid w:val="00716D36"/>
    <w:rsid w:val="00717815"/>
    <w:rsid w:val="00717B5E"/>
    <w:rsid w:val="00720138"/>
    <w:rsid w:val="007210D0"/>
    <w:rsid w:val="007211B7"/>
    <w:rsid w:val="007215CE"/>
    <w:rsid w:val="007221ED"/>
    <w:rsid w:val="007248E3"/>
    <w:rsid w:val="00724CE2"/>
    <w:rsid w:val="00725288"/>
    <w:rsid w:val="00725ED0"/>
    <w:rsid w:val="00725F0A"/>
    <w:rsid w:val="00725F48"/>
    <w:rsid w:val="0072610B"/>
    <w:rsid w:val="007268A7"/>
    <w:rsid w:val="0072718D"/>
    <w:rsid w:val="00727564"/>
    <w:rsid w:val="00727A40"/>
    <w:rsid w:val="00727B6F"/>
    <w:rsid w:val="00727CB3"/>
    <w:rsid w:val="007303EA"/>
    <w:rsid w:val="00730A1D"/>
    <w:rsid w:val="00730B5B"/>
    <w:rsid w:val="00730DE8"/>
    <w:rsid w:val="00730E49"/>
    <w:rsid w:val="00731444"/>
    <w:rsid w:val="0073198F"/>
    <w:rsid w:val="00731B99"/>
    <w:rsid w:val="00731F37"/>
    <w:rsid w:val="00732354"/>
    <w:rsid w:val="0073291C"/>
    <w:rsid w:val="00732DE3"/>
    <w:rsid w:val="007331B1"/>
    <w:rsid w:val="007331E7"/>
    <w:rsid w:val="007334BD"/>
    <w:rsid w:val="00733B25"/>
    <w:rsid w:val="00733CDC"/>
    <w:rsid w:val="00733F00"/>
    <w:rsid w:val="0073423E"/>
    <w:rsid w:val="00734495"/>
    <w:rsid w:val="0073469A"/>
    <w:rsid w:val="00734A1D"/>
    <w:rsid w:val="00734B0A"/>
    <w:rsid w:val="00734D27"/>
    <w:rsid w:val="0073547F"/>
    <w:rsid w:val="007357C2"/>
    <w:rsid w:val="007365A5"/>
    <w:rsid w:val="007370C2"/>
    <w:rsid w:val="007372B0"/>
    <w:rsid w:val="007374E8"/>
    <w:rsid w:val="00737850"/>
    <w:rsid w:val="00740050"/>
    <w:rsid w:val="007402C3"/>
    <w:rsid w:val="007416BA"/>
    <w:rsid w:val="00742887"/>
    <w:rsid w:val="00742AEF"/>
    <w:rsid w:val="00742D6E"/>
    <w:rsid w:val="00742ECA"/>
    <w:rsid w:val="00743798"/>
    <w:rsid w:val="00744254"/>
    <w:rsid w:val="0074471C"/>
    <w:rsid w:val="0074540A"/>
    <w:rsid w:val="0074599E"/>
    <w:rsid w:val="00745D45"/>
    <w:rsid w:val="00746421"/>
    <w:rsid w:val="00746EA3"/>
    <w:rsid w:val="00746FB6"/>
    <w:rsid w:val="00747716"/>
    <w:rsid w:val="00750116"/>
    <w:rsid w:val="007502DA"/>
    <w:rsid w:val="007503F9"/>
    <w:rsid w:val="0075060C"/>
    <w:rsid w:val="007506A0"/>
    <w:rsid w:val="007508BA"/>
    <w:rsid w:val="007509B8"/>
    <w:rsid w:val="007512D3"/>
    <w:rsid w:val="007514A9"/>
    <w:rsid w:val="00751755"/>
    <w:rsid w:val="00751C26"/>
    <w:rsid w:val="00751CBA"/>
    <w:rsid w:val="007523DA"/>
    <w:rsid w:val="00752EC6"/>
    <w:rsid w:val="007531E7"/>
    <w:rsid w:val="007532F5"/>
    <w:rsid w:val="00753DE2"/>
    <w:rsid w:val="0075413C"/>
    <w:rsid w:val="0075430E"/>
    <w:rsid w:val="007544CB"/>
    <w:rsid w:val="00754534"/>
    <w:rsid w:val="00754A79"/>
    <w:rsid w:val="00754C95"/>
    <w:rsid w:val="00754F6E"/>
    <w:rsid w:val="00755BFE"/>
    <w:rsid w:val="00755DC8"/>
    <w:rsid w:val="0075698B"/>
    <w:rsid w:val="00756C28"/>
    <w:rsid w:val="00756F05"/>
    <w:rsid w:val="007570E0"/>
    <w:rsid w:val="007602CD"/>
    <w:rsid w:val="0076044A"/>
    <w:rsid w:val="00760C09"/>
    <w:rsid w:val="007613C4"/>
    <w:rsid w:val="00761D97"/>
    <w:rsid w:val="00761ECC"/>
    <w:rsid w:val="00762615"/>
    <w:rsid w:val="00762CA2"/>
    <w:rsid w:val="00762D65"/>
    <w:rsid w:val="00762D89"/>
    <w:rsid w:val="00762F2C"/>
    <w:rsid w:val="00763D7C"/>
    <w:rsid w:val="00763EBD"/>
    <w:rsid w:val="00763F68"/>
    <w:rsid w:val="007643C8"/>
    <w:rsid w:val="00764461"/>
    <w:rsid w:val="00764806"/>
    <w:rsid w:val="007648C8"/>
    <w:rsid w:val="00764ADC"/>
    <w:rsid w:val="00764B04"/>
    <w:rsid w:val="00764B8F"/>
    <w:rsid w:val="00764DC9"/>
    <w:rsid w:val="007653F0"/>
    <w:rsid w:val="00765598"/>
    <w:rsid w:val="007657CA"/>
    <w:rsid w:val="0076597E"/>
    <w:rsid w:val="00765B86"/>
    <w:rsid w:val="00766711"/>
    <w:rsid w:val="00766916"/>
    <w:rsid w:val="007673FA"/>
    <w:rsid w:val="00767A44"/>
    <w:rsid w:val="00767B0E"/>
    <w:rsid w:val="00767CB8"/>
    <w:rsid w:val="007701FF"/>
    <w:rsid w:val="00770313"/>
    <w:rsid w:val="007707A9"/>
    <w:rsid w:val="00770E37"/>
    <w:rsid w:val="0077103A"/>
    <w:rsid w:val="00771419"/>
    <w:rsid w:val="0077173B"/>
    <w:rsid w:val="0077189B"/>
    <w:rsid w:val="00772599"/>
    <w:rsid w:val="00772AE8"/>
    <w:rsid w:val="00772E2B"/>
    <w:rsid w:val="00772EF1"/>
    <w:rsid w:val="00772FCB"/>
    <w:rsid w:val="00773DE1"/>
    <w:rsid w:val="00773FE2"/>
    <w:rsid w:val="00774089"/>
    <w:rsid w:val="0077428E"/>
    <w:rsid w:val="007742BF"/>
    <w:rsid w:val="007748C9"/>
    <w:rsid w:val="00775C3D"/>
    <w:rsid w:val="00776031"/>
    <w:rsid w:val="0077672B"/>
    <w:rsid w:val="00776A01"/>
    <w:rsid w:val="00777149"/>
    <w:rsid w:val="007775DD"/>
    <w:rsid w:val="00777773"/>
    <w:rsid w:val="00777CB6"/>
    <w:rsid w:val="00777FAD"/>
    <w:rsid w:val="00780C08"/>
    <w:rsid w:val="00780C36"/>
    <w:rsid w:val="00780D1E"/>
    <w:rsid w:val="00780DB8"/>
    <w:rsid w:val="00780F52"/>
    <w:rsid w:val="00781176"/>
    <w:rsid w:val="007818E4"/>
    <w:rsid w:val="00781924"/>
    <w:rsid w:val="00781E26"/>
    <w:rsid w:val="00781FE0"/>
    <w:rsid w:val="0078215E"/>
    <w:rsid w:val="0078385C"/>
    <w:rsid w:val="0078398F"/>
    <w:rsid w:val="00783C14"/>
    <w:rsid w:val="00783C23"/>
    <w:rsid w:val="00783C96"/>
    <w:rsid w:val="007842DB"/>
    <w:rsid w:val="00784493"/>
    <w:rsid w:val="007849CB"/>
    <w:rsid w:val="00785242"/>
    <w:rsid w:val="00785EAF"/>
    <w:rsid w:val="00786642"/>
    <w:rsid w:val="00787139"/>
    <w:rsid w:val="007874C5"/>
    <w:rsid w:val="00790074"/>
    <w:rsid w:val="0079018B"/>
    <w:rsid w:val="007901B4"/>
    <w:rsid w:val="007906C2"/>
    <w:rsid w:val="00790855"/>
    <w:rsid w:val="00790A13"/>
    <w:rsid w:val="00790FC4"/>
    <w:rsid w:val="007915D4"/>
    <w:rsid w:val="0079271B"/>
    <w:rsid w:val="00792BA2"/>
    <w:rsid w:val="00792E39"/>
    <w:rsid w:val="00792EEE"/>
    <w:rsid w:val="007930EA"/>
    <w:rsid w:val="00793F72"/>
    <w:rsid w:val="007940A8"/>
    <w:rsid w:val="0079457F"/>
    <w:rsid w:val="0079487F"/>
    <w:rsid w:val="007948AF"/>
    <w:rsid w:val="007948CC"/>
    <w:rsid w:val="00795142"/>
    <w:rsid w:val="00795573"/>
    <w:rsid w:val="00795D5B"/>
    <w:rsid w:val="00795FF3"/>
    <w:rsid w:val="007967CC"/>
    <w:rsid w:val="00797681"/>
    <w:rsid w:val="00797C6A"/>
    <w:rsid w:val="007A086C"/>
    <w:rsid w:val="007A0CF7"/>
    <w:rsid w:val="007A0DEF"/>
    <w:rsid w:val="007A1839"/>
    <w:rsid w:val="007A1973"/>
    <w:rsid w:val="007A29A7"/>
    <w:rsid w:val="007A2AD9"/>
    <w:rsid w:val="007A2E17"/>
    <w:rsid w:val="007A3359"/>
    <w:rsid w:val="007A3406"/>
    <w:rsid w:val="007A3643"/>
    <w:rsid w:val="007A3A6B"/>
    <w:rsid w:val="007A4151"/>
    <w:rsid w:val="007A4404"/>
    <w:rsid w:val="007A44BA"/>
    <w:rsid w:val="007A45E2"/>
    <w:rsid w:val="007A5108"/>
    <w:rsid w:val="007A512A"/>
    <w:rsid w:val="007A5A6F"/>
    <w:rsid w:val="007A5AA7"/>
    <w:rsid w:val="007A5D46"/>
    <w:rsid w:val="007A5DAB"/>
    <w:rsid w:val="007A5E4D"/>
    <w:rsid w:val="007A70E3"/>
    <w:rsid w:val="007A74B6"/>
    <w:rsid w:val="007A77F5"/>
    <w:rsid w:val="007A7C6E"/>
    <w:rsid w:val="007A7DBF"/>
    <w:rsid w:val="007B08B7"/>
    <w:rsid w:val="007B0967"/>
    <w:rsid w:val="007B145B"/>
    <w:rsid w:val="007B1D89"/>
    <w:rsid w:val="007B1E84"/>
    <w:rsid w:val="007B2590"/>
    <w:rsid w:val="007B26CC"/>
    <w:rsid w:val="007B2B35"/>
    <w:rsid w:val="007B3019"/>
    <w:rsid w:val="007B3061"/>
    <w:rsid w:val="007B3512"/>
    <w:rsid w:val="007B3559"/>
    <w:rsid w:val="007B3919"/>
    <w:rsid w:val="007B4098"/>
    <w:rsid w:val="007B439B"/>
    <w:rsid w:val="007B43B4"/>
    <w:rsid w:val="007B44A1"/>
    <w:rsid w:val="007B4B80"/>
    <w:rsid w:val="007B53BD"/>
    <w:rsid w:val="007B5AF9"/>
    <w:rsid w:val="007B5D08"/>
    <w:rsid w:val="007B63AA"/>
    <w:rsid w:val="007B65A9"/>
    <w:rsid w:val="007B681A"/>
    <w:rsid w:val="007B6908"/>
    <w:rsid w:val="007B6B30"/>
    <w:rsid w:val="007B6C0E"/>
    <w:rsid w:val="007B6CAD"/>
    <w:rsid w:val="007B6CD5"/>
    <w:rsid w:val="007B75C0"/>
    <w:rsid w:val="007B7BFA"/>
    <w:rsid w:val="007C04F1"/>
    <w:rsid w:val="007C058F"/>
    <w:rsid w:val="007C06C6"/>
    <w:rsid w:val="007C162C"/>
    <w:rsid w:val="007C1A2F"/>
    <w:rsid w:val="007C1BD1"/>
    <w:rsid w:val="007C2941"/>
    <w:rsid w:val="007C2BE8"/>
    <w:rsid w:val="007C2D44"/>
    <w:rsid w:val="007C34B3"/>
    <w:rsid w:val="007C4889"/>
    <w:rsid w:val="007C49F3"/>
    <w:rsid w:val="007C4DF2"/>
    <w:rsid w:val="007C4EC0"/>
    <w:rsid w:val="007C5202"/>
    <w:rsid w:val="007C5242"/>
    <w:rsid w:val="007C5588"/>
    <w:rsid w:val="007C565F"/>
    <w:rsid w:val="007C67A4"/>
    <w:rsid w:val="007C67A5"/>
    <w:rsid w:val="007C680A"/>
    <w:rsid w:val="007C684F"/>
    <w:rsid w:val="007C6919"/>
    <w:rsid w:val="007C6AA3"/>
    <w:rsid w:val="007C6DBD"/>
    <w:rsid w:val="007C7071"/>
    <w:rsid w:val="007C7200"/>
    <w:rsid w:val="007C7AD7"/>
    <w:rsid w:val="007D053E"/>
    <w:rsid w:val="007D05AD"/>
    <w:rsid w:val="007D05DA"/>
    <w:rsid w:val="007D09C8"/>
    <w:rsid w:val="007D0B07"/>
    <w:rsid w:val="007D0E33"/>
    <w:rsid w:val="007D10DD"/>
    <w:rsid w:val="007D12DE"/>
    <w:rsid w:val="007D1898"/>
    <w:rsid w:val="007D1A35"/>
    <w:rsid w:val="007D1E5F"/>
    <w:rsid w:val="007D2606"/>
    <w:rsid w:val="007D2767"/>
    <w:rsid w:val="007D28DA"/>
    <w:rsid w:val="007D2E3D"/>
    <w:rsid w:val="007D346A"/>
    <w:rsid w:val="007D346B"/>
    <w:rsid w:val="007D37A8"/>
    <w:rsid w:val="007D46E2"/>
    <w:rsid w:val="007D5719"/>
    <w:rsid w:val="007D611B"/>
    <w:rsid w:val="007D6D53"/>
    <w:rsid w:val="007D6E93"/>
    <w:rsid w:val="007D6FE6"/>
    <w:rsid w:val="007D7312"/>
    <w:rsid w:val="007D74B8"/>
    <w:rsid w:val="007D751F"/>
    <w:rsid w:val="007D7D7D"/>
    <w:rsid w:val="007E0419"/>
    <w:rsid w:val="007E0A2D"/>
    <w:rsid w:val="007E12CF"/>
    <w:rsid w:val="007E1905"/>
    <w:rsid w:val="007E1A7E"/>
    <w:rsid w:val="007E1A83"/>
    <w:rsid w:val="007E20C3"/>
    <w:rsid w:val="007E21D4"/>
    <w:rsid w:val="007E23C3"/>
    <w:rsid w:val="007E29FF"/>
    <w:rsid w:val="007E2B00"/>
    <w:rsid w:val="007E2C3D"/>
    <w:rsid w:val="007E2F55"/>
    <w:rsid w:val="007E2FB3"/>
    <w:rsid w:val="007E3105"/>
    <w:rsid w:val="007E3647"/>
    <w:rsid w:val="007E3B3E"/>
    <w:rsid w:val="007E41EE"/>
    <w:rsid w:val="007E45F5"/>
    <w:rsid w:val="007E4A46"/>
    <w:rsid w:val="007E4BD1"/>
    <w:rsid w:val="007E4CD3"/>
    <w:rsid w:val="007E51ED"/>
    <w:rsid w:val="007E5F18"/>
    <w:rsid w:val="007E5F26"/>
    <w:rsid w:val="007E64FB"/>
    <w:rsid w:val="007E6635"/>
    <w:rsid w:val="007E688D"/>
    <w:rsid w:val="007E6B1E"/>
    <w:rsid w:val="007E6B58"/>
    <w:rsid w:val="007E7150"/>
    <w:rsid w:val="007E77F3"/>
    <w:rsid w:val="007E7EAD"/>
    <w:rsid w:val="007F0FB9"/>
    <w:rsid w:val="007F1AC5"/>
    <w:rsid w:val="007F1E51"/>
    <w:rsid w:val="007F1F7B"/>
    <w:rsid w:val="007F27FD"/>
    <w:rsid w:val="007F2CB4"/>
    <w:rsid w:val="007F2EFF"/>
    <w:rsid w:val="007F2F2B"/>
    <w:rsid w:val="007F30B6"/>
    <w:rsid w:val="007F362C"/>
    <w:rsid w:val="007F36C8"/>
    <w:rsid w:val="007F3B76"/>
    <w:rsid w:val="007F4985"/>
    <w:rsid w:val="007F49D3"/>
    <w:rsid w:val="007F5272"/>
    <w:rsid w:val="007F6071"/>
    <w:rsid w:val="007F6B37"/>
    <w:rsid w:val="007F7488"/>
    <w:rsid w:val="007F7C9D"/>
    <w:rsid w:val="00800A6D"/>
    <w:rsid w:val="00800D2C"/>
    <w:rsid w:val="0080142F"/>
    <w:rsid w:val="0080149F"/>
    <w:rsid w:val="00801AD6"/>
    <w:rsid w:val="00801C70"/>
    <w:rsid w:val="00801D4A"/>
    <w:rsid w:val="00801F7A"/>
    <w:rsid w:val="0080220D"/>
    <w:rsid w:val="0080232B"/>
    <w:rsid w:val="008026E4"/>
    <w:rsid w:val="00802D88"/>
    <w:rsid w:val="00803379"/>
    <w:rsid w:val="00803651"/>
    <w:rsid w:val="008037A1"/>
    <w:rsid w:val="008037A4"/>
    <w:rsid w:val="0080425A"/>
    <w:rsid w:val="00804731"/>
    <w:rsid w:val="00804887"/>
    <w:rsid w:val="008048E2"/>
    <w:rsid w:val="00804D7C"/>
    <w:rsid w:val="008055DD"/>
    <w:rsid w:val="008056FE"/>
    <w:rsid w:val="00805BD0"/>
    <w:rsid w:val="0080622C"/>
    <w:rsid w:val="00806270"/>
    <w:rsid w:val="008067AD"/>
    <w:rsid w:val="008069EC"/>
    <w:rsid w:val="00806D0E"/>
    <w:rsid w:val="008078FD"/>
    <w:rsid w:val="00807F15"/>
    <w:rsid w:val="008116FD"/>
    <w:rsid w:val="00811D37"/>
    <w:rsid w:val="00811FA5"/>
    <w:rsid w:val="008121D1"/>
    <w:rsid w:val="00812223"/>
    <w:rsid w:val="0081239F"/>
    <w:rsid w:val="008127E0"/>
    <w:rsid w:val="00812AD9"/>
    <w:rsid w:val="00812DD6"/>
    <w:rsid w:val="0081367D"/>
    <w:rsid w:val="00813782"/>
    <w:rsid w:val="0081391E"/>
    <w:rsid w:val="0081434D"/>
    <w:rsid w:val="00814812"/>
    <w:rsid w:val="00814DBE"/>
    <w:rsid w:val="008157EC"/>
    <w:rsid w:val="00815950"/>
    <w:rsid w:val="00816249"/>
    <w:rsid w:val="008167AA"/>
    <w:rsid w:val="0081690E"/>
    <w:rsid w:val="00816BD5"/>
    <w:rsid w:val="00816D05"/>
    <w:rsid w:val="00817183"/>
    <w:rsid w:val="00817A5D"/>
    <w:rsid w:val="00817DC6"/>
    <w:rsid w:val="0082009F"/>
    <w:rsid w:val="00820303"/>
    <w:rsid w:val="00820666"/>
    <w:rsid w:val="008208E4"/>
    <w:rsid w:val="008209D4"/>
    <w:rsid w:val="00821259"/>
    <w:rsid w:val="008213A4"/>
    <w:rsid w:val="0082154F"/>
    <w:rsid w:val="00821DFD"/>
    <w:rsid w:val="008232C9"/>
    <w:rsid w:val="008232EC"/>
    <w:rsid w:val="0082383C"/>
    <w:rsid w:val="00824026"/>
    <w:rsid w:val="008244B3"/>
    <w:rsid w:val="00824983"/>
    <w:rsid w:val="008249D4"/>
    <w:rsid w:val="00824BD3"/>
    <w:rsid w:val="00825A8C"/>
    <w:rsid w:val="00825CF3"/>
    <w:rsid w:val="0082675D"/>
    <w:rsid w:val="0082677C"/>
    <w:rsid w:val="00827208"/>
    <w:rsid w:val="00827278"/>
    <w:rsid w:val="00827398"/>
    <w:rsid w:val="008278C4"/>
    <w:rsid w:val="00827B9F"/>
    <w:rsid w:val="00827DAA"/>
    <w:rsid w:val="0083035F"/>
    <w:rsid w:val="00830974"/>
    <w:rsid w:val="00830AC8"/>
    <w:rsid w:val="00830B71"/>
    <w:rsid w:val="00830F75"/>
    <w:rsid w:val="008310A7"/>
    <w:rsid w:val="008315D0"/>
    <w:rsid w:val="008318BE"/>
    <w:rsid w:val="00831C7A"/>
    <w:rsid w:val="00832CB4"/>
    <w:rsid w:val="00832D15"/>
    <w:rsid w:val="0083300D"/>
    <w:rsid w:val="00833F1A"/>
    <w:rsid w:val="00834834"/>
    <w:rsid w:val="008351E3"/>
    <w:rsid w:val="0083568D"/>
    <w:rsid w:val="00835F9E"/>
    <w:rsid w:val="00836C3E"/>
    <w:rsid w:val="0083726A"/>
    <w:rsid w:val="008373B5"/>
    <w:rsid w:val="008376F9"/>
    <w:rsid w:val="0084087B"/>
    <w:rsid w:val="00840ED5"/>
    <w:rsid w:val="00841709"/>
    <w:rsid w:val="008425F8"/>
    <w:rsid w:val="0084310E"/>
    <w:rsid w:val="0084312E"/>
    <w:rsid w:val="00843632"/>
    <w:rsid w:val="008436ED"/>
    <w:rsid w:val="0084433F"/>
    <w:rsid w:val="00844D10"/>
    <w:rsid w:val="00845518"/>
    <w:rsid w:val="008456CF"/>
    <w:rsid w:val="00845875"/>
    <w:rsid w:val="00845F47"/>
    <w:rsid w:val="00846144"/>
    <w:rsid w:val="0084685C"/>
    <w:rsid w:val="00846B8C"/>
    <w:rsid w:val="00846C6B"/>
    <w:rsid w:val="00846C8E"/>
    <w:rsid w:val="00846EF1"/>
    <w:rsid w:val="008474D8"/>
    <w:rsid w:val="00847EDC"/>
    <w:rsid w:val="008503A5"/>
    <w:rsid w:val="00850624"/>
    <w:rsid w:val="00850CED"/>
    <w:rsid w:val="00850DDD"/>
    <w:rsid w:val="00851723"/>
    <w:rsid w:val="00852125"/>
    <w:rsid w:val="008522E0"/>
    <w:rsid w:val="0085244A"/>
    <w:rsid w:val="0085265F"/>
    <w:rsid w:val="008530DE"/>
    <w:rsid w:val="008537E9"/>
    <w:rsid w:val="008538EA"/>
    <w:rsid w:val="00854248"/>
    <w:rsid w:val="00854382"/>
    <w:rsid w:val="00854652"/>
    <w:rsid w:val="00854A18"/>
    <w:rsid w:val="00854E37"/>
    <w:rsid w:val="00855230"/>
    <w:rsid w:val="00855716"/>
    <w:rsid w:val="0085609B"/>
    <w:rsid w:val="008568EA"/>
    <w:rsid w:val="00856CAE"/>
    <w:rsid w:val="008573DD"/>
    <w:rsid w:val="00857451"/>
    <w:rsid w:val="0086026E"/>
    <w:rsid w:val="0086045C"/>
    <w:rsid w:val="00860574"/>
    <w:rsid w:val="008605D9"/>
    <w:rsid w:val="00860B5F"/>
    <w:rsid w:val="00861BA1"/>
    <w:rsid w:val="00861CBF"/>
    <w:rsid w:val="00862879"/>
    <w:rsid w:val="00862C58"/>
    <w:rsid w:val="00863626"/>
    <w:rsid w:val="008637F3"/>
    <w:rsid w:val="00863856"/>
    <w:rsid w:val="00863E55"/>
    <w:rsid w:val="00864700"/>
    <w:rsid w:val="0086474E"/>
    <w:rsid w:val="008647A8"/>
    <w:rsid w:val="008647E3"/>
    <w:rsid w:val="00864B93"/>
    <w:rsid w:val="00864CDD"/>
    <w:rsid w:val="0086551F"/>
    <w:rsid w:val="008659AF"/>
    <w:rsid w:val="00865E22"/>
    <w:rsid w:val="008660A8"/>
    <w:rsid w:val="00866ECD"/>
    <w:rsid w:val="00867484"/>
    <w:rsid w:val="0086750F"/>
    <w:rsid w:val="008678CB"/>
    <w:rsid w:val="00867C41"/>
    <w:rsid w:val="00870839"/>
    <w:rsid w:val="00870B17"/>
    <w:rsid w:val="00870DD7"/>
    <w:rsid w:val="0087119F"/>
    <w:rsid w:val="0087264E"/>
    <w:rsid w:val="008727C7"/>
    <w:rsid w:val="00872BE9"/>
    <w:rsid w:val="00873022"/>
    <w:rsid w:val="0087331B"/>
    <w:rsid w:val="00873BF9"/>
    <w:rsid w:val="0087478A"/>
    <w:rsid w:val="008752FE"/>
    <w:rsid w:val="008753F0"/>
    <w:rsid w:val="00875706"/>
    <w:rsid w:val="008768EB"/>
    <w:rsid w:val="00877200"/>
    <w:rsid w:val="0087764E"/>
    <w:rsid w:val="008805EB"/>
    <w:rsid w:val="008805FE"/>
    <w:rsid w:val="0088067C"/>
    <w:rsid w:val="00880817"/>
    <w:rsid w:val="00880C88"/>
    <w:rsid w:val="00880F6C"/>
    <w:rsid w:val="00881087"/>
    <w:rsid w:val="00881B5B"/>
    <w:rsid w:val="00881DEB"/>
    <w:rsid w:val="00881E8E"/>
    <w:rsid w:val="00881F68"/>
    <w:rsid w:val="00882051"/>
    <w:rsid w:val="00882510"/>
    <w:rsid w:val="00882676"/>
    <w:rsid w:val="00882C82"/>
    <w:rsid w:val="0088307E"/>
    <w:rsid w:val="00884186"/>
    <w:rsid w:val="00884728"/>
    <w:rsid w:val="0088552C"/>
    <w:rsid w:val="008855D9"/>
    <w:rsid w:val="008856AD"/>
    <w:rsid w:val="008858DB"/>
    <w:rsid w:val="008859E8"/>
    <w:rsid w:val="00885BD9"/>
    <w:rsid w:val="00885D03"/>
    <w:rsid w:val="00885ED7"/>
    <w:rsid w:val="00885FCB"/>
    <w:rsid w:val="008866A7"/>
    <w:rsid w:val="0088698E"/>
    <w:rsid w:val="008875BF"/>
    <w:rsid w:val="00887DE6"/>
    <w:rsid w:val="008901F1"/>
    <w:rsid w:val="0089037A"/>
    <w:rsid w:val="0089048A"/>
    <w:rsid w:val="008912FF"/>
    <w:rsid w:val="00891456"/>
    <w:rsid w:val="008917C0"/>
    <w:rsid w:val="00891A48"/>
    <w:rsid w:val="00892376"/>
    <w:rsid w:val="00892F90"/>
    <w:rsid w:val="008930F2"/>
    <w:rsid w:val="00893990"/>
    <w:rsid w:val="00894B5A"/>
    <w:rsid w:val="00895708"/>
    <w:rsid w:val="00895C5B"/>
    <w:rsid w:val="00895E94"/>
    <w:rsid w:val="00895ED2"/>
    <w:rsid w:val="0089663F"/>
    <w:rsid w:val="00896B5C"/>
    <w:rsid w:val="00896F4E"/>
    <w:rsid w:val="00897210"/>
    <w:rsid w:val="00897F50"/>
    <w:rsid w:val="008A002D"/>
    <w:rsid w:val="008A0038"/>
    <w:rsid w:val="008A07EF"/>
    <w:rsid w:val="008A089F"/>
    <w:rsid w:val="008A16E4"/>
    <w:rsid w:val="008A1BA1"/>
    <w:rsid w:val="008A1BB7"/>
    <w:rsid w:val="008A2677"/>
    <w:rsid w:val="008A29C0"/>
    <w:rsid w:val="008A2A73"/>
    <w:rsid w:val="008A3533"/>
    <w:rsid w:val="008A35C8"/>
    <w:rsid w:val="008A3AED"/>
    <w:rsid w:val="008A49E9"/>
    <w:rsid w:val="008A4DE4"/>
    <w:rsid w:val="008A4E8F"/>
    <w:rsid w:val="008A5823"/>
    <w:rsid w:val="008A614F"/>
    <w:rsid w:val="008A650C"/>
    <w:rsid w:val="008A6513"/>
    <w:rsid w:val="008A65AA"/>
    <w:rsid w:val="008A6796"/>
    <w:rsid w:val="008A6927"/>
    <w:rsid w:val="008A6EDF"/>
    <w:rsid w:val="008A71A1"/>
    <w:rsid w:val="008A74DB"/>
    <w:rsid w:val="008B0422"/>
    <w:rsid w:val="008B04D0"/>
    <w:rsid w:val="008B06F4"/>
    <w:rsid w:val="008B0FB2"/>
    <w:rsid w:val="008B144C"/>
    <w:rsid w:val="008B18C1"/>
    <w:rsid w:val="008B1D39"/>
    <w:rsid w:val="008B1DF3"/>
    <w:rsid w:val="008B20F7"/>
    <w:rsid w:val="008B259A"/>
    <w:rsid w:val="008B2887"/>
    <w:rsid w:val="008B29BC"/>
    <w:rsid w:val="008B2A59"/>
    <w:rsid w:val="008B2BD9"/>
    <w:rsid w:val="008B3009"/>
    <w:rsid w:val="008B3994"/>
    <w:rsid w:val="008B399C"/>
    <w:rsid w:val="008B4C3A"/>
    <w:rsid w:val="008B52F9"/>
    <w:rsid w:val="008B59DC"/>
    <w:rsid w:val="008B60A3"/>
    <w:rsid w:val="008B60D2"/>
    <w:rsid w:val="008B67D2"/>
    <w:rsid w:val="008B691D"/>
    <w:rsid w:val="008B6F3A"/>
    <w:rsid w:val="008B6F96"/>
    <w:rsid w:val="008B7785"/>
    <w:rsid w:val="008B7B84"/>
    <w:rsid w:val="008B7EB6"/>
    <w:rsid w:val="008C0FC0"/>
    <w:rsid w:val="008C10A6"/>
    <w:rsid w:val="008C19D6"/>
    <w:rsid w:val="008C20AD"/>
    <w:rsid w:val="008C24A8"/>
    <w:rsid w:val="008C263A"/>
    <w:rsid w:val="008C327A"/>
    <w:rsid w:val="008C401B"/>
    <w:rsid w:val="008C42B0"/>
    <w:rsid w:val="008C4628"/>
    <w:rsid w:val="008C47AC"/>
    <w:rsid w:val="008C48B6"/>
    <w:rsid w:val="008C57E1"/>
    <w:rsid w:val="008C5DBE"/>
    <w:rsid w:val="008C5E62"/>
    <w:rsid w:val="008C6617"/>
    <w:rsid w:val="008C6CDC"/>
    <w:rsid w:val="008C71AB"/>
    <w:rsid w:val="008C7299"/>
    <w:rsid w:val="008C7589"/>
    <w:rsid w:val="008C75D7"/>
    <w:rsid w:val="008C7782"/>
    <w:rsid w:val="008C7AB0"/>
    <w:rsid w:val="008D002D"/>
    <w:rsid w:val="008D0CA7"/>
    <w:rsid w:val="008D0CE7"/>
    <w:rsid w:val="008D0D10"/>
    <w:rsid w:val="008D1165"/>
    <w:rsid w:val="008D1946"/>
    <w:rsid w:val="008D1A2D"/>
    <w:rsid w:val="008D1A9E"/>
    <w:rsid w:val="008D1B45"/>
    <w:rsid w:val="008D1E29"/>
    <w:rsid w:val="008D23EF"/>
    <w:rsid w:val="008D262A"/>
    <w:rsid w:val="008D34E5"/>
    <w:rsid w:val="008D3AB7"/>
    <w:rsid w:val="008D4252"/>
    <w:rsid w:val="008D46BD"/>
    <w:rsid w:val="008D4937"/>
    <w:rsid w:val="008D49EF"/>
    <w:rsid w:val="008D4AA3"/>
    <w:rsid w:val="008D5B73"/>
    <w:rsid w:val="008D636F"/>
    <w:rsid w:val="008D6632"/>
    <w:rsid w:val="008D6669"/>
    <w:rsid w:val="008D6B81"/>
    <w:rsid w:val="008D7381"/>
    <w:rsid w:val="008E03D7"/>
    <w:rsid w:val="008E05BF"/>
    <w:rsid w:val="008E091A"/>
    <w:rsid w:val="008E0930"/>
    <w:rsid w:val="008E0FC8"/>
    <w:rsid w:val="008E1007"/>
    <w:rsid w:val="008E14A5"/>
    <w:rsid w:val="008E1D25"/>
    <w:rsid w:val="008E1ED2"/>
    <w:rsid w:val="008E21EF"/>
    <w:rsid w:val="008E251B"/>
    <w:rsid w:val="008E2537"/>
    <w:rsid w:val="008E2D9F"/>
    <w:rsid w:val="008E3104"/>
    <w:rsid w:val="008E3904"/>
    <w:rsid w:val="008E471C"/>
    <w:rsid w:val="008E4B17"/>
    <w:rsid w:val="008E4F05"/>
    <w:rsid w:val="008E5A73"/>
    <w:rsid w:val="008E5B3B"/>
    <w:rsid w:val="008E5C0C"/>
    <w:rsid w:val="008E5DDA"/>
    <w:rsid w:val="008E618E"/>
    <w:rsid w:val="008E622E"/>
    <w:rsid w:val="008E6CA3"/>
    <w:rsid w:val="008E6EB2"/>
    <w:rsid w:val="008E74FA"/>
    <w:rsid w:val="008E767A"/>
    <w:rsid w:val="008E7D85"/>
    <w:rsid w:val="008F009F"/>
    <w:rsid w:val="008F06A7"/>
    <w:rsid w:val="008F077F"/>
    <w:rsid w:val="008F0A61"/>
    <w:rsid w:val="008F145C"/>
    <w:rsid w:val="008F159F"/>
    <w:rsid w:val="008F16DA"/>
    <w:rsid w:val="008F1759"/>
    <w:rsid w:val="008F1A9F"/>
    <w:rsid w:val="008F1FCC"/>
    <w:rsid w:val="008F2121"/>
    <w:rsid w:val="008F3C34"/>
    <w:rsid w:val="008F476A"/>
    <w:rsid w:val="008F4F2D"/>
    <w:rsid w:val="008F6AF4"/>
    <w:rsid w:val="008F75C1"/>
    <w:rsid w:val="00900097"/>
    <w:rsid w:val="009002EA"/>
    <w:rsid w:val="00900404"/>
    <w:rsid w:val="00900628"/>
    <w:rsid w:val="00900985"/>
    <w:rsid w:val="009009F6"/>
    <w:rsid w:val="00900C5D"/>
    <w:rsid w:val="00901180"/>
    <w:rsid w:val="009012CF"/>
    <w:rsid w:val="00901548"/>
    <w:rsid w:val="00901872"/>
    <w:rsid w:val="00901FC9"/>
    <w:rsid w:val="00902071"/>
    <w:rsid w:val="009024D0"/>
    <w:rsid w:val="009028F5"/>
    <w:rsid w:val="00902BF6"/>
    <w:rsid w:val="00903003"/>
    <w:rsid w:val="0090311B"/>
    <w:rsid w:val="009034C2"/>
    <w:rsid w:val="0090373D"/>
    <w:rsid w:val="009038C1"/>
    <w:rsid w:val="00903B61"/>
    <w:rsid w:val="00904EE5"/>
    <w:rsid w:val="00905216"/>
    <w:rsid w:val="009056BF"/>
    <w:rsid w:val="009062B2"/>
    <w:rsid w:val="00906396"/>
    <w:rsid w:val="0090673D"/>
    <w:rsid w:val="009068C9"/>
    <w:rsid w:val="00906A3F"/>
    <w:rsid w:val="0090763E"/>
    <w:rsid w:val="00907959"/>
    <w:rsid w:val="00907A3A"/>
    <w:rsid w:val="00907ABD"/>
    <w:rsid w:val="00907ADB"/>
    <w:rsid w:val="009102C5"/>
    <w:rsid w:val="009104C5"/>
    <w:rsid w:val="0091064A"/>
    <w:rsid w:val="009113CE"/>
    <w:rsid w:val="009116DC"/>
    <w:rsid w:val="009118C1"/>
    <w:rsid w:val="00911C9B"/>
    <w:rsid w:val="00911E40"/>
    <w:rsid w:val="00912106"/>
    <w:rsid w:val="00912632"/>
    <w:rsid w:val="009128DA"/>
    <w:rsid w:val="00913075"/>
    <w:rsid w:val="009135D9"/>
    <w:rsid w:val="00913BB1"/>
    <w:rsid w:val="0091404C"/>
    <w:rsid w:val="009142AE"/>
    <w:rsid w:val="009143F9"/>
    <w:rsid w:val="0091445A"/>
    <w:rsid w:val="00914703"/>
    <w:rsid w:val="00914E05"/>
    <w:rsid w:val="00914F12"/>
    <w:rsid w:val="0091573D"/>
    <w:rsid w:val="009157E3"/>
    <w:rsid w:val="00915984"/>
    <w:rsid w:val="00916482"/>
    <w:rsid w:val="0091703F"/>
    <w:rsid w:val="0091753A"/>
    <w:rsid w:val="0091756C"/>
    <w:rsid w:val="00917B6F"/>
    <w:rsid w:val="00917BA3"/>
    <w:rsid w:val="00917CC9"/>
    <w:rsid w:val="00920AD5"/>
    <w:rsid w:val="0092107A"/>
    <w:rsid w:val="0092112B"/>
    <w:rsid w:val="0092172C"/>
    <w:rsid w:val="00921ABA"/>
    <w:rsid w:val="00921E99"/>
    <w:rsid w:val="009225C1"/>
    <w:rsid w:val="0092289B"/>
    <w:rsid w:val="00922BDE"/>
    <w:rsid w:val="00922DB7"/>
    <w:rsid w:val="00923427"/>
    <w:rsid w:val="00923785"/>
    <w:rsid w:val="009237D2"/>
    <w:rsid w:val="009241A2"/>
    <w:rsid w:val="00924516"/>
    <w:rsid w:val="009249A7"/>
    <w:rsid w:val="00925484"/>
    <w:rsid w:val="00925887"/>
    <w:rsid w:val="00925AD6"/>
    <w:rsid w:val="00925B58"/>
    <w:rsid w:val="00926395"/>
    <w:rsid w:val="00926FC9"/>
    <w:rsid w:val="009275EE"/>
    <w:rsid w:val="0093041D"/>
    <w:rsid w:val="00930475"/>
    <w:rsid w:val="009304B7"/>
    <w:rsid w:val="009305C5"/>
    <w:rsid w:val="009311C1"/>
    <w:rsid w:val="00931454"/>
    <w:rsid w:val="009316BE"/>
    <w:rsid w:val="009318F9"/>
    <w:rsid w:val="00931C31"/>
    <w:rsid w:val="00932859"/>
    <w:rsid w:val="0093322D"/>
    <w:rsid w:val="009333AF"/>
    <w:rsid w:val="00933657"/>
    <w:rsid w:val="009338F9"/>
    <w:rsid w:val="00933E00"/>
    <w:rsid w:val="009343D9"/>
    <w:rsid w:val="0093445F"/>
    <w:rsid w:val="009345CF"/>
    <w:rsid w:val="009347CC"/>
    <w:rsid w:val="00934B2F"/>
    <w:rsid w:val="00934D0B"/>
    <w:rsid w:val="00934EB8"/>
    <w:rsid w:val="00935286"/>
    <w:rsid w:val="009352CD"/>
    <w:rsid w:val="00935514"/>
    <w:rsid w:val="00935F1B"/>
    <w:rsid w:val="00936051"/>
    <w:rsid w:val="009361E1"/>
    <w:rsid w:val="00936232"/>
    <w:rsid w:val="009371FC"/>
    <w:rsid w:val="009372A1"/>
    <w:rsid w:val="00937392"/>
    <w:rsid w:val="00937436"/>
    <w:rsid w:val="009403AA"/>
    <w:rsid w:val="009407CA"/>
    <w:rsid w:val="009411C7"/>
    <w:rsid w:val="00941253"/>
    <w:rsid w:val="00941748"/>
    <w:rsid w:val="009418D2"/>
    <w:rsid w:val="00941FEB"/>
    <w:rsid w:val="00942237"/>
    <w:rsid w:val="00942508"/>
    <w:rsid w:val="009430C7"/>
    <w:rsid w:val="009434D3"/>
    <w:rsid w:val="00943725"/>
    <w:rsid w:val="00943B76"/>
    <w:rsid w:val="00944063"/>
    <w:rsid w:val="0094406B"/>
    <w:rsid w:val="0094484C"/>
    <w:rsid w:val="009449B9"/>
    <w:rsid w:val="00945637"/>
    <w:rsid w:val="0094568A"/>
    <w:rsid w:val="00945D0D"/>
    <w:rsid w:val="00945EBD"/>
    <w:rsid w:val="00945FC7"/>
    <w:rsid w:val="0094621D"/>
    <w:rsid w:val="0094752F"/>
    <w:rsid w:val="0094783D"/>
    <w:rsid w:val="00947FFE"/>
    <w:rsid w:val="009504AF"/>
    <w:rsid w:val="00950E85"/>
    <w:rsid w:val="00950F8A"/>
    <w:rsid w:val="0095138E"/>
    <w:rsid w:val="009519F8"/>
    <w:rsid w:val="00952679"/>
    <w:rsid w:val="0095287C"/>
    <w:rsid w:val="00953404"/>
    <w:rsid w:val="00953456"/>
    <w:rsid w:val="00954463"/>
    <w:rsid w:val="0095461A"/>
    <w:rsid w:val="00954C21"/>
    <w:rsid w:val="00954D7F"/>
    <w:rsid w:val="00954E62"/>
    <w:rsid w:val="00954FDC"/>
    <w:rsid w:val="009557D6"/>
    <w:rsid w:val="00955A5E"/>
    <w:rsid w:val="00955F02"/>
    <w:rsid w:val="00955F8B"/>
    <w:rsid w:val="00956452"/>
    <w:rsid w:val="0095648D"/>
    <w:rsid w:val="00956614"/>
    <w:rsid w:val="009566F8"/>
    <w:rsid w:val="00956A6D"/>
    <w:rsid w:val="00956E30"/>
    <w:rsid w:val="009578C6"/>
    <w:rsid w:val="00960016"/>
    <w:rsid w:val="00960278"/>
    <w:rsid w:val="009602FF"/>
    <w:rsid w:val="00960535"/>
    <w:rsid w:val="00960630"/>
    <w:rsid w:val="009606D5"/>
    <w:rsid w:val="00960EC5"/>
    <w:rsid w:val="00961998"/>
    <w:rsid w:val="00961D23"/>
    <w:rsid w:val="00961D41"/>
    <w:rsid w:val="009621A6"/>
    <w:rsid w:val="00962A97"/>
    <w:rsid w:val="0096357C"/>
    <w:rsid w:val="00964760"/>
    <w:rsid w:val="00964BA5"/>
    <w:rsid w:val="00964EB6"/>
    <w:rsid w:val="009651A2"/>
    <w:rsid w:val="00965296"/>
    <w:rsid w:val="009653D1"/>
    <w:rsid w:val="00965DDE"/>
    <w:rsid w:val="00966EA9"/>
    <w:rsid w:val="009670FC"/>
    <w:rsid w:val="009672DC"/>
    <w:rsid w:val="00967858"/>
    <w:rsid w:val="00967A19"/>
    <w:rsid w:val="00967D4F"/>
    <w:rsid w:val="00970F71"/>
    <w:rsid w:val="009710DF"/>
    <w:rsid w:val="00971669"/>
    <w:rsid w:val="00971E69"/>
    <w:rsid w:val="00972102"/>
    <w:rsid w:val="0097210A"/>
    <w:rsid w:val="00972176"/>
    <w:rsid w:val="00972523"/>
    <w:rsid w:val="009725BB"/>
    <w:rsid w:val="00972BC3"/>
    <w:rsid w:val="00973629"/>
    <w:rsid w:val="00973992"/>
    <w:rsid w:val="00973EF9"/>
    <w:rsid w:val="00973FAF"/>
    <w:rsid w:val="009749A1"/>
    <w:rsid w:val="00974C42"/>
    <w:rsid w:val="00975744"/>
    <w:rsid w:val="00975D52"/>
    <w:rsid w:val="0097662D"/>
    <w:rsid w:val="00976644"/>
    <w:rsid w:val="00976A4D"/>
    <w:rsid w:val="00976AAE"/>
    <w:rsid w:val="00976E91"/>
    <w:rsid w:val="0097755F"/>
    <w:rsid w:val="00977605"/>
    <w:rsid w:val="00977682"/>
    <w:rsid w:val="009804C0"/>
    <w:rsid w:val="0098068C"/>
    <w:rsid w:val="009813F4"/>
    <w:rsid w:val="009819C6"/>
    <w:rsid w:val="00982955"/>
    <w:rsid w:val="00982C17"/>
    <w:rsid w:val="00982D35"/>
    <w:rsid w:val="00983343"/>
    <w:rsid w:val="00983C54"/>
    <w:rsid w:val="00983E37"/>
    <w:rsid w:val="00983F63"/>
    <w:rsid w:val="009842A9"/>
    <w:rsid w:val="009846F1"/>
    <w:rsid w:val="00984786"/>
    <w:rsid w:val="00984DA9"/>
    <w:rsid w:val="00984E63"/>
    <w:rsid w:val="00984F17"/>
    <w:rsid w:val="00985549"/>
    <w:rsid w:val="00985637"/>
    <w:rsid w:val="00985669"/>
    <w:rsid w:val="00985774"/>
    <w:rsid w:val="00985E37"/>
    <w:rsid w:val="00986CED"/>
    <w:rsid w:val="009873DA"/>
    <w:rsid w:val="009877EE"/>
    <w:rsid w:val="00987892"/>
    <w:rsid w:val="00990E40"/>
    <w:rsid w:val="00992273"/>
    <w:rsid w:val="009923A2"/>
    <w:rsid w:val="00992612"/>
    <w:rsid w:val="0099288E"/>
    <w:rsid w:val="00992D70"/>
    <w:rsid w:val="00992F98"/>
    <w:rsid w:val="00993647"/>
    <w:rsid w:val="00993B75"/>
    <w:rsid w:val="00993B9B"/>
    <w:rsid w:val="00993EAF"/>
    <w:rsid w:val="0099444D"/>
    <w:rsid w:val="0099571C"/>
    <w:rsid w:val="00995CC9"/>
    <w:rsid w:val="00996172"/>
    <w:rsid w:val="00996308"/>
    <w:rsid w:val="00996554"/>
    <w:rsid w:val="00996DFB"/>
    <w:rsid w:val="00996FEF"/>
    <w:rsid w:val="0099794A"/>
    <w:rsid w:val="00997F93"/>
    <w:rsid w:val="009A0320"/>
    <w:rsid w:val="009A0839"/>
    <w:rsid w:val="009A0AFF"/>
    <w:rsid w:val="009A0C2D"/>
    <w:rsid w:val="009A0E8A"/>
    <w:rsid w:val="009A17D9"/>
    <w:rsid w:val="009A1846"/>
    <w:rsid w:val="009A2297"/>
    <w:rsid w:val="009A3082"/>
    <w:rsid w:val="009A3205"/>
    <w:rsid w:val="009A32D1"/>
    <w:rsid w:val="009A3542"/>
    <w:rsid w:val="009A3620"/>
    <w:rsid w:val="009A3DC4"/>
    <w:rsid w:val="009A4A03"/>
    <w:rsid w:val="009A4B04"/>
    <w:rsid w:val="009A4BC9"/>
    <w:rsid w:val="009A4E35"/>
    <w:rsid w:val="009A4FD0"/>
    <w:rsid w:val="009A5065"/>
    <w:rsid w:val="009A50E5"/>
    <w:rsid w:val="009A522F"/>
    <w:rsid w:val="009A5656"/>
    <w:rsid w:val="009A5A35"/>
    <w:rsid w:val="009A721B"/>
    <w:rsid w:val="009A73CF"/>
    <w:rsid w:val="009A740C"/>
    <w:rsid w:val="009A748F"/>
    <w:rsid w:val="009A7A01"/>
    <w:rsid w:val="009A7BE9"/>
    <w:rsid w:val="009B0A6E"/>
    <w:rsid w:val="009B0C25"/>
    <w:rsid w:val="009B1034"/>
    <w:rsid w:val="009B117B"/>
    <w:rsid w:val="009B12AC"/>
    <w:rsid w:val="009B1524"/>
    <w:rsid w:val="009B2D70"/>
    <w:rsid w:val="009B2FA6"/>
    <w:rsid w:val="009B30DC"/>
    <w:rsid w:val="009B3443"/>
    <w:rsid w:val="009B37F3"/>
    <w:rsid w:val="009B3E89"/>
    <w:rsid w:val="009B47A2"/>
    <w:rsid w:val="009B4989"/>
    <w:rsid w:val="009B582C"/>
    <w:rsid w:val="009B6A65"/>
    <w:rsid w:val="009B6B0A"/>
    <w:rsid w:val="009B752A"/>
    <w:rsid w:val="009B7C5A"/>
    <w:rsid w:val="009B7CA1"/>
    <w:rsid w:val="009B7D1B"/>
    <w:rsid w:val="009B7E6E"/>
    <w:rsid w:val="009C004D"/>
    <w:rsid w:val="009C083B"/>
    <w:rsid w:val="009C084F"/>
    <w:rsid w:val="009C0A31"/>
    <w:rsid w:val="009C0B70"/>
    <w:rsid w:val="009C2537"/>
    <w:rsid w:val="009C276D"/>
    <w:rsid w:val="009C284A"/>
    <w:rsid w:val="009C2A2B"/>
    <w:rsid w:val="009C2C26"/>
    <w:rsid w:val="009C3205"/>
    <w:rsid w:val="009C3B6F"/>
    <w:rsid w:val="009C3E09"/>
    <w:rsid w:val="009C4723"/>
    <w:rsid w:val="009C4DDA"/>
    <w:rsid w:val="009C4E82"/>
    <w:rsid w:val="009C5754"/>
    <w:rsid w:val="009C6577"/>
    <w:rsid w:val="009C6728"/>
    <w:rsid w:val="009C7B00"/>
    <w:rsid w:val="009C7DBF"/>
    <w:rsid w:val="009D051E"/>
    <w:rsid w:val="009D0D29"/>
    <w:rsid w:val="009D138D"/>
    <w:rsid w:val="009D1819"/>
    <w:rsid w:val="009D1E67"/>
    <w:rsid w:val="009D1FCE"/>
    <w:rsid w:val="009D2445"/>
    <w:rsid w:val="009D2612"/>
    <w:rsid w:val="009D3D0C"/>
    <w:rsid w:val="009D40F6"/>
    <w:rsid w:val="009D41F4"/>
    <w:rsid w:val="009D4678"/>
    <w:rsid w:val="009D48AE"/>
    <w:rsid w:val="009D490C"/>
    <w:rsid w:val="009D4C18"/>
    <w:rsid w:val="009D4FB7"/>
    <w:rsid w:val="009D5BEE"/>
    <w:rsid w:val="009D66E8"/>
    <w:rsid w:val="009D6E3D"/>
    <w:rsid w:val="009D7042"/>
    <w:rsid w:val="009D754A"/>
    <w:rsid w:val="009D7C11"/>
    <w:rsid w:val="009D7E13"/>
    <w:rsid w:val="009E05E6"/>
    <w:rsid w:val="009E0C53"/>
    <w:rsid w:val="009E0CAD"/>
    <w:rsid w:val="009E0D16"/>
    <w:rsid w:val="009E131A"/>
    <w:rsid w:val="009E1856"/>
    <w:rsid w:val="009E185E"/>
    <w:rsid w:val="009E1D20"/>
    <w:rsid w:val="009E21CE"/>
    <w:rsid w:val="009E253B"/>
    <w:rsid w:val="009E2B8A"/>
    <w:rsid w:val="009E2D92"/>
    <w:rsid w:val="009E2E09"/>
    <w:rsid w:val="009E3409"/>
    <w:rsid w:val="009E35D2"/>
    <w:rsid w:val="009E416B"/>
    <w:rsid w:val="009E4230"/>
    <w:rsid w:val="009E456F"/>
    <w:rsid w:val="009E4749"/>
    <w:rsid w:val="009E4C49"/>
    <w:rsid w:val="009E4C6A"/>
    <w:rsid w:val="009E4DDF"/>
    <w:rsid w:val="009E52AB"/>
    <w:rsid w:val="009E52F2"/>
    <w:rsid w:val="009E54E5"/>
    <w:rsid w:val="009E55B0"/>
    <w:rsid w:val="009E60CF"/>
    <w:rsid w:val="009E6F23"/>
    <w:rsid w:val="009E7090"/>
    <w:rsid w:val="009E70EA"/>
    <w:rsid w:val="009E7279"/>
    <w:rsid w:val="009E79F8"/>
    <w:rsid w:val="009F07AF"/>
    <w:rsid w:val="009F09E5"/>
    <w:rsid w:val="009F11F4"/>
    <w:rsid w:val="009F1556"/>
    <w:rsid w:val="009F1DEA"/>
    <w:rsid w:val="009F1DF3"/>
    <w:rsid w:val="009F259D"/>
    <w:rsid w:val="009F2FC2"/>
    <w:rsid w:val="009F300E"/>
    <w:rsid w:val="009F3628"/>
    <w:rsid w:val="009F3A30"/>
    <w:rsid w:val="009F3EDC"/>
    <w:rsid w:val="009F418B"/>
    <w:rsid w:val="009F4908"/>
    <w:rsid w:val="009F4AE2"/>
    <w:rsid w:val="009F4E02"/>
    <w:rsid w:val="009F5008"/>
    <w:rsid w:val="009F56F0"/>
    <w:rsid w:val="009F5CBF"/>
    <w:rsid w:val="009F6288"/>
    <w:rsid w:val="009F6611"/>
    <w:rsid w:val="009F66EA"/>
    <w:rsid w:val="009F6840"/>
    <w:rsid w:val="009F69FA"/>
    <w:rsid w:val="009F6EC7"/>
    <w:rsid w:val="009F72C5"/>
    <w:rsid w:val="009F7F19"/>
    <w:rsid w:val="00A00313"/>
    <w:rsid w:val="00A004BC"/>
    <w:rsid w:val="00A00ABF"/>
    <w:rsid w:val="00A00F40"/>
    <w:rsid w:val="00A01A74"/>
    <w:rsid w:val="00A01B4E"/>
    <w:rsid w:val="00A026CA"/>
    <w:rsid w:val="00A02B7A"/>
    <w:rsid w:val="00A02D73"/>
    <w:rsid w:val="00A03347"/>
    <w:rsid w:val="00A03866"/>
    <w:rsid w:val="00A03E4B"/>
    <w:rsid w:val="00A04477"/>
    <w:rsid w:val="00A0528D"/>
    <w:rsid w:val="00A053F8"/>
    <w:rsid w:val="00A0587C"/>
    <w:rsid w:val="00A059D5"/>
    <w:rsid w:val="00A064F8"/>
    <w:rsid w:val="00A078E1"/>
    <w:rsid w:val="00A10884"/>
    <w:rsid w:val="00A10C8C"/>
    <w:rsid w:val="00A1176F"/>
    <w:rsid w:val="00A11976"/>
    <w:rsid w:val="00A11AE5"/>
    <w:rsid w:val="00A11E7C"/>
    <w:rsid w:val="00A11F70"/>
    <w:rsid w:val="00A11FDC"/>
    <w:rsid w:val="00A120D2"/>
    <w:rsid w:val="00A12314"/>
    <w:rsid w:val="00A1277A"/>
    <w:rsid w:val="00A12A45"/>
    <w:rsid w:val="00A12EBA"/>
    <w:rsid w:val="00A12EC6"/>
    <w:rsid w:val="00A13356"/>
    <w:rsid w:val="00A15A25"/>
    <w:rsid w:val="00A15E7A"/>
    <w:rsid w:val="00A169B1"/>
    <w:rsid w:val="00A16BC2"/>
    <w:rsid w:val="00A177DD"/>
    <w:rsid w:val="00A17C53"/>
    <w:rsid w:val="00A17CE8"/>
    <w:rsid w:val="00A17DAD"/>
    <w:rsid w:val="00A17E88"/>
    <w:rsid w:val="00A205BF"/>
    <w:rsid w:val="00A21C83"/>
    <w:rsid w:val="00A226CA"/>
    <w:rsid w:val="00A237B7"/>
    <w:rsid w:val="00A23A6A"/>
    <w:rsid w:val="00A241E2"/>
    <w:rsid w:val="00A243ED"/>
    <w:rsid w:val="00A245D1"/>
    <w:rsid w:val="00A247BE"/>
    <w:rsid w:val="00A25079"/>
    <w:rsid w:val="00A25605"/>
    <w:rsid w:val="00A2599E"/>
    <w:rsid w:val="00A25A25"/>
    <w:rsid w:val="00A25CF4"/>
    <w:rsid w:val="00A2624A"/>
    <w:rsid w:val="00A26473"/>
    <w:rsid w:val="00A27268"/>
    <w:rsid w:val="00A273EF"/>
    <w:rsid w:val="00A27446"/>
    <w:rsid w:val="00A27748"/>
    <w:rsid w:val="00A27B1E"/>
    <w:rsid w:val="00A27D61"/>
    <w:rsid w:val="00A27DED"/>
    <w:rsid w:val="00A301DA"/>
    <w:rsid w:val="00A3028E"/>
    <w:rsid w:val="00A303A2"/>
    <w:rsid w:val="00A304AE"/>
    <w:rsid w:val="00A315E4"/>
    <w:rsid w:val="00A31AFF"/>
    <w:rsid w:val="00A3257C"/>
    <w:rsid w:val="00A3284C"/>
    <w:rsid w:val="00A32953"/>
    <w:rsid w:val="00A32B27"/>
    <w:rsid w:val="00A335F9"/>
    <w:rsid w:val="00A341D0"/>
    <w:rsid w:val="00A34353"/>
    <w:rsid w:val="00A34763"/>
    <w:rsid w:val="00A34871"/>
    <w:rsid w:val="00A3491E"/>
    <w:rsid w:val="00A34937"/>
    <w:rsid w:val="00A34A75"/>
    <w:rsid w:val="00A34B35"/>
    <w:rsid w:val="00A34BAB"/>
    <w:rsid w:val="00A34DBB"/>
    <w:rsid w:val="00A355F1"/>
    <w:rsid w:val="00A3567A"/>
    <w:rsid w:val="00A35AAF"/>
    <w:rsid w:val="00A3632B"/>
    <w:rsid w:val="00A363A7"/>
    <w:rsid w:val="00A365DA"/>
    <w:rsid w:val="00A36AE4"/>
    <w:rsid w:val="00A400EE"/>
    <w:rsid w:val="00A405C6"/>
    <w:rsid w:val="00A40669"/>
    <w:rsid w:val="00A40807"/>
    <w:rsid w:val="00A40A3A"/>
    <w:rsid w:val="00A40D1F"/>
    <w:rsid w:val="00A412A4"/>
    <w:rsid w:val="00A413B8"/>
    <w:rsid w:val="00A41589"/>
    <w:rsid w:val="00A416DC"/>
    <w:rsid w:val="00A418B9"/>
    <w:rsid w:val="00A4227F"/>
    <w:rsid w:val="00A42563"/>
    <w:rsid w:val="00A42573"/>
    <w:rsid w:val="00A426B8"/>
    <w:rsid w:val="00A4286B"/>
    <w:rsid w:val="00A42D91"/>
    <w:rsid w:val="00A42DAA"/>
    <w:rsid w:val="00A42DB9"/>
    <w:rsid w:val="00A435E2"/>
    <w:rsid w:val="00A438AD"/>
    <w:rsid w:val="00A438B4"/>
    <w:rsid w:val="00A4423B"/>
    <w:rsid w:val="00A45D2D"/>
    <w:rsid w:val="00A45E93"/>
    <w:rsid w:val="00A45EC3"/>
    <w:rsid w:val="00A46016"/>
    <w:rsid w:val="00A4647D"/>
    <w:rsid w:val="00A4660F"/>
    <w:rsid w:val="00A46624"/>
    <w:rsid w:val="00A46C3F"/>
    <w:rsid w:val="00A46C47"/>
    <w:rsid w:val="00A4724D"/>
    <w:rsid w:val="00A476BD"/>
    <w:rsid w:val="00A4779D"/>
    <w:rsid w:val="00A47828"/>
    <w:rsid w:val="00A47D08"/>
    <w:rsid w:val="00A5007B"/>
    <w:rsid w:val="00A500C0"/>
    <w:rsid w:val="00A50995"/>
    <w:rsid w:val="00A50A53"/>
    <w:rsid w:val="00A50F15"/>
    <w:rsid w:val="00A51E55"/>
    <w:rsid w:val="00A5211F"/>
    <w:rsid w:val="00A527F0"/>
    <w:rsid w:val="00A5280F"/>
    <w:rsid w:val="00A52D3B"/>
    <w:rsid w:val="00A52F69"/>
    <w:rsid w:val="00A5305F"/>
    <w:rsid w:val="00A53566"/>
    <w:rsid w:val="00A535EC"/>
    <w:rsid w:val="00A53604"/>
    <w:rsid w:val="00A53617"/>
    <w:rsid w:val="00A536F6"/>
    <w:rsid w:val="00A53F75"/>
    <w:rsid w:val="00A54471"/>
    <w:rsid w:val="00A549D3"/>
    <w:rsid w:val="00A54E0A"/>
    <w:rsid w:val="00A55518"/>
    <w:rsid w:val="00A55D22"/>
    <w:rsid w:val="00A55E7D"/>
    <w:rsid w:val="00A55FDA"/>
    <w:rsid w:val="00A56E74"/>
    <w:rsid w:val="00A57FE5"/>
    <w:rsid w:val="00A6023A"/>
    <w:rsid w:val="00A60E2D"/>
    <w:rsid w:val="00A61710"/>
    <w:rsid w:val="00A62F49"/>
    <w:rsid w:val="00A6314C"/>
    <w:rsid w:val="00A63F99"/>
    <w:rsid w:val="00A642C7"/>
    <w:rsid w:val="00A64813"/>
    <w:rsid w:val="00A64C85"/>
    <w:rsid w:val="00A64CDE"/>
    <w:rsid w:val="00A659E9"/>
    <w:rsid w:val="00A65A18"/>
    <w:rsid w:val="00A65BB4"/>
    <w:rsid w:val="00A65CAE"/>
    <w:rsid w:val="00A65EC6"/>
    <w:rsid w:val="00A66834"/>
    <w:rsid w:val="00A668B3"/>
    <w:rsid w:val="00A669AB"/>
    <w:rsid w:val="00A67461"/>
    <w:rsid w:val="00A6791F"/>
    <w:rsid w:val="00A67F24"/>
    <w:rsid w:val="00A70A4A"/>
    <w:rsid w:val="00A713E2"/>
    <w:rsid w:val="00A7187C"/>
    <w:rsid w:val="00A71CF8"/>
    <w:rsid w:val="00A71E0A"/>
    <w:rsid w:val="00A723C0"/>
    <w:rsid w:val="00A72EE8"/>
    <w:rsid w:val="00A73C96"/>
    <w:rsid w:val="00A748F9"/>
    <w:rsid w:val="00A751EC"/>
    <w:rsid w:val="00A75246"/>
    <w:rsid w:val="00A75354"/>
    <w:rsid w:val="00A75972"/>
    <w:rsid w:val="00A75C4D"/>
    <w:rsid w:val="00A75F10"/>
    <w:rsid w:val="00A762E7"/>
    <w:rsid w:val="00A76B09"/>
    <w:rsid w:val="00A76D87"/>
    <w:rsid w:val="00A76ED7"/>
    <w:rsid w:val="00A76F24"/>
    <w:rsid w:val="00A77C06"/>
    <w:rsid w:val="00A80195"/>
    <w:rsid w:val="00A807A6"/>
    <w:rsid w:val="00A81B09"/>
    <w:rsid w:val="00A8201D"/>
    <w:rsid w:val="00A82BE4"/>
    <w:rsid w:val="00A82C62"/>
    <w:rsid w:val="00A83283"/>
    <w:rsid w:val="00A837A4"/>
    <w:rsid w:val="00A83B25"/>
    <w:rsid w:val="00A83CB9"/>
    <w:rsid w:val="00A840EE"/>
    <w:rsid w:val="00A84147"/>
    <w:rsid w:val="00A844BD"/>
    <w:rsid w:val="00A844C4"/>
    <w:rsid w:val="00A845B0"/>
    <w:rsid w:val="00A84A78"/>
    <w:rsid w:val="00A84B3C"/>
    <w:rsid w:val="00A85438"/>
    <w:rsid w:val="00A85651"/>
    <w:rsid w:val="00A859C3"/>
    <w:rsid w:val="00A85BDA"/>
    <w:rsid w:val="00A868BB"/>
    <w:rsid w:val="00A87915"/>
    <w:rsid w:val="00A87A7F"/>
    <w:rsid w:val="00A87F2B"/>
    <w:rsid w:val="00A90047"/>
    <w:rsid w:val="00A9059C"/>
    <w:rsid w:val="00A9059F"/>
    <w:rsid w:val="00A90782"/>
    <w:rsid w:val="00A912E3"/>
    <w:rsid w:val="00A913C3"/>
    <w:rsid w:val="00A917DC"/>
    <w:rsid w:val="00A91A4C"/>
    <w:rsid w:val="00A91C20"/>
    <w:rsid w:val="00A9222F"/>
    <w:rsid w:val="00A922E6"/>
    <w:rsid w:val="00A9275D"/>
    <w:rsid w:val="00A92975"/>
    <w:rsid w:val="00A92C88"/>
    <w:rsid w:val="00A9321C"/>
    <w:rsid w:val="00A93291"/>
    <w:rsid w:val="00A936C4"/>
    <w:rsid w:val="00A93A42"/>
    <w:rsid w:val="00A93EBB"/>
    <w:rsid w:val="00A93F5B"/>
    <w:rsid w:val="00A9412A"/>
    <w:rsid w:val="00A94212"/>
    <w:rsid w:val="00A94EEA"/>
    <w:rsid w:val="00A9511B"/>
    <w:rsid w:val="00A95220"/>
    <w:rsid w:val="00A953AA"/>
    <w:rsid w:val="00A9548B"/>
    <w:rsid w:val="00A954A0"/>
    <w:rsid w:val="00A9555E"/>
    <w:rsid w:val="00A95822"/>
    <w:rsid w:val="00A96108"/>
    <w:rsid w:val="00A967A1"/>
    <w:rsid w:val="00A969C0"/>
    <w:rsid w:val="00A96DC2"/>
    <w:rsid w:val="00A97A7F"/>
    <w:rsid w:val="00AA00FF"/>
    <w:rsid w:val="00AA091C"/>
    <w:rsid w:val="00AA0EC6"/>
    <w:rsid w:val="00AA163F"/>
    <w:rsid w:val="00AA23C4"/>
    <w:rsid w:val="00AA2584"/>
    <w:rsid w:val="00AA25EB"/>
    <w:rsid w:val="00AA27A3"/>
    <w:rsid w:val="00AA2CE1"/>
    <w:rsid w:val="00AA2D80"/>
    <w:rsid w:val="00AA2F80"/>
    <w:rsid w:val="00AA3263"/>
    <w:rsid w:val="00AA3315"/>
    <w:rsid w:val="00AA3493"/>
    <w:rsid w:val="00AA351E"/>
    <w:rsid w:val="00AA38B3"/>
    <w:rsid w:val="00AA3C03"/>
    <w:rsid w:val="00AA3C60"/>
    <w:rsid w:val="00AA4458"/>
    <w:rsid w:val="00AA4766"/>
    <w:rsid w:val="00AA4EDD"/>
    <w:rsid w:val="00AA5136"/>
    <w:rsid w:val="00AA51BC"/>
    <w:rsid w:val="00AA5627"/>
    <w:rsid w:val="00AA602C"/>
    <w:rsid w:val="00AA61C5"/>
    <w:rsid w:val="00AA6E34"/>
    <w:rsid w:val="00AA750C"/>
    <w:rsid w:val="00AB0541"/>
    <w:rsid w:val="00AB0730"/>
    <w:rsid w:val="00AB07FA"/>
    <w:rsid w:val="00AB0FD2"/>
    <w:rsid w:val="00AB10A3"/>
    <w:rsid w:val="00AB1E61"/>
    <w:rsid w:val="00AB20E7"/>
    <w:rsid w:val="00AB269E"/>
    <w:rsid w:val="00AB29E5"/>
    <w:rsid w:val="00AB3880"/>
    <w:rsid w:val="00AB3AF6"/>
    <w:rsid w:val="00AB4A6D"/>
    <w:rsid w:val="00AB4C59"/>
    <w:rsid w:val="00AB5495"/>
    <w:rsid w:val="00AB57E0"/>
    <w:rsid w:val="00AB5E31"/>
    <w:rsid w:val="00AB64E9"/>
    <w:rsid w:val="00AB65EB"/>
    <w:rsid w:val="00AB702F"/>
    <w:rsid w:val="00AC0ACD"/>
    <w:rsid w:val="00AC11B1"/>
    <w:rsid w:val="00AC17D0"/>
    <w:rsid w:val="00AC1AE9"/>
    <w:rsid w:val="00AC1CB8"/>
    <w:rsid w:val="00AC264C"/>
    <w:rsid w:val="00AC271C"/>
    <w:rsid w:val="00AC2ACF"/>
    <w:rsid w:val="00AC34D3"/>
    <w:rsid w:val="00AC35E8"/>
    <w:rsid w:val="00AC3C2C"/>
    <w:rsid w:val="00AC444E"/>
    <w:rsid w:val="00AC471A"/>
    <w:rsid w:val="00AC514E"/>
    <w:rsid w:val="00AC55D6"/>
    <w:rsid w:val="00AC5781"/>
    <w:rsid w:val="00AC60C0"/>
    <w:rsid w:val="00AD079F"/>
    <w:rsid w:val="00AD07DD"/>
    <w:rsid w:val="00AD0D84"/>
    <w:rsid w:val="00AD11A0"/>
    <w:rsid w:val="00AD11A3"/>
    <w:rsid w:val="00AD131C"/>
    <w:rsid w:val="00AD165F"/>
    <w:rsid w:val="00AD16EB"/>
    <w:rsid w:val="00AD189C"/>
    <w:rsid w:val="00AD2960"/>
    <w:rsid w:val="00AD2D40"/>
    <w:rsid w:val="00AD31AD"/>
    <w:rsid w:val="00AD3213"/>
    <w:rsid w:val="00AD39FE"/>
    <w:rsid w:val="00AD3E30"/>
    <w:rsid w:val="00AD3E79"/>
    <w:rsid w:val="00AD44AE"/>
    <w:rsid w:val="00AD47CE"/>
    <w:rsid w:val="00AD4B25"/>
    <w:rsid w:val="00AD4C08"/>
    <w:rsid w:val="00AD5C42"/>
    <w:rsid w:val="00AD5D1C"/>
    <w:rsid w:val="00AD5FCC"/>
    <w:rsid w:val="00AD611D"/>
    <w:rsid w:val="00AD6431"/>
    <w:rsid w:val="00AD6768"/>
    <w:rsid w:val="00AD77BD"/>
    <w:rsid w:val="00AD78C1"/>
    <w:rsid w:val="00AD7B26"/>
    <w:rsid w:val="00AE0370"/>
    <w:rsid w:val="00AE04C8"/>
    <w:rsid w:val="00AE0F69"/>
    <w:rsid w:val="00AE11A4"/>
    <w:rsid w:val="00AE165F"/>
    <w:rsid w:val="00AE2574"/>
    <w:rsid w:val="00AE2611"/>
    <w:rsid w:val="00AE2D88"/>
    <w:rsid w:val="00AE3086"/>
    <w:rsid w:val="00AE3869"/>
    <w:rsid w:val="00AE3B0C"/>
    <w:rsid w:val="00AE4315"/>
    <w:rsid w:val="00AE44B4"/>
    <w:rsid w:val="00AE50BD"/>
    <w:rsid w:val="00AE53D6"/>
    <w:rsid w:val="00AE5D2B"/>
    <w:rsid w:val="00AE5DDC"/>
    <w:rsid w:val="00AE618D"/>
    <w:rsid w:val="00AE638C"/>
    <w:rsid w:val="00AE668D"/>
    <w:rsid w:val="00AE6696"/>
    <w:rsid w:val="00AE6FDB"/>
    <w:rsid w:val="00AE71C2"/>
    <w:rsid w:val="00AE7B56"/>
    <w:rsid w:val="00AF00BE"/>
    <w:rsid w:val="00AF0482"/>
    <w:rsid w:val="00AF079F"/>
    <w:rsid w:val="00AF08CC"/>
    <w:rsid w:val="00AF0A63"/>
    <w:rsid w:val="00AF0B57"/>
    <w:rsid w:val="00AF17F0"/>
    <w:rsid w:val="00AF1EDF"/>
    <w:rsid w:val="00AF2125"/>
    <w:rsid w:val="00AF22D9"/>
    <w:rsid w:val="00AF2BD6"/>
    <w:rsid w:val="00AF3266"/>
    <w:rsid w:val="00AF336A"/>
    <w:rsid w:val="00AF35B5"/>
    <w:rsid w:val="00AF373C"/>
    <w:rsid w:val="00AF3A25"/>
    <w:rsid w:val="00AF3F6F"/>
    <w:rsid w:val="00AF4190"/>
    <w:rsid w:val="00AF542A"/>
    <w:rsid w:val="00AF5596"/>
    <w:rsid w:val="00AF59F6"/>
    <w:rsid w:val="00AF5F5D"/>
    <w:rsid w:val="00AF6164"/>
    <w:rsid w:val="00AF63F6"/>
    <w:rsid w:val="00AF6B98"/>
    <w:rsid w:val="00AF7062"/>
    <w:rsid w:val="00AF7B1E"/>
    <w:rsid w:val="00B00BB9"/>
    <w:rsid w:val="00B00E76"/>
    <w:rsid w:val="00B01C89"/>
    <w:rsid w:val="00B033C3"/>
    <w:rsid w:val="00B0374B"/>
    <w:rsid w:val="00B03A6B"/>
    <w:rsid w:val="00B03C79"/>
    <w:rsid w:val="00B03F67"/>
    <w:rsid w:val="00B044DF"/>
    <w:rsid w:val="00B04B88"/>
    <w:rsid w:val="00B04BCF"/>
    <w:rsid w:val="00B04EF1"/>
    <w:rsid w:val="00B050B5"/>
    <w:rsid w:val="00B050F7"/>
    <w:rsid w:val="00B055AB"/>
    <w:rsid w:val="00B057D6"/>
    <w:rsid w:val="00B06519"/>
    <w:rsid w:val="00B066A1"/>
    <w:rsid w:val="00B06943"/>
    <w:rsid w:val="00B06A27"/>
    <w:rsid w:val="00B06F7A"/>
    <w:rsid w:val="00B07D34"/>
    <w:rsid w:val="00B100D2"/>
    <w:rsid w:val="00B104D3"/>
    <w:rsid w:val="00B1091C"/>
    <w:rsid w:val="00B10F3E"/>
    <w:rsid w:val="00B11073"/>
    <w:rsid w:val="00B11740"/>
    <w:rsid w:val="00B12084"/>
    <w:rsid w:val="00B1234A"/>
    <w:rsid w:val="00B125D6"/>
    <w:rsid w:val="00B13245"/>
    <w:rsid w:val="00B13CAB"/>
    <w:rsid w:val="00B13F4A"/>
    <w:rsid w:val="00B140E4"/>
    <w:rsid w:val="00B14206"/>
    <w:rsid w:val="00B143FB"/>
    <w:rsid w:val="00B1472D"/>
    <w:rsid w:val="00B1547F"/>
    <w:rsid w:val="00B1573E"/>
    <w:rsid w:val="00B159F5"/>
    <w:rsid w:val="00B15B65"/>
    <w:rsid w:val="00B15C50"/>
    <w:rsid w:val="00B16237"/>
    <w:rsid w:val="00B16505"/>
    <w:rsid w:val="00B1713D"/>
    <w:rsid w:val="00B17228"/>
    <w:rsid w:val="00B1767D"/>
    <w:rsid w:val="00B17A2E"/>
    <w:rsid w:val="00B17CB9"/>
    <w:rsid w:val="00B2033B"/>
    <w:rsid w:val="00B2086C"/>
    <w:rsid w:val="00B20B51"/>
    <w:rsid w:val="00B20CF5"/>
    <w:rsid w:val="00B20F84"/>
    <w:rsid w:val="00B21044"/>
    <w:rsid w:val="00B21756"/>
    <w:rsid w:val="00B21908"/>
    <w:rsid w:val="00B2191E"/>
    <w:rsid w:val="00B21A1A"/>
    <w:rsid w:val="00B22BDD"/>
    <w:rsid w:val="00B234CC"/>
    <w:rsid w:val="00B23E9A"/>
    <w:rsid w:val="00B242C0"/>
    <w:rsid w:val="00B24599"/>
    <w:rsid w:val="00B24629"/>
    <w:rsid w:val="00B24CAD"/>
    <w:rsid w:val="00B24F02"/>
    <w:rsid w:val="00B24F3B"/>
    <w:rsid w:val="00B252C7"/>
    <w:rsid w:val="00B2542F"/>
    <w:rsid w:val="00B260B9"/>
    <w:rsid w:val="00B267A4"/>
    <w:rsid w:val="00B27A56"/>
    <w:rsid w:val="00B27D10"/>
    <w:rsid w:val="00B30883"/>
    <w:rsid w:val="00B30A0B"/>
    <w:rsid w:val="00B3105A"/>
    <w:rsid w:val="00B3197A"/>
    <w:rsid w:val="00B31EE2"/>
    <w:rsid w:val="00B3319A"/>
    <w:rsid w:val="00B332CD"/>
    <w:rsid w:val="00B339C0"/>
    <w:rsid w:val="00B33CF0"/>
    <w:rsid w:val="00B33D00"/>
    <w:rsid w:val="00B3425F"/>
    <w:rsid w:val="00B34AFE"/>
    <w:rsid w:val="00B35798"/>
    <w:rsid w:val="00B358E2"/>
    <w:rsid w:val="00B364BA"/>
    <w:rsid w:val="00B36553"/>
    <w:rsid w:val="00B37C08"/>
    <w:rsid w:val="00B37D54"/>
    <w:rsid w:val="00B37F3B"/>
    <w:rsid w:val="00B401C3"/>
    <w:rsid w:val="00B40274"/>
    <w:rsid w:val="00B4063A"/>
    <w:rsid w:val="00B407E8"/>
    <w:rsid w:val="00B41255"/>
    <w:rsid w:val="00B42418"/>
    <w:rsid w:val="00B42ADA"/>
    <w:rsid w:val="00B42CC8"/>
    <w:rsid w:val="00B43149"/>
    <w:rsid w:val="00B438D8"/>
    <w:rsid w:val="00B43974"/>
    <w:rsid w:val="00B439A9"/>
    <w:rsid w:val="00B43B9D"/>
    <w:rsid w:val="00B43C67"/>
    <w:rsid w:val="00B455B7"/>
    <w:rsid w:val="00B462E1"/>
    <w:rsid w:val="00B4637D"/>
    <w:rsid w:val="00B46909"/>
    <w:rsid w:val="00B46C8F"/>
    <w:rsid w:val="00B46DA7"/>
    <w:rsid w:val="00B46DBF"/>
    <w:rsid w:val="00B4725F"/>
    <w:rsid w:val="00B47477"/>
    <w:rsid w:val="00B47C47"/>
    <w:rsid w:val="00B47E74"/>
    <w:rsid w:val="00B5073B"/>
    <w:rsid w:val="00B50821"/>
    <w:rsid w:val="00B50B57"/>
    <w:rsid w:val="00B50E20"/>
    <w:rsid w:val="00B51193"/>
    <w:rsid w:val="00B51430"/>
    <w:rsid w:val="00B5157B"/>
    <w:rsid w:val="00B51A3D"/>
    <w:rsid w:val="00B52CEF"/>
    <w:rsid w:val="00B53369"/>
    <w:rsid w:val="00B549E2"/>
    <w:rsid w:val="00B55B73"/>
    <w:rsid w:val="00B56321"/>
    <w:rsid w:val="00B5689A"/>
    <w:rsid w:val="00B56E80"/>
    <w:rsid w:val="00B5769A"/>
    <w:rsid w:val="00B576FF"/>
    <w:rsid w:val="00B579FB"/>
    <w:rsid w:val="00B57AD0"/>
    <w:rsid w:val="00B57AE4"/>
    <w:rsid w:val="00B604B4"/>
    <w:rsid w:val="00B60BDC"/>
    <w:rsid w:val="00B60BE4"/>
    <w:rsid w:val="00B6126D"/>
    <w:rsid w:val="00B612B7"/>
    <w:rsid w:val="00B6151B"/>
    <w:rsid w:val="00B61715"/>
    <w:rsid w:val="00B62118"/>
    <w:rsid w:val="00B621C0"/>
    <w:rsid w:val="00B62BEC"/>
    <w:rsid w:val="00B62C13"/>
    <w:rsid w:val="00B6359E"/>
    <w:rsid w:val="00B63898"/>
    <w:rsid w:val="00B63A3D"/>
    <w:rsid w:val="00B642CD"/>
    <w:rsid w:val="00B646A9"/>
    <w:rsid w:val="00B64AF1"/>
    <w:rsid w:val="00B654B4"/>
    <w:rsid w:val="00B65546"/>
    <w:rsid w:val="00B65550"/>
    <w:rsid w:val="00B65841"/>
    <w:rsid w:val="00B6588A"/>
    <w:rsid w:val="00B65CE1"/>
    <w:rsid w:val="00B65D14"/>
    <w:rsid w:val="00B65EAE"/>
    <w:rsid w:val="00B65EE2"/>
    <w:rsid w:val="00B660C2"/>
    <w:rsid w:val="00B660DA"/>
    <w:rsid w:val="00B66AE9"/>
    <w:rsid w:val="00B67067"/>
    <w:rsid w:val="00B6745C"/>
    <w:rsid w:val="00B674BE"/>
    <w:rsid w:val="00B67DFF"/>
    <w:rsid w:val="00B709C1"/>
    <w:rsid w:val="00B70C7C"/>
    <w:rsid w:val="00B711CE"/>
    <w:rsid w:val="00B715D3"/>
    <w:rsid w:val="00B716F1"/>
    <w:rsid w:val="00B71A57"/>
    <w:rsid w:val="00B71DD4"/>
    <w:rsid w:val="00B72272"/>
    <w:rsid w:val="00B728D7"/>
    <w:rsid w:val="00B72AC0"/>
    <w:rsid w:val="00B72F13"/>
    <w:rsid w:val="00B738E0"/>
    <w:rsid w:val="00B73EA0"/>
    <w:rsid w:val="00B73FDC"/>
    <w:rsid w:val="00B74668"/>
    <w:rsid w:val="00B74B8A"/>
    <w:rsid w:val="00B74FCC"/>
    <w:rsid w:val="00B75332"/>
    <w:rsid w:val="00B75BA3"/>
    <w:rsid w:val="00B76699"/>
    <w:rsid w:val="00B7671B"/>
    <w:rsid w:val="00B76E91"/>
    <w:rsid w:val="00B774D7"/>
    <w:rsid w:val="00B77A1A"/>
    <w:rsid w:val="00B77A53"/>
    <w:rsid w:val="00B77DD2"/>
    <w:rsid w:val="00B80696"/>
    <w:rsid w:val="00B80AF5"/>
    <w:rsid w:val="00B80E85"/>
    <w:rsid w:val="00B81294"/>
    <w:rsid w:val="00B8182D"/>
    <w:rsid w:val="00B81A68"/>
    <w:rsid w:val="00B82226"/>
    <w:rsid w:val="00B82513"/>
    <w:rsid w:val="00B82580"/>
    <w:rsid w:val="00B82660"/>
    <w:rsid w:val="00B82A92"/>
    <w:rsid w:val="00B82F00"/>
    <w:rsid w:val="00B831D5"/>
    <w:rsid w:val="00B83CE0"/>
    <w:rsid w:val="00B83CF1"/>
    <w:rsid w:val="00B83E47"/>
    <w:rsid w:val="00B84097"/>
    <w:rsid w:val="00B84545"/>
    <w:rsid w:val="00B847C1"/>
    <w:rsid w:val="00B84A11"/>
    <w:rsid w:val="00B85140"/>
    <w:rsid w:val="00B85F58"/>
    <w:rsid w:val="00B8603C"/>
    <w:rsid w:val="00B862C4"/>
    <w:rsid w:val="00B862D5"/>
    <w:rsid w:val="00B8651B"/>
    <w:rsid w:val="00B8653D"/>
    <w:rsid w:val="00B8658F"/>
    <w:rsid w:val="00B865B3"/>
    <w:rsid w:val="00B865E8"/>
    <w:rsid w:val="00B8684F"/>
    <w:rsid w:val="00B86854"/>
    <w:rsid w:val="00B86C40"/>
    <w:rsid w:val="00B86CD5"/>
    <w:rsid w:val="00B87125"/>
    <w:rsid w:val="00B875DC"/>
    <w:rsid w:val="00B87845"/>
    <w:rsid w:val="00B879A3"/>
    <w:rsid w:val="00B87C20"/>
    <w:rsid w:val="00B87E67"/>
    <w:rsid w:val="00B9020B"/>
    <w:rsid w:val="00B90704"/>
    <w:rsid w:val="00B90956"/>
    <w:rsid w:val="00B90D0B"/>
    <w:rsid w:val="00B9142A"/>
    <w:rsid w:val="00B91909"/>
    <w:rsid w:val="00B9196D"/>
    <w:rsid w:val="00B91C1A"/>
    <w:rsid w:val="00B91FB7"/>
    <w:rsid w:val="00B923D7"/>
    <w:rsid w:val="00B92916"/>
    <w:rsid w:val="00B929DA"/>
    <w:rsid w:val="00B92AB5"/>
    <w:rsid w:val="00B92B7E"/>
    <w:rsid w:val="00B92DD3"/>
    <w:rsid w:val="00B94326"/>
    <w:rsid w:val="00B94F84"/>
    <w:rsid w:val="00B951E5"/>
    <w:rsid w:val="00B958B6"/>
    <w:rsid w:val="00B95C89"/>
    <w:rsid w:val="00B95EFA"/>
    <w:rsid w:val="00B95FB7"/>
    <w:rsid w:val="00B96D28"/>
    <w:rsid w:val="00B97A26"/>
    <w:rsid w:val="00B97D6F"/>
    <w:rsid w:val="00BA082A"/>
    <w:rsid w:val="00BA09B2"/>
    <w:rsid w:val="00BA0AB6"/>
    <w:rsid w:val="00BA1B47"/>
    <w:rsid w:val="00BA284D"/>
    <w:rsid w:val="00BA319C"/>
    <w:rsid w:val="00BA3930"/>
    <w:rsid w:val="00BA40F1"/>
    <w:rsid w:val="00BA4D27"/>
    <w:rsid w:val="00BA52AD"/>
    <w:rsid w:val="00BA52B4"/>
    <w:rsid w:val="00BA584D"/>
    <w:rsid w:val="00BA5B25"/>
    <w:rsid w:val="00BA60C7"/>
    <w:rsid w:val="00BA6115"/>
    <w:rsid w:val="00BA6323"/>
    <w:rsid w:val="00BA6420"/>
    <w:rsid w:val="00BA6EAA"/>
    <w:rsid w:val="00BA701D"/>
    <w:rsid w:val="00BA7C8E"/>
    <w:rsid w:val="00BB0278"/>
    <w:rsid w:val="00BB0B02"/>
    <w:rsid w:val="00BB0F52"/>
    <w:rsid w:val="00BB2324"/>
    <w:rsid w:val="00BB2AD9"/>
    <w:rsid w:val="00BB3248"/>
    <w:rsid w:val="00BB3855"/>
    <w:rsid w:val="00BB3D10"/>
    <w:rsid w:val="00BB3F5E"/>
    <w:rsid w:val="00BB434C"/>
    <w:rsid w:val="00BB45E9"/>
    <w:rsid w:val="00BB4750"/>
    <w:rsid w:val="00BB4A4A"/>
    <w:rsid w:val="00BB5034"/>
    <w:rsid w:val="00BB52D6"/>
    <w:rsid w:val="00BB566A"/>
    <w:rsid w:val="00BB5D43"/>
    <w:rsid w:val="00BB6336"/>
    <w:rsid w:val="00BB653D"/>
    <w:rsid w:val="00BB6723"/>
    <w:rsid w:val="00BB679A"/>
    <w:rsid w:val="00BB754A"/>
    <w:rsid w:val="00BB77EE"/>
    <w:rsid w:val="00BB7C64"/>
    <w:rsid w:val="00BB7FDE"/>
    <w:rsid w:val="00BC0323"/>
    <w:rsid w:val="00BC0410"/>
    <w:rsid w:val="00BC0488"/>
    <w:rsid w:val="00BC067D"/>
    <w:rsid w:val="00BC1632"/>
    <w:rsid w:val="00BC1E72"/>
    <w:rsid w:val="00BC2237"/>
    <w:rsid w:val="00BC2EA8"/>
    <w:rsid w:val="00BC341A"/>
    <w:rsid w:val="00BC375E"/>
    <w:rsid w:val="00BC5635"/>
    <w:rsid w:val="00BC6B02"/>
    <w:rsid w:val="00BC6BBF"/>
    <w:rsid w:val="00BC7004"/>
    <w:rsid w:val="00BC70BB"/>
    <w:rsid w:val="00BC743D"/>
    <w:rsid w:val="00BC7DB3"/>
    <w:rsid w:val="00BC7E47"/>
    <w:rsid w:val="00BD007A"/>
    <w:rsid w:val="00BD0132"/>
    <w:rsid w:val="00BD02CB"/>
    <w:rsid w:val="00BD0372"/>
    <w:rsid w:val="00BD03C3"/>
    <w:rsid w:val="00BD044B"/>
    <w:rsid w:val="00BD049E"/>
    <w:rsid w:val="00BD0532"/>
    <w:rsid w:val="00BD073B"/>
    <w:rsid w:val="00BD0A88"/>
    <w:rsid w:val="00BD0FB8"/>
    <w:rsid w:val="00BD106E"/>
    <w:rsid w:val="00BD1220"/>
    <w:rsid w:val="00BD14A4"/>
    <w:rsid w:val="00BD14EB"/>
    <w:rsid w:val="00BD16F8"/>
    <w:rsid w:val="00BD1D49"/>
    <w:rsid w:val="00BD290B"/>
    <w:rsid w:val="00BD2ACD"/>
    <w:rsid w:val="00BD2B7B"/>
    <w:rsid w:val="00BD2CBA"/>
    <w:rsid w:val="00BD2DE9"/>
    <w:rsid w:val="00BD31BA"/>
    <w:rsid w:val="00BD3659"/>
    <w:rsid w:val="00BD3E49"/>
    <w:rsid w:val="00BD3E4C"/>
    <w:rsid w:val="00BD447D"/>
    <w:rsid w:val="00BD4638"/>
    <w:rsid w:val="00BD4703"/>
    <w:rsid w:val="00BD484A"/>
    <w:rsid w:val="00BD4C2F"/>
    <w:rsid w:val="00BD4DC3"/>
    <w:rsid w:val="00BD5B3E"/>
    <w:rsid w:val="00BD5B5F"/>
    <w:rsid w:val="00BD5E47"/>
    <w:rsid w:val="00BD65EC"/>
    <w:rsid w:val="00BD67C8"/>
    <w:rsid w:val="00BD6B9D"/>
    <w:rsid w:val="00BD6F43"/>
    <w:rsid w:val="00BD7ECF"/>
    <w:rsid w:val="00BE0287"/>
    <w:rsid w:val="00BE04D7"/>
    <w:rsid w:val="00BE0936"/>
    <w:rsid w:val="00BE0D3C"/>
    <w:rsid w:val="00BE0DA7"/>
    <w:rsid w:val="00BE0DC5"/>
    <w:rsid w:val="00BE0E8C"/>
    <w:rsid w:val="00BE151D"/>
    <w:rsid w:val="00BE1F5E"/>
    <w:rsid w:val="00BE224F"/>
    <w:rsid w:val="00BE2252"/>
    <w:rsid w:val="00BE2337"/>
    <w:rsid w:val="00BE2A39"/>
    <w:rsid w:val="00BE2A4E"/>
    <w:rsid w:val="00BE34A7"/>
    <w:rsid w:val="00BE3632"/>
    <w:rsid w:val="00BE37FE"/>
    <w:rsid w:val="00BE3A90"/>
    <w:rsid w:val="00BE4044"/>
    <w:rsid w:val="00BE4690"/>
    <w:rsid w:val="00BE506B"/>
    <w:rsid w:val="00BE5758"/>
    <w:rsid w:val="00BE5ECB"/>
    <w:rsid w:val="00BE61C7"/>
    <w:rsid w:val="00BE71DB"/>
    <w:rsid w:val="00BE747C"/>
    <w:rsid w:val="00BE759D"/>
    <w:rsid w:val="00BE7A0C"/>
    <w:rsid w:val="00BF04AC"/>
    <w:rsid w:val="00BF0AC0"/>
    <w:rsid w:val="00BF0AF2"/>
    <w:rsid w:val="00BF0F8C"/>
    <w:rsid w:val="00BF14DF"/>
    <w:rsid w:val="00BF1A92"/>
    <w:rsid w:val="00BF1FE6"/>
    <w:rsid w:val="00BF22A6"/>
    <w:rsid w:val="00BF244C"/>
    <w:rsid w:val="00BF265E"/>
    <w:rsid w:val="00BF2FF1"/>
    <w:rsid w:val="00BF31A2"/>
    <w:rsid w:val="00BF3256"/>
    <w:rsid w:val="00BF3339"/>
    <w:rsid w:val="00BF3447"/>
    <w:rsid w:val="00BF3BF3"/>
    <w:rsid w:val="00BF3F35"/>
    <w:rsid w:val="00BF4464"/>
    <w:rsid w:val="00BF4753"/>
    <w:rsid w:val="00BF4867"/>
    <w:rsid w:val="00BF4A16"/>
    <w:rsid w:val="00BF4CB8"/>
    <w:rsid w:val="00BF4F38"/>
    <w:rsid w:val="00BF5171"/>
    <w:rsid w:val="00BF550B"/>
    <w:rsid w:val="00BF5BAD"/>
    <w:rsid w:val="00BF5D34"/>
    <w:rsid w:val="00BF5F66"/>
    <w:rsid w:val="00BF71AF"/>
    <w:rsid w:val="00BF7F1D"/>
    <w:rsid w:val="00C00FC4"/>
    <w:rsid w:val="00C018FC"/>
    <w:rsid w:val="00C01920"/>
    <w:rsid w:val="00C01C50"/>
    <w:rsid w:val="00C02E65"/>
    <w:rsid w:val="00C03C35"/>
    <w:rsid w:val="00C048A6"/>
    <w:rsid w:val="00C04B86"/>
    <w:rsid w:val="00C053DC"/>
    <w:rsid w:val="00C05700"/>
    <w:rsid w:val="00C0583C"/>
    <w:rsid w:val="00C05935"/>
    <w:rsid w:val="00C05B69"/>
    <w:rsid w:val="00C05C81"/>
    <w:rsid w:val="00C05D66"/>
    <w:rsid w:val="00C05D68"/>
    <w:rsid w:val="00C06052"/>
    <w:rsid w:val="00C06074"/>
    <w:rsid w:val="00C060C4"/>
    <w:rsid w:val="00C06E83"/>
    <w:rsid w:val="00C10A5D"/>
    <w:rsid w:val="00C11352"/>
    <w:rsid w:val="00C1139A"/>
    <w:rsid w:val="00C11848"/>
    <w:rsid w:val="00C11B92"/>
    <w:rsid w:val="00C11CC9"/>
    <w:rsid w:val="00C12765"/>
    <w:rsid w:val="00C12A20"/>
    <w:rsid w:val="00C12B85"/>
    <w:rsid w:val="00C13770"/>
    <w:rsid w:val="00C13788"/>
    <w:rsid w:val="00C138D6"/>
    <w:rsid w:val="00C13FDE"/>
    <w:rsid w:val="00C14136"/>
    <w:rsid w:val="00C14296"/>
    <w:rsid w:val="00C14E25"/>
    <w:rsid w:val="00C14EEA"/>
    <w:rsid w:val="00C15416"/>
    <w:rsid w:val="00C15E2C"/>
    <w:rsid w:val="00C15E3D"/>
    <w:rsid w:val="00C16C3E"/>
    <w:rsid w:val="00C16D2C"/>
    <w:rsid w:val="00C16F13"/>
    <w:rsid w:val="00C1733A"/>
    <w:rsid w:val="00C173D4"/>
    <w:rsid w:val="00C17A12"/>
    <w:rsid w:val="00C2084C"/>
    <w:rsid w:val="00C210E8"/>
    <w:rsid w:val="00C211AD"/>
    <w:rsid w:val="00C212FA"/>
    <w:rsid w:val="00C214E5"/>
    <w:rsid w:val="00C21888"/>
    <w:rsid w:val="00C21A98"/>
    <w:rsid w:val="00C21E94"/>
    <w:rsid w:val="00C22BD8"/>
    <w:rsid w:val="00C22C17"/>
    <w:rsid w:val="00C22F7D"/>
    <w:rsid w:val="00C2316F"/>
    <w:rsid w:val="00C2456B"/>
    <w:rsid w:val="00C249F4"/>
    <w:rsid w:val="00C24B01"/>
    <w:rsid w:val="00C24C76"/>
    <w:rsid w:val="00C24D6D"/>
    <w:rsid w:val="00C24DDE"/>
    <w:rsid w:val="00C2537D"/>
    <w:rsid w:val="00C25404"/>
    <w:rsid w:val="00C255D4"/>
    <w:rsid w:val="00C25DAC"/>
    <w:rsid w:val="00C25FAC"/>
    <w:rsid w:val="00C26622"/>
    <w:rsid w:val="00C26C17"/>
    <w:rsid w:val="00C26E08"/>
    <w:rsid w:val="00C27010"/>
    <w:rsid w:val="00C2755A"/>
    <w:rsid w:val="00C27CEA"/>
    <w:rsid w:val="00C30227"/>
    <w:rsid w:val="00C307E2"/>
    <w:rsid w:val="00C30D89"/>
    <w:rsid w:val="00C30DEE"/>
    <w:rsid w:val="00C311D2"/>
    <w:rsid w:val="00C313D8"/>
    <w:rsid w:val="00C3152E"/>
    <w:rsid w:val="00C324AE"/>
    <w:rsid w:val="00C32940"/>
    <w:rsid w:val="00C33CC5"/>
    <w:rsid w:val="00C33EB6"/>
    <w:rsid w:val="00C343E0"/>
    <w:rsid w:val="00C34801"/>
    <w:rsid w:val="00C3496B"/>
    <w:rsid w:val="00C34C7B"/>
    <w:rsid w:val="00C34FCD"/>
    <w:rsid w:val="00C3669E"/>
    <w:rsid w:val="00C367B2"/>
    <w:rsid w:val="00C40503"/>
    <w:rsid w:val="00C40D1C"/>
    <w:rsid w:val="00C40EC3"/>
    <w:rsid w:val="00C40FB7"/>
    <w:rsid w:val="00C40FE7"/>
    <w:rsid w:val="00C41156"/>
    <w:rsid w:val="00C412ED"/>
    <w:rsid w:val="00C4162E"/>
    <w:rsid w:val="00C41BE8"/>
    <w:rsid w:val="00C42590"/>
    <w:rsid w:val="00C42A31"/>
    <w:rsid w:val="00C42D8C"/>
    <w:rsid w:val="00C42F7E"/>
    <w:rsid w:val="00C43ADC"/>
    <w:rsid w:val="00C44A05"/>
    <w:rsid w:val="00C44A2F"/>
    <w:rsid w:val="00C45058"/>
    <w:rsid w:val="00C45205"/>
    <w:rsid w:val="00C453D5"/>
    <w:rsid w:val="00C45498"/>
    <w:rsid w:val="00C4559A"/>
    <w:rsid w:val="00C457D5"/>
    <w:rsid w:val="00C461B5"/>
    <w:rsid w:val="00C46AD5"/>
    <w:rsid w:val="00C46F4B"/>
    <w:rsid w:val="00C4713D"/>
    <w:rsid w:val="00C475C2"/>
    <w:rsid w:val="00C47C8E"/>
    <w:rsid w:val="00C47DFD"/>
    <w:rsid w:val="00C47E65"/>
    <w:rsid w:val="00C47F3F"/>
    <w:rsid w:val="00C507E0"/>
    <w:rsid w:val="00C50DE7"/>
    <w:rsid w:val="00C5104A"/>
    <w:rsid w:val="00C51709"/>
    <w:rsid w:val="00C527AA"/>
    <w:rsid w:val="00C52A8C"/>
    <w:rsid w:val="00C52F4E"/>
    <w:rsid w:val="00C53753"/>
    <w:rsid w:val="00C537E5"/>
    <w:rsid w:val="00C53C7A"/>
    <w:rsid w:val="00C54248"/>
    <w:rsid w:val="00C54BB9"/>
    <w:rsid w:val="00C54CC3"/>
    <w:rsid w:val="00C55072"/>
    <w:rsid w:val="00C566D5"/>
    <w:rsid w:val="00C56E8F"/>
    <w:rsid w:val="00C57939"/>
    <w:rsid w:val="00C579D4"/>
    <w:rsid w:val="00C60620"/>
    <w:rsid w:val="00C608EA"/>
    <w:rsid w:val="00C60A19"/>
    <w:rsid w:val="00C60AD6"/>
    <w:rsid w:val="00C60E8C"/>
    <w:rsid w:val="00C612EF"/>
    <w:rsid w:val="00C61B25"/>
    <w:rsid w:val="00C620A7"/>
    <w:rsid w:val="00C623EC"/>
    <w:rsid w:val="00C625C4"/>
    <w:rsid w:val="00C62702"/>
    <w:rsid w:val="00C62751"/>
    <w:rsid w:val="00C63119"/>
    <w:rsid w:val="00C63148"/>
    <w:rsid w:val="00C6392A"/>
    <w:rsid w:val="00C63C56"/>
    <w:rsid w:val="00C64170"/>
    <w:rsid w:val="00C64678"/>
    <w:rsid w:val="00C64746"/>
    <w:rsid w:val="00C64841"/>
    <w:rsid w:val="00C64998"/>
    <w:rsid w:val="00C64B04"/>
    <w:rsid w:val="00C64C67"/>
    <w:rsid w:val="00C64CE9"/>
    <w:rsid w:val="00C64D22"/>
    <w:rsid w:val="00C64D7D"/>
    <w:rsid w:val="00C65577"/>
    <w:rsid w:val="00C656C9"/>
    <w:rsid w:val="00C65786"/>
    <w:rsid w:val="00C65C35"/>
    <w:rsid w:val="00C6685A"/>
    <w:rsid w:val="00C66B0C"/>
    <w:rsid w:val="00C66E8E"/>
    <w:rsid w:val="00C66EB0"/>
    <w:rsid w:val="00C66F25"/>
    <w:rsid w:val="00C67938"/>
    <w:rsid w:val="00C67FD7"/>
    <w:rsid w:val="00C701EF"/>
    <w:rsid w:val="00C706C9"/>
    <w:rsid w:val="00C70767"/>
    <w:rsid w:val="00C70CCB"/>
    <w:rsid w:val="00C71850"/>
    <w:rsid w:val="00C7196C"/>
    <w:rsid w:val="00C72013"/>
    <w:rsid w:val="00C72813"/>
    <w:rsid w:val="00C72E90"/>
    <w:rsid w:val="00C7307C"/>
    <w:rsid w:val="00C740A1"/>
    <w:rsid w:val="00C74F0D"/>
    <w:rsid w:val="00C75128"/>
    <w:rsid w:val="00C7531B"/>
    <w:rsid w:val="00C753F7"/>
    <w:rsid w:val="00C75AD6"/>
    <w:rsid w:val="00C75F32"/>
    <w:rsid w:val="00C7662F"/>
    <w:rsid w:val="00C76D4F"/>
    <w:rsid w:val="00C76FF8"/>
    <w:rsid w:val="00C770F9"/>
    <w:rsid w:val="00C77214"/>
    <w:rsid w:val="00C77A94"/>
    <w:rsid w:val="00C77C95"/>
    <w:rsid w:val="00C8089F"/>
    <w:rsid w:val="00C80D0A"/>
    <w:rsid w:val="00C80D20"/>
    <w:rsid w:val="00C81727"/>
    <w:rsid w:val="00C81774"/>
    <w:rsid w:val="00C81DA7"/>
    <w:rsid w:val="00C82541"/>
    <w:rsid w:val="00C82A4B"/>
    <w:rsid w:val="00C82D38"/>
    <w:rsid w:val="00C83150"/>
    <w:rsid w:val="00C83259"/>
    <w:rsid w:val="00C83455"/>
    <w:rsid w:val="00C83F4D"/>
    <w:rsid w:val="00C849F4"/>
    <w:rsid w:val="00C85241"/>
    <w:rsid w:val="00C85673"/>
    <w:rsid w:val="00C86668"/>
    <w:rsid w:val="00C867CF"/>
    <w:rsid w:val="00C867EE"/>
    <w:rsid w:val="00C87117"/>
    <w:rsid w:val="00C871FB"/>
    <w:rsid w:val="00C87814"/>
    <w:rsid w:val="00C87A31"/>
    <w:rsid w:val="00C87C50"/>
    <w:rsid w:val="00C87EDE"/>
    <w:rsid w:val="00C904ED"/>
    <w:rsid w:val="00C907B2"/>
    <w:rsid w:val="00C90F06"/>
    <w:rsid w:val="00C911FD"/>
    <w:rsid w:val="00C91D65"/>
    <w:rsid w:val="00C922B1"/>
    <w:rsid w:val="00C92A5E"/>
    <w:rsid w:val="00C92AC2"/>
    <w:rsid w:val="00C937DB"/>
    <w:rsid w:val="00C93BD4"/>
    <w:rsid w:val="00C93DC3"/>
    <w:rsid w:val="00C93EE0"/>
    <w:rsid w:val="00C943E1"/>
    <w:rsid w:val="00C945D7"/>
    <w:rsid w:val="00C95370"/>
    <w:rsid w:val="00C9580A"/>
    <w:rsid w:val="00C960CB"/>
    <w:rsid w:val="00C96EAF"/>
    <w:rsid w:val="00C970BD"/>
    <w:rsid w:val="00C97BE0"/>
    <w:rsid w:val="00C97E92"/>
    <w:rsid w:val="00CA00B6"/>
    <w:rsid w:val="00CA0812"/>
    <w:rsid w:val="00CA08FC"/>
    <w:rsid w:val="00CA0F79"/>
    <w:rsid w:val="00CA14CC"/>
    <w:rsid w:val="00CA2618"/>
    <w:rsid w:val="00CA2DE9"/>
    <w:rsid w:val="00CA32DD"/>
    <w:rsid w:val="00CA38BD"/>
    <w:rsid w:val="00CA3975"/>
    <w:rsid w:val="00CA40D0"/>
    <w:rsid w:val="00CA412D"/>
    <w:rsid w:val="00CA4248"/>
    <w:rsid w:val="00CA450B"/>
    <w:rsid w:val="00CA4B4F"/>
    <w:rsid w:val="00CA4B67"/>
    <w:rsid w:val="00CA4D1A"/>
    <w:rsid w:val="00CA4E3F"/>
    <w:rsid w:val="00CA4F5C"/>
    <w:rsid w:val="00CA5071"/>
    <w:rsid w:val="00CA5072"/>
    <w:rsid w:val="00CA6558"/>
    <w:rsid w:val="00CA6980"/>
    <w:rsid w:val="00CA703B"/>
    <w:rsid w:val="00CA72FE"/>
    <w:rsid w:val="00CA770B"/>
    <w:rsid w:val="00CB06EC"/>
    <w:rsid w:val="00CB0776"/>
    <w:rsid w:val="00CB09F4"/>
    <w:rsid w:val="00CB1A9B"/>
    <w:rsid w:val="00CB1E8C"/>
    <w:rsid w:val="00CB1F1F"/>
    <w:rsid w:val="00CB209C"/>
    <w:rsid w:val="00CB24DB"/>
    <w:rsid w:val="00CB2A24"/>
    <w:rsid w:val="00CB2BCF"/>
    <w:rsid w:val="00CB2D28"/>
    <w:rsid w:val="00CB3011"/>
    <w:rsid w:val="00CB31F7"/>
    <w:rsid w:val="00CB339F"/>
    <w:rsid w:val="00CB37D4"/>
    <w:rsid w:val="00CB46FB"/>
    <w:rsid w:val="00CB49BB"/>
    <w:rsid w:val="00CB4E0B"/>
    <w:rsid w:val="00CB5271"/>
    <w:rsid w:val="00CB5F78"/>
    <w:rsid w:val="00CB5FC7"/>
    <w:rsid w:val="00CB6266"/>
    <w:rsid w:val="00CB62BD"/>
    <w:rsid w:val="00CB6762"/>
    <w:rsid w:val="00CB688E"/>
    <w:rsid w:val="00CB68BD"/>
    <w:rsid w:val="00CB69EB"/>
    <w:rsid w:val="00CB6C89"/>
    <w:rsid w:val="00CB6D20"/>
    <w:rsid w:val="00CB6D95"/>
    <w:rsid w:val="00CC005D"/>
    <w:rsid w:val="00CC0094"/>
    <w:rsid w:val="00CC13A1"/>
    <w:rsid w:val="00CC1ADE"/>
    <w:rsid w:val="00CC1F31"/>
    <w:rsid w:val="00CC2367"/>
    <w:rsid w:val="00CC2571"/>
    <w:rsid w:val="00CC267A"/>
    <w:rsid w:val="00CC28DA"/>
    <w:rsid w:val="00CC313D"/>
    <w:rsid w:val="00CC36DC"/>
    <w:rsid w:val="00CC3A78"/>
    <w:rsid w:val="00CC3BB3"/>
    <w:rsid w:val="00CC3EB2"/>
    <w:rsid w:val="00CC42BE"/>
    <w:rsid w:val="00CC4979"/>
    <w:rsid w:val="00CC4E3D"/>
    <w:rsid w:val="00CC517E"/>
    <w:rsid w:val="00CC5481"/>
    <w:rsid w:val="00CC54FE"/>
    <w:rsid w:val="00CC5904"/>
    <w:rsid w:val="00CC5CEE"/>
    <w:rsid w:val="00CC670A"/>
    <w:rsid w:val="00CC6DC8"/>
    <w:rsid w:val="00CC6E66"/>
    <w:rsid w:val="00CC7558"/>
    <w:rsid w:val="00CC7849"/>
    <w:rsid w:val="00CC7ACC"/>
    <w:rsid w:val="00CC7CC0"/>
    <w:rsid w:val="00CC7EB6"/>
    <w:rsid w:val="00CD02AB"/>
    <w:rsid w:val="00CD03E2"/>
    <w:rsid w:val="00CD0E94"/>
    <w:rsid w:val="00CD1371"/>
    <w:rsid w:val="00CD14C6"/>
    <w:rsid w:val="00CD1A65"/>
    <w:rsid w:val="00CD1F29"/>
    <w:rsid w:val="00CD238A"/>
    <w:rsid w:val="00CD2B35"/>
    <w:rsid w:val="00CD2F05"/>
    <w:rsid w:val="00CD3B33"/>
    <w:rsid w:val="00CD41CC"/>
    <w:rsid w:val="00CD4A55"/>
    <w:rsid w:val="00CD4ABD"/>
    <w:rsid w:val="00CD4BB7"/>
    <w:rsid w:val="00CD5374"/>
    <w:rsid w:val="00CD5CF9"/>
    <w:rsid w:val="00CD6005"/>
    <w:rsid w:val="00CD60BE"/>
    <w:rsid w:val="00CD6E7D"/>
    <w:rsid w:val="00CD6F3A"/>
    <w:rsid w:val="00CD7928"/>
    <w:rsid w:val="00CD793D"/>
    <w:rsid w:val="00CD7A1B"/>
    <w:rsid w:val="00CE000B"/>
    <w:rsid w:val="00CE00D2"/>
    <w:rsid w:val="00CE092B"/>
    <w:rsid w:val="00CE0979"/>
    <w:rsid w:val="00CE0AF7"/>
    <w:rsid w:val="00CE0C46"/>
    <w:rsid w:val="00CE0D25"/>
    <w:rsid w:val="00CE1D5A"/>
    <w:rsid w:val="00CE2419"/>
    <w:rsid w:val="00CE294E"/>
    <w:rsid w:val="00CE2B90"/>
    <w:rsid w:val="00CE2DE7"/>
    <w:rsid w:val="00CE2EA5"/>
    <w:rsid w:val="00CE34AD"/>
    <w:rsid w:val="00CE3679"/>
    <w:rsid w:val="00CE3AF2"/>
    <w:rsid w:val="00CE3B1C"/>
    <w:rsid w:val="00CE3FF8"/>
    <w:rsid w:val="00CE4495"/>
    <w:rsid w:val="00CE49D5"/>
    <w:rsid w:val="00CE4A22"/>
    <w:rsid w:val="00CE4A6D"/>
    <w:rsid w:val="00CE5080"/>
    <w:rsid w:val="00CE5091"/>
    <w:rsid w:val="00CE5418"/>
    <w:rsid w:val="00CE54B2"/>
    <w:rsid w:val="00CE5852"/>
    <w:rsid w:val="00CE5A73"/>
    <w:rsid w:val="00CE5DE0"/>
    <w:rsid w:val="00CE63B7"/>
    <w:rsid w:val="00CE67C2"/>
    <w:rsid w:val="00CE6FC7"/>
    <w:rsid w:val="00CE7023"/>
    <w:rsid w:val="00CE71E4"/>
    <w:rsid w:val="00CE7427"/>
    <w:rsid w:val="00CE7AAC"/>
    <w:rsid w:val="00CE7F36"/>
    <w:rsid w:val="00CE7F3F"/>
    <w:rsid w:val="00CF0688"/>
    <w:rsid w:val="00CF080B"/>
    <w:rsid w:val="00CF0D51"/>
    <w:rsid w:val="00CF1541"/>
    <w:rsid w:val="00CF1585"/>
    <w:rsid w:val="00CF2151"/>
    <w:rsid w:val="00CF2613"/>
    <w:rsid w:val="00CF2C9D"/>
    <w:rsid w:val="00CF34B4"/>
    <w:rsid w:val="00CF3D16"/>
    <w:rsid w:val="00CF3DDF"/>
    <w:rsid w:val="00CF4B3E"/>
    <w:rsid w:val="00CF573B"/>
    <w:rsid w:val="00CF6387"/>
    <w:rsid w:val="00CF63F4"/>
    <w:rsid w:val="00CF65CA"/>
    <w:rsid w:val="00CF6A5F"/>
    <w:rsid w:val="00CF7630"/>
    <w:rsid w:val="00CF7C8B"/>
    <w:rsid w:val="00CF7F67"/>
    <w:rsid w:val="00D003D8"/>
    <w:rsid w:val="00D0075E"/>
    <w:rsid w:val="00D009F7"/>
    <w:rsid w:val="00D00C73"/>
    <w:rsid w:val="00D00D2D"/>
    <w:rsid w:val="00D0119C"/>
    <w:rsid w:val="00D022BC"/>
    <w:rsid w:val="00D022E8"/>
    <w:rsid w:val="00D0239A"/>
    <w:rsid w:val="00D02BAD"/>
    <w:rsid w:val="00D038FE"/>
    <w:rsid w:val="00D0454D"/>
    <w:rsid w:val="00D04B9A"/>
    <w:rsid w:val="00D04C53"/>
    <w:rsid w:val="00D04F3F"/>
    <w:rsid w:val="00D05083"/>
    <w:rsid w:val="00D053F7"/>
    <w:rsid w:val="00D054FF"/>
    <w:rsid w:val="00D05C57"/>
    <w:rsid w:val="00D05E24"/>
    <w:rsid w:val="00D05FDC"/>
    <w:rsid w:val="00D066BC"/>
    <w:rsid w:val="00D068B8"/>
    <w:rsid w:val="00D07737"/>
    <w:rsid w:val="00D077D1"/>
    <w:rsid w:val="00D07A99"/>
    <w:rsid w:val="00D07C79"/>
    <w:rsid w:val="00D10727"/>
    <w:rsid w:val="00D112A7"/>
    <w:rsid w:val="00D11462"/>
    <w:rsid w:val="00D11C07"/>
    <w:rsid w:val="00D11D3E"/>
    <w:rsid w:val="00D12807"/>
    <w:rsid w:val="00D12DB8"/>
    <w:rsid w:val="00D1300A"/>
    <w:rsid w:val="00D13161"/>
    <w:rsid w:val="00D134B0"/>
    <w:rsid w:val="00D13970"/>
    <w:rsid w:val="00D1425C"/>
    <w:rsid w:val="00D1429D"/>
    <w:rsid w:val="00D1480C"/>
    <w:rsid w:val="00D1486D"/>
    <w:rsid w:val="00D14CCC"/>
    <w:rsid w:val="00D154F1"/>
    <w:rsid w:val="00D15F71"/>
    <w:rsid w:val="00D16293"/>
    <w:rsid w:val="00D16BED"/>
    <w:rsid w:val="00D16BEE"/>
    <w:rsid w:val="00D17059"/>
    <w:rsid w:val="00D173A9"/>
    <w:rsid w:val="00D17545"/>
    <w:rsid w:val="00D1797D"/>
    <w:rsid w:val="00D17A7A"/>
    <w:rsid w:val="00D17AD7"/>
    <w:rsid w:val="00D203EF"/>
    <w:rsid w:val="00D20515"/>
    <w:rsid w:val="00D21018"/>
    <w:rsid w:val="00D215D9"/>
    <w:rsid w:val="00D21645"/>
    <w:rsid w:val="00D21D7C"/>
    <w:rsid w:val="00D21DBB"/>
    <w:rsid w:val="00D21EFE"/>
    <w:rsid w:val="00D21F29"/>
    <w:rsid w:val="00D21FEA"/>
    <w:rsid w:val="00D2282E"/>
    <w:rsid w:val="00D22903"/>
    <w:rsid w:val="00D22917"/>
    <w:rsid w:val="00D22BFD"/>
    <w:rsid w:val="00D22EE8"/>
    <w:rsid w:val="00D230A9"/>
    <w:rsid w:val="00D2332A"/>
    <w:rsid w:val="00D234E1"/>
    <w:rsid w:val="00D23711"/>
    <w:rsid w:val="00D23963"/>
    <w:rsid w:val="00D23A8D"/>
    <w:rsid w:val="00D24340"/>
    <w:rsid w:val="00D245E5"/>
    <w:rsid w:val="00D24803"/>
    <w:rsid w:val="00D248EE"/>
    <w:rsid w:val="00D249B2"/>
    <w:rsid w:val="00D2519B"/>
    <w:rsid w:val="00D2533C"/>
    <w:rsid w:val="00D26482"/>
    <w:rsid w:val="00D26694"/>
    <w:rsid w:val="00D26706"/>
    <w:rsid w:val="00D26782"/>
    <w:rsid w:val="00D269E6"/>
    <w:rsid w:val="00D26E0D"/>
    <w:rsid w:val="00D27010"/>
    <w:rsid w:val="00D270A8"/>
    <w:rsid w:val="00D27414"/>
    <w:rsid w:val="00D27555"/>
    <w:rsid w:val="00D304D2"/>
    <w:rsid w:val="00D30EB6"/>
    <w:rsid w:val="00D31085"/>
    <w:rsid w:val="00D313BD"/>
    <w:rsid w:val="00D314F0"/>
    <w:rsid w:val="00D3169D"/>
    <w:rsid w:val="00D31778"/>
    <w:rsid w:val="00D32210"/>
    <w:rsid w:val="00D323DD"/>
    <w:rsid w:val="00D32717"/>
    <w:rsid w:val="00D32773"/>
    <w:rsid w:val="00D32A7A"/>
    <w:rsid w:val="00D33213"/>
    <w:rsid w:val="00D339DD"/>
    <w:rsid w:val="00D340F8"/>
    <w:rsid w:val="00D34849"/>
    <w:rsid w:val="00D34CF9"/>
    <w:rsid w:val="00D35572"/>
    <w:rsid w:val="00D359E8"/>
    <w:rsid w:val="00D35AD5"/>
    <w:rsid w:val="00D36040"/>
    <w:rsid w:val="00D37A5B"/>
    <w:rsid w:val="00D404FC"/>
    <w:rsid w:val="00D40A7E"/>
    <w:rsid w:val="00D41237"/>
    <w:rsid w:val="00D412B4"/>
    <w:rsid w:val="00D413A9"/>
    <w:rsid w:val="00D416FD"/>
    <w:rsid w:val="00D42026"/>
    <w:rsid w:val="00D425B4"/>
    <w:rsid w:val="00D42684"/>
    <w:rsid w:val="00D430B5"/>
    <w:rsid w:val="00D43ECE"/>
    <w:rsid w:val="00D44540"/>
    <w:rsid w:val="00D44AAC"/>
    <w:rsid w:val="00D44C22"/>
    <w:rsid w:val="00D45DA8"/>
    <w:rsid w:val="00D46D07"/>
    <w:rsid w:val="00D47267"/>
    <w:rsid w:val="00D47298"/>
    <w:rsid w:val="00D47B36"/>
    <w:rsid w:val="00D47CE9"/>
    <w:rsid w:val="00D47D60"/>
    <w:rsid w:val="00D47ECE"/>
    <w:rsid w:val="00D5142F"/>
    <w:rsid w:val="00D5176E"/>
    <w:rsid w:val="00D51786"/>
    <w:rsid w:val="00D518E1"/>
    <w:rsid w:val="00D527A9"/>
    <w:rsid w:val="00D53329"/>
    <w:rsid w:val="00D536AD"/>
    <w:rsid w:val="00D537E1"/>
    <w:rsid w:val="00D53976"/>
    <w:rsid w:val="00D53BA9"/>
    <w:rsid w:val="00D54687"/>
    <w:rsid w:val="00D54A34"/>
    <w:rsid w:val="00D54E4A"/>
    <w:rsid w:val="00D54F96"/>
    <w:rsid w:val="00D558CE"/>
    <w:rsid w:val="00D55AE3"/>
    <w:rsid w:val="00D55D68"/>
    <w:rsid w:val="00D5626B"/>
    <w:rsid w:val="00D56B3D"/>
    <w:rsid w:val="00D56C49"/>
    <w:rsid w:val="00D56F5F"/>
    <w:rsid w:val="00D5781E"/>
    <w:rsid w:val="00D57BA7"/>
    <w:rsid w:val="00D60318"/>
    <w:rsid w:val="00D6043E"/>
    <w:rsid w:val="00D607C0"/>
    <w:rsid w:val="00D60A3D"/>
    <w:rsid w:val="00D618B7"/>
    <w:rsid w:val="00D618F1"/>
    <w:rsid w:val="00D61AA6"/>
    <w:rsid w:val="00D6275D"/>
    <w:rsid w:val="00D62CBD"/>
    <w:rsid w:val="00D62F75"/>
    <w:rsid w:val="00D63441"/>
    <w:rsid w:val="00D636A3"/>
    <w:rsid w:val="00D6411C"/>
    <w:rsid w:val="00D6496D"/>
    <w:rsid w:val="00D64BB0"/>
    <w:rsid w:val="00D64C29"/>
    <w:rsid w:val="00D64EB1"/>
    <w:rsid w:val="00D6510A"/>
    <w:rsid w:val="00D658F2"/>
    <w:rsid w:val="00D65A22"/>
    <w:rsid w:val="00D65A35"/>
    <w:rsid w:val="00D66240"/>
    <w:rsid w:val="00D66A17"/>
    <w:rsid w:val="00D66CAF"/>
    <w:rsid w:val="00D67228"/>
    <w:rsid w:val="00D678FC"/>
    <w:rsid w:val="00D67C8C"/>
    <w:rsid w:val="00D67FD0"/>
    <w:rsid w:val="00D70A97"/>
    <w:rsid w:val="00D70EB5"/>
    <w:rsid w:val="00D71803"/>
    <w:rsid w:val="00D71FD8"/>
    <w:rsid w:val="00D7253F"/>
    <w:rsid w:val="00D727C3"/>
    <w:rsid w:val="00D72BD5"/>
    <w:rsid w:val="00D736CD"/>
    <w:rsid w:val="00D73A04"/>
    <w:rsid w:val="00D73A1B"/>
    <w:rsid w:val="00D73E34"/>
    <w:rsid w:val="00D73E71"/>
    <w:rsid w:val="00D74123"/>
    <w:rsid w:val="00D74417"/>
    <w:rsid w:val="00D74594"/>
    <w:rsid w:val="00D74AB1"/>
    <w:rsid w:val="00D75638"/>
    <w:rsid w:val="00D757A8"/>
    <w:rsid w:val="00D759EE"/>
    <w:rsid w:val="00D76252"/>
    <w:rsid w:val="00D76983"/>
    <w:rsid w:val="00D77DBD"/>
    <w:rsid w:val="00D8000E"/>
    <w:rsid w:val="00D800D0"/>
    <w:rsid w:val="00D80799"/>
    <w:rsid w:val="00D809C6"/>
    <w:rsid w:val="00D80AA1"/>
    <w:rsid w:val="00D80B23"/>
    <w:rsid w:val="00D810FF"/>
    <w:rsid w:val="00D8158D"/>
    <w:rsid w:val="00D8222D"/>
    <w:rsid w:val="00D82419"/>
    <w:rsid w:val="00D826A6"/>
    <w:rsid w:val="00D8271F"/>
    <w:rsid w:val="00D82C18"/>
    <w:rsid w:val="00D83230"/>
    <w:rsid w:val="00D83FE2"/>
    <w:rsid w:val="00D84268"/>
    <w:rsid w:val="00D846F3"/>
    <w:rsid w:val="00D84ED8"/>
    <w:rsid w:val="00D856A0"/>
    <w:rsid w:val="00D85C14"/>
    <w:rsid w:val="00D86325"/>
    <w:rsid w:val="00D863A8"/>
    <w:rsid w:val="00D863AD"/>
    <w:rsid w:val="00D8644B"/>
    <w:rsid w:val="00D86598"/>
    <w:rsid w:val="00D866F0"/>
    <w:rsid w:val="00D86C27"/>
    <w:rsid w:val="00D87963"/>
    <w:rsid w:val="00D87CC8"/>
    <w:rsid w:val="00D87ED0"/>
    <w:rsid w:val="00D9001F"/>
    <w:rsid w:val="00D90169"/>
    <w:rsid w:val="00D90323"/>
    <w:rsid w:val="00D90707"/>
    <w:rsid w:val="00D90786"/>
    <w:rsid w:val="00D90C39"/>
    <w:rsid w:val="00D90F33"/>
    <w:rsid w:val="00D91408"/>
    <w:rsid w:val="00D916C3"/>
    <w:rsid w:val="00D916DD"/>
    <w:rsid w:val="00D91B5C"/>
    <w:rsid w:val="00D91E8E"/>
    <w:rsid w:val="00D91F0D"/>
    <w:rsid w:val="00D92417"/>
    <w:rsid w:val="00D92E9F"/>
    <w:rsid w:val="00D92F10"/>
    <w:rsid w:val="00D9384A"/>
    <w:rsid w:val="00D93976"/>
    <w:rsid w:val="00D939C4"/>
    <w:rsid w:val="00D93AD0"/>
    <w:rsid w:val="00D93AD2"/>
    <w:rsid w:val="00D93CC2"/>
    <w:rsid w:val="00D93F16"/>
    <w:rsid w:val="00D9470F"/>
    <w:rsid w:val="00D94ACB"/>
    <w:rsid w:val="00D9565B"/>
    <w:rsid w:val="00D960E8"/>
    <w:rsid w:val="00D9621D"/>
    <w:rsid w:val="00D96D4E"/>
    <w:rsid w:val="00D9707D"/>
    <w:rsid w:val="00D97204"/>
    <w:rsid w:val="00D9761D"/>
    <w:rsid w:val="00D97FEA"/>
    <w:rsid w:val="00D97FFB"/>
    <w:rsid w:val="00DA0156"/>
    <w:rsid w:val="00DA0857"/>
    <w:rsid w:val="00DA0871"/>
    <w:rsid w:val="00DA0A1A"/>
    <w:rsid w:val="00DA0D76"/>
    <w:rsid w:val="00DA0EF9"/>
    <w:rsid w:val="00DA1B24"/>
    <w:rsid w:val="00DA1F7A"/>
    <w:rsid w:val="00DA26C4"/>
    <w:rsid w:val="00DA33E4"/>
    <w:rsid w:val="00DA343F"/>
    <w:rsid w:val="00DA34AE"/>
    <w:rsid w:val="00DA35DF"/>
    <w:rsid w:val="00DA3BAA"/>
    <w:rsid w:val="00DA3FA6"/>
    <w:rsid w:val="00DA4191"/>
    <w:rsid w:val="00DA41DB"/>
    <w:rsid w:val="00DA42D4"/>
    <w:rsid w:val="00DA44FD"/>
    <w:rsid w:val="00DA46BF"/>
    <w:rsid w:val="00DA4EB3"/>
    <w:rsid w:val="00DA4FE9"/>
    <w:rsid w:val="00DA5366"/>
    <w:rsid w:val="00DA5965"/>
    <w:rsid w:val="00DA60A6"/>
    <w:rsid w:val="00DA638D"/>
    <w:rsid w:val="00DA650F"/>
    <w:rsid w:val="00DA65A3"/>
    <w:rsid w:val="00DA6D21"/>
    <w:rsid w:val="00DA7056"/>
    <w:rsid w:val="00DA799F"/>
    <w:rsid w:val="00DB0150"/>
    <w:rsid w:val="00DB0B9B"/>
    <w:rsid w:val="00DB0E68"/>
    <w:rsid w:val="00DB1071"/>
    <w:rsid w:val="00DB1513"/>
    <w:rsid w:val="00DB2091"/>
    <w:rsid w:val="00DB230D"/>
    <w:rsid w:val="00DB24E0"/>
    <w:rsid w:val="00DB35C3"/>
    <w:rsid w:val="00DB3958"/>
    <w:rsid w:val="00DB3A82"/>
    <w:rsid w:val="00DB3CAA"/>
    <w:rsid w:val="00DB4328"/>
    <w:rsid w:val="00DB4429"/>
    <w:rsid w:val="00DB4483"/>
    <w:rsid w:val="00DB467C"/>
    <w:rsid w:val="00DB48F1"/>
    <w:rsid w:val="00DB4A99"/>
    <w:rsid w:val="00DB4CE2"/>
    <w:rsid w:val="00DB54C1"/>
    <w:rsid w:val="00DB5E39"/>
    <w:rsid w:val="00DB6277"/>
    <w:rsid w:val="00DB6A96"/>
    <w:rsid w:val="00DB6AFF"/>
    <w:rsid w:val="00DB6D7B"/>
    <w:rsid w:val="00DB7986"/>
    <w:rsid w:val="00DB7FD9"/>
    <w:rsid w:val="00DC008D"/>
    <w:rsid w:val="00DC04A8"/>
    <w:rsid w:val="00DC07DF"/>
    <w:rsid w:val="00DC083F"/>
    <w:rsid w:val="00DC09B7"/>
    <w:rsid w:val="00DC0C28"/>
    <w:rsid w:val="00DC1010"/>
    <w:rsid w:val="00DC1097"/>
    <w:rsid w:val="00DC1106"/>
    <w:rsid w:val="00DC12B3"/>
    <w:rsid w:val="00DC2C4A"/>
    <w:rsid w:val="00DC368D"/>
    <w:rsid w:val="00DC36F3"/>
    <w:rsid w:val="00DC39DA"/>
    <w:rsid w:val="00DC3E77"/>
    <w:rsid w:val="00DC3F2C"/>
    <w:rsid w:val="00DC4CBE"/>
    <w:rsid w:val="00DC55FB"/>
    <w:rsid w:val="00DC5881"/>
    <w:rsid w:val="00DC5B62"/>
    <w:rsid w:val="00DC64D6"/>
    <w:rsid w:val="00DC6A2B"/>
    <w:rsid w:val="00DC6AE0"/>
    <w:rsid w:val="00DC6D4B"/>
    <w:rsid w:val="00DC6F1A"/>
    <w:rsid w:val="00DC7057"/>
    <w:rsid w:val="00DC76A1"/>
    <w:rsid w:val="00DC76D3"/>
    <w:rsid w:val="00DD0B3B"/>
    <w:rsid w:val="00DD0B8A"/>
    <w:rsid w:val="00DD0BD0"/>
    <w:rsid w:val="00DD0E30"/>
    <w:rsid w:val="00DD11EB"/>
    <w:rsid w:val="00DD15D2"/>
    <w:rsid w:val="00DD17D7"/>
    <w:rsid w:val="00DD18DC"/>
    <w:rsid w:val="00DD1E20"/>
    <w:rsid w:val="00DD1E42"/>
    <w:rsid w:val="00DD22B0"/>
    <w:rsid w:val="00DD2F2A"/>
    <w:rsid w:val="00DD384E"/>
    <w:rsid w:val="00DD38D7"/>
    <w:rsid w:val="00DD4168"/>
    <w:rsid w:val="00DD41FE"/>
    <w:rsid w:val="00DD43BC"/>
    <w:rsid w:val="00DD4C95"/>
    <w:rsid w:val="00DD5DEA"/>
    <w:rsid w:val="00DD5FEB"/>
    <w:rsid w:val="00DD60B2"/>
    <w:rsid w:val="00DD6657"/>
    <w:rsid w:val="00DD69E3"/>
    <w:rsid w:val="00DD6DF9"/>
    <w:rsid w:val="00DD732F"/>
    <w:rsid w:val="00DD785D"/>
    <w:rsid w:val="00DD7E1F"/>
    <w:rsid w:val="00DD7E7B"/>
    <w:rsid w:val="00DE02D5"/>
    <w:rsid w:val="00DE04EB"/>
    <w:rsid w:val="00DE056A"/>
    <w:rsid w:val="00DE0F2A"/>
    <w:rsid w:val="00DE1EEC"/>
    <w:rsid w:val="00DE23BB"/>
    <w:rsid w:val="00DE27D1"/>
    <w:rsid w:val="00DE28AE"/>
    <w:rsid w:val="00DE2E27"/>
    <w:rsid w:val="00DE30C6"/>
    <w:rsid w:val="00DE31EB"/>
    <w:rsid w:val="00DE33F2"/>
    <w:rsid w:val="00DE3565"/>
    <w:rsid w:val="00DE36D2"/>
    <w:rsid w:val="00DE3737"/>
    <w:rsid w:val="00DE393A"/>
    <w:rsid w:val="00DE3D5E"/>
    <w:rsid w:val="00DE3ECA"/>
    <w:rsid w:val="00DE40E1"/>
    <w:rsid w:val="00DE4B5F"/>
    <w:rsid w:val="00DE4D5A"/>
    <w:rsid w:val="00DE61C3"/>
    <w:rsid w:val="00DE6602"/>
    <w:rsid w:val="00DE6745"/>
    <w:rsid w:val="00DE6DC3"/>
    <w:rsid w:val="00DE6DF2"/>
    <w:rsid w:val="00DE6F21"/>
    <w:rsid w:val="00DE700C"/>
    <w:rsid w:val="00DE7968"/>
    <w:rsid w:val="00DE79F8"/>
    <w:rsid w:val="00DF042E"/>
    <w:rsid w:val="00DF0587"/>
    <w:rsid w:val="00DF0B7F"/>
    <w:rsid w:val="00DF0E97"/>
    <w:rsid w:val="00DF0FF3"/>
    <w:rsid w:val="00DF1008"/>
    <w:rsid w:val="00DF1477"/>
    <w:rsid w:val="00DF197D"/>
    <w:rsid w:val="00DF1AC1"/>
    <w:rsid w:val="00DF2085"/>
    <w:rsid w:val="00DF2328"/>
    <w:rsid w:val="00DF294D"/>
    <w:rsid w:val="00DF2DD9"/>
    <w:rsid w:val="00DF39D7"/>
    <w:rsid w:val="00DF3F5D"/>
    <w:rsid w:val="00DF3FC8"/>
    <w:rsid w:val="00DF41DE"/>
    <w:rsid w:val="00DF4833"/>
    <w:rsid w:val="00DF4CA5"/>
    <w:rsid w:val="00DF4CD0"/>
    <w:rsid w:val="00DF4DD2"/>
    <w:rsid w:val="00DF5563"/>
    <w:rsid w:val="00DF5705"/>
    <w:rsid w:val="00DF60DA"/>
    <w:rsid w:val="00DF6919"/>
    <w:rsid w:val="00DF6AE4"/>
    <w:rsid w:val="00DF6C7E"/>
    <w:rsid w:val="00DF7563"/>
    <w:rsid w:val="00DF7963"/>
    <w:rsid w:val="00DF79D3"/>
    <w:rsid w:val="00E00110"/>
    <w:rsid w:val="00E00E98"/>
    <w:rsid w:val="00E01A03"/>
    <w:rsid w:val="00E024DD"/>
    <w:rsid w:val="00E02511"/>
    <w:rsid w:val="00E02C8D"/>
    <w:rsid w:val="00E02F35"/>
    <w:rsid w:val="00E03007"/>
    <w:rsid w:val="00E0310B"/>
    <w:rsid w:val="00E03677"/>
    <w:rsid w:val="00E037B9"/>
    <w:rsid w:val="00E03C1E"/>
    <w:rsid w:val="00E03E20"/>
    <w:rsid w:val="00E04277"/>
    <w:rsid w:val="00E04381"/>
    <w:rsid w:val="00E046D3"/>
    <w:rsid w:val="00E04909"/>
    <w:rsid w:val="00E04D6D"/>
    <w:rsid w:val="00E050E4"/>
    <w:rsid w:val="00E05576"/>
    <w:rsid w:val="00E06012"/>
    <w:rsid w:val="00E0640C"/>
    <w:rsid w:val="00E0753D"/>
    <w:rsid w:val="00E0770E"/>
    <w:rsid w:val="00E07DE5"/>
    <w:rsid w:val="00E07EC6"/>
    <w:rsid w:val="00E07F23"/>
    <w:rsid w:val="00E10994"/>
    <w:rsid w:val="00E1130C"/>
    <w:rsid w:val="00E118A7"/>
    <w:rsid w:val="00E11CBA"/>
    <w:rsid w:val="00E12057"/>
    <w:rsid w:val="00E124C5"/>
    <w:rsid w:val="00E1254A"/>
    <w:rsid w:val="00E12E2E"/>
    <w:rsid w:val="00E131F5"/>
    <w:rsid w:val="00E13639"/>
    <w:rsid w:val="00E13A53"/>
    <w:rsid w:val="00E1401A"/>
    <w:rsid w:val="00E14278"/>
    <w:rsid w:val="00E143D8"/>
    <w:rsid w:val="00E1457E"/>
    <w:rsid w:val="00E1476A"/>
    <w:rsid w:val="00E14CC1"/>
    <w:rsid w:val="00E15345"/>
    <w:rsid w:val="00E15403"/>
    <w:rsid w:val="00E159AE"/>
    <w:rsid w:val="00E15B0A"/>
    <w:rsid w:val="00E16D2D"/>
    <w:rsid w:val="00E1775D"/>
    <w:rsid w:val="00E17980"/>
    <w:rsid w:val="00E17AA1"/>
    <w:rsid w:val="00E17AA8"/>
    <w:rsid w:val="00E17F0C"/>
    <w:rsid w:val="00E17FB0"/>
    <w:rsid w:val="00E20615"/>
    <w:rsid w:val="00E20817"/>
    <w:rsid w:val="00E20C06"/>
    <w:rsid w:val="00E20C6B"/>
    <w:rsid w:val="00E2145A"/>
    <w:rsid w:val="00E219B7"/>
    <w:rsid w:val="00E21A55"/>
    <w:rsid w:val="00E221FA"/>
    <w:rsid w:val="00E22BDB"/>
    <w:rsid w:val="00E2356A"/>
    <w:rsid w:val="00E23B80"/>
    <w:rsid w:val="00E23CC2"/>
    <w:rsid w:val="00E23E56"/>
    <w:rsid w:val="00E242A3"/>
    <w:rsid w:val="00E24FE7"/>
    <w:rsid w:val="00E2543C"/>
    <w:rsid w:val="00E254BB"/>
    <w:rsid w:val="00E2673B"/>
    <w:rsid w:val="00E26C2D"/>
    <w:rsid w:val="00E271E6"/>
    <w:rsid w:val="00E2742E"/>
    <w:rsid w:val="00E27852"/>
    <w:rsid w:val="00E27FC0"/>
    <w:rsid w:val="00E30C97"/>
    <w:rsid w:val="00E31661"/>
    <w:rsid w:val="00E319D1"/>
    <w:rsid w:val="00E31ACA"/>
    <w:rsid w:val="00E31D6E"/>
    <w:rsid w:val="00E31F96"/>
    <w:rsid w:val="00E326F2"/>
    <w:rsid w:val="00E33204"/>
    <w:rsid w:val="00E3352A"/>
    <w:rsid w:val="00E3385C"/>
    <w:rsid w:val="00E33A39"/>
    <w:rsid w:val="00E33BBA"/>
    <w:rsid w:val="00E33DED"/>
    <w:rsid w:val="00E33EFE"/>
    <w:rsid w:val="00E3403E"/>
    <w:rsid w:val="00E345B5"/>
    <w:rsid w:val="00E3480A"/>
    <w:rsid w:val="00E35271"/>
    <w:rsid w:val="00E3620C"/>
    <w:rsid w:val="00E36262"/>
    <w:rsid w:val="00E374FC"/>
    <w:rsid w:val="00E379FD"/>
    <w:rsid w:val="00E37A48"/>
    <w:rsid w:val="00E37E0E"/>
    <w:rsid w:val="00E37F5E"/>
    <w:rsid w:val="00E37FC8"/>
    <w:rsid w:val="00E400A8"/>
    <w:rsid w:val="00E40654"/>
    <w:rsid w:val="00E40A80"/>
    <w:rsid w:val="00E40DD1"/>
    <w:rsid w:val="00E40DD4"/>
    <w:rsid w:val="00E40E09"/>
    <w:rsid w:val="00E40E72"/>
    <w:rsid w:val="00E4126F"/>
    <w:rsid w:val="00E4162E"/>
    <w:rsid w:val="00E41F6E"/>
    <w:rsid w:val="00E42075"/>
    <w:rsid w:val="00E423EF"/>
    <w:rsid w:val="00E42C2D"/>
    <w:rsid w:val="00E438ED"/>
    <w:rsid w:val="00E439DE"/>
    <w:rsid w:val="00E43A7A"/>
    <w:rsid w:val="00E43EC1"/>
    <w:rsid w:val="00E4400A"/>
    <w:rsid w:val="00E4406C"/>
    <w:rsid w:val="00E4419F"/>
    <w:rsid w:val="00E4432E"/>
    <w:rsid w:val="00E44609"/>
    <w:rsid w:val="00E44EA6"/>
    <w:rsid w:val="00E44F09"/>
    <w:rsid w:val="00E4517F"/>
    <w:rsid w:val="00E452C5"/>
    <w:rsid w:val="00E454E1"/>
    <w:rsid w:val="00E45958"/>
    <w:rsid w:val="00E45DBB"/>
    <w:rsid w:val="00E46260"/>
    <w:rsid w:val="00E462BA"/>
    <w:rsid w:val="00E466D8"/>
    <w:rsid w:val="00E46B94"/>
    <w:rsid w:val="00E46B99"/>
    <w:rsid w:val="00E46D61"/>
    <w:rsid w:val="00E46FCE"/>
    <w:rsid w:val="00E46FF2"/>
    <w:rsid w:val="00E470EE"/>
    <w:rsid w:val="00E47724"/>
    <w:rsid w:val="00E47AA4"/>
    <w:rsid w:val="00E47C5F"/>
    <w:rsid w:val="00E50092"/>
    <w:rsid w:val="00E52781"/>
    <w:rsid w:val="00E5292D"/>
    <w:rsid w:val="00E52D80"/>
    <w:rsid w:val="00E53391"/>
    <w:rsid w:val="00E53E35"/>
    <w:rsid w:val="00E5538C"/>
    <w:rsid w:val="00E55796"/>
    <w:rsid w:val="00E5579E"/>
    <w:rsid w:val="00E565BE"/>
    <w:rsid w:val="00E56FA4"/>
    <w:rsid w:val="00E572FD"/>
    <w:rsid w:val="00E577D3"/>
    <w:rsid w:val="00E578A0"/>
    <w:rsid w:val="00E60013"/>
    <w:rsid w:val="00E606ED"/>
    <w:rsid w:val="00E6099F"/>
    <w:rsid w:val="00E60CEC"/>
    <w:rsid w:val="00E6141E"/>
    <w:rsid w:val="00E614F3"/>
    <w:rsid w:val="00E61D03"/>
    <w:rsid w:val="00E61EBC"/>
    <w:rsid w:val="00E624A8"/>
    <w:rsid w:val="00E626F9"/>
    <w:rsid w:val="00E62989"/>
    <w:rsid w:val="00E63300"/>
    <w:rsid w:val="00E633D3"/>
    <w:rsid w:val="00E63889"/>
    <w:rsid w:val="00E63E6F"/>
    <w:rsid w:val="00E64712"/>
    <w:rsid w:val="00E6475E"/>
    <w:rsid w:val="00E64A00"/>
    <w:rsid w:val="00E65166"/>
    <w:rsid w:val="00E6552E"/>
    <w:rsid w:val="00E66247"/>
    <w:rsid w:val="00E666BC"/>
    <w:rsid w:val="00E66DE5"/>
    <w:rsid w:val="00E67737"/>
    <w:rsid w:val="00E67C1F"/>
    <w:rsid w:val="00E7043A"/>
    <w:rsid w:val="00E70579"/>
    <w:rsid w:val="00E708D6"/>
    <w:rsid w:val="00E70AF0"/>
    <w:rsid w:val="00E712A4"/>
    <w:rsid w:val="00E71FC5"/>
    <w:rsid w:val="00E72195"/>
    <w:rsid w:val="00E723AA"/>
    <w:rsid w:val="00E72F3C"/>
    <w:rsid w:val="00E730A9"/>
    <w:rsid w:val="00E73795"/>
    <w:rsid w:val="00E73DEE"/>
    <w:rsid w:val="00E7438F"/>
    <w:rsid w:val="00E74456"/>
    <w:rsid w:val="00E7478D"/>
    <w:rsid w:val="00E74ED1"/>
    <w:rsid w:val="00E74FC0"/>
    <w:rsid w:val="00E7533E"/>
    <w:rsid w:val="00E7610F"/>
    <w:rsid w:val="00E762B6"/>
    <w:rsid w:val="00E76408"/>
    <w:rsid w:val="00E77672"/>
    <w:rsid w:val="00E7777A"/>
    <w:rsid w:val="00E77B05"/>
    <w:rsid w:val="00E77D85"/>
    <w:rsid w:val="00E77DE6"/>
    <w:rsid w:val="00E801A8"/>
    <w:rsid w:val="00E803F0"/>
    <w:rsid w:val="00E80513"/>
    <w:rsid w:val="00E8072C"/>
    <w:rsid w:val="00E80CB4"/>
    <w:rsid w:val="00E80CEB"/>
    <w:rsid w:val="00E80CFB"/>
    <w:rsid w:val="00E80D4D"/>
    <w:rsid w:val="00E812CD"/>
    <w:rsid w:val="00E81C57"/>
    <w:rsid w:val="00E82CE5"/>
    <w:rsid w:val="00E831AC"/>
    <w:rsid w:val="00E833F1"/>
    <w:rsid w:val="00E8342B"/>
    <w:rsid w:val="00E83AE0"/>
    <w:rsid w:val="00E84231"/>
    <w:rsid w:val="00E84389"/>
    <w:rsid w:val="00E84C14"/>
    <w:rsid w:val="00E85E46"/>
    <w:rsid w:val="00E86699"/>
    <w:rsid w:val="00E86BCE"/>
    <w:rsid w:val="00E87AB2"/>
    <w:rsid w:val="00E87D1C"/>
    <w:rsid w:val="00E87EDD"/>
    <w:rsid w:val="00E908C2"/>
    <w:rsid w:val="00E916A7"/>
    <w:rsid w:val="00E91B08"/>
    <w:rsid w:val="00E91F3D"/>
    <w:rsid w:val="00E926C2"/>
    <w:rsid w:val="00E926DA"/>
    <w:rsid w:val="00E92D12"/>
    <w:rsid w:val="00E93317"/>
    <w:rsid w:val="00E9343C"/>
    <w:rsid w:val="00E93460"/>
    <w:rsid w:val="00E93FFD"/>
    <w:rsid w:val="00E95175"/>
    <w:rsid w:val="00E9572A"/>
    <w:rsid w:val="00E958C7"/>
    <w:rsid w:val="00E95E2C"/>
    <w:rsid w:val="00E95ED0"/>
    <w:rsid w:val="00E967AC"/>
    <w:rsid w:val="00E96900"/>
    <w:rsid w:val="00E96D84"/>
    <w:rsid w:val="00E96FA7"/>
    <w:rsid w:val="00E97B69"/>
    <w:rsid w:val="00E97C3C"/>
    <w:rsid w:val="00EA01C7"/>
    <w:rsid w:val="00EA0659"/>
    <w:rsid w:val="00EA0B32"/>
    <w:rsid w:val="00EA0D63"/>
    <w:rsid w:val="00EA1844"/>
    <w:rsid w:val="00EA1B80"/>
    <w:rsid w:val="00EA1E6A"/>
    <w:rsid w:val="00EA2261"/>
    <w:rsid w:val="00EA24A5"/>
    <w:rsid w:val="00EA262B"/>
    <w:rsid w:val="00EA30A2"/>
    <w:rsid w:val="00EA3E20"/>
    <w:rsid w:val="00EA3E67"/>
    <w:rsid w:val="00EA3EE2"/>
    <w:rsid w:val="00EA589E"/>
    <w:rsid w:val="00EA5B67"/>
    <w:rsid w:val="00EA5CD2"/>
    <w:rsid w:val="00EA5D37"/>
    <w:rsid w:val="00EA6700"/>
    <w:rsid w:val="00EA7157"/>
    <w:rsid w:val="00EB00C4"/>
    <w:rsid w:val="00EB0E0D"/>
    <w:rsid w:val="00EB13FF"/>
    <w:rsid w:val="00EB1A81"/>
    <w:rsid w:val="00EB21F6"/>
    <w:rsid w:val="00EB23E1"/>
    <w:rsid w:val="00EB3DA2"/>
    <w:rsid w:val="00EB40E5"/>
    <w:rsid w:val="00EB44D6"/>
    <w:rsid w:val="00EB494E"/>
    <w:rsid w:val="00EB4A8E"/>
    <w:rsid w:val="00EB4D7F"/>
    <w:rsid w:val="00EB4DBE"/>
    <w:rsid w:val="00EB5030"/>
    <w:rsid w:val="00EB62F7"/>
    <w:rsid w:val="00EB6417"/>
    <w:rsid w:val="00EB6662"/>
    <w:rsid w:val="00EB690F"/>
    <w:rsid w:val="00EB6FD6"/>
    <w:rsid w:val="00EB77C9"/>
    <w:rsid w:val="00EB7955"/>
    <w:rsid w:val="00EB7D9E"/>
    <w:rsid w:val="00EC001A"/>
    <w:rsid w:val="00EC026F"/>
    <w:rsid w:val="00EC0854"/>
    <w:rsid w:val="00EC10B7"/>
    <w:rsid w:val="00EC18D2"/>
    <w:rsid w:val="00EC1B01"/>
    <w:rsid w:val="00EC1D36"/>
    <w:rsid w:val="00EC2F4D"/>
    <w:rsid w:val="00EC3121"/>
    <w:rsid w:val="00EC3287"/>
    <w:rsid w:val="00EC362B"/>
    <w:rsid w:val="00EC376A"/>
    <w:rsid w:val="00EC3F37"/>
    <w:rsid w:val="00EC43CB"/>
    <w:rsid w:val="00EC4CAC"/>
    <w:rsid w:val="00EC529B"/>
    <w:rsid w:val="00EC5DC3"/>
    <w:rsid w:val="00EC5F0F"/>
    <w:rsid w:val="00EC63E6"/>
    <w:rsid w:val="00EC65B8"/>
    <w:rsid w:val="00EC673D"/>
    <w:rsid w:val="00EC679F"/>
    <w:rsid w:val="00EC6948"/>
    <w:rsid w:val="00EC6BE8"/>
    <w:rsid w:val="00EC720A"/>
    <w:rsid w:val="00EC76D2"/>
    <w:rsid w:val="00EC77CE"/>
    <w:rsid w:val="00EC79CF"/>
    <w:rsid w:val="00EC7ECE"/>
    <w:rsid w:val="00ED0509"/>
    <w:rsid w:val="00ED0756"/>
    <w:rsid w:val="00ED0780"/>
    <w:rsid w:val="00ED09E4"/>
    <w:rsid w:val="00ED163E"/>
    <w:rsid w:val="00ED1722"/>
    <w:rsid w:val="00ED1812"/>
    <w:rsid w:val="00ED1E6D"/>
    <w:rsid w:val="00ED27AF"/>
    <w:rsid w:val="00ED2B9F"/>
    <w:rsid w:val="00ED2BC1"/>
    <w:rsid w:val="00ED2E3F"/>
    <w:rsid w:val="00ED2E8E"/>
    <w:rsid w:val="00ED3AB4"/>
    <w:rsid w:val="00ED3BC2"/>
    <w:rsid w:val="00ED42EF"/>
    <w:rsid w:val="00ED52C1"/>
    <w:rsid w:val="00ED53E7"/>
    <w:rsid w:val="00ED5575"/>
    <w:rsid w:val="00ED56DD"/>
    <w:rsid w:val="00ED5BDD"/>
    <w:rsid w:val="00ED5DA5"/>
    <w:rsid w:val="00ED5F7A"/>
    <w:rsid w:val="00ED6890"/>
    <w:rsid w:val="00ED6E1D"/>
    <w:rsid w:val="00ED75B0"/>
    <w:rsid w:val="00ED769B"/>
    <w:rsid w:val="00ED770C"/>
    <w:rsid w:val="00ED7912"/>
    <w:rsid w:val="00EE03CD"/>
    <w:rsid w:val="00EE1593"/>
    <w:rsid w:val="00EE23B0"/>
    <w:rsid w:val="00EE37CE"/>
    <w:rsid w:val="00EE3ADE"/>
    <w:rsid w:val="00EE3D1F"/>
    <w:rsid w:val="00EE4037"/>
    <w:rsid w:val="00EE482E"/>
    <w:rsid w:val="00EE4F08"/>
    <w:rsid w:val="00EE5470"/>
    <w:rsid w:val="00EE5D2F"/>
    <w:rsid w:val="00EE6827"/>
    <w:rsid w:val="00EE69F4"/>
    <w:rsid w:val="00EE6A7C"/>
    <w:rsid w:val="00EE6DA2"/>
    <w:rsid w:val="00EE720C"/>
    <w:rsid w:val="00EF0142"/>
    <w:rsid w:val="00EF05A3"/>
    <w:rsid w:val="00EF06A7"/>
    <w:rsid w:val="00EF0791"/>
    <w:rsid w:val="00EF0C4B"/>
    <w:rsid w:val="00EF0C5E"/>
    <w:rsid w:val="00EF0D1A"/>
    <w:rsid w:val="00EF10B1"/>
    <w:rsid w:val="00EF1897"/>
    <w:rsid w:val="00EF1E47"/>
    <w:rsid w:val="00EF244F"/>
    <w:rsid w:val="00EF258A"/>
    <w:rsid w:val="00EF2772"/>
    <w:rsid w:val="00EF2B62"/>
    <w:rsid w:val="00EF35F3"/>
    <w:rsid w:val="00EF38A8"/>
    <w:rsid w:val="00EF3A6F"/>
    <w:rsid w:val="00EF3B6E"/>
    <w:rsid w:val="00EF3C7C"/>
    <w:rsid w:val="00EF3E0E"/>
    <w:rsid w:val="00EF43A6"/>
    <w:rsid w:val="00EF4BC1"/>
    <w:rsid w:val="00EF51D0"/>
    <w:rsid w:val="00EF51DA"/>
    <w:rsid w:val="00EF5EBC"/>
    <w:rsid w:val="00EF6331"/>
    <w:rsid w:val="00EF69EF"/>
    <w:rsid w:val="00EF7062"/>
    <w:rsid w:val="00EF7A8D"/>
    <w:rsid w:val="00EF7ACE"/>
    <w:rsid w:val="00EF7CE5"/>
    <w:rsid w:val="00EF7FEA"/>
    <w:rsid w:val="00F008C1"/>
    <w:rsid w:val="00F010B7"/>
    <w:rsid w:val="00F019FE"/>
    <w:rsid w:val="00F01AE4"/>
    <w:rsid w:val="00F01F11"/>
    <w:rsid w:val="00F02486"/>
    <w:rsid w:val="00F027EE"/>
    <w:rsid w:val="00F02993"/>
    <w:rsid w:val="00F029FF"/>
    <w:rsid w:val="00F02C28"/>
    <w:rsid w:val="00F034E8"/>
    <w:rsid w:val="00F04640"/>
    <w:rsid w:val="00F05675"/>
    <w:rsid w:val="00F05BF4"/>
    <w:rsid w:val="00F05EF7"/>
    <w:rsid w:val="00F05EFF"/>
    <w:rsid w:val="00F060FF"/>
    <w:rsid w:val="00F06782"/>
    <w:rsid w:val="00F06B80"/>
    <w:rsid w:val="00F06C94"/>
    <w:rsid w:val="00F07252"/>
    <w:rsid w:val="00F0731C"/>
    <w:rsid w:val="00F0774E"/>
    <w:rsid w:val="00F07F2C"/>
    <w:rsid w:val="00F07F5B"/>
    <w:rsid w:val="00F103BC"/>
    <w:rsid w:val="00F10401"/>
    <w:rsid w:val="00F1070D"/>
    <w:rsid w:val="00F10A84"/>
    <w:rsid w:val="00F10BD6"/>
    <w:rsid w:val="00F10E17"/>
    <w:rsid w:val="00F11164"/>
    <w:rsid w:val="00F111BE"/>
    <w:rsid w:val="00F11FD1"/>
    <w:rsid w:val="00F1294E"/>
    <w:rsid w:val="00F129A6"/>
    <w:rsid w:val="00F12F65"/>
    <w:rsid w:val="00F131AC"/>
    <w:rsid w:val="00F135A8"/>
    <w:rsid w:val="00F1369B"/>
    <w:rsid w:val="00F155BF"/>
    <w:rsid w:val="00F15DED"/>
    <w:rsid w:val="00F1628E"/>
    <w:rsid w:val="00F16525"/>
    <w:rsid w:val="00F169BD"/>
    <w:rsid w:val="00F1715D"/>
    <w:rsid w:val="00F17537"/>
    <w:rsid w:val="00F17923"/>
    <w:rsid w:val="00F17C7F"/>
    <w:rsid w:val="00F17EDC"/>
    <w:rsid w:val="00F204C0"/>
    <w:rsid w:val="00F209EB"/>
    <w:rsid w:val="00F20DE4"/>
    <w:rsid w:val="00F21305"/>
    <w:rsid w:val="00F217A6"/>
    <w:rsid w:val="00F221F4"/>
    <w:rsid w:val="00F221F5"/>
    <w:rsid w:val="00F22C92"/>
    <w:rsid w:val="00F22CA9"/>
    <w:rsid w:val="00F22D15"/>
    <w:rsid w:val="00F23151"/>
    <w:rsid w:val="00F2351C"/>
    <w:rsid w:val="00F238E5"/>
    <w:rsid w:val="00F239ED"/>
    <w:rsid w:val="00F23E7C"/>
    <w:rsid w:val="00F23ED0"/>
    <w:rsid w:val="00F23F30"/>
    <w:rsid w:val="00F23F95"/>
    <w:rsid w:val="00F24158"/>
    <w:rsid w:val="00F24557"/>
    <w:rsid w:val="00F24965"/>
    <w:rsid w:val="00F24CE7"/>
    <w:rsid w:val="00F252C8"/>
    <w:rsid w:val="00F25446"/>
    <w:rsid w:val="00F257D5"/>
    <w:rsid w:val="00F259F8"/>
    <w:rsid w:val="00F25CC5"/>
    <w:rsid w:val="00F2608F"/>
    <w:rsid w:val="00F26197"/>
    <w:rsid w:val="00F26335"/>
    <w:rsid w:val="00F26341"/>
    <w:rsid w:val="00F26A53"/>
    <w:rsid w:val="00F26DE8"/>
    <w:rsid w:val="00F26FC7"/>
    <w:rsid w:val="00F27644"/>
    <w:rsid w:val="00F27A45"/>
    <w:rsid w:val="00F27D3E"/>
    <w:rsid w:val="00F27F71"/>
    <w:rsid w:val="00F3029C"/>
    <w:rsid w:val="00F30B5A"/>
    <w:rsid w:val="00F30F60"/>
    <w:rsid w:val="00F31D0A"/>
    <w:rsid w:val="00F3277E"/>
    <w:rsid w:val="00F32B22"/>
    <w:rsid w:val="00F32C56"/>
    <w:rsid w:val="00F32D67"/>
    <w:rsid w:val="00F3302A"/>
    <w:rsid w:val="00F3329E"/>
    <w:rsid w:val="00F334FF"/>
    <w:rsid w:val="00F335E9"/>
    <w:rsid w:val="00F34741"/>
    <w:rsid w:val="00F34968"/>
    <w:rsid w:val="00F34BC6"/>
    <w:rsid w:val="00F35576"/>
    <w:rsid w:val="00F35829"/>
    <w:rsid w:val="00F35F43"/>
    <w:rsid w:val="00F3622D"/>
    <w:rsid w:val="00F36246"/>
    <w:rsid w:val="00F362F2"/>
    <w:rsid w:val="00F36DF8"/>
    <w:rsid w:val="00F37861"/>
    <w:rsid w:val="00F37A9D"/>
    <w:rsid w:val="00F37ABC"/>
    <w:rsid w:val="00F37BFD"/>
    <w:rsid w:val="00F40497"/>
    <w:rsid w:val="00F40586"/>
    <w:rsid w:val="00F4072E"/>
    <w:rsid w:val="00F40A21"/>
    <w:rsid w:val="00F41072"/>
    <w:rsid w:val="00F4190B"/>
    <w:rsid w:val="00F41A33"/>
    <w:rsid w:val="00F41E11"/>
    <w:rsid w:val="00F42156"/>
    <w:rsid w:val="00F423C9"/>
    <w:rsid w:val="00F42480"/>
    <w:rsid w:val="00F42EAC"/>
    <w:rsid w:val="00F43A06"/>
    <w:rsid w:val="00F4471C"/>
    <w:rsid w:val="00F44D29"/>
    <w:rsid w:val="00F44E06"/>
    <w:rsid w:val="00F44E0E"/>
    <w:rsid w:val="00F4502C"/>
    <w:rsid w:val="00F453B1"/>
    <w:rsid w:val="00F456BF"/>
    <w:rsid w:val="00F45A8C"/>
    <w:rsid w:val="00F45D85"/>
    <w:rsid w:val="00F45EC7"/>
    <w:rsid w:val="00F46526"/>
    <w:rsid w:val="00F465AD"/>
    <w:rsid w:val="00F46845"/>
    <w:rsid w:val="00F46A66"/>
    <w:rsid w:val="00F47102"/>
    <w:rsid w:val="00F475FF"/>
    <w:rsid w:val="00F47AC2"/>
    <w:rsid w:val="00F47B7E"/>
    <w:rsid w:val="00F47D06"/>
    <w:rsid w:val="00F47DB4"/>
    <w:rsid w:val="00F47FF9"/>
    <w:rsid w:val="00F509E4"/>
    <w:rsid w:val="00F509FD"/>
    <w:rsid w:val="00F50F61"/>
    <w:rsid w:val="00F51181"/>
    <w:rsid w:val="00F51343"/>
    <w:rsid w:val="00F51BB1"/>
    <w:rsid w:val="00F523DD"/>
    <w:rsid w:val="00F5285C"/>
    <w:rsid w:val="00F52905"/>
    <w:rsid w:val="00F52AC7"/>
    <w:rsid w:val="00F52C1F"/>
    <w:rsid w:val="00F53104"/>
    <w:rsid w:val="00F534CC"/>
    <w:rsid w:val="00F53856"/>
    <w:rsid w:val="00F539F5"/>
    <w:rsid w:val="00F53F1C"/>
    <w:rsid w:val="00F53F7E"/>
    <w:rsid w:val="00F543D3"/>
    <w:rsid w:val="00F547C7"/>
    <w:rsid w:val="00F5517A"/>
    <w:rsid w:val="00F553B7"/>
    <w:rsid w:val="00F553C2"/>
    <w:rsid w:val="00F553D6"/>
    <w:rsid w:val="00F561CB"/>
    <w:rsid w:val="00F56409"/>
    <w:rsid w:val="00F56AAB"/>
    <w:rsid w:val="00F572F7"/>
    <w:rsid w:val="00F578B3"/>
    <w:rsid w:val="00F6016A"/>
    <w:rsid w:val="00F60F6F"/>
    <w:rsid w:val="00F6140C"/>
    <w:rsid w:val="00F616C2"/>
    <w:rsid w:val="00F61CFB"/>
    <w:rsid w:val="00F61D96"/>
    <w:rsid w:val="00F61DEC"/>
    <w:rsid w:val="00F622EA"/>
    <w:rsid w:val="00F624DC"/>
    <w:rsid w:val="00F625C2"/>
    <w:rsid w:val="00F62BF3"/>
    <w:rsid w:val="00F62DD8"/>
    <w:rsid w:val="00F634C7"/>
    <w:rsid w:val="00F64180"/>
    <w:rsid w:val="00F6462B"/>
    <w:rsid w:val="00F64CA5"/>
    <w:rsid w:val="00F64EC3"/>
    <w:rsid w:val="00F651BF"/>
    <w:rsid w:val="00F6590D"/>
    <w:rsid w:val="00F659CF"/>
    <w:rsid w:val="00F65BE1"/>
    <w:rsid w:val="00F66164"/>
    <w:rsid w:val="00F665C7"/>
    <w:rsid w:val="00F669A5"/>
    <w:rsid w:val="00F66CAC"/>
    <w:rsid w:val="00F67112"/>
    <w:rsid w:val="00F672CA"/>
    <w:rsid w:val="00F6749E"/>
    <w:rsid w:val="00F67C6C"/>
    <w:rsid w:val="00F700E6"/>
    <w:rsid w:val="00F70A85"/>
    <w:rsid w:val="00F7105B"/>
    <w:rsid w:val="00F71E97"/>
    <w:rsid w:val="00F724B8"/>
    <w:rsid w:val="00F7252E"/>
    <w:rsid w:val="00F72C65"/>
    <w:rsid w:val="00F733DC"/>
    <w:rsid w:val="00F74B30"/>
    <w:rsid w:val="00F74C60"/>
    <w:rsid w:val="00F75338"/>
    <w:rsid w:val="00F75476"/>
    <w:rsid w:val="00F75534"/>
    <w:rsid w:val="00F75825"/>
    <w:rsid w:val="00F75AB4"/>
    <w:rsid w:val="00F75B60"/>
    <w:rsid w:val="00F75DC8"/>
    <w:rsid w:val="00F75E82"/>
    <w:rsid w:val="00F767D2"/>
    <w:rsid w:val="00F77016"/>
    <w:rsid w:val="00F77333"/>
    <w:rsid w:val="00F77DAA"/>
    <w:rsid w:val="00F8039D"/>
    <w:rsid w:val="00F80946"/>
    <w:rsid w:val="00F80BD0"/>
    <w:rsid w:val="00F80C3A"/>
    <w:rsid w:val="00F80EC0"/>
    <w:rsid w:val="00F81406"/>
    <w:rsid w:val="00F81564"/>
    <w:rsid w:val="00F821A3"/>
    <w:rsid w:val="00F8237D"/>
    <w:rsid w:val="00F8274D"/>
    <w:rsid w:val="00F82B2B"/>
    <w:rsid w:val="00F82BCB"/>
    <w:rsid w:val="00F833AD"/>
    <w:rsid w:val="00F835CC"/>
    <w:rsid w:val="00F83B8B"/>
    <w:rsid w:val="00F8402D"/>
    <w:rsid w:val="00F84643"/>
    <w:rsid w:val="00F84D43"/>
    <w:rsid w:val="00F850C4"/>
    <w:rsid w:val="00F85D35"/>
    <w:rsid w:val="00F860A6"/>
    <w:rsid w:val="00F863DC"/>
    <w:rsid w:val="00F87149"/>
    <w:rsid w:val="00F872FA"/>
    <w:rsid w:val="00F87517"/>
    <w:rsid w:val="00F87C68"/>
    <w:rsid w:val="00F90064"/>
    <w:rsid w:val="00F905CC"/>
    <w:rsid w:val="00F90A60"/>
    <w:rsid w:val="00F910E9"/>
    <w:rsid w:val="00F91240"/>
    <w:rsid w:val="00F91291"/>
    <w:rsid w:val="00F91872"/>
    <w:rsid w:val="00F91C06"/>
    <w:rsid w:val="00F9235E"/>
    <w:rsid w:val="00F92C35"/>
    <w:rsid w:val="00F92EAA"/>
    <w:rsid w:val="00F930E0"/>
    <w:rsid w:val="00F93703"/>
    <w:rsid w:val="00F93803"/>
    <w:rsid w:val="00F9418E"/>
    <w:rsid w:val="00F945E8"/>
    <w:rsid w:val="00F951E9"/>
    <w:rsid w:val="00F95868"/>
    <w:rsid w:val="00F96602"/>
    <w:rsid w:val="00F96AE7"/>
    <w:rsid w:val="00F96B77"/>
    <w:rsid w:val="00F96BC0"/>
    <w:rsid w:val="00F96D84"/>
    <w:rsid w:val="00F972BF"/>
    <w:rsid w:val="00F974C2"/>
    <w:rsid w:val="00F977E3"/>
    <w:rsid w:val="00F97C0B"/>
    <w:rsid w:val="00FA036A"/>
    <w:rsid w:val="00FA09F8"/>
    <w:rsid w:val="00FA1260"/>
    <w:rsid w:val="00FA1637"/>
    <w:rsid w:val="00FA1857"/>
    <w:rsid w:val="00FA1F7C"/>
    <w:rsid w:val="00FA2122"/>
    <w:rsid w:val="00FA266F"/>
    <w:rsid w:val="00FA2BFE"/>
    <w:rsid w:val="00FA2D72"/>
    <w:rsid w:val="00FA2DDB"/>
    <w:rsid w:val="00FA31A7"/>
    <w:rsid w:val="00FA39E9"/>
    <w:rsid w:val="00FA4517"/>
    <w:rsid w:val="00FA4961"/>
    <w:rsid w:val="00FA4B74"/>
    <w:rsid w:val="00FA4E0D"/>
    <w:rsid w:val="00FA4FE3"/>
    <w:rsid w:val="00FA59E8"/>
    <w:rsid w:val="00FA5CED"/>
    <w:rsid w:val="00FA5E05"/>
    <w:rsid w:val="00FA6469"/>
    <w:rsid w:val="00FA66D1"/>
    <w:rsid w:val="00FA686F"/>
    <w:rsid w:val="00FA7185"/>
    <w:rsid w:val="00FA73A3"/>
    <w:rsid w:val="00FA7846"/>
    <w:rsid w:val="00FA7956"/>
    <w:rsid w:val="00FA7DBF"/>
    <w:rsid w:val="00FB01B2"/>
    <w:rsid w:val="00FB026A"/>
    <w:rsid w:val="00FB0E12"/>
    <w:rsid w:val="00FB11D8"/>
    <w:rsid w:val="00FB1284"/>
    <w:rsid w:val="00FB22AC"/>
    <w:rsid w:val="00FB22E4"/>
    <w:rsid w:val="00FB25D6"/>
    <w:rsid w:val="00FB2A74"/>
    <w:rsid w:val="00FB3348"/>
    <w:rsid w:val="00FB3874"/>
    <w:rsid w:val="00FB3953"/>
    <w:rsid w:val="00FB398F"/>
    <w:rsid w:val="00FB3A1F"/>
    <w:rsid w:val="00FB40F0"/>
    <w:rsid w:val="00FB42C1"/>
    <w:rsid w:val="00FB44E2"/>
    <w:rsid w:val="00FB4679"/>
    <w:rsid w:val="00FB467F"/>
    <w:rsid w:val="00FB4B7A"/>
    <w:rsid w:val="00FB5160"/>
    <w:rsid w:val="00FB5181"/>
    <w:rsid w:val="00FB5301"/>
    <w:rsid w:val="00FB550D"/>
    <w:rsid w:val="00FB5B5F"/>
    <w:rsid w:val="00FB5C6D"/>
    <w:rsid w:val="00FB6975"/>
    <w:rsid w:val="00FB6A2A"/>
    <w:rsid w:val="00FB7328"/>
    <w:rsid w:val="00FB7745"/>
    <w:rsid w:val="00FB78F7"/>
    <w:rsid w:val="00FB7B85"/>
    <w:rsid w:val="00FC0862"/>
    <w:rsid w:val="00FC18A5"/>
    <w:rsid w:val="00FC22A4"/>
    <w:rsid w:val="00FC24ED"/>
    <w:rsid w:val="00FC29D9"/>
    <w:rsid w:val="00FC2C5B"/>
    <w:rsid w:val="00FC2CA4"/>
    <w:rsid w:val="00FC2DD2"/>
    <w:rsid w:val="00FC2F5F"/>
    <w:rsid w:val="00FC31DF"/>
    <w:rsid w:val="00FC340A"/>
    <w:rsid w:val="00FC3BFC"/>
    <w:rsid w:val="00FC4430"/>
    <w:rsid w:val="00FC487B"/>
    <w:rsid w:val="00FC4BA0"/>
    <w:rsid w:val="00FC4DDF"/>
    <w:rsid w:val="00FC576F"/>
    <w:rsid w:val="00FC583E"/>
    <w:rsid w:val="00FC5D08"/>
    <w:rsid w:val="00FC5E28"/>
    <w:rsid w:val="00FC5FF1"/>
    <w:rsid w:val="00FC6465"/>
    <w:rsid w:val="00FC66BB"/>
    <w:rsid w:val="00FC67F5"/>
    <w:rsid w:val="00FC719C"/>
    <w:rsid w:val="00FC7627"/>
    <w:rsid w:val="00FC7645"/>
    <w:rsid w:val="00FC76F5"/>
    <w:rsid w:val="00FC77FC"/>
    <w:rsid w:val="00FD041A"/>
    <w:rsid w:val="00FD070B"/>
    <w:rsid w:val="00FD0AB8"/>
    <w:rsid w:val="00FD0AD9"/>
    <w:rsid w:val="00FD0E4D"/>
    <w:rsid w:val="00FD2039"/>
    <w:rsid w:val="00FD2079"/>
    <w:rsid w:val="00FD210B"/>
    <w:rsid w:val="00FD212B"/>
    <w:rsid w:val="00FD2CA0"/>
    <w:rsid w:val="00FD3516"/>
    <w:rsid w:val="00FD3561"/>
    <w:rsid w:val="00FD37BB"/>
    <w:rsid w:val="00FD3A4D"/>
    <w:rsid w:val="00FD3C76"/>
    <w:rsid w:val="00FD3CA2"/>
    <w:rsid w:val="00FD3E0E"/>
    <w:rsid w:val="00FD43FE"/>
    <w:rsid w:val="00FD495B"/>
    <w:rsid w:val="00FD4B59"/>
    <w:rsid w:val="00FD53DB"/>
    <w:rsid w:val="00FD574B"/>
    <w:rsid w:val="00FD5F50"/>
    <w:rsid w:val="00FD6240"/>
    <w:rsid w:val="00FD6580"/>
    <w:rsid w:val="00FD65BD"/>
    <w:rsid w:val="00FD687D"/>
    <w:rsid w:val="00FD6D9A"/>
    <w:rsid w:val="00FD71C1"/>
    <w:rsid w:val="00FD72CB"/>
    <w:rsid w:val="00FD73C1"/>
    <w:rsid w:val="00FD741D"/>
    <w:rsid w:val="00FD743A"/>
    <w:rsid w:val="00FE034A"/>
    <w:rsid w:val="00FE04EA"/>
    <w:rsid w:val="00FE05A5"/>
    <w:rsid w:val="00FE0645"/>
    <w:rsid w:val="00FE0C28"/>
    <w:rsid w:val="00FE160A"/>
    <w:rsid w:val="00FE1CC7"/>
    <w:rsid w:val="00FE1D26"/>
    <w:rsid w:val="00FE1E93"/>
    <w:rsid w:val="00FE228C"/>
    <w:rsid w:val="00FE23F8"/>
    <w:rsid w:val="00FE2542"/>
    <w:rsid w:val="00FE2AE5"/>
    <w:rsid w:val="00FE30F9"/>
    <w:rsid w:val="00FE355A"/>
    <w:rsid w:val="00FE393D"/>
    <w:rsid w:val="00FE3EA1"/>
    <w:rsid w:val="00FE435C"/>
    <w:rsid w:val="00FE4B53"/>
    <w:rsid w:val="00FE4FE5"/>
    <w:rsid w:val="00FE5220"/>
    <w:rsid w:val="00FE544E"/>
    <w:rsid w:val="00FE58F9"/>
    <w:rsid w:val="00FE5A11"/>
    <w:rsid w:val="00FE68D6"/>
    <w:rsid w:val="00FE6C61"/>
    <w:rsid w:val="00FE725E"/>
    <w:rsid w:val="00FE770D"/>
    <w:rsid w:val="00FE786C"/>
    <w:rsid w:val="00FF0915"/>
    <w:rsid w:val="00FF0927"/>
    <w:rsid w:val="00FF1C85"/>
    <w:rsid w:val="00FF22B4"/>
    <w:rsid w:val="00FF3C5B"/>
    <w:rsid w:val="00FF3F6E"/>
    <w:rsid w:val="00FF443E"/>
    <w:rsid w:val="00FF5285"/>
    <w:rsid w:val="00FF5AD3"/>
    <w:rsid w:val="00FF5C7E"/>
    <w:rsid w:val="00FF6842"/>
    <w:rsid w:val="00FF6931"/>
    <w:rsid w:val="00FF6AA1"/>
    <w:rsid w:val="00FF7700"/>
    <w:rsid w:val="1F86E016"/>
    <w:rsid w:val="211C05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960,#eeece1,#ff5050,#3cc,#c0c,#f9f,#3c3,red"/>
    </o:shapedefaults>
    <o:shapelayout v:ext="edit">
      <o:idmap v:ext="edit" data="1"/>
    </o:shapelayout>
  </w:shapeDefaults>
  <w:decimalSymbol w:val="."/>
  <w:listSeparator w:val=","/>
  <w14:docId w14:val="262618AE"/>
  <w15:docId w15:val="{2CB13720-CB44-4466-81E0-D7D99441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93"/>
    <w:rPr>
      <w:sz w:val="24"/>
      <w:szCs w:val="24"/>
    </w:rPr>
  </w:style>
  <w:style w:type="paragraph" w:styleId="Heading1">
    <w:name w:val="heading 1"/>
    <w:basedOn w:val="Normal"/>
    <w:next w:val="Normal"/>
    <w:link w:val="Heading1Char"/>
    <w:autoRedefine/>
    <w:uiPriority w:val="9"/>
    <w:qFormat/>
    <w:rsid w:val="00371A78"/>
    <w:pPr>
      <w:keepNext/>
      <w:pageBreakBefore/>
      <w:spacing w:after="240"/>
      <w:jc w:val="center"/>
      <w:outlineLvl w:val="0"/>
    </w:pPr>
    <w:rPr>
      <w:rFonts w:eastAsia="Batang"/>
      <w:color w:val="0066CC"/>
    </w:rPr>
  </w:style>
  <w:style w:type="paragraph" w:styleId="Heading2">
    <w:name w:val="heading 2"/>
    <w:basedOn w:val="Normal"/>
    <w:next w:val="Normal"/>
    <w:link w:val="Heading2Char"/>
    <w:qFormat/>
    <w:rsid w:val="00D71FD8"/>
    <w:pPr>
      <w:keepNext/>
      <w:keepLines/>
      <w:spacing w:before="360" w:after="120"/>
      <w:outlineLvl w:val="1"/>
    </w:pPr>
    <w:rPr>
      <w:rFonts w:ascii="Arial Narrow" w:hAnsi="Arial Narrow" w:cs="Arial"/>
      <w:bCs/>
      <w:color w:val="C0504D" w:themeColor="accent2"/>
      <w:sz w:val="28"/>
      <w:szCs w:val="20"/>
    </w:rPr>
  </w:style>
  <w:style w:type="paragraph" w:styleId="Heading3">
    <w:name w:val="heading 3"/>
    <w:basedOn w:val="Normal"/>
    <w:next w:val="Normal"/>
    <w:link w:val="Heading3Char"/>
    <w:autoRedefine/>
    <w:qFormat/>
    <w:rsid w:val="009F3A30"/>
    <w:pPr>
      <w:keepNext/>
      <w:outlineLvl w:val="2"/>
    </w:pPr>
    <w:rPr>
      <w:b/>
      <w:bCs/>
      <w:noProof/>
      <w:color w:val="0000FF"/>
    </w:rPr>
  </w:style>
  <w:style w:type="paragraph" w:styleId="Heading4">
    <w:name w:val="heading 4"/>
    <w:basedOn w:val="Normal"/>
    <w:next w:val="Normal"/>
    <w:link w:val="Heading4Char"/>
    <w:qFormat/>
    <w:rsid w:val="00B660DA"/>
    <w:pPr>
      <w:keepNext/>
      <w:spacing w:before="120"/>
      <w:outlineLvl w:val="3"/>
    </w:pPr>
    <w:rPr>
      <w:bCs/>
      <w:color w:val="C0504D" w:themeColor="accent2"/>
    </w:rPr>
  </w:style>
  <w:style w:type="paragraph" w:styleId="Heading5">
    <w:name w:val="heading 5"/>
    <w:basedOn w:val="Normal"/>
    <w:next w:val="Normal"/>
    <w:link w:val="Heading5Char"/>
    <w:qFormat/>
    <w:rsid w:val="006A55BA"/>
    <w:pPr>
      <w:keepNext/>
      <w:spacing w:before="120"/>
      <w:outlineLvl w:val="4"/>
    </w:pPr>
    <w:rPr>
      <w:rFonts w:cs="Arial"/>
      <w:bCs/>
      <w:i/>
    </w:rPr>
  </w:style>
  <w:style w:type="paragraph" w:styleId="Heading6">
    <w:name w:val="heading 6"/>
    <w:basedOn w:val="Normal"/>
    <w:next w:val="Normal"/>
    <w:qFormat/>
    <w:rsid w:val="006A55BA"/>
    <w:pPr>
      <w:keepNext/>
      <w:ind w:left="720"/>
      <w:outlineLvl w:val="5"/>
    </w:pPr>
    <w:rPr>
      <w:rFonts w:ascii="Arial" w:hAnsi="Arial" w:cs="Arial"/>
      <w:color w:val="339966"/>
      <w:sz w:val="36"/>
    </w:rPr>
  </w:style>
  <w:style w:type="paragraph" w:styleId="Heading7">
    <w:name w:val="heading 7"/>
    <w:basedOn w:val="Normal"/>
    <w:next w:val="Normal"/>
    <w:qFormat/>
    <w:rsid w:val="006A55BA"/>
    <w:pPr>
      <w:keepNext/>
      <w:spacing w:line="360" w:lineRule="auto"/>
      <w:ind w:left="360"/>
      <w:outlineLvl w:val="6"/>
    </w:pPr>
    <w:rPr>
      <w:b/>
      <w:bCs/>
      <w:color w:val="000000"/>
    </w:rPr>
  </w:style>
  <w:style w:type="paragraph" w:styleId="Heading8">
    <w:name w:val="heading 8"/>
    <w:basedOn w:val="Normal"/>
    <w:next w:val="Normal"/>
    <w:link w:val="Heading8Char"/>
    <w:qFormat/>
    <w:rsid w:val="006A55BA"/>
    <w:pPr>
      <w:keepNext/>
      <w:spacing w:line="360" w:lineRule="auto"/>
      <w:outlineLvl w:val="7"/>
    </w:pPr>
    <w:rPr>
      <w:b/>
      <w:color w:val="000000"/>
    </w:rPr>
  </w:style>
  <w:style w:type="paragraph" w:styleId="Heading9">
    <w:name w:val="heading 9"/>
    <w:basedOn w:val="Normal"/>
    <w:next w:val="Normal"/>
    <w:link w:val="Heading9Char"/>
    <w:qFormat/>
    <w:rsid w:val="006A55B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1A78"/>
    <w:rPr>
      <w:rFonts w:eastAsia="Batang"/>
      <w:color w:val="0066CC"/>
      <w:sz w:val="24"/>
      <w:szCs w:val="24"/>
    </w:rPr>
  </w:style>
  <w:style w:type="character" w:customStyle="1" w:styleId="Heading3Char">
    <w:name w:val="Heading 3 Char"/>
    <w:link w:val="Heading3"/>
    <w:rsid w:val="009F3A30"/>
    <w:rPr>
      <w:b/>
      <w:bCs/>
      <w:noProof/>
      <w:color w:val="0000FF"/>
      <w:sz w:val="24"/>
      <w:szCs w:val="24"/>
    </w:rPr>
  </w:style>
  <w:style w:type="character" w:customStyle="1" w:styleId="Heading4Char">
    <w:name w:val="Heading 4 Char"/>
    <w:link w:val="Heading4"/>
    <w:rsid w:val="00B660DA"/>
    <w:rPr>
      <w:bCs/>
      <w:color w:val="C0504D" w:themeColor="accent2"/>
      <w:sz w:val="24"/>
      <w:szCs w:val="24"/>
    </w:rPr>
  </w:style>
  <w:style w:type="character" w:customStyle="1" w:styleId="Heading5Char">
    <w:name w:val="Heading 5 Char"/>
    <w:link w:val="Heading5"/>
    <w:rsid w:val="006A55BA"/>
    <w:rPr>
      <w:rFonts w:cs="Arial"/>
      <w:bCs/>
      <w:i/>
      <w:sz w:val="24"/>
      <w:szCs w:val="24"/>
      <w:lang w:val="en-US" w:eastAsia="en-US" w:bidi="ar-SA"/>
    </w:rPr>
  </w:style>
  <w:style w:type="character" w:customStyle="1" w:styleId="Heading9Char">
    <w:name w:val="Heading 9 Char"/>
    <w:link w:val="Heading9"/>
    <w:rsid w:val="006A55BA"/>
    <w:rPr>
      <w:b/>
      <w:bCs/>
      <w:sz w:val="24"/>
      <w:szCs w:val="24"/>
      <w:lang w:val="en-US" w:eastAsia="en-US" w:bidi="ar-SA"/>
    </w:rPr>
  </w:style>
  <w:style w:type="paragraph" w:customStyle="1" w:styleId="H1">
    <w:name w:val="H1"/>
    <w:basedOn w:val="Normal"/>
    <w:next w:val="Normal"/>
    <w:rsid w:val="006A55BA"/>
    <w:pPr>
      <w:keepNext/>
      <w:spacing w:before="100" w:after="100"/>
      <w:outlineLvl w:val="1"/>
    </w:pPr>
    <w:rPr>
      <w:b/>
      <w:snapToGrid w:val="0"/>
      <w:kern w:val="36"/>
      <w:sz w:val="48"/>
      <w:szCs w:val="20"/>
    </w:rPr>
  </w:style>
  <w:style w:type="character" w:styleId="Strong">
    <w:name w:val="Strong"/>
    <w:uiPriority w:val="22"/>
    <w:qFormat/>
    <w:rsid w:val="006A55BA"/>
    <w:rPr>
      <w:b/>
    </w:rPr>
  </w:style>
  <w:style w:type="character" w:customStyle="1" w:styleId="em1">
    <w:name w:val="em1"/>
    <w:rsid w:val="006A55BA"/>
    <w:rPr>
      <w:i/>
      <w:iCs/>
    </w:rPr>
  </w:style>
  <w:style w:type="paragraph" w:styleId="BodyTextIndent">
    <w:name w:val="Body Text Indent"/>
    <w:basedOn w:val="Normal"/>
    <w:link w:val="BodyTextIndentChar"/>
    <w:rsid w:val="006A55BA"/>
    <w:pPr>
      <w:ind w:left="720"/>
    </w:pPr>
    <w:rPr>
      <w:sz w:val="22"/>
    </w:rPr>
  </w:style>
  <w:style w:type="character" w:customStyle="1" w:styleId="BodyTextIndentChar">
    <w:name w:val="Body Text Indent Char"/>
    <w:link w:val="BodyTextIndent"/>
    <w:locked/>
    <w:rsid w:val="006A55BA"/>
    <w:rPr>
      <w:sz w:val="22"/>
      <w:szCs w:val="24"/>
      <w:lang w:val="en-US" w:eastAsia="en-US" w:bidi="ar-SA"/>
    </w:rPr>
  </w:style>
  <w:style w:type="paragraph" w:styleId="Footer">
    <w:name w:val="footer"/>
    <w:basedOn w:val="Normal"/>
    <w:link w:val="FooterChar"/>
    <w:uiPriority w:val="99"/>
    <w:rsid w:val="006A55BA"/>
    <w:pPr>
      <w:tabs>
        <w:tab w:val="center" w:pos="4320"/>
        <w:tab w:val="right" w:pos="8640"/>
      </w:tabs>
    </w:pPr>
  </w:style>
  <w:style w:type="character" w:customStyle="1" w:styleId="FooterChar">
    <w:name w:val="Footer Char"/>
    <w:link w:val="Footer"/>
    <w:uiPriority w:val="99"/>
    <w:locked/>
    <w:rsid w:val="006A55BA"/>
    <w:rPr>
      <w:sz w:val="24"/>
      <w:szCs w:val="24"/>
      <w:lang w:val="en-US" w:eastAsia="en-US" w:bidi="ar-SA"/>
    </w:rPr>
  </w:style>
  <w:style w:type="character" w:styleId="PageNumber">
    <w:name w:val="page number"/>
    <w:basedOn w:val="DefaultParagraphFont"/>
    <w:rsid w:val="006A55BA"/>
  </w:style>
  <w:style w:type="paragraph" w:styleId="BodyText">
    <w:name w:val="Body Text"/>
    <w:basedOn w:val="Normal"/>
    <w:link w:val="BodyTextChar"/>
    <w:rsid w:val="006A55BA"/>
    <w:pPr>
      <w:spacing w:before="120"/>
      <w:jc w:val="both"/>
    </w:pPr>
  </w:style>
  <w:style w:type="character" w:customStyle="1" w:styleId="BodyTextChar">
    <w:name w:val="Body Text Char"/>
    <w:link w:val="BodyText"/>
    <w:rsid w:val="006A55BA"/>
    <w:rPr>
      <w:sz w:val="24"/>
      <w:szCs w:val="24"/>
      <w:lang w:val="en-US" w:eastAsia="en-US" w:bidi="ar-SA"/>
    </w:rPr>
  </w:style>
  <w:style w:type="paragraph" w:styleId="BodyText3">
    <w:name w:val="Body Text 3"/>
    <w:basedOn w:val="Normal"/>
    <w:link w:val="BodyText3Char"/>
    <w:rsid w:val="006A55BA"/>
    <w:pPr>
      <w:widowControl w:val="0"/>
      <w:autoSpaceDE w:val="0"/>
      <w:autoSpaceDN w:val="0"/>
      <w:adjustRightInd w:val="0"/>
    </w:pPr>
    <w:rPr>
      <w:rFonts w:ascii="Times" w:eastAsia="Times" w:hAnsi="Times"/>
      <w:b/>
      <w:color w:val="000000"/>
      <w:sz w:val="22"/>
      <w:szCs w:val="20"/>
    </w:rPr>
  </w:style>
  <w:style w:type="paragraph" w:styleId="NormalWeb">
    <w:name w:val="Normal (Web)"/>
    <w:basedOn w:val="Normal"/>
    <w:uiPriority w:val="99"/>
    <w:rsid w:val="006A55BA"/>
    <w:pPr>
      <w:spacing w:before="100" w:beforeAutospacing="1" w:after="100" w:afterAutospacing="1"/>
    </w:pPr>
    <w:rPr>
      <w:rFonts w:ascii="Georgia" w:eastAsia="Arial Unicode MS" w:hAnsi="Georgia" w:cs="Arial Unicode MS"/>
      <w:sz w:val="20"/>
      <w:szCs w:val="20"/>
    </w:rPr>
  </w:style>
  <w:style w:type="paragraph" w:styleId="List2">
    <w:name w:val="List 2"/>
    <w:basedOn w:val="Normal"/>
    <w:rsid w:val="006A55BA"/>
    <w:pPr>
      <w:ind w:left="720" w:hanging="360"/>
    </w:pPr>
  </w:style>
  <w:style w:type="paragraph" w:styleId="BodyText2">
    <w:name w:val="Body Text 2"/>
    <w:basedOn w:val="Normal"/>
    <w:link w:val="BodyText2Char"/>
    <w:uiPriority w:val="99"/>
    <w:rsid w:val="006A55BA"/>
    <w:rPr>
      <w:rFonts w:ascii="Arial" w:hAnsi="Arial"/>
      <w:color w:val="000000"/>
      <w:sz w:val="22"/>
      <w:szCs w:val="20"/>
    </w:rPr>
  </w:style>
  <w:style w:type="paragraph" w:styleId="BodyTextIndent2">
    <w:name w:val="Body Text Indent 2"/>
    <w:basedOn w:val="Normal"/>
    <w:rsid w:val="006A55BA"/>
    <w:pPr>
      <w:spacing w:line="360" w:lineRule="auto"/>
      <w:ind w:left="720"/>
    </w:pPr>
    <w:rPr>
      <w:szCs w:val="20"/>
    </w:rPr>
  </w:style>
  <w:style w:type="character" w:customStyle="1" w:styleId="boldem">
    <w:name w:val="bold em"/>
    <w:basedOn w:val="DefaultParagraphFont"/>
    <w:rsid w:val="006A55BA"/>
  </w:style>
  <w:style w:type="paragraph" w:customStyle="1" w:styleId="boldem1">
    <w:name w:val="bold em1"/>
    <w:basedOn w:val="Normal"/>
    <w:rsid w:val="006A55BA"/>
    <w:pPr>
      <w:spacing w:before="100" w:beforeAutospacing="1" w:after="100" w:afterAutospacing="1"/>
    </w:pPr>
    <w:rPr>
      <w:rFonts w:ascii="Georgia" w:eastAsia="Arial Unicode MS" w:hAnsi="Georgia" w:cs="Arial Unicode MS"/>
      <w:sz w:val="20"/>
      <w:szCs w:val="20"/>
    </w:rPr>
  </w:style>
  <w:style w:type="character" w:customStyle="1" w:styleId="bold1">
    <w:name w:val="bold1"/>
    <w:rsid w:val="006A55BA"/>
    <w:rPr>
      <w:b/>
      <w:bCs/>
    </w:rPr>
  </w:style>
  <w:style w:type="character" w:styleId="Emphasis">
    <w:name w:val="Emphasis"/>
    <w:qFormat/>
    <w:rsid w:val="006A55BA"/>
    <w:rPr>
      <w:i/>
    </w:rPr>
  </w:style>
  <w:style w:type="paragraph" w:styleId="Header">
    <w:name w:val="header"/>
    <w:basedOn w:val="Normal"/>
    <w:link w:val="HeaderChar"/>
    <w:rsid w:val="006A55BA"/>
    <w:pPr>
      <w:tabs>
        <w:tab w:val="center" w:pos="4320"/>
        <w:tab w:val="right" w:pos="8640"/>
      </w:tabs>
    </w:pPr>
  </w:style>
  <w:style w:type="paragraph" w:styleId="FootnoteText">
    <w:name w:val="footnote text"/>
    <w:basedOn w:val="Normal"/>
    <w:link w:val="FootnoteTextChar"/>
    <w:uiPriority w:val="99"/>
    <w:qFormat/>
    <w:rsid w:val="006A55BA"/>
    <w:rPr>
      <w:sz w:val="20"/>
      <w:szCs w:val="20"/>
    </w:rPr>
  </w:style>
  <w:style w:type="character" w:styleId="FootnoteReference">
    <w:name w:val="footnote reference"/>
    <w:uiPriority w:val="99"/>
    <w:qFormat/>
    <w:rsid w:val="006A55BA"/>
    <w:rPr>
      <w:vertAlign w:val="superscript"/>
    </w:rPr>
  </w:style>
  <w:style w:type="character" w:styleId="Hyperlink">
    <w:name w:val="Hyperlink"/>
    <w:uiPriority w:val="99"/>
    <w:rsid w:val="006A55BA"/>
    <w:rPr>
      <w:color w:val="0000FF"/>
      <w:u w:val="single"/>
    </w:rPr>
  </w:style>
  <w:style w:type="paragraph" w:styleId="ListBullet2">
    <w:name w:val="List Bullet 2"/>
    <w:basedOn w:val="Normal"/>
    <w:autoRedefine/>
    <w:rsid w:val="006A55BA"/>
    <w:pPr>
      <w:jc w:val="both"/>
    </w:pPr>
    <w:rPr>
      <w:b/>
      <w:bCs/>
      <w:sz w:val="22"/>
    </w:rPr>
  </w:style>
  <w:style w:type="paragraph" w:customStyle="1" w:styleId="NormalWeb1">
    <w:name w:val="Normal (Web)1"/>
    <w:basedOn w:val="Normal"/>
    <w:rsid w:val="006A55BA"/>
    <w:pPr>
      <w:spacing w:before="100" w:beforeAutospacing="1" w:after="100" w:afterAutospacing="1"/>
    </w:pPr>
    <w:rPr>
      <w:rFonts w:ascii="Georgia" w:hAnsi="Georgia"/>
      <w:sz w:val="20"/>
      <w:szCs w:val="20"/>
    </w:rPr>
  </w:style>
  <w:style w:type="character" w:styleId="FollowedHyperlink">
    <w:name w:val="FollowedHyperlink"/>
    <w:uiPriority w:val="99"/>
    <w:rsid w:val="006A55BA"/>
    <w:rPr>
      <w:color w:val="800080"/>
      <w:u w:val="single"/>
    </w:rPr>
  </w:style>
  <w:style w:type="paragraph" w:styleId="BodyTextIndent3">
    <w:name w:val="Body Text Indent 3"/>
    <w:basedOn w:val="Normal"/>
    <w:rsid w:val="006A55BA"/>
    <w:pPr>
      <w:ind w:left="840"/>
    </w:pPr>
    <w:rPr>
      <w:i/>
      <w:iCs/>
      <w:color w:val="FF0000"/>
    </w:rPr>
  </w:style>
  <w:style w:type="paragraph" w:styleId="IndexHeading">
    <w:name w:val="index heading"/>
    <w:basedOn w:val="Normal"/>
    <w:next w:val="Index1"/>
    <w:semiHidden/>
    <w:rsid w:val="006A55BA"/>
  </w:style>
  <w:style w:type="paragraph" w:styleId="Index1">
    <w:name w:val="index 1"/>
    <w:basedOn w:val="Normal"/>
    <w:next w:val="Normal"/>
    <w:autoRedefine/>
    <w:semiHidden/>
    <w:rsid w:val="006A55BA"/>
    <w:pPr>
      <w:ind w:left="240" w:hanging="240"/>
    </w:pPr>
  </w:style>
  <w:style w:type="character" w:customStyle="1" w:styleId="lg1">
    <w:name w:val="lg1"/>
    <w:rsid w:val="006A55BA"/>
    <w:rPr>
      <w:rFonts w:ascii="Verdana" w:hAnsi="Verdana" w:hint="default"/>
      <w:b/>
      <w:bCs/>
      <w:sz w:val="18"/>
      <w:szCs w:val="18"/>
    </w:rPr>
  </w:style>
  <w:style w:type="paragraph" w:customStyle="1" w:styleId="head">
    <w:name w:val="head"/>
    <w:basedOn w:val="Normal"/>
    <w:rsid w:val="006A55BA"/>
    <w:pPr>
      <w:spacing w:before="100" w:beforeAutospacing="1" w:after="100" w:afterAutospacing="1"/>
    </w:pPr>
    <w:rPr>
      <w:rFonts w:ascii="Georgia" w:eastAsia="Arial Unicode MS" w:hAnsi="Georgia" w:cs="Arial Unicode MS"/>
      <w:sz w:val="23"/>
      <w:szCs w:val="23"/>
    </w:rPr>
  </w:style>
  <w:style w:type="paragraph" w:styleId="Title">
    <w:name w:val="Title"/>
    <w:basedOn w:val="Normal"/>
    <w:qFormat/>
    <w:rsid w:val="006A55BA"/>
    <w:pPr>
      <w:jc w:val="center"/>
    </w:pPr>
    <w:rPr>
      <w:b/>
      <w:bCs/>
    </w:rPr>
  </w:style>
  <w:style w:type="paragraph" w:styleId="Subtitle">
    <w:name w:val="Subtitle"/>
    <w:basedOn w:val="Normal"/>
    <w:link w:val="SubtitleChar"/>
    <w:qFormat/>
    <w:rsid w:val="006A55BA"/>
    <w:pPr>
      <w:jc w:val="center"/>
    </w:pPr>
    <w:rPr>
      <w:b/>
      <w:bCs/>
    </w:rPr>
  </w:style>
  <w:style w:type="table" w:styleId="TableGrid">
    <w:name w:val="Table Grid"/>
    <w:basedOn w:val="TableNormal"/>
    <w:uiPriority w:val="39"/>
    <w:rsid w:val="006A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Indent"/>
    <w:rsid w:val="006A55BA"/>
    <w:pPr>
      <w:spacing w:after="240"/>
      <w:ind w:left="0" w:firstLine="720"/>
    </w:pPr>
    <w:rPr>
      <w:rFonts w:ascii="Cambria" w:eastAsia="SimSun" w:hAnsi="Cambria"/>
      <w:sz w:val="23"/>
    </w:rPr>
  </w:style>
  <w:style w:type="paragraph" w:customStyle="1" w:styleId="Default">
    <w:name w:val="Default"/>
    <w:rsid w:val="006A55BA"/>
    <w:pPr>
      <w:autoSpaceDE w:val="0"/>
      <w:autoSpaceDN w:val="0"/>
      <w:adjustRightInd w:val="0"/>
    </w:pPr>
    <w:rPr>
      <w:color w:val="000000"/>
      <w:sz w:val="24"/>
      <w:szCs w:val="24"/>
    </w:rPr>
  </w:style>
  <w:style w:type="paragraph" w:customStyle="1" w:styleId="text0">
    <w:name w:val="text"/>
    <w:rsid w:val="006A55BA"/>
    <w:pPr>
      <w:spacing w:after="140" w:line="280" w:lineRule="exact"/>
    </w:pPr>
    <w:rPr>
      <w:rFonts w:ascii="GarmdITC Bk BT" w:eastAsia="GarmdITC Bk BT" w:hAnsi="GarmdITC Bk BT"/>
      <w:color w:val="434E74"/>
      <w:sz w:val="19"/>
    </w:rPr>
  </w:style>
  <w:style w:type="paragraph" w:styleId="HTMLPreformatted">
    <w:name w:val="HTML Preformatted"/>
    <w:basedOn w:val="Normal"/>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5">
    <w:name w:val="HEAD5"/>
    <w:basedOn w:val="Normal"/>
    <w:rsid w:val="006A55BA"/>
    <w:pPr>
      <w:spacing w:after="240"/>
      <w:ind w:left="720"/>
    </w:pPr>
    <w:rPr>
      <w:b/>
      <w:i/>
    </w:rPr>
  </w:style>
  <w:style w:type="paragraph" w:customStyle="1" w:styleId="bold">
    <w:name w:val="bold"/>
    <w:basedOn w:val="Normal"/>
    <w:rsid w:val="006A55BA"/>
    <w:pPr>
      <w:spacing w:before="100" w:beforeAutospacing="1" w:after="100" w:afterAutospacing="1"/>
    </w:pPr>
    <w:rPr>
      <w:rFonts w:ascii="Georgia" w:hAnsi="Georgia"/>
      <w:b/>
      <w:bCs/>
      <w:sz w:val="23"/>
      <w:szCs w:val="23"/>
    </w:rPr>
  </w:style>
  <w:style w:type="paragraph" w:customStyle="1" w:styleId="Bodytxt">
    <w:name w:val="Body_txt"/>
    <w:basedOn w:val="Default"/>
    <w:next w:val="Default"/>
    <w:rsid w:val="006A55BA"/>
    <w:rPr>
      <w:color w:val="auto"/>
    </w:rPr>
  </w:style>
  <w:style w:type="paragraph" w:customStyle="1" w:styleId="CM8">
    <w:name w:val="CM8"/>
    <w:basedOn w:val="Default"/>
    <w:next w:val="Default"/>
    <w:rsid w:val="006A55BA"/>
    <w:rPr>
      <w:rFonts w:ascii="JLAPL E+ Rotis Sans Serif" w:hAnsi="JLAPL E+ Rotis Sans Serif"/>
      <w:color w:val="auto"/>
    </w:rPr>
  </w:style>
  <w:style w:type="paragraph" w:customStyle="1" w:styleId="CM10">
    <w:name w:val="CM10"/>
    <w:basedOn w:val="Default"/>
    <w:next w:val="Default"/>
    <w:rsid w:val="006A55BA"/>
    <w:rPr>
      <w:rFonts w:ascii="JLAPL E+ Rotis Sans Serif" w:hAnsi="JLAPL E+ Rotis Sans Serif"/>
      <w:color w:val="auto"/>
    </w:rPr>
  </w:style>
  <w:style w:type="paragraph" w:customStyle="1" w:styleId="Bullet1">
    <w:name w:val="Bullet 1"/>
    <w:basedOn w:val="Normal"/>
    <w:link w:val="Bullet1Char"/>
    <w:uiPriority w:val="99"/>
    <w:rsid w:val="006A55BA"/>
    <w:pPr>
      <w:widowControl w:val="0"/>
      <w:spacing w:before="120"/>
      <w:jc w:val="both"/>
    </w:pPr>
  </w:style>
  <w:style w:type="character" w:customStyle="1" w:styleId="Bullet1Char">
    <w:name w:val="Bullet 1 Char"/>
    <w:link w:val="Bullet1"/>
    <w:uiPriority w:val="99"/>
    <w:rsid w:val="006A55BA"/>
    <w:rPr>
      <w:sz w:val="24"/>
      <w:szCs w:val="24"/>
    </w:rPr>
  </w:style>
  <w:style w:type="character" w:customStyle="1" w:styleId="Head4Char">
    <w:name w:val="Head4 Char"/>
    <w:rsid w:val="006A55BA"/>
    <w:rPr>
      <w:rFonts w:ascii="Times New Roman" w:hAnsi="Times New Roman" w:cs="Times New Roman"/>
      <w:b/>
      <w:sz w:val="23"/>
      <w:lang w:val="en-US" w:eastAsia="en-US" w:bidi="ar-SA"/>
    </w:rPr>
  </w:style>
  <w:style w:type="paragraph" w:customStyle="1" w:styleId="HEAD4">
    <w:name w:val="HEAD4"/>
    <w:basedOn w:val="Normal"/>
    <w:rsid w:val="006A55BA"/>
    <w:pPr>
      <w:spacing w:after="240" w:line="228" w:lineRule="auto"/>
      <w:ind w:left="720"/>
    </w:pPr>
    <w:rPr>
      <w:b/>
      <w:sz w:val="28"/>
      <w:szCs w:val="20"/>
    </w:rPr>
  </w:style>
  <w:style w:type="character" w:customStyle="1" w:styleId="apple-style-span">
    <w:name w:val="apple-style-span"/>
    <w:basedOn w:val="DefaultParagraphFont"/>
    <w:rsid w:val="006A55BA"/>
  </w:style>
  <w:style w:type="paragraph" w:customStyle="1" w:styleId="Bullet2">
    <w:name w:val="Bullet 2"/>
    <w:basedOn w:val="Normal"/>
    <w:link w:val="Bullet2Char"/>
    <w:rsid w:val="006A55BA"/>
    <w:pPr>
      <w:widowControl w:val="0"/>
      <w:spacing w:before="120"/>
      <w:jc w:val="both"/>
    </w:pPr>
  </w:style>
  <w:style w:type="character" w:customStyle="1" w:styleId="Bullet2Char">
    <w:name w:val="Bullet 2 Char"/>
    <w:link w:val="Bullet2"/>
    <w:rsid w:val="006A55BA"/>
    <w:rPr>
      <w:sz w:val="24"/>
      <w:szCs w:val="24"/>
    </w:rPr>
  </w:style>
  <w:style w:type="paragraph" w:customStyle="1" w:styleId="Heading37">
    <w:name w:val="Heading 37"/>
    <w:basedOn w:val="Normal"/>
    <w:rsid w:val="006A55BA"/>
    <w:pPr>
      <w:outlineLvl w:val="3"/>
    </w:pPr>
    <w:rPr>
      <w:sz w:val="27"/>
      <w:szCs w:val="27"/>
    </w:rPr>
  </w:style>
  <w:style w:type="character" w:styleId="EndnoteReference">
    <w:name w:val="endnote reference"/>
    <w:rsid w:val="006A55BA"/>
    <w:rPr>
      <w:vertAlign w:val="superscript"/>
    </w:rPr>
  </w:style>
  <w:style w:type="paragraph" w:customStyle="1" w:styleId="ornnav">
    <w:name w:val="orn nav"/>
    <w:basedOn w:val="Normal"/>
    <w:rsid w:val="006A55BA"/>
    <w:pPr>
      <w:shd w:val="clear" w:color="auto" w:fill="FFFFFF"/>
      <w:spacing w:before="100" w:beforeAutospacing="1" w:after="100" w:afterAutospacing="1"/>
    </w:pPr>
    <w:rPr>
      <w:rFonts w:ascii="Georgia" w:hAnsi="Georgia"/>
      <w:sz w:val="23"/>
      <w:szCs w:val="23"/>
    </w:rPr>
  </w:style>
  <w:style w:type="paragraph" w:customStyle="1" w:styleId="StyleHeading3">
    <w:name w:val="Style Heading 3 +"/>
    <w:basedOn w:val="Heading3"/>
    <w:link w:val="StyleHeading3Char"/>
    <w:rsid w:val="00B8684F"/>
    <w:pPr>
      <w:numPr>
        <w:numId w:val="2"/>
      </w:numPr>
    </w:pPr>
  </w:style>
  <w:style w:type="character" w:customStyle="1" w:styleId="StyleHeading3Char">
    <w:name w:val="Style Heading 3 + Char"/>
    <w:link w:val="StyleHeading3"/>
    <w:rsid w:val="00B8684F"/>
    <w:rPr>
      <w:b/>
      <w:bCs/>
      <w:noProof/>
      <w:color w:val="0000FF"/>
      <w:sz w:val="24"/>
      <w:szCs w:val="24"/>
    </w:rPr>
  </w:style>
  <w:style w:type="paragraph" w:styleId="TOC3">
    <w:name w:val="toc 3"/>
    <w:basedOn w:val="Normal"/>
    <w:next w:val="Normal"/>
    <w:autoRedefine/>
    <w:uiPriority w:val="39"/>
    <w:qFormat/>
    <w:rsid w:val="0049668B"/>
    <w:pPr>
      <w:tabs>
        <w:tab w:val="right" w:leader="dot" w:pos="9350"/>
      </w:tabs>
      <w:ind w:left="480"/>
    </w:pPr>
    <w:rPr>
      <w:b/>
      <w:bCs/>
      <w:noProof/>
      <w:sz w:val="22"/>
    </w:rPr>
  </w:style>
  <w:style w:type="paragraph" w:styleId="TOC1">
    <w:name w:val="toc 1"/>
    <w:basedOn w:val="Normal"/>
    <w:next w:val="Normal"/>
    <w:autoRedefine/>
    <w:uiPriority w:val="39"/>
    <w:qFormat/>
    <w:rsid w:val="00CB6266"/>
    <w:pPr>
      <w:tabs>
        <w:tab w:val="right" w:leader="dot" w:pos="9350"/>
      </w:tabs>
    </w:pPr>
    <w:rPr>
      <w:rFonts w:cs="Arial"/>
      <w:noProof/>
    </w:rPr>
  </w:style>
  <w:style w:type="paragraph" w:styleId="TOC2">
    <w:name w:val="toc 2"/>
    <w:basedOn w:val="Normal"/>
    <w:next w:val="Normal"/>
    <w:autoRedefine/>
    <w:uiPriority w:val="39"/>
    <w:qFormat/>
    <w:rsid w:val="00170512"/>
    <w:pPr>
      <w:tabs>
        <w:tab w:val="left" w:pos="1170"/>
        <w:tab w:val="right" w:leader="dot" w:pos="9350"/>
      </w:tabs>
      <w:spacing w:before="120"/>
    </w:pPr>
    <w:rPr>
      <w:rFonts w:eastAsia="Batang"/>
      <w:b/>
      <w:bCs/>
      <w:noProof/>
    </w:rPr>
  </w:style>
  <w:style w:type="paragraph" w:styleId="TOC4">
    <w:name w:val="toc 4"/>
    <w:basedOn w:val="Normal"/>
    <w:next w:val="Normal"/>
    <w:autoRedefine/>
    <w:uiPriority w:val="39"/>
    <w:rsid w:val="00B8684F"/>
    <w:pPr>
      <w:ind w:left="720"/>
    </w:pPr>
    <w:rPr>
      <w:sz w:val="22"/>
    </w:rPr>
  </w:style>
  <w:style w:type="paragraph" w:styleId="TOC5">
    <w:name w:val="toc 5"/>
    <w:basedOn w:val="Normal"/>
    <w:next w:val="Normal"/>
    <w:autoRedefine/>
    <w:uiPriority w:val="39"/>
    <w:rsid w:val="00B8684F"/>
    <w:pPr>
      <w:ind w:left="960"/>
    </w:pPr>
    <w:rPr>
      <w:sz w:val="22"/>
    </w:rPr>
  </w:style>
  <w:style w:type="paragraph" w:customStyle="1" w:styleId="Style1">
    <w:name w:val="Style1"/>
    <w:basedOn w:val="BodyText"/>
    <w:rsid w:val="009A32D1"/>
  </w:style>
  <w:style w:type="paragraph" w:styleId="TOC6">
    <w:name w:val="toc 6"/>
    <w:basedOn w:val="Normal"/>
    <w:next w:val="Normal"/>
    <w:autoRedefine/>
    <w:uiPriority w:val="39"/>
    <w:rsid w:val="00B8684F"/>
    <w:pPr>
      <w:ind w:left="1200"/>
    </w:pPr>
  </w:style>
  <w:style w:type="paragraph" w:styleId="TOC7">
    <w:name w:val="toc 7"/>
    <w:basedOn w:val="Normal"/>
    <w:next w:val="Normal"/>
    <w:autoRedefine/>
    <w:uiPriority w:val="39"/>
    <w:rsid w:val="00B8684F"/>
    <w:pPr>
      <w:ind w:left="1440"/>
    </w:pPr>
  </w:style>
  <w:style w:type="paragraph" w:styleId="TOC8">
    <w:name w:val="toc 8"/>
    <w:basedOn w:val="Normal"/>
    <w:next w:val="Normal"/>
    <w:autoRedefine/>
    <w:uiPriority w:val="39"/>
    <w:rsid w:val="00B8684F"/>
    <w:pPr>
      <w:ind w:left="1680"/>
    </w:pPr>
  </w:style>
  <w:style w:type="paragraph" w:styleId="TOC9">
    <w:name w:val="toc 9"/>
    <w:basedOn w:val="Normal"/>
    <w:next w:val="Normal"/>
    <w:autoRedefine/>
    <w:uiPriority w:val="39"/>
    <w:rsid w:val="00B8684F"/>
    <w:pPr>
      <w:ind w:left="1920"/>
    </w:pPr>
  </w:style>
  <w:style w:type="paragraph" w:customStyle="1" w:styleId="StyleHeading31">
    <w:name w:val="Style Heading 3 +1"/>
    <w:basedOn w:val="Heading3"/>
    <w:link w:val="StyleHeading31Char"/>
    <w:rsid w:val="00B8684F"/>
    <w:pPr>
      <w:keepNext w:val="0"/>
      <w:widowControl w:val="0"/>
      <w:numPr>
        <w:numId w:val="1"/>
      </w:numPr>
    </w:pPr>
  </w:style>
  <w:style w:type="character" w:customStyle="1" w:styleId="StyleHeading31Char">
    <w:name w:val="Style Heading 3 +1 Char"/>
    <w:link w:val="StyleHeading31"/>
    <w:rsid w:val="00B8684F"/>
    <w:rPr>
      <w:b/>
      <w:bCs/>
      <w:noProof/>
      <w:color w:val="0000FF"/>
      <w:sz w:val="24"/>
      <w:szCs w:val="24"/>
    </w:rPr>
  </w:style>
  <w:style w:type="paragraph" w:styleId="BalloonText">
    <w:name w:val="Balloon Text"/>
    <w:basedOn w:val="Normal"/>
    <w:link w:val="BalloonTextChar"/>
    <w:uiPriority w:val="99"/>
    <w:semiHidden/>
    <w:unhideWhenUsed/>
    <w:rsid w:val="00061E05"/>
    <w:rPr>
      <w:rFonts w:ascii="Tahoma" w:hAnsi="Tahoma" w:cs="Tahoma"/>
      <w:sz w:val="16"/>
      <w:szCs w:val="16"/>
    </w:rPr>
  </w:style>
  <w:style w:type="character" w:customStyle="1" w:styleId="BalloonTextChar">
    <w:name w:val="Balloon Text Char"/>
    <w:basedOn w:val="DefaultParagraphFont"/>
    <w:link w:val="BalloonText"/>
    <w:uiPriority w:val="99"/>
    <w:semiHidden/>
    <w:rsid w:val="00061E05"/>
    <w:rPr>
      <w:rFonts w:ascii="Tahoma" w:hAnsi="Tahoma" w:cs="Tahoma"/>
      <w:sz w:val="16"/>
      <w:szCs w:val="16"/>
    </w:rPr>
  </w:style>
  <w:style w:type="character" w:customStyle="1" w:styleId="Heading2Char">
    <w:name w:val="Heading 2 Char"/>
    <w:basedOn w:val="DefaultParagraphFont"/>
    <w:link w:val="Heading2"/>
    <w:rsid w:val="00D71FD8"/>
    <w:rPr>
      <w:rFonts w:ascii="Arial Narrow" w:hAnsi="Arial Narrow" w:cs="Arial"/>
      <w:bCs/>
      <w:color w:val="C0504D" w:themeColor="accent2"/>
      <w:sz w:val="28"/>
    </w:rPr>
  </w:style>
  <w:style w:type="paragraph" w:styleId="PlainText">
    <w:name w:val="Plain Text"/>
    <w:basedOn w:val="Normal"/>
    <w:link w:val="PlainTextChar"/>
    <w:uiPriority w:val="99"/>
    <w:unhideWhenUsed/>
    <w:rsid w:val="00A36AE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36AE4"/>
    <w:rPr>
      <w:rFonts w:ascii="Consolas" w:eastAsiaTheme="minorHAnsi" w:hAnsi="Consolas" w:cs="Consolas"/>
      <w:sz w:val="21"/>
      <w:szCs w:val="21"/>
    </w:rPr>
  </w:style>
  <w:style w:type="character" w:styleId="CommentReference">
    <w:name w:val="annotation reference"/>
    <w:basedOn w:val="DefaultParagraphFont"/>
    <w:uiPriority w:val="99"/>
    <w:unhideWhenUsed/>
    <w:rsid w:val="006B5768"/>
    <w:rPr>
      <w:sz w:val="16"/>
      <w:szCs w:val="16"/>
    </w:rPr>
  </w:style>
  <w:style w:type="paragraph" w:styleId="CommentText">
    <w:name w:val="annotation text"/>
    <w:basedOn w:val="Normal"/>
    <w:link w:val="CommentTextChar"/>
    <w:uiPriority w:val="99"/>
    <w:unhideWhenUsed/>
    <w:rsid w:val="006B5768"/>
    <w:rPr>
      <w:sz w:val="20"/>
      <w:szCs w:val="20"/>
    </w:rPr>
  </w:style>
  <w:style w:type="character" w:customStyle="1" w:styleId="CommentTextChar">
    <w:name w:val="Comment Text Char"/>
    <w:basedOn w:val="DefaultParagraphFont"/>
    <w:link w:val="CommentText"/>
    <w:uiPriority w:val="99"/>
    <w:rsid w:val="006B5768"/>
  </w:style>
  <w:style w:type="paragraph" w:styleId="CommentSubject">
    <w:name w:val="annotation subject"/>
    <w:basedOn w:val="CommentText"/>
    <w:next w:val="CommentText"/>
    <w:link w:val="CommentSubjectChar"/>
    <w:uiPriority w:val="99"/>
    <w:semiHidden/>
    <w:unhideWhenUsed/>
    <w:rsid w:val="006B5768"/>
    <w:rPr>
      <w:b/>
      <w:bCs/>
    </w:rPr>
  </w:style>
  <w:style w:type="character" w:customStyle="1" w:styleId="CommentSubjectChar">
    <w:name w:val="Comment Subject Char"/>
    <w:basedOn w:val="CommentTextChar"/>
    <w:link w:val="CommentSubject"/>
    <w:uiPriority w:val="99"/>
    <w:semiHidden/>
    <w:rsid w:val="006B5768"/>
    <w:rPr>
      <w:b/>
      <w:bCs/>
    </w:rPr>
  </w:style>
  <w:style w:type="paragraph" w:styleId="ListParagraph">
    <w:name w:val="List Paragraph"/>
    <w:basedOn w:val="Normal"/>
    <w:link w:val="ListParagraphChar"/>
    <w:uiPriority w:val="34"/>
    <w:qFormat/>
    <w:rsid w:val="00D009F7"/>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3F4D"/>
    <w:rPr>
      <w:rFonts w:ascii="Arial" w:hAnsi="Arial"/>
      <w:color w:val="000000"/>
      <w:sz w:val="22"/>
    </w:rPr>
  </w:style>
  <w:style w:type="character" w:customStyle="1" w:styleId="FootnoteTextChar">
    <w:name w:val="Footnote Text Char"/>
    <w:basedOn w:val="DefaultParagraphFont"/>
    <w:link w:val="FootnoteText"/>
    <w:uiPriority w:val="99"/>
    <w:rsid w:val="00136BB5"/>
  </w:style>
  <w:style w:type="paragraph" w:styleId="TOCHeading">
    <w:name w:val="TOC Heading"/>
    <w:basedOn w:val="Heading1"/>
    <w:next w:val="Normal"/>
    <w:uiPriority w:val="39"/>
    <w:unhideWhenUsed/>
    <w:qFormat/>
    <w:rsid w:val="009B7C5A"/>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rsid w:val="00DC09B7"/>
    <w:rPr>
      <w:b/>
      <w:color w:val="000000"/>
      <w:sz w:val="24"/>
      <w:szCs w:val="24"/>
    </w:rPr>
  </w:style>
  <w:style w:type="character" w:customStyle="1" w:styleId="BodyText3Char">
    <w:name w:val="Body Text 3 Char"/>
    <w:basedOn w:val="DefaultParagraphFont"/>
    <w:link w:val="BodyText3"/>
    <w:rsid w:val="00DC09B7"/>
    <w:rPr>
      <w:rFonts w:ascii="Times" w:eastAsia="Times" w:hAnsi="Times"/>
      <w:b/>
      <w:color w:val="000000"/>
      <w:sz w:val="22"/>
    </w:rPr>
  </w:style>
  <w:style w:type="character" w:customStyle="1" w:styleId="HeaderChar">
    <w:name w:val="Header Char"/>
    <w:basedOn w:val="DefaultParagraphFont"/>
    <w:link w:val="Header"/>
    <w:rsid w:val="00DC09B7"/>
    <w:rPr>
      <w:sz w:val="24"/>
      <w:szCs w:val="24"/>
    </w:rPr>
  </w:style>
  <w:style w:type="paragraph" w:styleId="NoSpacing">
    <w:name w:val="No Spacing"/>
    <w:link w:val="NoSpacingChar"/>
    <w:uiPriority w:val="1"/>
    <w:qFormat/>
    <w:rsid w:val="00DC09B7"/>
    <w:rPr>
      <w:sz w:val="24"/>
      <w:szCs w:val="24"/>
    </w:rPr>
  </w:style>
  <w:style w:type="character" w:customStyle="1" w:styleId="NoSpacingChar">
    <w:name w:val="No Spacing Char"/>
    <w:basedOn w:val="DefaultParagraphFont"/>
    <w:link w:val="NoSpacing"/>
    <w:uiPriority w:val="1"/>
    <w:rsid w:val="005908BD"/>
    <w:rPr>
      <w:sz w:val="24"/>
      <w:szCs w:val="24"/>
    </w:rPr>
  </w:style>
  <w:style w:type="character" w:customStyle="1" w:styleId="em">
    <w:name w:val="em"/>
    <w:basedOn w:val="DefaultParagraphFont"/>
    <w:rsid w:val="002C7CE3"/>
  </w:style>
  <w:style w:type="paragraph" w:customStyle="1" w:styleId="Normal1">
    <w:name w:val="Normal1"/>
    <w:rsid w:val="00156345"/>
    <w:pPr>
      <w:spacing w:line="276" w:lineRule="auto"/>
    </w:pPr>
    <w:rPr>
      <w:rFonts w:ascii="Arial" w:eastAsia="Arial" w:hAnsi="Arial" w:cs="Arial"/>
      <w:color w:val="000000"/>
      <w:sz w:val="22"/>
    </w:rPr>
  </w:style>
  <w:style w:type="paragraph" w:customStyle="1" w:styleId="Normal2">
    <w:name w:val="Normal2"/>
    <w:basedOn w:val="Normal"/>
    <w:uiPriority w:val="99"/>
    <w:rsid w:val="005D7DC9"/>
    <w:pPr>
      <w:spacing w:line="276" w:lineRule="auto"/>
    </w:pPr>
    <w:rPr>
      <w:rFonts w:ascii="Arial" w:eastAsiaTheme="minorHAnsi" w:hAnsi="Arial" w:cs="Arial"/>
      <w:color w:val="000000"/>
      <w:sz w:val="22"/>
      <w:szCs w:val="22"/>
    </w:rPr>
  </w:style>
  <w:style w:type="paragraph" w:customStyle="1" w:styleId="bullet10">
    <w:name w:val="bullet1"/>
    <w:basedOn w:val="Normal"/>
    <w:rsid w:val="00EF244F"/>
    <w:pPr>
      <w:spacing w:before="120"/>
      <w:ind w:left="360" w:hanging="360"/>
      <w:jc w:val="both"/>
    </w:pPr>
    <w:rPr>
      <w:rFonts w:ascii="Calibri" w:eastAsiaTheme="minorHAnsi" w:hAnsi="Calibri"/>
    </w:rPr>
  </w:style>
  <w:style w:type="table" w:customStyle="1" w:styleId="MediumShading1-Accent11">
    <w:name w:val="Medium Shading 1 - Accent 11"/>
    <w:basedOn w:val="TableNormal"/>
    <w:uiPriority w:val="63"/>
    <w:rsid w:val="00A328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A3284C"/>
    <w:rPr>
      <w:b/>
      <w:bCs/>
      <w:i/>
      <w:iCs/>
      <w:color w:val="4F81BD" w:themeColor="accent1"/>
    </w:rPr>
  </w:style>
  <w:style w:type="character" w:customStyle="1" w:styleId="SubtitleChar">
    <w:name w:val="Subtitle Char"/>
    <w:basedOn w:val="DefaultParagraphFont"/>
    <w:link w:val="Subtitle"/>
    <w:rsid w:val="00A3284C"/>
    <w:rPr>
      <w:b/>
      <w:bCs/>
      <w:sz w:val="24"/>
      <w:szCs w:val="24"/>
    </w:rPr>
  </w:style>
  <w:style w:type="character" w:customStyle="1" w:styleId="highlight">
    <w:name w:val="highlight"/>
    <w:basedOn w:val="DefaultParagraphFont"/>
    <w:rsid w:val="00A3284C"/>
  </w:style>
  <w:style w:type="character" w:customStyle="1" w:styleId="ListParagraphChar">
    <w:name w:val="List Paragraph Char"/>
    <w:link w:val="ListParagraph"/>
    <w:uiPriority w:val="34"/>
    <w:locked/>
    <w:rsid w:val="00A3284C"/>
    <w:rPr>
      <w:rFonts w:asciiTheme="minorHAnsi" w:eastAsiaTheme="minorHAnsi" w:hAnsiTheme="minorHAnsi" w:cstheme="minorBidi"/>
      <w:sz w:val="22"/>
      <w:szCs w:val="22"/>
    </w:rPr>
  </w:style>
  <w:style w:type="paragraph" w:styleId="Revision">
    <w:name w:val="Revision"/>
    <w:hidden/>
    <w:uiPriority w:val="99"/>
    <w:semiHidden/>
    <w:rsid w:val="002D0070"/>
    <w:rPr>
      <w:sz w:val="24"/>
      <w:szCs w:val="24"/>
    </w:rPr>
  </w:style>
  <w:style w:type="character" w:customStyle="1" w:styleId="tgc">
    <w:name w:val="_tgc"/>
    <w:basedOn w:val="DefaultParagraphFont"/>
    <w:rsid w:val="00746421"/>
  </w:style>
  <w:style w:type="paragraph" w:styleId="EndnoteText">
    <w:name w:val="endnote text"/>
    <w:basedOn w:val="Normal"/>
    <w:link w:val="EndnoteTextChar"/>
    <w:uiPriority w:val="99"/>
    <w:semiHidden/>
    <w:unhideWhenUsed/>
    <w:rsid w:val="00157FA1"/>
    <w:rPr>
      <w:sz w:val="20"/>
      <w:szCs w:val="20"/>
    </w:rPr>
  </w:style>
  <w:style w:type="character" w:customStyle="1" w:styleId="EndnoteTextChar">
    <w:name w:val="Endnote Text Char"/>
    <w:basedOn w:val="DefaultParagraphFont"/>
    <w:link w:val="EndnoteText"/>
    <w:uiPriority w:val="99"/>
    <w:semiHidden/>
    <w:rsid w:val="00157FA1"/>
  </w:style>
  <w:style w:type="character" w:customStyle="1" w:styleId="UnresolvedMention1">
    <w:name w:val="Unresolved Mention1"/>
    <w:basedOn w:val="DefaultParagraphFont"/>
    <w:uiPriority w:val="99"/>
    <w:semiHidden/>
    <w:unhideWhenUsed/>
    <w:rsid w:val="00881E8E"/>
    <w:rPr>
      <w:color w:val="605E5C"/>
      <w:shd w:val="clear" w:color="auto" w:fill="E1DFDD"/>
    </w:rPr>
  </w:style>
  <w:style w:type="paragraph" w:customStyle="1" w:styleId="text-left">
    <w:name w:val="text-left"/>
    <w:basedOn w:val="Normal"/>
    <w:rsid w:val="00141474"/>
    <w:pPr>
      <w:spacing w:before="100" w:beforeAutospacing="1" w:after="100" w:afterAutospacing="1"/>
    </w:pPr>
  </w:style>
  <w:style w:type="character" w:styleId="HTMLCite">
    <w:name w:val="HTML Cite"/>
    <w:basedOn w:val="DefaultParagraphFont"/>
    <w:uiPriority w:val="99"/>
    <w:unhideWhenUsed/>
    <w:rsid w:val="00FB7745"/>
    <w:rPr>
      <w:i/>
      <w:iCs/>
    </w:rPr>
  </w:style>
  <w:style w:type="character" w:customStyle="1" w:styleId="headerslevel1">
    <w:name w:val="headerslevel1"/>
    <w:basedOn w:val="DefaultParagraphFont"/>
    <w:rsid w:val="00256B95"/>
  </w:style>
  <w:style w:type="character" w:styleId="UnresolvedMention">
    <w:name w:val="Unresolved Mention"/>
    <w:basedOn w:val="DefaultParagraphFont"/>
    <w:uiPriority w:val="99"/>
    <w:semiHidden/>
    <w:unhideWhenUsed/>
    <w:rsid w:val="00157704"/>
    <w:rPr>
      <w:color w:val="605E5C"/>
      <w:shd w:val="clear" w:color="auto" w:fill="E1DFDD"/>
    </w:rPr>
  </w:style>
  <w:style w:type="paragraph" w:customStyle="1" w:styleId="xmsonormal">
    <w:name w:val="x_msonormal"/>
    <w:basedOn w:val="Normal"/>
    <w:rsid w:val="00FA646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922">
      <w:bodyDiv w:val="1"/>
      <w:marLeft w:val="0"/>
      <w:marRight w:val="0"/>
      <w:marTop w:val="0"/>
      <w:marBottom w:val="0"/>
      <w:divBdr>
        <w:top w:val="none" w:sz="0" w:space="0" w:color="auto"/>
        <w:left w:val="none" w:sz="0" w:space="0" w:color="auto"/>
        <w:bottom w:val="none" w:sz="0" w:space="0" w:color="auto"/>
        <w:right w:val="none" w:sz="0" w:space="0" w:color="auto"/>
      </w:divBdr>
    </w:div>
    <w:div w:id="32115853">
      <w:bodyDiv w:val="1"/>
      <w:marLeft w:val="0"/>
      <w:marRight w:val="0"/>
      <w:marTop w:val="0"/>
      <w:marBottom w:val="0"/>
      <w:divBdr>
        <w:top w:val="none" w:sz="0" w:space="0" w:color="auto"/>
        <w:left w:val="none" w:sz="0" w:space="0" w:color="auto"/>
        <w:bottom w:val="none" w:sz="0" w:space="0" w:color="auto"/>
        <w:right w:val="none" w:sz="0" w:space="0" w:color="auto"/>
      </w:divBdr>
    </w:div>
    <w:div w:id="49505542">
      <w:bodyDiv w:val="1"/>
      <w:marLeft w:val="0"/>
      <w:marRight w:val="0"/>
      <w:marTop w:val="0"/>
      <w:marBottom w:val="0"/>
      <w:divBdr>
        <w:top w:val="none" w:sz="0" w:space="0" w:color="auto"/>
        <w:left w:val="none" w:sz="0" w:space="0" w:color="auto"/>
        <w:bottom w:val="none" w:sz="0" w:space="0" w:color="auto"/>
        <w:right w:val="none" w:sz="0" w:space="0" w:color="auto"/>
      </w:divBdr>
    </w:div>
    <w:div w:id="56051172">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561293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5">
          <w:marLeft w:val="0"/>
          <w:marRight w:val="0"/>
          <w:marTop w:val="0"/>
          <w:marBottom w:val="0"/>
          <w:divBdr>
            <w:top w:val="none" w:sz="0" w:space="0" w:color="auto"/>
            <w:left w:val="none" w:sz="0" w:space="0" w:color="auto"/>
            <w:bottom w:val="none" w:sz="0" w:space="0" w:color="auto"/>
            <w:right w:val="none" w:sz="0" w:space="0" w:color="auto"/>
          </w:divBdr>
          <w:divsChild>
            <w:div w:id="566573679">
              <w:marLeft w:val="0"/>
              <w:marRight w:val="0"/>
              <w:marTop w:val="0"/>
              <w:marBottom w:val="0"/>
              <w:divBdr>
                <w:top w:val="none" w:sz="0" w:space="0" w:color="auto"/>
                <w:left w:val="none" w:sz="0" w:space="0" w:color="auto"/>
                <w:bottom w:val="none" w:sz="0" w:space="0" w:color="auto"/>
                <w:right w:val="none" w:sz="0" w:space="0" w:color="auto"/>
              </w:divBdr>
              <w:divsChild>
                <w:div w:id="1364402009">
                  <w:marLeft w:val="0"/>
                  <w:marRight w:val="0"/>
                  <w:marTop w:val="0"/>
                  <w:marBottom w:val="0"/>
                  <w:divBdr>
                    <w:top w:val="none" w:sz="0" w:space="0" w:color="auto"/>
                    <w:left w:val="none" w:sz="0" w:space="0" w:color="auto"/>
                    <w:bottom w:val="none" w:sz="0" w:space="0" w:color="auto"/>
                    <w:right w:val="none" w:sz="0" w:space="0" w:color="auto"/>
                  </w:divBdr>
                  <w:divsChild>
                    <w:div w:id="337080817">
                      <w:marLeft w:val="0"/>
                      <w:marRight w:val="0"/>
                      <w:marTop w:val="0"/>
                      <w:marBottom w:val="0"/>
                      <w:divBdr>
                        <w:top w:val="none" w:sz="0" w:space="0" w:color="auto"/>
                        <w:left w:val="none" w:sz="0" w:space="0" w:color="auto"/>
                        <w:bottom w:val="none" w:sz="0" w:space="0" w:color="auto"/>
                        <w:right w:val="none" w:sz="0" w:space="0" w:color="auto"/>
                      </w:divBdr>
                      <w:divsChild>
                        <w:div w:id="91246148">
                          <w:marLeft w:val="0"/>
                          <w:marRight w:val="0"/>
                          <w:marTop w:val="0"/>
                          <w:marBottom w:val="0"/>
                          <w:divBdr>
                            <w:top w:val="none" w:sz="0" w:space="0" w:color="auto"/>
                            <w:left w:val="none" w:sz="0" w:space="0" w:color="auto"/>
                            <w:bottom w:val="none" w:sz="0" w:space="0" w:color="auto"/>
                            <w:right w:val="none" w:sz="0" w:space="0" w:color="auto"/>
                          </w:divBdr>
                          <w:divsChild>
                            <w:div w:id="1406105959">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099669117">
                                      <w:marLeft w:val="0"/>
                                      <w:marRight w:val="0"/>
                                      <w:marTop w:val="0"/>
                                      <w:marBottom w:val="0"/>
                                      <w:divBdr>
                                        <w:top w:val="none" w:sz="0" w:space="0" w:color="auto"/>
                                        <w:left w:val="none" w:sz="0" w:space="0" w:color="auto"/>
                                        <w:bottom w:val="none" w:sz="0" w:space="0" w:color="auto"/>
                                        <w:right w:val="none" w:sz="0" w:space="0" w:color="auto"/>
                                      </w:divBdr>
                                      <w:divsChild>
                                        <w:div w:id="723212668">
                                          <w:marLeft w:val="0"/>
                                          <w:marRight w:val="0"/>
                                          <w:marTop w:val="0"/>
                                          <w:marBottom w:val="0"/>
                                          <w:divBdr>
                                            <w:top w:val="none" w:sz="0" w:space="0" w:color="auto"/>
                                            <w:left w:val="none" w:sz="0" w:space="0" w:color="auto"/>
                                            <w:bottom w:val="none" w:sz="0" w:space="0" w:color="auto"/>
                                            <w:right w:val="none" w:sz="0" w:space="0" w:color="auto"/>
                                          </w:divBdr>
                                          <w:divsChild>
                                            <w:div w:id="1731297130">
                                              <w:marLeft w:val="0"/>
                                              <w:marRight w:val="0"/>
                                              <w:marTop w:val="0"/>
                                              <w:marBottom w:val="0"/>
                                              <w:divBdr>
                                                <w:top w:val="none" w:sz="0" w:space="0" w:color="auto"/>
                                                <w:left w:val="none" w:sz="0" w:space="0" w:color="auto"/>
                                                <w:bottom w:val="none" w:sz="0" w:space="0" w:color="auto"/>
                                                <w:right w:val="none" w:sz="0" w:space="0" w:color="auto"/>
                                              </w:divBdr>
                                              <w:divsChild>
                                                <w:div w:id="1271741530">
                                                  <w:marLeft w:val="0"/>
                                                  <w:marRight w:val="0"/>
                                                  <w:marTop w:val="0"/>
                                                  <w:marBottom w:val="565"/>
                                                  <w:divBdr>
                                                    <w:top w:val="none" w:sz="0" w:space="0" w:color="auto"/>
                                                    <w:left w:val="none" w:sz="0" w:space="0" w:color="auto"/>
                                                    <w:bottom w:val="none" w:sz="0" w:space="0" w:color="auto"/>
                                                    <w:right w:val="none" w:sz="0" w:space="0" w:color="auto"/>
                                                  </w:divBdr>
                                                  <w:divsChild>
                                                    <w:div w:id="171529260">
                                                      <w:marLeft w:val="0"/>
                                                      <w:marRight w:val="0"/>
                                                      <w:marTop w:val="0"/>
                                                      <w:marBottom w:val="0"/>
                                                      <w:divBdr>
                                                        <w:top w:val="none" w:sz="0" w:space="0" w:color="auto"/>
                                                        <w:left w:val="none" w:sz="0" w:space="0" w:color="auto"/>
                                                        <w:bottom w:val="none" w:sz="0" w:space="0" w:color="auto"/>
                                                        <w:right w:val="none" w:sz="0" w:space="0" w:color="auto"/>
                                                      </w:divBdr>
                                                      <w:divsChild>
                                                        <w:div w:id="2043431621">
                                                          <w:marLeft w:val="0"/>
                                                          <w:marRight w:val="0"/>
                                                          <w:marTop w:val="0"/>
                                                          <w:marBottom w:val="0"/>
                                                          <w:divBdr>
                                                            <w:top w:val="none" w:sz="0" w:space="0" w:color="auto"/>
                                                            <w:left w:val="none" w:sz="0" w:space="0" w:color="auto"/>
                                                            <w:bottom w:val="none" w:sz="0" w:space="0" w:color="auto"/>
                                                            <w:right w:val="none" w:sz="0" w:space="0" w:color="auto"/>
                                                          </w:divBdr>
                                                          <w:divsChild>
                                                            <w:div w:id="1285311416">
                                                              <w:marLeft w:val="0"/>
                                                              <w:marRight w:val="0"/>
                                                              <w:marTop w:val="0"/>
                                                              <w:marBottom w:val="0"/>
                                                              <w:divBdr>
                                                                <w:top w:val="none" w:sz="0" w:space="0" w:color="auto"/>
                                                                <w:left w:val="none" w:sz="0" w:space="0" w:color="auto"/>
                                                                <w:bottom w:val="none" w:sz="0" w:space="0" w:color="auto"/>
                                                                <w:right w:val="none" w:sz="0" w:space="0" w:color="auto"/>
                                                              </w:divBdr>
                                                              <w:divsChild>
                                                                <w:div w:id="1292436712">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901258689">
                                                                          <w:marLeft w:val="0"/>
                                                                          <w:marRight w:val="0"/>
                                                                          <w:marTop w:val="0"/>
                                                                          <w:marBottom w:val="0"/>
                                                                          <w:divBdr>
                                                                            <w:top w:val="none" w:sz="0" w:space="0" w:color="auto"/>
                                                                            <w:left w:val="none" w:sz="0" w:space="0" w:color="auto"/>
                                                                            <w:bottom w:val="none" w:sz="0" w:space="0" w:color="auto"/>
                                                                            <w:right w:val="none" w:sz="0" w:space="0" w:color="auto"/>
                                                                          </w:divBdr>
                                                                          <w:divsChild>
                                                                            <w:div w:id="1518082455">
                                                                              <w:marLeft w:val="0"/>
                                                                              <w:marRight w:val="0"/>
                                                                              <w:marTop w:val="0"/>
                                                                              <w:marBottom w:val="0"/>
                                                                              <w:divBdr>
                                                                                <w:top w:val="none" w:sz="0" w:space="0" w:color="auto"/>
                                                                                <w:left w:val="none" w:sz="0" w:space="0" w:color="auto"/>
                                                                                <w:bottom w:val="none" w:sz="0" w:space="0" w:color="auto"/>
                                                                                <w:right w:val="none" w:sz="0" w:space="0" w:color="auto"/>
                                                                              </w:divBdr>
                                                                              <w:divsChild>
                                                                                <w:div w:id="1656758547">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sChild>
                                                                                        <w:div w:id="364911981">
                                                                                          <w:marLeft w:val="0"/>
                                                                                          <w:marRight w:val="0"/>
                                                                                          <w:marTop w:val="0"/>
                                                                                          <w:marBottom w:val="480"/>
                                                                                          <w:divBdr>
                                                                                            <w:top w:val="single" w:sz="12" w:space="1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80982">
      <w:bodyDiv w:val="1"/>
      <w:marLeft w:val="0"/>
      <w:marRight w:val="0"/>
      <w:marTop w:val="0"/>
      <w:marBottom w:val="0"/>
      <w:divBdr>
        <w:top w:val="none" w:sz="0" w:space="0" w:color="auto"/>
        <w:left w:val="none" w:sz="0" w:space="0" w:color="auto"/>
        <w:bottom w:val="none" w:sz="0" w:space="0" w:color="auto"/>
        <w:right w:val="none" w:sz="0" w:space="0" w:color="auto"/>
      </w:divBdr>
    </w:div>
    <w:div w:id="84231852">
      <w:bodyDiv w:val="1"/>
      <w:marLeft w:val="0"/>
      <w:marRight w:val="0"/>
      <w:marTop w:val="0"/>
      <w:marBottom w:val="0"/>
      <w:divBdr>
        <w:top w:val="none" w:sz="0" w:space="0" w:color="auto"/>
        <w:left w:val="none" w:sz="0" w:space="0" w:color="auto"/>
        <w:bottom w:val="none" w:sz="0" w:space="0" w:color="auto"/>
        <w:right w:val="none" w:sz="0" w:space="0" w:color="auto"/>
      </w:divBdr>
    </w:div>
    <w:div w:id="84687907">
      <w:bodyDiv w:val="1"/>
      <w:marLeft w:val="0"/>
      <w:marRight w:val="0"/>
      <w:marTop w:val="0"/>
      <w:marBottom w:val="0"/>
      <w:divBdr>
        <w:top w:val="none" w:sz="0" w:space="0" w:color="auto"/>
        <w:left w:val="none" w:sz="0" w:space="0" w:color="auto"/>
        <w:bottom w:val="none" w:sz="0" w:space="0" w:color="auto"/>
        <w:right w:val="none" w:sz="0" w:space="0" w:color="auto"/>
      </w:divBdr>
    </w:div>
    <w:div w:id="98334445">
      <w:bodyDiv w:val="1"/>
      <w:marLeft w:val="0"/>
      <w:marRight w:val="0"/>
      <w:marTop w:val="0"/>
      <w:marBottom w:val="0"/>
      <w:divBdr>
        <w:top w:val="none" w:sz="0" w:space="0" w:color="auto"/>
        <w:left w:val="none" w:sz="0" w:space="0" w:color="auto"/>
        <w:bottom w:val="none" w:sz="0" w:space="0" w:color="auto"/>
        <w:right w:val="none" w:sz="0" w:space="0" w:color="auto"/>
      </w:divBdr>
    </w:div>
    <w:div w:id="100271370">
      <w:bodyDiv w:val="1"/>
      <w:marLeft w:val="0"/>
      <w:marRight w:val="0"/>
      <w:marTop w:val="0"/>
      <w:marBottom w:val="0"/>
      <w:divBdr>
        <w:top w:val="none" w:sz="0" w:space="0" w:color="auto"/>
        <w:left w:val="none" w:sz="0" w:space="0" w:color="auto"/>
        <w:bottom w:val="none" w:sz="0" w:space="0" w:color="auto"/>
        <w:right w:val="none" w:sz="0" w:space="0" w:color="auto"/>
      </w:divBdr>
      <w:divsChild>
        <w:div w:id="1101413424">
          <w:marLeft w:val="0"/>
          <w:marRight w:val="0"/>
          <w:marTop w:val="0"/>
          <w:marBottom w:val="72"/>
          <w:divBdr>
            <w:top w:val="none" w:sz="0" w:space="0" w:color="auto"/>
            <w:left w:val="none" w:sz="0" w:space="0" w:color="auto"/>
            <w:bottom w:val="none" w:sz="0" w:space="0" w:color="auto"/>
            <w:right w:val="none" w:sz="0" w:space="0" w:color="auto"/>
          </w:divBdr>
          <w:divsChild>
            <w:div w:id="2047635008">
              <w:marLeft w:val="150"/>
              <w:marRight w:val="150"/>
              <w:marTop w:val="0"/>
              <w:marBottom w:val="0"/>
              <w:divBdr>
                <w:top w:val="none" w:sz="0" w:space="0" w:color="auto"/>
                <w:left w:val="none" w:sz="0" w:space="0" w:color="auto"/>
                <w:bottom w:val="none" w:sz="0" w:space="0" w:color="auto"/>
                <w:right w:val="none" w:sz="0" w:space="0" w:color="auto"/>
              </w:divBdr>
              <w:divsChild>
                <w:div w:id="521170037">
                  <w:marLeft w:val="0"/>
                  <w:marRight w:val="0"/>
                  <w:marTop w:val="0"/>
                  <w:marBottom w:val="0"/>
                  <w:divBdr>
                    <w:top w:val="none" w:sz="0" w:space="0" w:color="auto"/>
                    <w:left w:val="none" w:sz="0" w:space="0" w:color="auto"/>
                    <w:bottom w:val="none" w:sz="0" w:space="0" w:color="auto"/>
                    <w:right w:val="none" w:sz="0" w:space="0" w:color="auto"/>
                  </w:divBdr>
                  <w:divsChild>
                    <w:div w:id="1292856131">
                      <w:marLeft w:val="0"/>
                      <w:marRight w:val="0"/>
                      <w:marTop w:val="0"/>
                      <w:marBottom w:val="0"/>
                      <w:divBdr>
                        <w:top w:val="none" w:sz="0" w:space="0" w:color="auto"/>
                        <w:left w:val="none" w:sz="0" w:space="0" w:color="auto"/>
                        <w:bottom w:val="none" w:sz="0" w:space="0" w:color="auto"/>
                        <w:right w:val="none" w:sz="0" w:space="0" w:color="auto"/>
                      </w:divBdr>
                      <w:divsChild>
                        <w:div w:id="1188451082">
                          <w:marLeft w:val="0"/>
                          <w:marRight w:val="0"/>
                          <w:marTop w:val="0"/>
                          <w:marBottom w:val="0"/>
                          <w:divBdr>
                            <w:top w:val="single" w:sz="6" w:space="6" w:color="F89639"/>
                            <w:left w:val="none" w:sz="0" w:space="0" w:color="auto"/>
                            <w:bottom w:val="none" w:sz="0" w:space="0" w:color="auto"/>
                            <w:right w:val="none" w:sz="0" w:space="0" w:color="auto"/>
                          </w:divBdr>
                          <w:divsChild>
                            <w:div w:id="66001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1059">
      <w:bodyDiv w:val="1"/>
      <w:marLeft w:val="0"/>
      <w:marRight w:val="0"/>
      <w:marTop w:val="0"/>
      <w:marBottom w:val="0"/>
      <w:divBdr>
        <w:top w:val="none" w:sz="0" w:space="0" w:color="auto"/>
        <w:left w:val="none" w:sz="0" w:space="0" w:color="auto"/>
        <w:bottom w:val="none" w:sz="0" w:space="0" w:color="auto"/>
        <w:right w:val="none" w:sz="0" w:space="0" w:color="auto"/>
      </w:divBdr>
    </w:div>
    <w:div w:id="107314196">
      <w:bodyDiv w:val="1"/>
      <w:marLeft w:val="0"/>
      <w:marRight w:val="0"/>
      <w:marTop w:val="0"/>
      <w:marBottom w:val="0"/>
      <w:divBdr>
        <w:top w:val="none" w:sz="0" w:space="0" w:color="auto"/>
        <w:left w:val="none" w:sz="0" w:space="0" w:color="auto"/>
        <w:bottom w:val="none" w:sz="0" w:space="0" w:color="auto"/>
        <w:right w:val="none" w:sz="0" w:space="0" w:color="auto"/>
      </w:divBdr>
    </w:div>
    <w:div w:id="110559771">
      <w:bodyDiv w:val="1"/>
      <w:marLeft w:val="0"/>
      <w:marRight w:val="0"/>
      <w:marTop w:val="0"/>
      <w:marBottom w:val="0"/>
      <w:divBdr>
        <w:top w:val="none" w:sz="0" w:space="0" w:color="auto"/>
        <w:left w:val="none" w:sz="0" w:space="0" w:color="auto"/>
        <w:bottom w:val="none" w:sz="0" w:space="0" w:color="auto"/>
        <w:right w:val="none" w:sz="0" w:space="0" w:color="auto"/>
      </w:divBdr>
    </w:div>
    <w:div w:id="110591273">
      <w:bodyDiv w:val="1"/>
      <w:marLeft w:val="0"/>
      <w:marRight w:val="0"/>
      <w:marTop w:val="0"/>
      <w:marBottom w:val="0"/>
      <w:divBdr>
        <w:top w:val="none" w:sz="0" w:space="0" w:color="auto"/>
        <w:left w:val="none" w:sz="0" w:space="0" w:color="auto"/>
        <w:bottom w:val="none" w:sz="0" w:space="0" w:color="auto"/>
        <w:right w:val="none" w:sz="0" w:space="0" w:color="auto"/>
      </w:divBdr>
    </w:div>
    <w:div w:id="111098528">
      <w:bodyDiv w:val="1"/>
      <w:marLeft w:val="0"/>
      <w:marRight w:val="0"/>
      <w:marTop w:val="0"/>
      <w:marBottom w:val="0"/>
      <w:divBdr>
        <w:top w:val="none" w:sz="0" w:space="0" w:color="auto"/>
        <w:left w:val="none" w:sz="0" w:space="0" w:color="auto"/>
        <w:bottom w:val="none" w:sz="0" w:space="0" w:color="auto"/>
        <w:right w:val="none" w:sz="0" w:space="0" w:color="auto"/>
      </w:divBdr>
    </w:div>
    <w:div w:id="114375201">
      <w:bodyDiv w:val="1"/>
      <w:marLeft w:val="0"/>
      <w:marRight w:val="0"/>
      <w:marTop w:val="0"/>
      <w:marBottom w:val="0"/>
      <w:divBdr>
        <w:top w:val="none" w:sz="0" w:space="0" w:color="auto"/>
        <w:left w:val="none" w:sz="0" w:space="0" w:color="auto"/>
        <w:bottom w:val="none" w:sz="0" w:space="0" w:color="auto"/>
        <w:right w:val="none" w:sz="0" w:space="0" w:color="auto"/>
      </w:divBdr>
    </w:div>
    <w:div w:id="118305846">
      <w:bodyDiv w:val="1"/>
      <w:marLeft w:val="0"/>
      <w:marRight w:val="0"/>
      <w:marTop w:val="0"/>
      <w:marBottom w:val="0"/>
      <w:divBdr>
        <w:top w:val="none" w:sz="0" w:space="0" w:color="auto"/>
        <w:left w:val="none" w:sz="0" w:space="0" w:color="auto"/>
        <w:bottom w:val="none" w:sz="0" w:space="0" w:color="auto"/>
        <w:right w:val="none" w:sz="0" w:space="0" w:color="auto"/>
      </w:divBdr>
    </w:div>
    <w:div w:id="130293779">
      <w:bodyDiv w:val="1"/>
      <w:marLeft w:val="0"/>
      <w:marRight w:val="0"/>
      <w:marTop w:val="0"/>
      <w:marBottom w:val="0"/>
      <w:divBdr>
        <w:top w:val="none" w:sz="0" w:space="0" w:color="auto"/>
        <w:left w:val="none" w:sz="0" w:space="0" w:color="auto"/>
        <w:bottom w:val="none" w:sz="0" w:space="0" w:color="auto"/>
        <w:right w:val="none" w:sz="0" w:space="0" w:color="auto"/>
      </w:divBdr>
    </w:div>
    <w:div w:id="144705888">
      <w:bodyDiv w:val="1"/>
      <w:marLeft w:val="0"/>
      <w:marRight w:val="0"/>
      <w:marTop w:val="0"/>
      <w:marBottom w:val="0"/>
      <w:divBdr>
        <w:top w:val="none" w:sz="0" w:space="0" w:color="auto"/>
        <w:left w:val="none" w:sz="0" w:space="0" w:color="auto"/>
        <w:bottom w:val="none" w:sz="0" w:space="0" w:color="auto"/>
        <w:right w:val="none" w:sz="0" w:space="0" w:color="auto"/>
      </w:divBdr>
    </w:div>
    <w:div w:id="151021898">
      <w:bodyDiv w:val="1"/>
      <w:marLeft w:val="0"/>
      <w:marRight w:val="0"/>
      <w:marTop w:val="0"/>
      <w:marBottom w:val="0"/>
      <w:divBdr>
        <w:top w:val="none" w:sz="0" w:space="0" w:color="auto"/>
        <w:left w:val="none" w:sz="0" w:space="0" w:color="auto"/>
        <w:bottom w:val="none" w:sz="0" w:space="0" w:color="auto"/>
        <w:right w:val="none" w:sz="0" w:space="0" w:color="auto"/>
      </w:divBdr>
    </w:div>
    <w:div w:id="158085284">
      <w:bodyDiv w:val="1"/>
      <w:marLeft w:val="0"/>
      <w:marRight w:val="0"/>
      <w:marTop w:val="0"/>
      <w:marBottom w:val="0"/>
      <w:divBdr>
        <w:top w:val="none" w:sz="0" w:space="0" w:color="auto"/>
        <w:left w:val="none" w:sz="0" w:space="0" w:color="auto"/>
        <w:bottom w:val="none" w:sz="0" w:space="0" w:color="auto"/>
        <w:right w:val="none" w:sz="0" w:space="0" w:color="auto"/>
      </w:divBdr>
    </w:div>
    <w:div w:id="167062127">
      <w:bodyDiv w:val="1"/>
      <w:marLeft w:val="0"/>
      <w:marRight w:val="0"/>
      <w:marTop w:val="0"/>
      <w:marBottom w:val="0"/>
      <w:divBdr>
        <w:top w:val="none" w:sz="0" w:space="0" w:color="auto"/>
        <w:left w:val="none" w:sz="0" w:space="0" w:color="auto"/>
        <w:bottom w:val="none" w:sz="0" w:space="0" w:color="auto"/>
        <w:right w:val="none" w:sz="0" w:space="0" w:color="auto"/>
      </w:divBdr>
    </w:div>
    <w:div w:id="173493112">
      <w:bodyDiv w:val="1"/>
      <w:marLeft w:val="0"/>
      <w:marRight w:val="0"/>
      <w:marTop w:val="0"/>
      <w:marBottom w:val="0"/>
      <w:divBdr>
        <w:top w:val="none" w:sz="0" w:space="0" w:color="auto"/>
        <w:left w:val="none" w:sz="0" w:space="0" w:color="auto"/>
        <w:bottom w:val="none" w:sz="0" w:space="0" w:color="auto"/>
        <w:right w:val="none" w:sz="0" w:space="0" w:color="auto"/>
      </w:divBdr>
    </w:div>
    <w:div w:id="188419502">
      <w:bodyDiv w:val="1"/>
      <w:marLeft w:val="0"/>
      <w:marRight w:val="0"/>
      <w:marTop w:val="0"/>
      <w:marBottom w:val="0"/>
      <w:divBdr>
        <w:top w:val="none" w:sz="0" w:space="0" w:color="auto"/>
        <w:left w:val="none" w:sz="0" w:space="0" w:color="auto"/>
        <w:bottom w:val="none" w:sz="0" w:space="0" w:color="auto"/>
        <w:right w:val="none" w:sz="0" w:space="0" w:color="auto"/>
      </w:divBdr>
    </w:div>
    <w:div w:id="230390446">
      <w:bodyDiv w:val="1"/>
      <w:marLeft w:val="0"/>
      <w:marRight w:val="0"/>
      <w:marTop w:val="0"/>
      <w:marBottom w:val="0"/>
      <w:divBdr>
        <w:top w:val="none" w:sz="0" w:space="0" w:color="auto"/>
        <w:left w:val="none" w:sz="0" w:space="0" w:color="auto"/>
        <w:bottom w:val="none" w:sz="0" w:space="0" w:color="auto"/>
        <w:right w:val="none" w:sz="0" w:space="0" w:color="auto"/>
      </w:divBdr>
    </w:div>
    <w:div w:id="232357647">
      <w:bodyDiv w:val="1"/>
      <w:marLeft w:val="0"/>
      <w:marRight w:val="0"/>
      <w:marTop w:val="0"/>
      <w:marBottom w:val="0"/>
      <w:divBdr>
        <w:top w:val="none" w:sz="0" w:space="0" w:color="auto"/>
        <w:left w:val="none" w:sz="0" w:space="0" w:color="auto"/>
        <w:bottom w:val="none" w:sz="0" w:space="0" w:color="auto"/>
        <w:right w:val="none" w:sz="0" w:space="0" w:color="auto"/>
      </w:divBdr>
    </w:div>
    <w:div w:id="257183231">
      <w:bodyDiv w:val="1"/>
      <w:marLeft w:val="0"/>
      <w:marRight w:val="0"/>
      <w:marTop w:val="0"/>
      <w:marBottom w:val="0"/>
      <w:divBdr>
        <w:top w:val="none" w:sz="0" w:space="0" w:color="auto"/>
        <w:left w:val="none" w:sz="0" w:space="0" w:color="auto"/>
        <w:bottom w:val="none" w:sz="0" w:space="0" w:color="auto"/>
        <w:right w:val="none" w:sz="0" w:space="0" w:color="auto"/>
      </w:divBdr>
      <w:divsChild>
        <w:div w:id="1587500755">
          <w:marLeft w:val="547"/>
          <w:marRight w:val="0"/>
          <w:marTop w:val="0"/>
          <w:marBottom w:val="0"/>
          <w:divBdr>
            <w:top w:val="none" w:sz="0" w:space="0" w:color="auto"/>
            <w:left w:val="none" w:sz="0" w:space="0" w:color="auto"/>
            <w:bottom w:val="none" w:sz="0" w:space="0" w:color="auto"/>
            <w:right w:val="none" w:sz="0" w:space="0" w:color="auto"/>
          </w:divBdr>
        </w:div>
      </w:divsChild>
    </w:div>
    <w:div w:id="306715120">
      <w:bodyDiv w:val="1"/>
      <w:marLeft w:val="0"/>
      <w:marRight w:val="0"/>
      <w:marTop w:val="0"/>
      <w:marBottom w:val="0"/>
      <w:divBdr>
        <w:top w:val="none" w:sz="0" w:space="0" w:color="auto"/>
        <w:left w:val="none" w:sz="0" w:space="0" w:color="auto"/>
        <w:bottom w:val="none" w:sz="0" w:space="0" w:color="auto"/>
        <w:right w:val="none" w:sz="0" w:space="0" w:color="auto"/>
      </w:divBdr>
    </w:div>
    <w:div w:id="348072358">
      <w:bodyDiv w:val="1"/>
      <w:marLeft w:val="0"/>
      <w:marRight w:val="0"/>
      <w:marTop w:val="0"/>
      <w:marBottom w:val="0"/>
      <w:divBdr>
        <w:top w:val="none" w:sz="0" w:space="0" w:color="auto"/>
        <w:left w:val="none" w:sz="0" w:space="0" w:color="auto"/>
        <w:bottom w:val="none" w:sz="0" w:space="0" w:color="auto"/>
        <w:right w:val="none" w:sz="0" w:space="0" w:color="auto"/>
      </w:divBdr>
    </w:div>
    <w:div w:id="352265638">
      <w:bodyDiv w:val="1"/>
      <w:marLeft w:val="0"/>
      <w:marRight w:val="0"/>
      <w:marTop w:val="0"/>
      <w:marBottom w:val="0"/>
      <w:divBdr>
        <w:top w:val="none" w:sz="0" w:space="0" w:color="auto"/>
        <w:left w:val="none" w:sz="0" w:space="0" w:color="auto"/>
        <w:bottom w:val="none" w:sz="0" w:space="0" w:color="auto"/>
        <w:right w:val="none" w:sz="0" w:space="0" w:color="auto"/>
      </w:divBdr>
    </w:div>
    <w:div w:id="353464223">
      <w:bodyDiv w:val="1"/>
      <w:marLeft w:val="0"/>
      <w:marRight w:val="0"/>
      <w:marTop w:val="0"/>
      <w:marBottom w:val="0"/>
      <w:divBdr>
        <w:top w:val="none" w:sz="0" w:space="0" w:color="auto"/>
        <w:left w:val="none" w:sz="0" w:space="0" w:color="auto"/>
        <w:bottom w:val="none" w:sz="0" w:space="0" w:color="auto"/>
        <w:right w:val="none" w:sz="0" w:space="0" w:color="auto"/>
      </w:divBdr>
    </w:div>
    <w:div w:id="357700305">
      <w:bodyDiv w:val="1"/>
      <w:marLeft w:val="0"/>
      <w:marRight w:val="0"/>
      <w:marTop w:val="0"/>
      <w:marBottom w:val="0"/>
      <w:divBdr>
        <w:top w:val="none" w:sz="0" w:space="0" w:color="auto"/>
        <w:left w:val="none" w:sz="0" w:space="0" w:color="auto"/>
        <w:bottom w:val="none" w:sz="0" w:space="0" w:color="auto"/>
        <w:right w:val="none" w:sz="0" w:space="0" w:color="auto"/>
      </w:divBdr>
    </w:div>
    <w:div w:id="372921790">
      <w:bodyDiv w:val="1"/>
      <w:marLeft w:val="0"/>
      <w:marRight w:val="0"/>
      <w:marTop w:val="0"/>
      <w:marBottom w:val="0"/>
      <w:divBdr>
        <w:top w:val="none" w:sz="0" w:space="0" w:color="auto"/>
        <w:left w:val="none" w:sz="0" w:space="0" w:color="auto"/>
        <w:bottom w:val="none" w:sz="0" w:space="0" w:color="auto"/>
        <w:right w:val="none" w:sz="0" w:space="0" w:color="auto"/>
      </w:divBdr>
    </w:div>
    <w:div w:id="430710431">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5">
          <w:marLeft w:val="547"/>
          <w:marRight w:val="0"/>
          <w:marTop w:val="0"/>
          <w:marBottom w:val="0"/>
          <w:divBdr>
            <w:top w:val="none" w:sz="0" w:space="0" w:color="auto"/>
            <w:left w:val="none" w:sz="0" w:space="0" w:color="auto"/>
            <w:bottom w:val="none" w:sz="0" w:space="0" w:color="auto"/>
            <w:right w:val="none" w:sz="0" w:space="0" w:color="auto"/>
          </w:divBdr>
        </w:div>
      </w:divsChild>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81389891">
      <w:bodyDiv w:val="1"/>
      <w:marLeft w:val="0"/>
      <w:marRight w:val="0"/>
      <w:marTop w:val="0"/>
      <w:marBottom w:val="0"/>
      <w:divBdr>
        <w:top w:val="none" w:sz="0" w:space="0" w:color="auto"/>
        <w:left w:val="none" w:sz="0" w:space="0" w:color="auto"/>
        <w:bottom w:val="none" w:sz="0" w:space="0" w:color="auto"/>
        <w:right w:val="none" w:sz="0" w:space="0" w:color="auto"/>
      </w:divBdr>
    </w:div>
    <w:div w:id="483005831">
      <w:bodyDiv w:val="1"/>
      <w:marLeft w:val="0"/>
      <w:marRight w:val="0"/>
      <w:marTop w:val="0"/>
      <w:marBottom w:val="0"/>
      <w:divBdr>
        <w:top w:val="none" w:sz="0" w:space="0" w:color="auto"/>
        <w:left w:val="none" w:sz="0" w:space="0" w:color="auto"/>
        <w:bottom w:val="none" w:sz="0" w:space="0" w:color="auto"/>
        <w:right w:val="none" w:sz="0" w:space="0" w:color="auto"/>
      </w:divBdr>
    </w:div>
    <w:div w:id="486435644">
      <w:bodyDiv w:val="1"/>
      <w:marLeft w:val="0"/>
      <w:marRight w:val="0"/>
      <w:marTop w:val="0"/>
      <w:marBottom w:val="0"/>
      <w:divBdr>
        <w:top w:val="none" w:sz="0" w:space="0" w:color="auto"/>
        <w:left w:val="none" w:sz="0" w:space="0" w:color="auto"/>
        <w:bottom w:val="none" w:sz="0" w:space="0" w:color="auto"/>
        <w:right w:val="none" w:sz="0" w:space="0" w:color="auto"/>
      </w:divBdr>
    </w:div>
    <w:div w:id="495416072">
      <w:bodyDiv w:val="1"/>
      <w:marLeft w:val="0"/>
      <w:marRight w:val="0"/>
      <w:marTop w:val="0"/>
      <w:marBottom w:val="0"/>
      <w:divBdr>
        <w:top w:val="none" w:sz="0" w:space="0" w:color="auto"/>
        <w:left w:val="none" w:sz="0" w:space="0" w:color="auto"/>
        <w:bottom w:val="none" w:sz="0" w:space="0" w:color="auto"/>
        <w:right w:val="none" w:sz="0" w:space="0" w:color="auto"/>
      </w:divBdr>
    </w:div>
    <w:div w:id="506791909">
      <w:bodyDiv w:val="1"/>
      <w:marLeft w:val="0"/>
      <w:marRight w:val="0"/>
      <w:marTop w:val="0"/>
      <w:marBottom w:val="0"/>
      <w:divBdr>
        <w:top w:val="none" w:sz="0" w:space="0" w:color="auto"/>
        <w:left w:val="none" w:sz="0" w:space="0" w:color="auto"/>
        <w:bottom w:val="none" w:sz="0" w:space="0" w:color="auto"/>
        <w:right w:val="none" w:sz="0" w:space="0" w:color="auto"/>
      </w:divBdr>
    </w:div>
    <w:div w:id="525678156">
      <w:bodyDiv w:val="1"/>
      <w:marLeft w:val="0"/>
      <w:marRight w:val="0"/>
      <w:marTop w:val="0"/>
      <w:marBottom w:val="0"/>
      <w:divBdr>
        <w:top w:val="none" w:sz="0" w:space="0" w:color="auto"/>
        <w:left w:val="none" w:sz="0" w:space="0" w:color="auto"/>
        <w:bottom w:val="none" w:sz="0" w:space="0" w:color="auto"/>
        <w:right w:val="none" w:sz="0" w:space="0" w:color="auto"/>
      </w:divBdr>
    </w:div>
    <w:div w:id="560672626">
      <w:bodyDiv w:val="1"/>
      <w:marLeft w:val="0"/>
      <w:marRight w:val="0"/>
      <w:marTop w:val="0"/>
      <w:marBottom w:val="0"/>
      <w:divBdr>
        <w:top w:val="none" w:sz="0" w:space="0" w:color="auto"/>
        <w:left w:val="none" w:sz="0" w:space="0" w:color="auto"/>
        <w:bottom w:val="none" w:sz="0" w:space="0" w:color="auto"/>
        <w:right w:val="none" w:sz="0" w:space="0" w:color="auto"/>
      </w:divBdr>
    </w:div>
    <w:div w:id="636371947">
      <w:bodyDiv w:val="1"/>
      <w:marLeft w:val="0"/>
      <w:marRight w:val="0"/>
      <w:marTop w:val="0"/>
      <w:marBottom w:val="0"/>
      <w:divBdr>
        <w:top w:val="none" w:sz="0" w:space="0" w:color="auto"/>
        <w:left w:val="none" w:sz="0" w:space="0" w:color="auto"/>
        <w:bottom w:val="none" w:sz="0" w:space="0" w:color="auto"/>
        <w:right w:val="none" w:sz="0" w:space="0" w:color="auto"/>
      </w:divBdr>
    </w:div>
    <w:div w:id="638609627">
      <w:bodyDiv w:val="1"/>
      <w:marLeft w:val="0"/>
      <w:marRight w:val="0"/>
      <w:marTop w:val="0"/>
      <w:marBottom w:val="0"/>
      <w:divBdr>
        <w:top w:val="none" w:sz="0" w:space="0" w:color="auto"/>
        <w:left w:val="none" w:sz="0" w:space="0" w:color="auto"/>
        <w:bottom w:val="none" w:sz="0" w:space="0" w:color="auto"/>
        <w:right w:val="none" w:sz="0" w:space="0" w:color="auto"/>
      </w:divBdr>
      <w:divsChild>
        <w:div w:id="812411202">
          <w:marLeft w:val="0"/>
          <w:marRight w:val="0"/>
          <w:marTop w:val="0"/>
          <w:marBottom w:val="72"/>
          <w:divBdr>
            <w:top w:val="none" w:sz="0" w:space="0" w:color="auto"/>
            <w:left w:val="none" w:sz="0" w:space="0" w:color="auto"/>
            <w:bottom w:val="none" w:sz="0" w:space="0" w:color="auto"/>
            <w:right w:val="none" w:sz="0" w:space="0" w:color="auto"/>
          </w:divBdr>
          <w:divsChild>
            <w:div w:id="1293748533">
              <w:marLeft w:val="150"/>
              <w:marRight w:val="150"/>
              <w:marTop w:val="0"/>
              <w:marBottom w:val="0"/>
              <w:divBdr>
                <w:top w:val="none" w:sz="0" w:space="0" w:color="auto"/>
                <w:left w:val="none" w:sz="0" w:space="0" w:color="auto"/>
                <w:bottom w:val="none" w:sz="0" w:space="0" w:color="auto"/>
                <w:right w:val="none" w:sz="0" w:space="0" w:color="auto"/>
              </w:divBdr>
              <w:divsChild>
                <w:div w:id="1223521320">
                  <w:marLeft w:val="0"/>
                  <w:marRight w:val="0"/>
                  <w:marTop w:val="0"/>
                  <w:marBottom w:val="0"/>
                  <w:divBdr>
                    <w:top w:val="none" w:sz="0" w:space="0" w:color="auto"/>
                    <w:left w:val="none" w:sz="0" w:space="0" w:color="auto"/>
                    <w:bottom w:val="none" w:sz="0" w:space="0" w:color="auto"/>
                    <w:right w:val="none" w:sz="0" w:space="0" w:color="auto"/>
                  </w:divBdr>
                  <w:divsChild>
                    <w:div w:id="812916753">
                      <w:marLeft w:val="0"/>
                      <w:marRight w:val="0"/>
                      <w:marTop w:val="0"/>
                      <w:marBottom w:val="0"/>
                      <w:divBdr>
                        <w:top w:val="none" w:sz="0" w:space="0" w:color="auto"/>
                        <w:left w:val="none" w:sz="0" w:space="0" w:color="auto"/>
                        <w:bottom w:val="none" w:sz="0" w:space="0" w:color="auto"/>
                        <w:right w:val="none" w:sz="0" w:space="0" w:color="auto"/>
                      </w:divBdr>
                      <w:divsChild>
                        <w:div w:id="586576068">
                          <w:marLeft w:val="0"/>
                          <w:marRight w:val="0"/>
                          <w:marTop w:val="0"/>
                          <w:marBottom w:val="0"/>
                          <w:divBdr>
                            <w:top w:val="single" w:sz="6" w:space="6" w:color="F89639"/>
                            <w:left w:val="none" w:sz="0" w:space="0" w:color="auto"/>
                            <w:bottom w:val="none" w:sz="0" w:space="0" w:color="auto"/>
                            <w:right w:val="none" w:sz="0" w:space="0" w:color="auto"/>
                          </w:divBdr>
                          <w:divsChild>
                            <w:div w:id="15460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303032">
      <w:bodyDiv w:val="1"/>
      <w:marLeft w:val="0"/>
      <w:marRight w:val="0"/>
      <w:marTop w:val="0"/>
      <w:marBottom w:val="0"/>
      <w:divBdr>
        <w:top w:val="none" w:sz="0" w:space="0" w:color="auto"/>
        <w:left w:val="none" w:sz="0" w:space="0" w:color="auto"/>
        <w:bottom w:val="none" w:sz="0" w:space="0" w:color="auto"/>
        <w:right w:val="none" w:sz="0" w:space="0" w:color="auto"/>
      </w:divBdr>
    </w:div>
    <w:div w:id="714621486">
      <w:bodyDiv w:val="1"/>
      <w:marLeft w:val="0"/>
      <w:marRight w:val="0"/>
      <w:marTop w:val="0"/>
      <w:marBottom w:val="0"/>
      <w:divBdr>
        <w:top w:val="none" w:sz="0" w:space="0" w:color="auto"/>
        <w:left w:val="none" w:sz="0" w:space="0" w:color="auto"/>
        <w:bottom w:val="none" w:sz="0" w:space="0" w:color="auto"/>
        <w:right w:val="none" w:sz="0" w:space="0" w:color="auto"/>
      </w:divBdr>
    </w:div>
    <w:div w:id="738019760">
      <w:bodyDiv w:val="1"/>
      <w:marLeft w:val="0"/>
      <w:marRight w:val="0"/>
      <w:marTop w:val="0"/>
      <w:marBottom w:val="0"/>
      <w:divBdr>
        <w:top w:val="none" w:sz="0" w:space="0" w:color="auto"/>
        <w:left w:val="none" w:sz="0" w:space="0" w:color="auto"/>
        <w:bottom w:val="none" w:sz="0" w:space="0" w:color="auto"/>
        <w:right w:val="none" w:sz="0" w:space="0" w:color="auto"/>
      </w:divBdr>
    </w:div>
    <w:div w:id="74272049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55">
          <w:marLeft w:val="547"/>
          <w:marRight w:val="0"/>
          <w:marTop w:val="0"/>
          <w:marBottom w:val="0"/>
          <w:divBdr>
            <w:top w:val="none" w:sz="0" w:space="0" w:color="auto"/>
            <w:left w:val="none" w:sz="0" w:space="0" w:color="auto"/>
            <w:bottom w:val="none" w:sz="0" w:space="0" w:color="auto"/>
            <w:right w:val="none" w:sz="0" w:space="0" w:color="auto"/>
          </w:divBdr>
        </w:div>
      </w:divsChild>
    </w:div>
    <w:div w:id="748846629">
      <w:bodyDiv w:val="1"/>
      <w:marLeft w:val="0"/>
      <w:marRight w:val="0"/>
      <w:marTop w:val="0"/>
      <w:marBottom w:val="0"/>
      <w:divBdr>
        <w:top w:val="none" w:sz="0" w:space="0" w:color="auto"/>
        <w:left w:val="none" w:sz="0" w:space="0" w:color="auto"/>
        <w:bottom w:val="none" w:sz="0" w:space="0" w:color="auto"/>
        <w:right w:val="none" w:sz="0" w:space="0" w:color="auto"/>
      </w:divBdr>
    </w:div>
    <w:div w:id="752628488">
      <w:bodyDiv w:val="1"/>
      <w:marLeft w:val="0"/>
      <w:marRight w:val="0"/>
      <w:marTop w:val="0"/>
      <w:marBottom w:val="0"/>
      <w:divBdr>
        <w:top w:val="none" w:sz="0" w:space="0" w:color="auto"/>
        <w:left w:val="none" w:sz="0" w:space="0" w:color="auto"/>
        <w:bottom w:val="none" w:sz="0" w:space="0" w:color="auto"/>
        <w:right w:val="none" w:sz="0" w:space="0" w:color="auto"/>
      </w:divBdr>
    </w:div>
    <w:div w:id="760182223">
      <w:bodyDiv w:val="1"/>
      <w:marLeft w:val="0"/>
      <w:marRight w:val="0"/>
      <w:marTop w:val="0"/>
      <w:marBottom w:val="0"/>
      <w:divBdr>
        <w:top w:val="none" w:sz="0" w:space="0" w:color="auto"/>
        <w:left w:val="none" w:sz="0" w:space="0" w:color="auto"/>
        <w:bottom w:val="none" w:sz="0" w:space="0" w:color="auto"/>
        <w:right w:val="none" w:sz="0" w:space="0" w:color="auto"/>
      </w:divBdr>
    </w:div>
    <w:div w:id="767043794">
      <w:bodyDiv w:val="1"/>
      <w:marLeft w:val="0"/>
      <w:marRight w:val="0"/>
      <w:marTop w:val="0"/>
      <w:marBottom w:val="0"/>
      <w:divBdr>
        <w:top w:val="none" w:sz="0" w:space="0" w:color="auto"/>
        <w:left w:val="none" w:sz="0" w:space="0" w:color="auto"/>
        <w:bottom w:val="none" w:sz="0" w:space="0" w:color="auto"/>
        <w:right w:val="none" w:sz="0" w:space="0" w:color="auto"/>
      </w:divBdr>
      <w:divsChild>
        <w:div w:id="57170775">
          <w:marLeft w:val="547"/>
          <w:marRight w:val="0"/>
          <w:marTop w:val="0"/>
          <w:marBottom w:val="0"/>
          <w:divBdr>
            <w:top w:val="none" w:sz="0" w:space="0" w:color="auto"/>
            <w:left w:val="none" w:sz="0" w:space="0" w:color="auto"/>
            <w:bottom w:val="none" w:sz="0" w:space="0" w:color="auto"/>
            <w:right w:val="none" w:sz="0" w:space="0" w:color="auto"/>
          </w:divBdr>
        </w:div>
      </w:divsChild>
    </w:div>
    <w:div w:id="774208730">
      <w:bodyDiv w:val="1"/>
      <w:marLeft w:val="0"/>
      <w:marRight w:val="0"/>
      <w:marTop w:val="0"/>
      <w:marBottom w:val="0"/>
      <w:divBdr>
        <w:top w:val="none" w:sz="0" w:space="0" w:color="auto"/>
        <w:left w:val="none" w:sz="0" w:space="0" w:color="auto"/>
        <w:bottom w:val="none" w:sz="0" w:space="0" w:color="auto"/>
        <w:right w:val="none" w:sz="0" w:space="0" w:color="auto"/>
      </w:divBdr>
    </w:div>
    <w:div w:id="810175304">
      <w:bodyDiv w:val="1"/>
      <w:marLeft w:val="0"/>
      <w:marRight w:val="0"/>
      <w:marTop w:val="0"/>
      <w:marBottom w:val="0"/>
      <w:divBdr>
        <w:top w:val="none" w:sz="0" w:space="0" w:color="auto"/>
        <w:left w:val="none" w:sz="0" w:space="0" w:color="auto"/>
        <w:bottom w:val="none" w:sz="0" w:space="0" w:color="auto"/>
        <w:right w:val="none" w:sz="0" w:space="0" w:color="auto"/>
      </w:divBdr>
    </w:div>
    <w:div w:id="817461277">
      <w:bodyDiv w:val="1"/>
      <w:marLeft w:val="0"/>
      <w:marRight w:val="0"/>
      <w:marTop w:val="0"/>
      <w:marBottom w:val="0"/>
      <w:divBdr>
        <w:top w:val="none" w:sz="0" w:space="0" w:color="auto"/>
        <w:left w:val="none" w:sz="0" w:space="0" w:color="auto"/>
        <w:bottom w:val="none" w:sz="0" w:space="0" w:color="auto"/>
        <w:right w:val="none" w:sz="0" w:space="0" w:color="auto"/>
      </w:divBdr>
    </w:div>
    <w:div w:id="839809436">
      <w:bodyDiv w:val="1"/>
      <w:marLeft w:val="0"/>
      <w:marRight w:val="0"/>
      <w:marTop w:val="0"/>
      <w:marBottom w:val="0"/>
      <w:divBdr>
        <w:top w:val="none" w:sz="0" w:space="0" w:color="auto"/>
        <w:left w:val="none" w:sz="0" w:space="0" w:color="auto"/>
        <w:bottom w:val="none" w:sz="0" w:space="0" w:color="auto"/>
        <w:right w:val="none" w:sz="0" w:space="0" w:color="auto"/>
      </w:divBdr>
    </w:div>
    <w:div w:id="850408585">
      <w:bodyDiv w:val="1"/>
      <w:marLeft w:val="0"/>
      <w:marRight w:val="0"/>
      <w:marTop w:val="0"/>
      <w:marBottom w:val="0"/>
      <w:divBdr>
        <w:top w:val="none" w:sz="0" w:space="0" w:color="auto"/>
        <w:left w:val="none" w:sz="0" w:space="0" w:color="auto"/>
        <w:bottom w:val="none" w:sz="0" w:space="0" w:color="auto"/>
        <w:right w:val="none" w:sz="0" w:space="0" w:color="auto"/>
      </w:divBdr>
    </w:div>
    <w:div w:id="860170274">
      <w:bodyDiv w:val="1"/>
      <w:marLeft w:val="0"/>
      <w:marRight w:val="0"/>
      <w:marTop w:val="0"/>
      <w:marBottom w:val="0"/>
      <w:divBdr>
        <w:top w:val="none" w:sz="0" w:space="0" w:color="auto"/>
        <w:left w:val="none" w:sz="0" w:space="0" w:color="auto"/>
        <w:bottom w:val="none" w:sz="0" w:space="0" w:color="auto"/>
        <w:right w:val="none" w:sz="0" w:space="0" w:color="auto"/>
      </w:divBdr>
    </w:div>
    <w:div w:id="863977960">
      <w:bodyDiv w:val="1"/>
      <w:marLeft w:val="0"/>
      <w:marRight w:val="0"/>
      <w:marTop w:val="0"/>
      <w:marBottom w:val="0"/>
      <w:divBdr>
        <w:top w:val="none" w:sz="0" w:space="0" w:color="auto"/>
        <w:left w:val="none" w:sz="0" w:space="0" w:color="auto"/>
        <w:bottom w:val="none" w:sz="0" w:space="0" w:color="auto"/>
        <w:right w:val="none" w:sz="0" w:space="0" w:color="auto"/>
      </w:divBdr>
      <w:divsChild>
        <w:div w:id="1131631153">
          <w:marLeft w:val="0"/>
          <w:marRight w:val="0"/>
          <w:marTop w:val="0"/>
          <w:marBottom w:val="72"/>
          <w:divBdr>
            <w:top w:val="none" w:sz="0" w:space="0" w:color="auto"/>
            <w:left w:val="none" w:sz="0" w:space="0" w:color="auto"/>
            <w:bottom w:val="none" w:sz="0" w:space="0" w:color="auto"/>
            <w:right w:val="none" w:sz="0" w:space="0" w:color="auto"/>
          </w:divBdr>
          <w:divsChild>
            <w:div w:id="929040963">
              <w:marLeft w:val="150"/>
              <w:marRight w:val="150"/>
              <w:marTop w:val="0"/>
              <w:marBottom w:val="0"/>
              <w:divBdr>
                <w:top w:val="none" w:sz="0" w:space="0" w:color="auto"/>
                <w:left w:val="none" w:sz="0" w:space="0" w:color="auto"/>
                <w:bottom w:val="none" w:sz="0" w:space="0" w:color="auto"/>
                <w:right w:val="none" w:sz="0" w:space="0" w:color="auto"/>
              </w:divBdr>
              <w:divsChild>
                <w:div w:id="350960962">
                  <w:marLeft w:val="0"/>
                  <w:marRight w:val="0"/>
                  <w:marTop w:val="0"/>
                  <w:marBottom w:val="0"/>
                  <w:divBdr>
                    <w:top w:val="none" w:sz="0" w:space="0" w:color="auto"/>
                    <w:left w:val="none" w:sz="0" w:space="0" w:color="auto"/>
                    <w:bottom w:val="none" w:sz="0" w:space="0" w:color="auto"/>
                    <w:right w:val="none" w:sz="0" w:space="0" w:color="auto"/>
                  </w:divBdr>
                  <w:divsChild>
                    <w:div w:id="346298527">
                      <w:marLeft w:val="0"/>
                      <w:marRight w:val="0"/>
                      <w:marTop w:val="0"/>
                      <w:marBottom w:val="0"/>
                      <w:divBdr>
                        <w:top w:val="none" w:sz="0" w:space="0" w:color="auto"/>
                        <w:left w:val="none" w:sz="0" w:space="0" w:color="auto"/>
                        <w:bottom w:val="none" w:sz="0" w:space="0" w:color="auto"/>
                        <w:right w:val="none" w:sz="0" w:space="0" w:color="auto"/>
                      </w:divBdr>
                      <w:divsChild>
                        <w:div w:id="448210063">
                          <w:marLeft w:val="0"/>
                          <w:marRight w:val="0"/>
                          <w:marTop w:val="0"/>
                          <w:marBottom w:val="0"/>
                          <w:divBdr>
                            <w:top w:val="single" w:sz="6" w:space="6" w:color="F89639"/>
                            <w:left w:val="none" w:sz="0" w:space="0" w:color="auto"/>
                            <w:bottom w:val="none" w:sz="0" w:space="0" w:color="auto"/>
                            <w:right w:val="none" w:sz="0" w:space="0" w:color="auto"/>
                          </w:divBdr>
                          <w:divsChild>
                            <w:div w:id="11063138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07087">
      <w:bodyDiv w:val="1"/>
      <w:marLeft w:val="0"/>
      <w:marRight w:val="0"/>
      <w:marTop w:val="0"/>
      <w:marBottom w:val="0"/>
      <w:divBdr>
        <w:top w:val="none" w:sz="0" w:space="0" w:color="auto"/>
        <w:left w:val="none" w:sz="0" w:space="0" w:color="auto"/>
        <w:bottom w:val="none" w:sz="0" w:space="0" w:color="auto"/>
        <w:right w:val="none" w:sz="0" w:space="0" w:color="auto"/>
      </w:divBdr>
    </w:div>
    <w:div w:id="866481922">
      <w:bodyDiv w:val="1"/>
      <w:marLeft w:val="0"/>
      <w:marRight w:val="0"/>
      <w:marTop w:val="0"/>
      <w:marBottom w:val="0"/>
      <w:divBdr>
        <w:top w:val="none" w:sz="0" w:space="0" w:color="auto"/>
        <w:left w:val="none" w:sz="0" w:space="0" w:color="auto"/>
        <w:bottom w:val="none" w:sz="0" w:space="0" w:color="auto"/>
        <w:right w:val="none" w:sz="0" w:space="0" w:color="auto"/>
      </w:divBdr>
    </w:div>
    <w:div w:id="867986491">
      <w:bodyDiv w:val="1"/>
      <w:marLeft w:val="0"/>
      <w:marRight w:val="0"/>
      <w:marTop w:val="0"/>
      <w:marBottom w:val="0"/>
      <w:divBdr>
        <w:top w:val="none" w:sz="0" w:space="0" w:color="auto"/>
        <w:left w:val="none" w:sz="0" w:space="0" w:color="auto"/>
        <w:bottom w:val="none" w:sz="0" w:space="0" w:color="auto"/>
        <w:right w:val="none" w:sz="0" w:space="0" w:color="auto"/>
      </w:divBdr>
    </w:div>
    <w:div w:id="869074838">
      <w:bodyDiv w:val="1"/>
      <w:marLeft w:val="0"/>
      <w:marRight w:val="0"/>
      <w:marTop w:val="0"/>
      <w:marBottom w:val="0"/>
      <w:divBdr>
        <w:top w:val="none" w:sz="0" w:space="0" w:color="auto"/>
        <w:left w:val="none" w:sz="0" w:space="0" w:color="auto"/>
        <w:bottom w:val="none" w:sz="0" w:space="0" w:color="auto"/>
        <w:right w:val="none" w:sz="0" w:space="0" w:color="auto"/>
      </w:divBdr>
    </w:div>
    <w:div w:id="893736079">
      <w:bodyDiv w:val="1"/>
      <w:marLeft w:val="0"/>
      <w:marRight w:val="0"/>
      <w:marTop w:val="0"/>
      <w:marBottom w:val="0"/>
      <w:divBdr>
        <w:top w:val="none" w:sz="0" w:space="0" w:color="auto"/>
        <w:left w:val="none" w:sz="0" w:space="0" w:color="auto"/>
        <w:bottom w:val="none" w:sz="0" w:space="0" w:color="auto"/>
        <w:right w:val="none" w:sz="0" w:space="0" w:color="auto"/>
      </w:divBdr>
    </w:div>
    <w:div w:id="914435058">
      <w:bodyDiv w:val="1"/>
      <w:marLeft w:val="0"/>
      <w:marRight w:val="0"/>
      <w:marTop w:val="0"/>
      <w:marBottom w:val="0"/>
      <w:divBdr>
        <w:top w:val="none" w:sz="0" w:space="0" w:color="auto"/>
        <w:left w:val="none" w:sz="0" w:space="0" w:color="auto"/>
        <w:bottom w:val="none" w:sz="0" w:space="0" w:color="auto"/>
        <w:right w:val="none" w:sz="0" w:space="0" w:color="auto"/>
      </w:divBdr>
    </w:div>
    <w:div w:id="918059296">
      <w:bodyDiv w:val="1"/>
      <w:marLeft w:val="0"/>
      <w:marRight w:val="0"/>
      <w:marTop w:val="0"/>
      <w:marBottom w:val="0"/>
      <w:divBdr>
        <w:top w:val="none" w:sz="0" w:space="0" w:color="auto"/>
        <w:left w:val="none" w:sz="0" w:space="0" w:color="auto"/>
        <w:bottom w:val="none" w:sz="0" w:space="0" w:color="auto"/>
        <w:right w:val="none" w:sz="0" w:space="0" w:color="auto"/>
      </w:divBdr>
    </w:div>
    <w:div w:id="922253790">
      <w:bodyDiv w:val="1"/>
      <w:marLeft w:val="0"/>
      <w:marRight w:val="0"/>
      <w:marTop w:val="0"/>
      <w:marBottom w:val="0"/>
      <w:divBdr>
        <w:top w:val="none" w:sz="0" w:space="0" w:color="auto"/>
        <w:left w:val="none" w:sz="0" w:space="0" w:color="auto"/>
        <w:bottom w:val="none" w:sz="0" w:space="0" w:color="auto"/>
        <w:right w:val="none" w:sz="0" w:space="0" w:color="auto"/>
      </w:divBdr>
    </w:div>
    <w:div w:id="926886247">
      <w:bodyDiv w:val="1"/>
      <w:marLeft w:val="0"/>
      <w:marRight w:val="0"/>
      <w:marTop w:val="0"/>
      <w:marBottom w:val="0"/>
      <w:divBdr>
        <w:top w:val="none" w:sz="0" w:space="0" w:color="auto"/>
        <w:left w:val="none" w:sz="0" w:space="0" w:color="auto"/>
        <w:bottom w:val="none" w:sz="0" w:space="0" w:color="auto"/>
        <w:right w:val="none" w:sz="0" w:space="0" w:color="auto"/>
      </w:divBdr>
    </w:div>
    <w:div w:id="935748138">
      <w:bodyDiv w:val="1"/>
      <w:marLeft w:val="0"/>
      <w:marRight w:val="0"/>
      <w:marTop w:val="0"/>
      <w:marBottom w:val="0"/>
      <w:divBdr>
        <w:top w:val="none" w:sz="0" w:space="0" w:color="auto"/>
        <w:left w:val="none" w:sz="0" w:space="0" w:color="auto"/>
        <w:bottom w:val="none" w:sz="0" w:space="0" w:color="auto"/>
        <w:right w:val="none" w:sz="0" w:space="0" w:color="auto"/>
      </w:divBdr>
    </w:div>
    <w:div w:id="951088786">
      <w:bodyDiv w:val="1"/>
      <w:marLeft w:val="0"/>
      <w:marRight w:val="0"/>
      <w:marTop w:val="0"/>
      <w:marBottom w:val="0"/>
      <w:divBdr>
        <w:top w:val="none" w:sz="0" w:space="0" w:color="auto"/>
        <w:left w:val="none" w:sz="0" w:space="0" w:color="auto"/>
        <w:bottom w:val="none" w:sz="0" w:space="0" w:color="auto"/>
        <w:right w:val="none" w:sz="0" w:space="0" w:color="auto"/>
      </w:divBdr>
    </w:div>
    <w:div w:id="968707075">
      <w:bodyDiv w:val="1"/>
      <w:marLeft w:val="0"/>
      <w:marRight w:val="0"/>
      <w:marTop w:val="0"/>
      <w:marBottom w:val="0"/>
      <w:divBdr>
        <w:top w:val="none" w:sz="0" w:space="0" w:color="auto"/>
        <w:left w:val="none" w:sz="0" w:space="0" w:color="auto"/>
        <w:bottom w:val="none" w:sz="0" w:space="0" w:color="auto"/>
        <w:right w:val="none" w:sz="0" w:space="0" w:color="auto"/>
      </w:divBdr>
    </w:div>
    <w:div w:id="983004273">
      <w:bodyDiv w:val="1"/>
      <w:marLeft w:val="0"/>
      <w:marRight w:val="0"/>
      <w:marTop w:val="0"/>
      <w:marBottom w:val="0"/>
      <w:divBdr>
        <w:top w:val="none" w:sz="0" w:space="0" w:color="auto"/>
        <w:left w:val="none" w:sz="0" w:space="0" w:color="auto"/>
        <w:bottom w:val="none" w:sz="0" w:space="0" w:color="auto"/>
        <w:right w:val="none" w:sz="0" w:space="0" w:color="auto"/>
      </w:divBdr>
    </w:div>
    <w:div w:id="996307405">
      <w:bodyDiv w:val="1"/>
      <w:marLeft w:val="0"/>
      <w:marRight w:val="0"/>
      <w:marTop w:val="0"/>
      <w:marBottom w:val="0"/>
      <w:divBdr>
        <w:top w:val="none" w:sz="0" w:space="0" w:color="auto"/>
        <w:left w:val="none" w:sz="0" w:space="0" w:color="auto"/>
        <w:bottom w:val="none" w:sz="0" w:space="0" w:color="auto"/>
        <w:right w:val="none" w:sz="0" w:space="0" w:color="auto"/>
      </w:divBdr>
    </w:div>
    <w:div w:id="1006320980">
      <w:bodyDiv w:val="1"/>
      <w:marLeft w:val="0"/>
      <w:marRight w:val="0"/>
      <w:marTop w:val="0"/>
      <w:marBottom w:val="0"/>
      <w:divBdr>
        <w:top w:val="none" w:sz="0" w:space="0" w:color="auto"/>
        <w:left w:val="none" w:sz="0" w:space="0" w:color="auto"/>
        <w:bottom w:val="none" w:sz="0" w:space="0" w:color="auto"/>
        <w:right w:val="none" w:sz="0" w:space="0" w:color="auto"/>
      </w:divBdr>
    </w:div>
    <w:div w:id="1024752631">
      <w:bodyDiv w:val="1"/>
      <w:marLeft w:val="0"/>
      <w:marRight w:val="0"/>
      <w:marTop w:val="0"/>
      <w:marBottom w:val="0"/>
      <w:divBdr>
        <w:top w:val="none" w:sz="0" w:space="0" w:color="auto"/>
        <w:left w:val="none" w:sz="0" w:space="0" w:color="auto"/>
        <w:bottom w:val="none" w:sz="0" w:space="0" w:color="auto"/>
        <w:right w:val="none" w:sz="0" w:space="0" w:color="auto"/>
      </w:divBdr>
    </w:div>
    <w:div w:id="1026752661">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37319049">
      <w:bodyDiv w:val="1"/>
      <w:marLeft w:val="0"/>
      <w:marRight w:val="0"/>
      <w:marTop w:val="0"/>
      <w:marBottom w:val="0"/>
      <w:divBdr>
        <w:top w:val="none" w:sz="0" w:space="0" w:color="auto"/>
        <w:left w:val="none" w:sz="0" w:space="0" w:color="auto"/>
        <w:bottom w:val="none" w:sz="0" w:space="0" w:color="auto"/>
        <w:right w:val="none" w:sz="0" w:space="0" w:color="auto"/>
      </w:divBdr>
    </w:div>
    <w:div w:id="1043016714">
      <w:bodyDiv w:val="1"/>
      <w:marLeft w:val="0"/>
      <w:marRight w:val="0"/>
      <w:marTop w:val="0"/>
      <w:marBottom w:val="0"/>
      <w:divBdr>
        <w:top w:val="none" w:sz="0" w:space="0" w:color="auto"/>
        <w:left w:val="none" w:sz="0" w:space="0" w:color="auto"/>
        <w:bottom w:val="none" w:sz="0" w:space="0" w:color="auto"/>
        <w:right w:val="none" w:sz="0" w:space="0" w:color="auto"/>
      </w:divBdr>
    </w:div>
    <w:div w:id="1051617278">
      <w:bodyDiv w:val="1"/>
      <w:marLeft w:val="0"/>
      <w:marRight w:val="0"/>
      <w:marTop w:val="0"/>
      <w:marBottom w:val="0"/>
      <w:divBdr>
        <w:top w:val="none" w:sz="0" w:space="0" w:color="auto"/>
        <w:left w:val="none" w:sz="0" w:space="0" w:color="auto"/>
        <w:bottom w:val="none" w:sz="0" w:space="0" w:color="auto"/>
        <w:right w:val="none" w:sz="0" w:space="0" w:color="auto"/>
      </w:divBdr>
    </w:div>
    <w:div w:id="1110710343">
      <w:bodyDiv w:val="1"/>
      <w:marLeft w:val="0"/>
      <w:marRight w:val="0"/>
      <w:marTop w:val="0"/>
      <w:marBottom w:val="0"/>
      <w:divBdr>
        <w:top w:val="none" w:sz="0" w:space="0" w:color="auto"/>
        <w:left w:val="none" w:sz="0" w:space="0" w:color="auto"/>
        <w:bottom w:val="none" w:sz="0" w:space="0" w:color="auto"/>
        <w:right w:val="none" w:sz="0" w:space="0" w:color="auto"/>
      </w:divBdr>
    </w:div>
    <w:div w:id="1112549076">
      <w:bodyDiv w:val="1"/>
      <w:marLeft w:val="0"/>
      <w:marRight w:val="0"/>
      <w:marTop w:val="0"/>
      <w:marBottom w:val="0"/>
      <w:divBdr>
        <w:top w:val="none" w:sz="0" w:space="0" w:color="auto"/>
        <w:left w:val="none" w:sz="0" w:space="0" w:color="auto"/>
        <w:bottom w:val="none" w:sz="0" w:space="0" w:color="auto"/>
        <w:right w:val="none" w:sz="0" w:space="0" w:color="auto"/>
      </w:divBdr>
    </w:div>
    <w:div w:id="1128083829">
      <w:bodyDiv w:val="1"/>
      <w:marLeft w:val="0"/>
      <w:marRight w:val="0"/>
      <w:marTop w:val="0"/>
      <w:marBottom w:val="0"/>
      <w:divBdr>
        <w:top w:val="none" w:sz="0" w:space="0" w:color="auto"/>
        <w:left w:val="none" w:sz="0" w:space="0" w:color="auto"/>
        <w:bottom w:val="none" w:sz="0" w:space="0" w:color="auto"/>
        <w:right w:val="none" w:sz="0" w:space="0" w:color="auto"/>
      </w:divBdr>
      <w:divsChild>
        <w:div w:id="544758739">
          <w:marLeft w:val="547"/>
          <w:marRight w:val="0"/>
          <w:marTop w:val="0"/>
          <w:marBottom w:val="0"/>
          <w:divBdr>
            <w:top w:val="none" w:sz="0" w:space="0" w:color="auto"/>
            <w:left w:val="none" w:sz="0" w:space="0" w:color="auto"/>
            <w:bottom w:val="none" w:sz="0" w:space="0" w:color="auto"/>
            <w:right w:val="none" w:sz="0" w:space="0" w:color="auto"/>
          </w:divBdr>
        </w:div>
      </w:divsChild>
    </w:div>
    <w:div w:id="1130367264">
      <w:bodyDiv w:val="1"/>
      <w:marLeft w:val="0"/>
      <w:marRight w:val="0"/>
      <w:marTop w:val="0"/>
      <w:marBottom w:val="0"/>
      <w:divBdr>
        <w:top w:val="none" w:sz="0" w:space="0" w:color="auto"/>
        <w:left w:val="none" w:sz="0" w:space="0" w:color="auto"/>
        <w:bottom w:val="none" w:sz="0" w:space="0" w:color="auto"/>
        <w:right w:val="none" w:sz="0" w:space="0" w:color="auto"/>
      </w:divBdr>
    </w:div>
    <w:div w:id="1135224396">
      <w:bodyDiv w:val="1"/>
      <w:marLeft w:val="0"/>
      <w:marRight w:val="0"/>
      <w:marTop w:val="0"/>
      <w:marBottom w:val="0"/>
      <w:divBdr>
        <w:top w:val="none" w:sz="0" w:space="0" w:color="auto"/>
        <w:left w:val="none" w:sz="0" w:space="0" w:color="auto"/>
        <w:bottom w:val="none" w:sz="0" w:space="0" w:color="auto"/>
        <w:right w:val="none" w:sz="0" w:space="0" w:color="auto"/>
      </w:divBdr>
    </w:div>
    <w:div w:id="1167601241">
      <w:bodyDiv w:val="1"/>
      <w:marLeft w:val="0"/>
      <w:marRight w:val="0"/>
      <w:marTop w:val="0"/>
      <w:marBottom w:val="0"/>
      <w:divBdr>
        <w:top w:val="none" w:sz="0" w:space="0" w:color="auto"/>
        <w:left w:val="none" w:sz="0" w:space="0" w:color="auto"/>
        <w:bottom w:val="none" w:sz="0" w:space="0" w:color="auto"/>
        <w:right w:val="none" w:sz="0" w:space="0" w:color="auto"/>
      </w:divBdr>
    </w:div>
    <w:div w:id="1168977391">
      <w:bodyDiv w:val="1"/>
      <w:marLeft w:val="0"/>
      <w:marRight w:val="0"/>
      <w:marTop w:val="0"/>
      <w:marBottom w:val="0"/>
      <w:divBdr>
        <w:top w:val="none" w:sz="0" w:space="0" w:color="auto"/>
        <w:left w:val="none" w:sz="0" w:space="0" w:color="auto"/>
        <w:bottom w:val="none" w:sz="0" w:space="0" w:color="auto"/>
        <w:right w:val="none" w:sz="0" w:space="0" w:color="auto"/>
      </w:divBdr>
    </w:div>
    <w:div w:id="1182430696">
      <w:bodyDiv w:val="1"/>
      <w:marLeft w:val="0"/>
      <w:marRight w:val="0"/>
      <w:marTop w:val="0"/>
      <w:marBottom w:val="0"/>
      <w:divBdr>
        <w:top w:val="none" w:sz="0" w:space="0" w:color="auto"/>
        <w:left w:val="none" w:sz="0" w:space="0" w:color="auto"/>
        <w:bottom w:val="none" w:sz="0" w:space="0" w:color="auto"/>
        <w:right w:val="none" w:sz="0" w:space="0" w:color="auto"/>
      </w:divBdr>
    </w:div>
    <w:div w:id="1184589428">
      <w:bodyDiv w:val="1"/>
      <w:marLeft w:val="0"/>
      <w:marRight w:val="0"/>
      <w:marTop w:val="0"/>
      <w:marBottom w:val="0"/>
      <w:divBdr>
        <w:top w:val="none" w:sz="0" w:space="0" w:color="auto"/>
        <w:left w:val="none" w:sz="0" w:space="0" w:color="auto"/>
        <w:bottom w:val="none" w:sz="0" w:space="0" w:color="auto"/>
        <w:right w:val="none" w:sz="0" w:space="0" w:color="auto"/>
      </w:divBdr>
    </w:div>
    <w:div w:id="1186364719">
      <w:bodyDiv w:val="1"/>
      <w:marLeft w:val="0"/>
      <w:marRight w:val="0"/>
      <w:marTop w:val="0"/>
      <w:marBottom w:val="0"/>
      <w:divBdr>
        <w:top w:val="none" w:sz="0" w:space="0" w:color="auto"/>
        <w:left w:val="none" w:sz="0" w:space="0" w:color="auto"/>
        <w:bottom w:val="none" w:sz="0" w:space="0" w:color="auto"/>
        <w:right w:val="none" w:sz="0" w:space="0" w:color="auto"/>
      </w:divBdr>
    </w:div>
    <w:div w:id="1213810530">
      <w:bodyDiv w:val="1"/>
      <w:marLeft w:val="0"/>
      <w:marRight w:val="0"/>
      <w:marTop w:val="0"/>
      <w:marBottom w:val="0"/>
      <w:divBdr>
        <w:top w:val="none" w:sz="0" w:space="0" w:color="auto"/>
        <w:left w:val="none" w:sz="0" w:space="0" w:color="auto"/>
        <w:bottom w:val="none" w:sz="0" w:space="0" w:color="auto"/>
        <w:right w:val="none" w:sz="0" w:space="0" w:color="auto"/>
      </w:divBdr>
    </w:div>
    <w:div w:id="1240287607">
      <w:bodyDiv w:val="1"/>
      <w:marLeft w:val="0"/>
      <w:marRight w:val="0"/>
      <w:marTop w:val="0"/>
      <w:marBottom w:val="0"/>
      <w:divBdr>
        <w:top w:val="none" w:sz="0" w:space="0" w:color="auto"/>
        <w:left w:val="none" w:sz="0" w:space="0" w:color="auto"/>
        <w:bottom w:val="none" w:sz="0" w:space="0" w:color="auto"/>
        <w:right w:val="none" w:sz="0" w:space="0" w:color="auto"/>
      </w:divBdr>
    </w:div>
    <w:div w:id="1250851588">
      <w:bodyDiv w:val="1"/>
      <w:marLeft w:val="0"/>
      <w:marRight w:val="0"/>
      <w:marTop w:val="0"/>
      <w:marBottom w:val="0"/>
      <w:divBdr>
        <w:top w:val="none" w:sz="0" w:space="0" w:color="auto"/>
        <w:left w:val="none" w:sz="0" w:space="0" w:color="auto"/>
        <w:bottom w:val="none" w:sz="0" w:space="0" w:color="auto"/>
        <w:right w:val="none" w:sz="0" w:space="0" w:color="auto"/>
      </w:divBdr>
    </w:div>
    <w:div w:id="1280991168">
      <w:bodyDiv w:val="1"/>
      <w:marLeft w:val="0"/>
      <w:marRight w:val="0"/>
      <w:marTop w:val="0"/>
      <w:marBottom w:val="0"/>
      <w:divBdr>
        <w:top w:val="none" w:sz="0" w:space="0" w:color="auto"/>
        <w:left w:val="none" w:sz="0" w:space="0" w:color="auto"/>
        <w:bottom w:val="none" w:sz="0" w:space="0" w:color="auto"/>
        <w:right w:val="none" w:sz="0" w:space="0" w:color="auto"/>
      </w:divBdr>
    </w:div>
    <w:div w:id="1290936034">
      <w:bodyDiv w:val="1"/>
      <w:marLeft w:val="0"/>
      <w:marRight w:val="0"/>
      <w:marTop w:val="0"/>
      <w:marBottom w:val="0"/>
      <w:divBdr>
        <w:top w:val="none" w:sz="0" w:space="0" w:color="auto"/>
        <w:left w:val="none" w:sz="0" w:space="0" w:color="auto"/>
        <w:bottom w:val="none" w:sz="0" w:space="0" w:color="auto"/>
        <w:right w:val="none" w:sz="0" w:space="0" w:color="auto"/>
      </w:divBdr>
    </w:div>
    <w:div w:id="1299535898">
      <w:bodyDiv w:val="1"/>
      <w:marLeft w:val="0"/>
      <w:marRight w:val="0"/>
      <w:marTop w:val="0"/>
      <w:marBottom w:val="0"/>
      <w:divBdr>
        <w:top w:val="none" w:sz="0" w:space="0" w:color="auto"/>
        <w:left w:val="none" w:sz="0" w:space="0" w:color="auto"/>
        <w:bottom w:val="none" w:sz="0" w:space="0" w:color="auto"/>
        <w:right w:val="none" w:sz="0" w:space="0" w:color="auto"/>
      </w:divBdr>
    </w:div>
    <w:div w:id="1305888979">
      <w:bodyDiv w:val="1"/>
      <w:marLeft w:val="0"/>
      <w:marRight w:val="0"/>
      <w:marTop w:val="0"/>
      <w:marBottom w:val="0"/>
      <w:divBdr>
        <w:top w:val="none" w:sz="0" w:space="0" w:color="auto"/>
        <w:left w:val="none" w:sz="0" w:space="0" w:color="auto"/>
        <w:bottom w:val="none" w:sz="0" w:space="0" w:color="auto"/>
        <w:right w:val="none" w:sz="0" w:space="0" w:color="auto"/>
      </w:divBdr>
    </w:div>
    <w:div w:id="1315187358">
      <w:bodyDiv w:val="1"/>
      <w:marLeft w:val="0"/>
      <w:marRight w:val="0"/>
      <w:marTop w:val="0"/>
      <w:marBottom w:val="0"/>
      <w:divBdr>
        <w:top w:val="none" w:sz="0" w:space="0" w:color="auto"/>
        <w:left w:val="none" w:sz="0" w:space="0" w:color="auto"/>
        <w:bottom w:val="none" w:sz="0" w:space="0" w:color="auto"/>
        <w:right w:val="none" w:sz="0" w:space="0" w:color="auto"/>
      </w:divBdr>
    </w:div>
    <w:div w:id="1333869954">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54303272">
      <w:bodyDiv w:val="1"/>
      <w:marLeft w:val="0"/>
      <w:marRight w:val="0"/>
      <w:marTop w:val="0"/>
      <w:marBottom w:val="0"/>
      <w:divBdr>
        <w:top w:val="none" w:sz="0" w:space="0" w:color="auto"/>
        <w:left w:val="none" w:sz="0" w:space="0" w:color="auto"/>
        <w:bottom w:val="none" w:sz="0" w:space="0" w:color="auto"/>
        <w:right w:val="none" w:sz="0" w:space="0" w:color="auto"/>
      </w:divBdr>
    </w:div>
    <w:div w:id="136505398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18">
          <w:marLeft w:val="547"/>
          <w:marRight w:val="0"/>
          <w:marTop w:val="0"/>
          <w:marBottom w:val="0"/>
          <w:divBdr>
            <w:top w:val="none" w:sz="0" w:space="0" w:color="auto"/>
            <w:left w:val="none" w:sz="0" w:space="0" w:color="auto"/>
            <w:bottom w:val="none" w:sz="0" w:space="0" w:color="auto"/>
            <w:right w:val="none" w:sz="0" w:space="0" w:color="auto"/>
          </w:divBdr>
        </w:div>
      </w:divsChild>
    </w:div>
    <w:div w:id="1375108767">
      <w:bodyDiv w:val="1"/>
      <w:marLeft w:val="0"/>
      <w:marRight w:val="0"/>
      <w:marTop w:val="0"/>
      <w:marBottom w:val="0"/>
      <w:divBdr>
        <w:top w:val="none" w:sz="0" w:space="0" w:color="auto"/>
        <w:left w:val="none" w:sz="0" w:space="0" w:color="auto"/>
        <w:bottom w:val="none" w:sz="0" w:space="0" w:color="auto"/>
        <w:right w:val="none" w:sz="0" w:space="0" w:color="auto"/>
      </w:divBdr>
    </w:div>
    <w:div w:id="1412310412">
      <w:bodyDiv w:val="1"/>
      <w:marLeft w:val="0"/>
      <w:marRight w:val="0"/>
      <w:marTop w:val="0"/>
      <w:marBottom w:val="0"/>
      <w:divBdr>
        <w:top w:val="none" w:sz="0" w:space="0" w:color="auto"/>
        <w:left w:val="none" w:sz="0" w:space="0" w:color="auto"/>
        <w:bottom w:val="none" w:sz="0" w:space="0" w:color="auto"/>
        <w:right w:val="none" w:sz="0" w:space="0" w:color="auto"/>
      </w:divBdr>
    </w:div>
    <w:div w:id="1459493666">
      <w:bodyDiv w:val="1"/>
      <w:marLeft w:val="0"/>
      <w:marRight w:val="0"/>
      <w:marTop w:val="0"/>
      <w:marBottom w:val="0"/>
      <w:divBdr>
        <w:top w:val="none" w:sz="0" w:space="0" w:color="auto"/>
        <w:left w:val="none" w:sz="0" w:space="0" w:color="auto"/>
        <w:bottom w:val="none" w:sz="0" w:space="0" w:color="auto"/>
        <w:right w:val="none" w:sz="0" w:space="0" w:color="auto"/>
      </w:divBdr>
    </w:div>
    <w:div w:id="1475903136">
      <w:bodyDiv w:val="1"/>
      <w:marLeft w:val="0"/>
      <w:marRight w:val="0"/>
      <w:marTop w:val="0"/>
      <w:marBottom w:val="0"/>
      <w:divBdr>
        <w:top w:val="none" w:sz="0" w:space="0" w:color="auto"/>
        <w:left w:val="none" w:sz="0" w:space="0" w:color="auto"/>
        <w:bottom w:val="none" w:sz="0" w:space="0" w:color="auto"/>
        <w:right w:val="none" w:sz="0" w:space="0" w:color="auto"/>
      </w:divBdr>
    </w:div>
    <w:div w:id="1485581232">
      <w:bodyDiv w:val="1"/>
      <w:marLeft w:val="0"/>
      <w:marRight w:val="0"/>
      <w:marTop w:val="0"/>
      <w:marBottom w:val="0"/>
      <w:divBdr>
        <w:top w:val="none" w:sz="0" w:space="0" w:color="auto"/>
        <w:left w:val="none" w:sz="0" w:space="0" w:color="auto"/>
        <w:bottom w:val="none" w:sz="0" w:space="0" w:color="auto"/>
        <w:right w:val="none" w:sz="0" w:space="0" w:color="auto"/>
      </w:divBdr>
    </w:div>
    <w:div w:id="1497649244">
      <w:bodyDiv w:val="1"/>
      <w:marLeft w:val="0"/>
      <w:marRight w:val="0"/>
      <w:marTop w:val="0"/>
      <w:marBottom w:val="0"/>
      <w:divBdr>
        <w:top w:val="none" w:sz="0" w:space="0" w:color="auto"/>
        <w:left w:val="none" w:sz="0" w:space="0" w:color="auto"/>
        <w:bottom w:val="none" w:sz="0" w:space="0" w:color="auto"/>
        <w:right w:val="none" w:sz="0" w:space="0" w:color="auto"/>
      </w:divBdr>
    </w:div>
    <w:div w:id="1519150227">
      <w:bodyDiv w:val="1"/>
      <w:marLeft w:val="0"/>
      <w:marRight w:val="0"/>
      <w:marTop w:val="0"/>
      <w:marBottom w:val="0"/>
      <w:divBdr>
        <w:top w:val="none" w:sz="0" w:space="0" w:color="auto"/>
        <w:left w:val="none" w:sz="0" w:space="0" w:color="auto"/>
        <w:bottom w:val="none" w:sz="0" w:space="0" w:color="auto"/>
        <w:right w:val="none" w:sz="0" w:space="0" w:color="auto"/>
      </w:divBdr>
    </w:div>
    <w:div w:id="1530028208">
      <w:bodyDiv w:val="1"/>
      <w:marLeft w:val="0"/>
      <w:marRight w:val="0"/>
      <w:marTop w:val="0"/>
      <w:marBottom w:val="0"/>
      <w:divBdr>
        <w:top w:val="none" w:sz="0" w:space="0" w:color="auto"/>
        <w:left w:val="none" w:sz="0" w:space="0" w:color="auto"/>
        <w:bottom w:val="none" w:sz="0" w:space="0" w:color="auto"/>
        <w:right w:val="none" w:sz="0" w:space="0" w:color="auto"/>
      </w:divBdr>
      <w:divsChild>
        <w:div w:id="761339621">
          <w:marLeft w:val="0"/>
          <w:marRight w:val="0"/>
          <w:marTop w:val="0"/>
          <w:marBottom w:val="0"/>
          <w:divBdr>
            <w:top w:val="none" w:sz="0" w:space="0" w:color="auto"/>
            <w:left w:val="none" w:sz="0" w:space="0" w:color="auto"/>
            <w:bottom w:val="none" w:sz="0" w:space="0" w:color="auto"/>
            <w:right w:val="none" w:sz="0" w:space="0" w:color="auto"/>
          </w:divBdr>
          <w:divsChild>
            <w:div w:id="812790105">
              <w:marLeft w:val="0"/>
              <w:marRight w:val="0"/>
              <w:marTop w:val="0"/>
              <w:marBottom w:val="0"/>
              <w:divBdr>
                <w:top w:val="none" w:sz="0" w:space="0" w:color="auto"/>
                <w:left w:val="none" w:sz="0" w:space="0" w:color="auto"/>
                <w:bottom w:val="none" w:sz="0" w:space="0" w:color="auto"/>
                <w:right w:val="none" w:sz="0" w:space="0" w:color="auto"/>
              </w:divBdr>
              <w:divsChild>
                <w:div w:id="1738042794">
                  <w:marLeft w:val="61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184">
      <w:bodyDiv w:val="1"/>
      <w:marLeft w:val="0"/>
      <w:marRight w:val="0"/>
      <w:marTop w:val="0"/>
      <w:marBottom w:val="0"/>
      <w:divBdr>
        <w:top w:val="none" w:sz="0" w:space="0" w:color="auto"/>
        <w:left w:val="none" w:sz="0" w:space="0" w:color="auto"/>
        <w:bottom w:val="none" w:sz="0" w:space="0" w:color="auto"/>
        <w:right w:val="none" w:sz="0" w:space="0" w:color="auto"/>
      </w:divBdr>
    </w:div>
    <w:div w:id="1536578258">
      <w:bodyDiv w:val="1"/>
      <w:marLeft w:val="0"/>
      <w:marRight w:val="0"/>
      <w:marTop w:val="0"/>
      <w:marBottom w:val="0"/>
      <w:divBdr>
        <w:top w:val="none" w:sz="0" w:space="0" w:color="auto"/>
        <w:left w:val="none" w:sz="0" w:space="0" w:color="auto"/>
        <w:bottom w:val="none" w:sz="0" w:space="0" w:color="auto"/>
        <w:right w:val="none" w:sz="0" w:space="0" w:color="auto"/>
      </w:divBdr>
    </w:div>
    <w:div w:id="1570339983">
      <w:bodyDiv w:val="1"/>
      <w:marLeft w:val="0"/>
      <w:marRight w:val="0"/>
      <w:marTop w:val="0"/>
      <w:marBottom w:val="0"/>
      <w:divBdr>
        <w:top w:val="none" w:sz="0" w:space="0" w:color="auto"/>
        <w:left w:val="none" w:sz="0" w:space="0" w:color="auto"/>
        <w:bottom w:val="none" w:sz="0" w:space="0" w:color="auto"/>
        <w:right w:val="none" w:sz="0" w:space="0" w:color="auto"/>
      </w:divBdr>
      <w:divsChild>
        <w:div w:id="935794358">
          <w:marLeft w:val="0"/>
          <w:marRight w:val="0"/>
          <w:marTop w:val="0"/>
          <w:marBottom w:val="0"/>
          <w:divBdr>
            <w:top w:val="none" w:sz="0" w:space="0" w:color="auto"/>
            <w:left w:val="none" w:sz="0" w:space="0" w:color="auto"/>
            <w:bottom w:val="none" w:sz="0" w:space="0" w:color="auto"/>
            <w:right w:val="none" w:sz="0" w:space="0" w:color="auto"/>
          </w:divBdr>
          <w:divsChild>
            <w:div w:id="7278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51">
      <w:bodyDiv w:val="1"/>
      <w:marLeft w:val="0"/>
      <w:marRight w:val="0"/>
      <w:marTop w:val="0"/>
      <w:marBottom w:val="0"/>
      <w:divBdr>
        <w:top w:val="none" w:sz="0" w:space="0" w:color="auto"/>
        <w:left w:val="none" w:sz="0" w:space="0" w:color="auto"/>
        <w:bottom w:val="none" w:sz="0" w:space="0" w:color="auto"/>
        <w:right w:val="none" w:sz="0" w:space="0" w:color="auto"/>
      </w:divBdr>
      <w:divsChild>
        <w:div w:id="1421946389">
          <w:marLeft w:val="0"/>
          <w:marRight w:val="0"/>
          <w:marTop w:val="0"/>
          <w:marBottom w:val="0"/>
          <w:divBdr>
            <w:top w:val="none" w:sz="0" w:space="0" w:color="auto"/>
            <w:left w:val="none" w:sz="0" w:space="0" w:color="auto"/>
            <w:bottom w:val="none" w:sz="0" w:space="0" w:color="auto"/>
            <w:right w:val="none" w:sz="0" w:space="0" w:color="auto"/>
          </w:divBdr>
          <w:divsChild>
            <w:div w:id="354771380">
              <w:marLeft w:val="0"/>
              <w:marRight w:val="0"/>
              <w:marTop w:val="0"/>
              <w:marBottom w:val="0"/>
              <w:divBdr>
                <w:top w:val="none" w:sz="0" w:space="0" w:color="auto"/>
                <w:left w:val="none" w:sz="0" w:space="0" w:color="auto"/>
                <w:bottom w:val="none" w:sz="0" w:space="0" w:color="auto"/>
                <w:right w:val="none" w:sz="0" w:space="0" w:color="auto"/>
              </w:divBdr>
              <w:divsChild>
                <w:div w:id="1967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896">
      <w:bodyDiv w:val="1"/>
      <w:marLeft w:val="0"/>
      <w:marRight w:val="0"/>
      <w:marTop w:val="0"/>
      <w:marBottom w:val="0"/>
      <w:divBdr>
        <w:top w:val="none" w:sz="0" w:space="0" w:color="auto"/>
        <w:left w:val="none" w:sz="0" w:space="0" w:color="auto"/>
        <w:bottom w:val="none" w:sz="0" w:space="0" w:color="auto"/>
        <w:right w:val="none" w:sz="0" w:space="0" w:color="auto"/>
      </w:divBdr>
    </w:div>
    <w:div w:id="1617444526">
      <w:bodyDiv w:val="1"/>
      <w:marLeft w:val="0"/>
      <w:marRight w:val="0"/>
      <w:marTop w:val="0"/>
      <w:marBottom w:val="0"/>
      <w:divBdr>
        <w:top w:val="none" w:sz="0" w:space="0" w:color="auto"/>
        <w:left w:val="none" w:sz="0" w:space="0" w:color="auto"/>
        <w:bottom w:val="none" w:sz="0" w:space="0" w:color="auto"/>
        <w:right w:val="none" w:sz="0" w:space="0" w:color="auto"/>
      </w:divBdr>
    </w:div>
    <w:div w:id="1619531860">
      <w:bodyDiv w:val="1"/>
      <w:marLeft w:val="0"/>
      <w:marRight w:val="0"/>
      <w:marTop w:val="0"/>
      <w:marBottom w:val="0"/>
      <w:divBdr>
        <w:top w:val="none" w:sz="0" w:space="0" w:color="auto"/>
        <w:left w:val="none" w:sz="0" w:space="0" w:color="auto"/>
        <w:bottom w:val="none" w:sz="0" w:space="0" w:color="auto"/>
        <w:right w:val="none" w:sz="0" w:space="0" w:color="auto"/>
      </w:divBdr>
    </w:div>
    <w:div w:id="1623531695">
      <w:bodyDiv w:val="1"/>
      <w:marLeft w:val="0"/>
      <w:marRight w:val="0"/>
      <w:marTop w:val="0"/>
      <w:marBottom w:val="0"/>
      <w:divBdr>
        <w:top w:val="none" w:sz="0" w:space="0" w:color="auto"/>
        <w:left w:val="none" w:sz="0" w:space="0" w:color="auto"/>
        <w:bottom w:val="none" w:sz="0" w:space="0" w:color="auto"/>
        <w:right w:val="none" w:sz="0" w:space="0" w:color="auto"/>
      </w:divBdr>
      <w:divsChild>
        <w:div w:id="1731339262">
          <w:marLeft w:val="547"/>
          <w:marRight w:val="0"/>
          <w:marTop w:val="0"/>
          <w:marBottom w:val="0"/>
          <w:divBdr>
            <w:top w:val="none" w:sz="0" w:space="0" w:color="auto"/>
            <w:left w:val="none" w:sz="0" w:space="0" w:color="auto"/>
            <w:bottom w:val="none" w:sz="0" w:space="0" w:color="auto"/>
            <w:right w:val="none" w:sz="0" w:space="0" w:color="auto"/>
          </w:divBdr>
        </w:div>
      </w:divsChild>
    </w:div>
    <w:div w:id="1653632577">
      <w:bodyDiv w:val="1"/>
      <w:marLeft w:val="0"/>
      <w:marRight w:val="0"/>
      <w:marTop w:val="0"/>
      <w:marBottom w:val="0"/>
      <w:divBdr>
        <w:top w:val="none" w:sz="0" w:space="0" w:color="auto"/>
        <w:left w:val="none" w:sz="0" w:space="0" w:color="auto"/>
        <w:bottom w:val="none" w:sz="0" w:space="0" w:color="auto"/>
        <w:right w:val="none" w:sz="0" w:space="0" w:color="auto"/>
      </w:divBdr>
    </w:div>
    <w:div w:id="1667131447">
      <w:bodyDiv w:val="1"/>
      <w:marLeft w:val="0"/>
      <w:marRight w:val="0"/>
      <w:marTop w:val="0"/>
      <w:marBottom w:val="0"/>
      <w:divBdr>
        <w:top w:val="none" w:sz="0" w:space="0" w:color="auto"/>
        <w:left w:val="none" w:sz="0" w:space="0" w:color="auto"/>
        <w:bottom w:val="none" w:sz="0" w:space="0" w:color="auto"/>
        <w:right w:val="none" w:sz="0" w:space="0" w:color="auto"/>
      </w:divBdr>
    </w:div>
    <w:div w:id="1673677962">
      <w:bodyDiv w:val="1"/>
      <w:marLeft w:val="0"/>
      <w:marRight w:val="0"/>
      <w:marTop w:val="0"/>
      <w:marBottom w:val="0"/>
      <w:divBdr>
        <w:top w:val="none" w:sz="0" w:space="0" w:color="auto"/>
        <w:left w:val="none" w:sz="0" w:space="0" w:color="auto"/>
        <w:bottom w:val="none" w:sz="0" w:space="0" w:color="auto"/>
        <w:right w:val="none" w:sz="0" w:space="0" w:color="auto"/>
      </w:divBdr>
    </w:div>
    <w:div w:id="1678967794">
      <w:bodyDiv w:val="1"/>
      <w:marLeft w:val="0"/>
      <w:marRight w:val="0"/>
      <w:marTop w:val="0"/>
      <w:marBottom w:val="0"/>
      <w:divBdr>
        <w:top w:val="none" w:sz="0" w:space="0" w:color="auto"/>
        <w:left w:val="none" w:sz="0" w:space="0" w:color="auto"/>
        <w:bottom w:val="none" w:sz="0" w:space="0" w:color="auto"/>
        <w:right w:val="none" w:sz="0" w:space="0" w:color="auto"/>
      </w:divBdr>
    </w:div>
    <w:div w:id="16969989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440">
          <w:marLeft w:val="547"/>
          <w:marRight w:val="0"/>
          <w:marTop w:val="0"/>
          <w:marBottom w:val="0"/>
          <w:divBdr>
            <w:top w:val="none" w:sz="0" w:space="0" w:color="auto"/>
            <w:left w:val="none" w:sz="0" w:space="0" w:color="auto"/>
            <w:bottom w:val="none" w:sz="0" w:space="0" w:color="auto"/>
            <w:right w:val="none" w:sz="0" w:space="0" w:color="auto"/>
          </w:divBdr>
        </w:div>
      </w:divsChild>
    </w:div>
    <w:div w:id="1710447730">
      <w:bodyDiv w:val="1"/>
      <w:marLeft w:val="0"/>
      <w:marRight w:val="0"/>
      <w:marTop w:val="0"/>
      <w:marBottom w:val="0"/>
      <w:divBdr>
        <w:top w:val="none" w:sz="0" w:space="0" w:color="auto"/>
        <w:left w:val="none" w:sz="0" w:space="0" w:color="auto"/>
        <w:bottom w:val="none" w:sz="0" w:space="0" w:color="auto"/>
        <w:right w:val="none" w:sz="0" w:space="0" w:color="auto"/>
      </w:divBdr>
    </w:div>
    <w:div w:id="1734086594">
      <w:bodyDiv w:val="1"/>
      <w:marLeft w:val="0"/>
      <w:marRight w:val="0"/>
      <w:marTop w:val="0"/>
      <w:marBottom w:val="0"/>
      <w:divBdr>
        <w:top w:val="none" w:sz="0" w:space="0" w:color="auto"/>
        <w:left w:val="none" w:sz="0" w:space="0" w:color="auto"/>
        <w:bottom w:val="none" w:sz="0" w:space="0" w:color="auto"/>
        <w:right w:val="none" w:sz="0" w:space="0" w:color="auto"/>
      </w:divBdr>
    </w:div>
    <w:div w:id="1737556253">
      <w:bodyDiv w:val="1"/>
      <w:marLeft w:val="0"/>
      <w:marRight w:val="0"/>
      <w:marTop w:val="0"/>
      <w:marBottom w:val="0"/>
      <w:divBdr>
        <w:top w:val="none" w:sz="0" w:space="0" w:color="auto"/>
        <w:left w:val="none" w:sz="0" w:space="0" w:color="auto"/>
        <w:bottom w:val="none" w:sz="0" w:space="0" w:color="auto"/>
        <w:right w:val="none" w:sz="0" w:space="0" w:color="auto"/>
      </w:divBdr>
    </w:div>
    <w:div w:id="1777945315">
      <w:bodyDiv w:val="1"/>
      <w:marLeft w:val="0"/>
      <w:marRight w:val="0"/>
      <w:marTop w:val="0"/>
      <w:marBottom w:val="0"/>
      <w:divBdr>
        <w:top w:val="none" w:sz="0" w:space="0" w:color="auto"/>
        <w:left w:val="none" w:sz="0" w:space="0" w:color="auto"/>
        <w:bottom w:val="none" w:sz="0" w:space="0" w:color="auto"/>
        <w:right w:val="none" w:sz="0" w:space="0" w:color="auto"/>
      </w:divBdr>
    </w:div>
    <w:div w:id="1812091561">
      <w:bodyDiv w:val="1"/>
      <w:marLeft w:val="0"/>
      <w:marRight w:val="0"/>
      <w:marTop w:val="0"/>
      <w:marBottom w:val="0"/>
      <w:divBdr>
        <w:top w:val="none" w:sz="0" w:space="0" w:color="auto"/>
        <w:left w:val="none" w:sz="0" w:space="0" w:color="auto"/>
        <w:bottom w:val="none" w:sz="0" w:space="0" w:color="auto"/>
        <w:right w:val="none" w:sz="0" w:space="0" w:color="auto"/>
      </w:divBdr>
    </w:div>
    <w:div w:id="1813137427">
      <w:bodyDiv w:val="1"/>
      <w:marLeft w:val="0"/>
      <w:marRight w:val="0"/>
      <w:marTop w:val="0"/>
      <w:marBottom w:val="0"/>
      <w:divBdr>
        <w:top w:val="none" w:sz="0" w:space="0" w:color="auto"/>
        <w:left w:val="none" w:sz="0" w:space="0" w:color="auto"/>
        <w:bottom w:val="none" w:sz="0" w:space="0" w:color="auto"/>
        <w:right w:val="none" w:sz="0" w:space="0" w:color="auto"/>
      </w:divBdr>
    </w:div>
    <w:div w:id="1814760469">
      <w:bodyDiv w:val="1"/>
      <w:marLeft w:val="0"/>
      <w:marRight w:val="0"/>
      <w:marTop w:val="0"/>
      <w:marBottom w:val="0"/>
      <w:divBdr>
        <w:top w:val="none" w:sz="0" w:space="0" w:color="auto"/>
        <w:left w:val="none" w:sz="0" w:space="0" w:color="auto"/>
        <w:bottom w:val="none" w:sz="0" w:space="0" w:color="auto"/>
        <w:right w:val="none" w:sz="0" w:space="0" w:color="auto"/>
      </w:divBdr>
    </w:div>
    <w:div w:id="1815754671">
      <w:bodyDiv w:val="1"/>
      <w:marLeft w:val="0"/>
      <w:marRight w:val="0"/>
      <w:marTop w:val="0"/>
      <w:marBottom w:val="0"/>
      <w:divBdr>
        <w:top w:val="none" w:sz="0" w:space="0" w:color="auto"/>
        <w:left w:val="none" w:sz="0" w:space="0" w:color="auto"/>
        <w:bottom w:val="none" w:sz="0" w:space="0" w:color="auto"/>
        <w:right w:val="none" w:sz="0" w:space="0" w:color="auto"/>
      </w:divBdr>
      <w:divsChild>
        <w:div w:id="660932508">
          <w:marLeft w:val="547"/>
          <w:marRight w:val="0"/>
          <w:marTop w:val="0"/>
          <w:marBottom w:val="0"/>
          <w:divBdr>
            <w:top w:val="none" w:sz="0" w:space="0" w:color="auto"/>
            <w:left w:val="none" w:sz="0" w:space="0" w:color="auto"/>
            <w:bottom w:val="none" w:sz="0" w:space="0" w:color="auto"/>
            <w:right w:val="none" w:sz="0" w:space="0" w:color="auto"/>
          </w:divBdr>
        </w:div>
      </w:divsChild>
    </w:div>
    <w:div w:id="1818300027">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1871717657">
      <w:bodyDiv w:val="1"/>
      <w:marLeft w:val="0"/>
      <w:marRight w:val="0"/>
      <w:marTop w:val="0"/>
      <w:marBottom w:val="0"/>
      <w:divBdr>
        <w:top w:val="none" w:sz="0" w:space="0" w:color="auto"/>
        <w:left w:val="none" w:sz="0" w:space="0" w:color="auto"/>
        <w:bottom w:val="none" w:sz="0" w:space="0" w:color="auto"/>
        <w:right w:val="none" w:sz="0" w:space="0" w:color="auto"/>
      </w:divBdr>
    </w:div>
    <w:div w:id="1890916158">
      <w:bodyDiv w:val="1"/>
      <w:marLeft w:val="0"/>
      <w:marRight w:val="0"/>
      <w:marTop w:val="0"/>
      <w:marBottom w:val="0"/>
      <w:divBdr>
        <w:top w:val="none" w:sz="0" w:space="0" w:color="auto"/>
        <w:left w:val="none" w:sz="0" w:space="0" w:color="auto"/>
        <w:bottom w:val="none" w:sz="0" w:space="0" w:color="auto"/>
        <w:right w:val="none" w:sz="0" w:space="0" w:color="auto"/>
      </w:divBdr>
    </w:div>
    <w:div w:id="1894534961">
      <w:bodyDiv w:val="1"/>
      <w:marLeft w:val="0"/>
      <w:marRight w:val="0"/>
      <w:marTop w:val="0"/>
      <w:marBottom w:val="0"/>
      <w:divBdr>
        <w:top w:val="none" w:sz="0" w:space="0" w:color="auto"/>
        <w:left w:val="none" w:sz="0" w:space="0" w:color="auto"/>
        <w:bottom w:val="none" w:sz="0" w:space="0" w:color="auto"/>
        <w:right w:val="none" w:sz="0" w:space="0" w:color="auto"/>
      </w:divBdr>
    </w:div>
    <w:div w:id="1899127184">
      <w:bodyDiv w:val="1"/>
      <w:marLeft w:val="0"/>
      <w:marRight w:val="0"/>
      <w:marTop w:val="0"/>
      <w:marBottom w:val="0"/>
      <w:divBdr>
        <w:top w:val="none" w:sz="0" w:space="0" w:color="auto"/>
        <w:left w:val="none" w:sz="0" w:space="0" w:color="auto"/>
        <w:bottom w:val="none" w:sz="0" w:space="0" w:color="auto"/>
        <w:right w:val="none" w:sz="0" w:space="0" w:color="auto"/>
      </w:divBdr>
      <w:divsChild>
        <w:div w:id="87653167">
          <w:marLeft w:val="1166"/>
          <w:marRight w:val="0"/>
          <w:marTop w:val="0"/>
          <w:marBottom w:val="0"/>
          <w:divBdr>
            <w:top w:val="none" w:sz="0" w:space="0" w:color="auto"/>
            <w:left w:val="none" w:sz="0" w:space="0" w:color="auto"/>
            <w:bottom w:val="none" w:sz="0" w:space="0" w:color="auto"/>
            <w:right w:val="none" w:sz="0" w:space="0" w:color="auto"/>
          </w:divBdr>
        </w:div>
        <w:div w:id="195197886">
          <w:marLeft w:val="1166"/>
          <w:marRight w:val="0"/>
          <w:marTop w:val="0"/>
          <w:marBottom w:val="0"/>
          <w:divBdr>
            <w:top w:val="none" w:sz="0" w:space="0" w:color="auto"/>
            <w:left w:val="none" w:sz="0" w:space="0" w:color="auto"/>
            <w:bottom w:val="none" w:sz="0" w:space="0" w:color="auto"/>
            <w:right w:val="none" w:sz="0" w:space="0" w:color="auto"/>
          </w:divBdr>
        </w:div>
        <w:div w:id="626589755">
          <w:marLeft w:val="547"/>
          <w:marRight w:val="0"/>
          <w:marTop w:val="0"/>
          <w:marBottom w:val="0"/>
          <w:divBdr>
            <w:top w:val="none" w:sz="0" w:space="0" w:color="auto"/>
            <w:left w:val="none" w:sz="0" w:space="0" w:color="auto"/>
            <w:bottom w:val="none" w:sz="0" w:space="0" w:color="auto"/>
            <w:right w:val="none" w:sz="0" w:space="0" w:color="auto"/>
          </w:divBdr>
        </w:div>
        <w:div w:id="849225468">
          <w:marLeft w:val="1166"/>
          <w:marRight w:val="0"/>
          <w:marTop w:val="0"/>
          <w:marBottom w:val="0"/>
          <w:divBdr>
            <w:top w:val="none" w:sz="0" w:space="0" w:color="auto"/>
            <w:left w:val="none" w:sz="0" w:space="0" w:color="auto"/>
            <w:bottom w:val="none" w:sz="0" w:space="0" w:color="auto"/>
            <w:right w:val="none" w:sz="0" w:space="0" w:color="auto"/>
          </w:divBdr>
        </w:div>
        <w:div w:id="1336572815">
          <w:marLeft w:val="1166"/>
          <w:marRight w:val="0"/>
          <w:marTop w:val="0"/>
          <w:marBottom w:val="0"/>
          <w:divBdr>
            <w:top w:val="none" w:sz="0" w:space="0" w:color="auto"/>
            <w:left w:val="none" w:sz="0" w:space="0" w:color="auto"/>
            <w:bottom w:val="none" w:sz="0" w:space="0" w:color="auto"/>
            <w:right w:val="none" w:sz="0" w:space="0" w:color="auto"/>
          </w:divBdr>
        </w:div>
        <w:div w:id="1511405143">
          <w:marLeft w:val="547"/>
          <w:marRight w:val="0"/>
          <w:marTop w:val="0"/>
          <w:marBottom w:val="0"/>
          <w:divBdr>
            <w:top w:val="none" w:sz="0" w:space="0" w:color="auto"/>
            <w:left w:val="none" w:sz="0" w:space="0" w:color="auto"/>
            <w:bottom w:val="none" w:sz="0" w:space="0" w:color="auto"/>
            <w:right w:val="none" w:sz="0" w:space="0" w:color="auto"/>
          </w:divBdr>
        </w:div>
        <w:div w:id="1539125131">
          <w:marLeft w:val="547"/>
          <w:marRight w:val="0"/>
          <w:marTop w:val="0"/>
          <w:marBottom w:val="0"/>
          <w:divBdr>
            <w:top w:val="none" w:sz="0" w:space="0" w:color="auto"/>
            <w:left w:val="none" w:sz="0" w:space="0" w:color="auto"/>
            <w:bottom w:val="none" w:sz="0" w:space="0" w:color="auto"/>
            <w:right w:val="none" w:sz="0" w:space="0" w:color="auto"/>
          </w:divBdr>
        </w:div>
        <w:div w:id="2143451278">
          <w:marLeft w:val="547"/>
          <w:marRight w:val="0"/>
          <w:marTop w:val="0"/>
          <w:marBottom w:val="0"/>
          <w:divBdr>
            <w:top w:val="none" w:sz="0" w:space="0" w:color="auto"/>
            <w:left w:val="none" w:sz="0" w:space="0" w:color="auto"/>
            <w:bottom w:val="none" w:sz="0" w:space="0" w:color="auto"/>
            <w:right w:val="none" w:sz="0" w:space="0" w:color="auto"/>
          </w:divBdr>
        </w:div>
      </w:divsChild>
    </w:div>
    <w:div w:id="1914778352">
      <w:bodyDiv w:val="1"/>
      <w:marLeft w:val="0"/>
      <w:marRight w:val="0"/>
      <w:marTop w:val="0"/>
      <w:marBottom w:val="0"/>
      <w:divBdr>
        <w:top w:val="none" w:sz="0" w:space="0" w:color="auto"/>
        <w:left w:val="none" w:sz="0" w:space="0" w:color="auto"/>
        <w:bottom w:val="none" w:sz="0" w:space="0" w:color="auto"/>
        <w:right w:val="none" w:sz="0" w:space="0" w:color="auto"/>
      </w:divBdr>
    </w:div>
    <w:div w:id="1945649431">
      <w:bodyDiv w:val="1"/>
      <w:marLeft w:val="0"/>
      <w:marRight w:val="0"/>
      <w:marTop w:val="0"/>
      <w:marBottom w:val="0"/>
      <w:divBdr>
        <w:top w:val="none" w:sz="0" w:space="0" w:color="auto"/>
        <w:left w:val="none" w:sz="0" w:space="0" w:color="auto"/>
        <w:bottom w:val="none" w:sz="0" w:space="0" w:color="auto"/>
        <w:right w:val="none" w:sz="0" w:space="0" w:color="auto"/>
      </w:divBdr>
    </w:div>
    <w:div w:id="1949502766">
      <w:bodyDiv w:val="1"/>
      <w:marLeft w:val="0"/>
      <w:marRight w:val="0"/>
      <w:marTop w:val="0"/>
      <w:marBottom w:val="0"/>
      <w:divBdr>
        <w:top w:val="none" w:sz="0" w:space="0" w:color="auto"/>
        <w:left w:val="none" w:sz="0" w:space="0" w:color="auto"/>
        <w:bottom w:val="none" w:sz="0" w:space="0" w:color="auto"/>
        <w:right w:val="none" w:sz="0" w:space="0" w:color="auto"/>
      </w:divBdr>
      <w:divsChild>
        <w:div w:id="918904021">
          <w:marLeft w:val="547"/>
          <w:marRight w:val="0"/>
          <w:marTop w:val="0"/>
          <w:marBottom w:val="0"/>
          <w:divBdr>
            <w:top w:val="none" w:sz="0" w:space="0" w:color="auto"/>
            <w:left w:val="none" w:sz="0" w:space="0" w:color="auto"/>
            <w:bottom w:val="none" w:sz="0" w:space="0" w:color="auto"/>
            <w:right w:val="none" w:sz="0" w:space="0" w:color="auto"/>
          </w:divBdr>
        </w:div>
      </w:divsChild>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7099885">
      <w:bodyDiv w:val="1"/>
      <w:marLeft w:val="0"/>
      <w:marRight w:val="0"/>
      <w:marTop w:val="0"/>
      <w:marBottom w:val="0"/>
      <w:divBdr>
        <w:top w:val="none" w:sz="0" w:space="0" w:color="auto"/>
        <w:left w:val="none" w:sz="0" w:space="0" w:color="auto"/>
        <w:bottom w:val="none" w:sz="0" w:space="0" w:color="auto"/>
        <w:right w:val="none" w:sz="0" w:space="0" w:color="auto"/>
      </w:divBdr>
    </w:div>
    <w:div w:id="1983462286">
      <w:bodyDiv w:val="1"/>
      <w:marLeft w:val="0"/>
      <w:marRight w:val="0"/>
      <w:marTop w:val="0"/>
      <w:marBottom w:val="0"/>
      <w:divBdr>
        <w:top w:val="none" w:sz="0" w:space="0" w:color="auto"/>
        <w:left w:val="none" w:sz="0" w:space="0" w:color="auto"/>
        <w:bottom w:val="none" w:sz="0" w:space="0" w:color="auto"/>
        <w:right w:val="none" w:sz="0" w:space="0" w:color="auto"/>
      </w:divBdr>
    </w:div>
    <w:div w:id="1987588107">
      <w:bodyDiv w:val="1"/>
      <w:marLeft w:val="0"/>
      <w:marRight w:val="0"/>
      <w:marTop w:val="0"/>
      <w:marBottom w:val="0"/>
      <w:divBdr>
        <w:top w:val="none" w:sz="0" w:space="0" w:color="auto"/>
        <w:left w:val="none" w:sz="0" w:space="0" w:color="auto"/>
        <w:bottom w:val="none" w:sz="0" w:space="0" w:color="auto"/>
        <w:right w:val="none" w:sz="0" w:space="0" w:color="auto"/>
      </w:divBdr>
    </w:div>
    <w:div w:id="2000039884">
      <w:bodyDiv w:val="1"/>
      <w:marLeft w:val="0"/>
      <w:marRight w:val="0"/>
      <w:marTop w:val="0"/>
      <w:marBottom w:val="0"/>
      <w:divBdr>
        <w:top w:val="none" w:sz="0" w:space="0" w:color="auto"/>
        <w:left w:val="none" w:sz="0" w:space="0" w:color="auto"/>
        <w:bottom w:val="none" w:sz="0" w:space="0" w:color="auto"/>
        <w:right w:val="none" w:sz="0" w:space="0" w:color="auto"/>
      </w:divBdr>
    </w:div>
    <w:div w:id="2004814494">
      <w:bodyDiv w:val="1"/>
      <w:marLeft w:val="0"/>
      <w:marRight w:val="0"/>
      <w:marTop w:val="0"/>
      <w:marBottom w:val="0"/>
      <w:divBdr>
        <w:top w:val="none" w:sz="0" w:space="0" w:color="auto"/>
        <w:left w:val="none" w:sz="0" w:space="0" w:color="auto"/>
        <w:bottom w:val="none" w:sz="0" w:space="0" w:color="auto"/>
        <w:right w:val="none" w:sz="0" w:space="0" w:color="auto"/>
      </w:divBdr>
    </w:div>
    <w:div w:id="2012948250">
      <w:bodyDiv w:val="1"/>
      <w:marLeft w:val="0"/>
      <w:marRight w:val="0"/>
      <w:marTop w:val="0"/>
      <w:marBottom w:val="0"/>
      <w:divBdr>
        <w:top w:val="none" w:sz="0" w:space="0" w:color="auto"/>
        <w:left w:val="none" w:sz="0" w:space="0" w:color="auto"/>
        <w:bottom w:val="none" w:sz="0" w:space="0" w:color="auto"/>
        <w:right w:val="none" w:sz="0" w:space="0" w:color="auto"/>
      </w:divBdr>
    </w:div>
    <w:div w:id="2013753733">
      <w:bodyDiv w:val="1"/>
      <w:marLeft w:val="0"/>
      <w:marRight w:val="0"/>
      <w:marTop w:val="0"/>
      <w:marBottom w:val="0"/>
      <w:divBdr>
        <w:top w:val="none" w:sz="0" w:space="0" w:color="auto"/>
        <w:left w:val="none" w:sz="0" w:space="0" w:color="auto"/>
        <w:bottom w:val="none" w:sz="0" w:space="0" w:color="auto"/>
        <w:right w:val="none" w:sz="0" w:space="0" w:color="auto"/>
      </w:divBdr>
    </w:div>
    <w:div w:id="2014337650">
      <w:bodyDiv w:val="1"/>
      <w:marLeft w:val="0"/>
      <w:marRight w:val="0"/>
      <w:marTop w:val="0"/>
      <w:marBottom w:val="0"/>
      <w:divBdr>
        <w:top w:val="none" w:sz="0" w:space="0" w:color="auto"/>
        <w:left w:val="none" w:sz="0" w:space="0" w:color="auto"/>
        <w:bottom w:val="none" w:sz="0" w:space="0" w:color="auto"/>
        <w:right w:val="none" w:sz="0" w:space="0" w:color="auto"/>
      </w:divBdr>
      <w:divsChild>
        <w:div w:id="566493741">
          <w:marLeft w:val="547"/>
          <w:marRight w:val="0"/>
          <w:marTop w:val="0"/>
          <w:marBottom w:val="0"/>
          <w:divBdr>
            <w:top w:val="none" w:sz="0" w:space="0" w:color="auto"/>
            <w:left w:val="none" w:sz="0" w:space="0" w:color="auto"/>
            <w:bottom w:val="none" w:sz="0" w:space="0" w:color="auto"/>
            <w:right w:val="none" w:sz="0" w:space="0" w:color="auto"/>
          </w:divBdr>
        </w:div>
        <w:div w:id="872767562">
          <w:marLeft w:val="547"/>
          <w:marRight w:val="0"/>
          <w:marTop w:val="0"/>
          <w:marBottom w:val="0"/>
          <w:divBdr>
            <w:top w:val="none" w:sz="0" w:space="0" w:color="auto"/>
            <w:left w:val="none" w:sz="0" w:space="0" w:color="auto"/>
            <w:bottom w:val="none" w:sz="0" w:space="0" w:color="auto"/>
            <w:right w:val="none" w:sz="0" w:space="0" w:color="auto"/>
          </w:divBdr>
        </w:div>
        <w:div w:id="1806073129">
          <w:marLeft w:val="547"/>
          <w:marRight w:val="0"/>
          <w:marTop w:val="0"/>
          <w:marBottom w:val="0"/>
          <w:divBdr>
            <w:top w:val="none" w:sz="0" w:space="0" w:color="auto"/>
            <w:left w:val="none" w:sz="0" w:space="0" w:color="auto"/>
            <w:bottom w:val="none" w:sz="0" w:space="0" w:color="auto"/>
            <w:right w:val="none" w:sz="0" w:space="0" w:color="auto"/>
          </w:divBdr>
        </w:div>
        <w:div w:id="1832407989">
          <w:marLeft w:val="547"/>
          <w:marRight w:val="0"/>
          <w:marTop w:val="0"/>
          <w:marBottom w:val="0"/>
          <w:divBdr>
            <w:top w:val="none" w:sz="0" w:space="0" w:color="auto"/>
            <w:left w:val="none" w:sz="0" w:space="0" w:color="auto"/>
            <w:bottom w:val="none" w:sz="0" w:space="0" w:color="auto"/>
            <w:right w:val="none" w:sz="0" w:space="0" w:color="auto"/>
          </w:divBdr>
        </w:div>
      </w:divsChild>
    </w:div>
    <w:div w:id="2059010662">
      <w:bodyDiv w:val="1"/>
      <w:marLeft w:val="0"/>
      <w:marRight w:val="0"/>
      <w:marTop w:val="0"/>
      <w:marBottom w:val="0"/>
      <w:divBdr>
        <w:top w:val="none" w:sz="0" w:space="0" w:color="auto"/>
        <w:left w:val="none" w:sz="0" w:space="0" w:color="auto"/>
        <w:bottom w:val="none" w:sz="0" w:space="0" w:color="auto"/>
        <w:right w:val="none" w:sz="0" w:space="0" w:color="auto"/>
      </w:divBdr>
    </w:div>
    <w:div w:id="2059015323">
      <w:bodyDiv w:val="1"/>
      <w:marLeft w:val="0"/>
      <w:marRight w:val="0"/>
      <w:marTop w:val="0"/>
      <w:marBottom w:val="0"/>
      <w:divBdr>
        <w:top w:val="none" w:sz="0" w:space="0" w:color="auto"/>
        <w:left w:val="none" w:sz="0" w:space="0" w:color="auto"/>
        <w:bottom w:val="none" w:sz="0" w:space="0" w:color="auto"/>
        <w:right w:val="none" w:sz="0" w:space="0" w:color="auto"/>
      </w:divBdr>
    </w:div>
    <w:div w:id="2060468036">
      <w:bodyDiv w:val="1"/>
      <w:marLeft w:val="0"/>
      <w:marRight w:val="0"/>
      <w:marTop w:val="0"/>
      <w:marBottom w:val="0"/>
      <w:divBdr>
        <w:top w:val="none" w:sz="0" w:space="0" w:color="auto"/>
        <w:left w:val="none" w:sz="0" w:space="0" w:color="auto"/>
        <w:bottom w:val="none" w:sz="0" w:space="0" w:color="auto"/>
        <w:right w:val="none" w:sz="0" w:space="0" w:color="auto"/>
      </w:divBdr>
    </w:div>
    <w:div w:id="2120180128">
      <w:bodyDiv w:val="1"/>
      <w:marLeft w:val="0"/>
      <w:marRight w:val="0"/>
      <w:marTop w:val="0"/>
      <w:marBottom w:val="0"/>
      <w:divBdr>
        <w:top w:val="none" w:sz="0" w:space="0" w:color="auto"/>
        <w:left w:val="none" w:sz="0" w:space="0" w:color="auto"/>
        <w:bottom w:val="none" w:sz="0" w:space="0" w:color="auto"/>
        <w:right w:val="none" w:sz="0" w:space="0" w:color="auto"/>
      </w:divBdr>
    </w:div>
    <w:div w:id="21389075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055">
          <w:marLeft w:val="547"/>
          <w:marRight w:val="0"/>
          <w:marTop w:val="0"/>
          <w:marBottom w:val="0"/>
          <w:divBdr>
            <w:top w:val="none" w:sz="0" w:space="0" w:color="auto"/>
            <w:left w:val="none" w:sz="0" w:space="0" w:color="auto"/>
            <w:bottom w:val="none" w:sz="0" w:space="0" w:color="auto"/>
            <w:right w:val="none" w:sz="0" w:space="0" w:color="auto"/>
          </w:divBdr>
        </w:div>
      </w:divsChild>
    </w:div>
    <w:div w:id="2140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leta.gov/WIOA" TargetMode="External"/><Relationship Id="rId21" Type="http://schemas.openxmlformats.org/officeDocument/2006/relationships/hyperlink" Target="https://www.dol.gov/agencies/eta/wioa/" TargetMode="External"/><Relationship Id="rId42" Type="http://schemas.openxmlformats.org/officeDocument/2006/relationships/hyperlink" Target="https://www2.ed.gov/fund/grant/apply/appforms/gepa427.pdf" TargetMode="External"/><Relationship Id="rId47" Type="http://schemas.openxmlformats.org/officeDocument/2006/relationships/hyperlink" Target="https://www.mass.gov/doc/fy2020-workforce-innovation-and-opportunity-act-wioa-massachusetts-combined-state-plan/download" TargetMode="External"/><Relationship Id="rId63" Type="http://schemas.openxmlformats.org/officeDocument/2006/relationships/hyperlink" Target="https://www.ecfr.gov/current/title-34/part-76" TargetMode="External"/><Relationship Id="rId68" Type="http://schemas.openxmlformats.org/officeDocument/2006/relationships/hyperlink" Target="http://www.doe.mass.edu/grants/procedure/manual.html" TargetMode="External"/><Relationship Id="rId84" Type="http://schemas.openxmlformats.org/officeDocument/2006/relationships/hyperlink" Target="http://www.doe.mass.edu/grants/edgrants.html" TargetMode="External"/><Relationship Id="rId89" Type="http://schemas.openxmlformats.org/officeDocument/2006/relationships/hyperlink" Target="https://sites.google.com/a/literacypro.com/laces-massachusetts-customizations/ma-laces-manual" TargetMode="External"/><Relationship Id="rId7" Type="http://schemas.openxmlformats.org/officeDocument/2006/relationships/settings" Target="settings.xml"/><Relationship Id="rId71" Type="http://schemas.openxmlformats.org/officeDocument/2006/relationships/hyperlink" Target="https://www.ecfr.gov/current/title-2/subtitle-A/chapter-II/part-200/subpart-D/section-200.306" TargetMode="External"/><Relationship Id="rId92" Type="http://schemas.openxmlformats.org/officeDocument/2006/relationships/hyperlink" Target="https://www.ecfr.gov/cgi-bin/text-idx?SID=393301a7cdccca1ea71f18aae51824e7&amp;node=34:1.1.1.1.23&amp;rgn=div5"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5.xml"/><Relationship Id="rId11" Type="http://schemas.openxmlformats.org/officeDocument/2006/relationships/image" Target="media/image1.gif"/><Relationship Id="rId24" Type="http://schemas.openxmlformats.org/officeDocument/2006/relationships/hyperlink" Target="https://www.mass.gov/doc/fy2020-workforce-innovation-and-opportunity-act-wioa-massachusetts-combined-state-plan/download" TargetMode="External"/><Relationship Id="rId32" Type="http://schemas.openxmlformats.org/officeDocument/2006/relationships/hyperlink" Target="https://laces.literacypro.com/laces/" TargetMode="External"/><Relationship Id="rId37" Type="http://schemas.openxmlformats.org/officeDocument/2006/relationships/hyperlink" Target="https://www2.ed.gov/about/offices/list/ocr/index.html" TargetMode="External"/><Relationship Id="rId40" Type="http://schemas.openxmlformats.org/officeDocument/2006/relationships/hyperlink" Target="https://www2.ed.gov/fund/grant/apply/appforms/gepa427.pdf" TargetMode="External"/><Relationship Id="rId45" Type="http://schemas.openxmlformats.org/officeDocument/2006/relationships/hyperlink" Target="http://www.mass.gov/elders/" TargetMode="External"/><Relationship Id="rId53" Type="http://schemas.openxmlformats.org/officeDocument/2006/relationships/hyperlink" Target="https://www.mass.gov/masshire-career-centers" TargetMode="External"/><Relationship Id="rId58" Type="http://schemas.openxmlformats.org/officeDocument/2006/relationships/hyperlink" Target="https://www.sabes.org/" TargetMode="External"/><Relationship Id="rId66" Type="http://schemas.openxmlformats.org/officeDocument/2006/relationships/hyperlink" Target="https://www.sec.state.ma.us/arc/arcpdf/Electronic_Records_Guidelines.pdf" TargetMode="External"/><Relationship Id="rId74" Type="http://schemas.openxmlformats.org/officeDocument/2006/relationships/hyperlink" Target="https://www.ecfr.gov/current/title-2/subtitle-A/chapter-II/part-200?toc=1" TargetMode="External"/><Relationship Id="rId79" Type="http://schemas.openxmlformats.org/officeDocument/2006/relationships/hyperlink" Target="https://www.congress.gov/113/bills/hr803/BILLS-113hr803enr.pdf" TargetMode="External"/><Relationship Id="rId87" Type="http://schemas.openxmlformats.org/officeDocument/2006/relationships/hyperlink" Target="https://laces.literacypro.com/laces/" TargetMode="External"/><Relationship Id="rId102" Type="http://schemas.openxmlformats.org/officeDocument/2006/relationships/hyperlink" Target="https://www.ecfr.gov/cgi-bin/text-idx?node=2:1.1.2.2.1.5&amp;rgn=div6" TargetMode="External"/><Relationship Id="rId5" Type="http://schemas.openxmlformats.org/officeDocument/2006/relationships/numbering" Target="numbering.xml"/><Relationship Id="rId61" Type="http://schemas.openxmlformats.org/officeDocument/2006/relationships/hyperlink" Target="https://www.ecfr.gov/cgi-bin/text-idx?SID=a32963af34d3c94b854882a21e8d77e9&amp;mc=true&amp;node=se2.1.200_1302&amp;rgn=div8" TargetMode="External"/><Relationship Id="rId82" Type="http://schemas.openxmlformats.org/officeDocument/2006/relationships/hyperlink" Target="http://www.doe.mass.edu/grants/edgrants.html" TargetMode="External"/><Relationship Id="rId90" Type="http://schemas.openxmlformats.org/officeDocument/2006/relationships/hyperlink" Target="https://www.congress.gov/113/bills/hr803/BILLS-113hr803enr.pdf" TargetMode="External"/><Relationship Id="rId95" Type="http://schemas.openxmlformats.org/officeDocument/2006/relationships/hyperlink" Target="https://www.ecfr.gov/cgi-bin/text-idx?node=2:1.1.2.2.1"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s://www.mass.gov/doc/fy2020-workforce-innovation-and-opportunity-act-wioa-massachusetts-combined-state-plan/download" TargetMode="External"/><Relationship Id="rId27" Type="http://schemas.openxmlformats.org/officeDocument/2006/relationships/hyperlink" Target="http://www.doe.mass.edu/acls/wioa.html" TargetMode="External"/><Relationship Id="rId30" Type="http://schemas.openxmlformats.org/officeDocument/2006/relationships/hyperlink" Target="http://www.doe.mass.edu/acls/laces/intake-form/" TargetMode="External"/><Relationship Id="rId35" Type="http://schemas.openxmlformats.org/officeDocument/2006/relationships/hyperlink" Target="http://www.doe.mass.edu/acls/assessment/" TargetMode="External"/><Relationship Id="rId43" Type="http://schemas.openxmlformats.org/officeDocument/2006/relationships/hyperlink" Target="http://www.mass.gov/eohhs/gov/departments/dcf/" TargetMode="External"/><Relationship Id="rId48" Type="http://schemas.openxmlformats.org/officeDocument/2006/relationships/hyperlink" Target="https://www.mass.gov/service-details/massworkforce-joint-partner-policy" TargetMode="External"/><Relationship Id="rId56" Type="http://schemas.openxmlformats.org/officeDocument/2006/relationships/hyperlink" Target="https://www.doe.mass.edu/acls/accountability/program-quality/" TargetMode="External"/><Relationship Id="rId64" Type="http://schemas.openxmlformats.org/officeDocument/2006/relationships/hyperlink" Target="https://www.ecfr.gov/on/2017-01-03/title-2/subtitle-A/chapter-II/part-200/subpart-A/subject-group-ECFR2a6a0087862fd2c/section-200.62" TargetMode="External"/><Relationship Id="rId69" Type="http://schemas.openxmlformats.org/officeDocument/2006/relationships/hyperlink" Target="http://www.doe.mass.edu/grants/edgrants.html" TargetMode="External"/><Relationship Id="rId77" Type="http://schemas.openxmlformats.org/officeDocument/2006/relationships/hyperlink" Target="http://www.doe.mass.edu/grants/edgrants.html" TargetMode="External"/><Relationship Id="rId100" Type="http://schemas.openxmlformats.org/officeDocument/2006/relationships/hyperlink" Target="https://www.ecfr.gov/cgi-bin/text-idx?SID=d0fd5d854a5a34225e4e558656655b66&amp;mc=true&amp;node=se2.1.200_156&amp;rgn=div8"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mass.gov/service-details/fy2022-fy2025-wioa-memorandum-of-understanding-mou" TargetMode="External"/><Relationship Id="rId72" Type="http://schemas.openxmlformats.org/officeDocument/2006/relationships/hyperlink" Target="https://laces.literacypro.com/laces/" TargetMode="External"/><Relationship Id="rId80" Type="http://schemas.openxmlformats.org/officeDocument/2006/relationships/hyperlink" Target="http://www.doe.mass.edu/grants/essential.html" TargetMode="External"/><Relationship Id="rId85" Type="http://schemas.openxmlformats.org/officeDocument/2006/relationships/hyperlink" Target="http://www.doe.mass.edu/grants/edgrants.html" TargetMode="External"/><Relationship Id="rId93" Type="http://schemas.openxmlformats.org/officeDocument/2006/relationships/hyperlink" Target="https://www.ecfr.gov/cgi-bin/text-idx?tpl=/ecfrbrowse/Title02/2cfr200_main_02.tpl" TargetMode="External"/><Relationship Id="rId98" Type="http://schemas.openxmlformats.org/officeDocument/2006/relationships/hyperlink" Target="https://www.ecfr.gov/cgi-bin/text-idx?node=se2.1.200_1313&amp;rgn=div8"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aces.literacypro.com/laces/" TargetMode="External"/><Relationship Id="rId25" Type="http://schemas.openxmlformats.org/officeDocument/2006/relationships/hyperlink" Target="https://www.congress.gov/113/plaws/publ128/PLAW-113publ128.pdf" TargetMode="External"/><Relationship Id="rId33" Type="http://schemas.openxmlformats.org/officeDocument/2006/relationships/hyperlink" Target="https://laces.literacypro.com/laces/" TargetMode="External"/><Relationship Id="rId38" Type="http://schemas.openxmlformats.org/officeDocument/2006/relationships/hyperlink" Target="https://www.ada.gov/" TargetMode="External"/><Relationship Id="rId46" Type="http://schemas.openxmlformats.org/officeDocument/2006/relationships/hyperlink" Target="https://www.mass.gov/service-details/connect-with-your-local-masshire-workforce-board" TargetMode="External"/><Relationship Id="rId59" Type="http://schemas.openxmlformats.org/officeDocument/2006/relationships/hyperlink" Target="https://www.collegetransition.org/" TargetMode="External"/><Relationship Id="rId67" Type="http://schemas.openxmlformats.org/officeDocument/2006/relationships/hyperlink" Target="http://www.doe.mass.edu/grants/edgrants.html" TargetMode="External"/><Relationship Id="rId103" Type="http://schemas.openxmlformats.org/officeDocument/2006/relationships/hyperlink" Target="https://www.ecfr.gov/cgi-bin/text-idx?node=2:1.1.2.2.1" TargetMode="External"/><Relationship Id="rId20" Type="http://schemas.openxmlformats.org/officeDocument/2006/relationships/hyperlink" Target="http://www.doe.mass.edu/acls/default.html" TargetMode="External"/><Relationship Id="rId41" Type="http://schemas.openxmlformats.org/officeDocument/2006/relationships/hyperlink" Target="https://www.grantexperts.info/gepa_examples.php" TargetMode="External"/><Relationship Id="rId54" Type="http://schemas.openxmlformats.org/officeDocument/2006/relationships/hyperlink" Target="https://www.mass.gov/service-details/local-plan-packages-by-area" TargetMode="External"/><Relationship Id="rId62" Type="http://schemas.openxmlformats.org/officeDocument/2006/relationships/hyperlink" Target="https://www.ecfr.gov/current/title-2/part-200/subpart-e" TargetMode="External"/><Relationship Id="rId70" Type="http://schemas.openxmlformats.org/officeDocument/2006/relationships/hyperlink" Target="https://www.ecfr.gov/current/title-34/part-76" TargetMode="External"/><Relationship Id="rId75" Type="http://schemas.openxmlformats.org/officeDocument/2006/relationships/hyperlink" Target="https://www.ecfr.gov/cgi-bin/text-idx?node=se2.1.200_1430&amp;rgn=div8" TargetMode="External"/><Relationship Id="rId83" Type="http://schemas.openxmlformats.org/officeDocument/2006/relationships/hyperlink" Target="http://www.doe.mass.edu/grants/procedure/manual.html" TargetMode="External"/><Relationship Id="rId88" Type="http://schemas.openxmlformats.org/officeDocument/2006/relationships/hyperlink" Target="https://laces.literacypro.com/laces/" TargetMode="External"/><Relationship Id="rId91" Type="http://schemas.openxmlformats.org/officeDocument/2006/relationships/hyperlink" Target="https://www.ecfr.gov/cgi-bin/retrieveECFR?gp=&amp;SID=bd74a6782834f6b8567d23a1628a2139&amp;mc=true&amp;n=sp34.3.463.d&amp;r=SUBPART&amp;ty=HTML" TargetMode="External"/><Relationship Id="rId96" Type="http://schemas.openxmlformats.org/officeDocument/2006/relationships/hyperlink" Target="https://www.ecfr.gov/cgi-bin/text-idx?node=2:1.1.2.2.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oe.mass.edu/acls/accountability/program-quality/" TargetMode="External"/><Relationship Id="rId28" Type="http://schemas.openxmlformats.org/officeDocument/2006/relationships/header" Target="header3.xml"/><Relationship Id="rId36" Type="http://schemas.openxmlformats.org/officeDocument/2006/relationships/hyperlink" Target="http://www.doe.mass.edu/acls/disability/default.html" TargetMode="External"/><Relationship Id="rId49" Type="http://schemas.openxmlformats.org/officeDocument/2006/relationships/hyperlink" Target="http://www.doe.mass.edu/acls/wioa.html" TargetMode="External"/><Relationship Id="rId57" Type="http://schemas.openxmlformats.org/officeDocument/2006/relationships/hyperlink" Target="https://www.sabes.org/pd-center/program-support" TargetMode="External"/><Relationship Id="rId10" Type="http://schemas.openxmlformats.org/officeDocument/2006/relationships/endnotes" Target="endnotes.xml"/><Relationship Id="rId31" Type="http://schemas.openxmlformats.org/officeDocument/2006/relationships/hyperlink" Target="https://laces.literacypro.com/laces/" TargetMode="External"/><Relationship Id="rId44" Type="http://schemas.openxmlformats.org/officeDocument/2006/relationships/hyperlink" Target="http://www.mass.gov/dppc/" TargetMode="External"/><Relationship Id="rId52" Type="http://schemas.openxmlformats.org/officeDocument/2006/relationships/hyperlink" Target="https://www.mass.gov/service-details/connect-with-your-local-masshire-workforce-board" TargetMode="External"/><Relationship Id="rId60" Type="http://schemas.openxmlformats.org/officeDocument/2006/relationships/hyperlink" Target="https://lincs.ed.gov/" TargetMode="External"/><Relationship Id="rId65" Type="http://schemas.openxmlformats.org/officeDocument/2006/relationships/hyperlink" Target="https://www.mass.gov/regulations/815-CMR-2-state-grants-federal-grant-awards-federal-subgrants-and-subsidies" TargetMode="External"/><Relationship Id="rId73" Type="http://schemas.openxmlformats.org/officeDocument/2006/relationships/hyperlink" Target="https://www.ecfr.gov/cgi-bin/text-idx?node=se2.1.200_1205&amp;rgn=div8" TargetMode="External"/><Relationship Id="rId78" Type="http://schemas.openxmlformats.org/officeDocument/2006/relationships/hyperlink" Target="http://www.doe.mass.edu/grants/procedure/default.html" TargetMode="External"/><Relationship Id="rId81" Type="http://schemas.openxmlformats.org/officeDocument/2006/relationships/hyperlink" Target="http://www.doe.mass.edu/grants/edgrants.html" TargetMode="External"/><Relationship Id="rId86" Type="http://schemas.openxmlformats.org/officeDocument/2006/relationships/hyperlink" Target="https://laces.literacypro.com/laces/" TargetMode="External"/><Relationship Id="rId94" Type="http://schemas.openxmlformats.org/officeDocument/2006/relationships/header" Target="header4.xml"/><Relationship Id="rId99" Type="http://schemas.openxmlformats.org/officeDocument/2006/relationships/hyperlink" Target="http://www.doe.mass.edu/grants/essential.html" TargetMode="External"/><Relationship Id="rId101" Type="http://schemas.openxmlformats.org/officeDocument/2006/relationships/hyperlink" Target="https://www.ecfr.gov/cgi-bin/text-idx?SID=393301a7cdccca1ea71f18aae51824e7&amp;node=34:1.1.1.1.23&amp;rgn=div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doe.mass.edu/acls/abeprogram/" TargetMode="External"/><Relationship Id="rId39" Type="http://schemas.openxmlformats.org/officeDocument/2006/relationships/hyperlink" Target="https://www.sabes.org/pd-center/ada-training-and-resources" TargetMode="External"/><Relationship Id="rId34" Type="http://schemas.openxmlformats.org/officeDocument/2006/relationships/hyperlink" Target="http://www.doe.mass.edu/acls/laces/release-form/" TargetMode="External"/><Relationship Id="rId50" Type="http://schemas.openxmlformats.org/officeDocument/2006/relationships/hyperlink" Target="https://www.mass.gov/service-details/massworkforce-joint-partner-policy" TargetMode="External"/><Relationship Id="rId55" Type="http://schemas.openxmlformats.org/officeDocument/2006/relationships/hyperlink" Target="https://www.doe.mass.edu/acls/ecp/" TargetMode="External"/><Relationship Id="rId76" Type="http://schemas.openxmlformats.org/officeDocument/2006/relationships/hyperlink" Target="http://www.doe.mass.edu/grants/essential.html" TargetMode="External"/><Relationship Id="rId97" Type="http://schemas.openxmlformats.org/officeDocument/2006/relationships/hyperlink" Target="https://www.ecfr.gov/cgi-bin/text-idx?node=2:1.1.2.2.1" TargetMode="External"/><Relationship Id="rId10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gi-bin/text-idx?SID=393301a7cdccca1ea71f18aae51824e7&amp;node=34:1.1.1.1.23&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6B6416-3DC1-47D3-8B12-E174FA5D868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UserInfo>
        <DisplayName>Kalchbrenner, Derek (DESE)</DisplayName>
        <AccountId>33</AccountId>
        <AccountType/>
      </UserInfo>
      <UserInfo>
        <DisplayName>Stevens-Carter, Wyvonne (DESE)</DisplayName>
        <AccountId>18</AccountId>
        <AccountType/>
      </UserInfo>
      <UserInfo>
        <DisplayName>Smith-Nwachuku, Joeatta K. (DESE)</DisplayName>
        <AccountId>183</AccountId>
        <AccountType/>
      </UserInfo>
      <UserInfo>
        <DisplayName>Celata, Elizabeth (DESE)</DisplayName>
        <AccountId>310</AccountId>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799B9-94B0-4980-8F0E-73215E98ECA9}">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157CF5E4-C20D-461E-A299-9962CC30FEB4}">
  <ds:schemaRefs>
    <ds:schemaRef ds:uri="http://schemas.microsoft.com/sharepoint/v3/contenttype/forms"/>
  </ds:schemaRefs>
</ds:datastoreItem>
</file>

<file path=customXml/itemProps3.xml><?xml version="1.0" encoding="utf-8"?>
<ds:datastoreItem xmlns:ds="http://schemas.openxmlformats.org/officeDocument/2006/customXml" ds:itemID="{D039B2B1-9F7B-4B5D-8034-0A831D42300E}">
  <ds:schemaRefs>
    <ds:schemaRef ds:uri="http://schemas.openxmlformats.org/officeDocument/2006/bibliography"/>
  </ds:schemaRefs>
</ds:datastoreItem>
</file>

<file path=customXml/itemProps4.xml><?xml version="1.0" encoding="utf-8"?>
<ds:datastoreItem xmlns:ds="http://schemas.openxmlformats.org/officeDocument/2006/customXml" ds:itemID="{690A9054-2341-4256-AEBD-7B657C1F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12352</Words>
  <Characters>70408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FY24 668 Transition to College ADD INFO Policies for Effective Transition to College</vt:lpstr>
    </vt:vector>
  </TitlesOfParts>
  <Company/>
  <LinksUpToDate>false</LinksUpToDate>
  <CharactersWithSpaces>82595</CharactersWithSpaces>
  <SharedDoc>false</SharedDoc>
  <HLinks>
    <vt:vector size="846" baseType="variant">
      <vt:variant>
        <vt:i4>3997740</vt:i4>
      </vt:variant>
      <vt:variant>
        <vt:i4>564</vt:i4>
      </vt:variant>
      <vt:variant>
        <vt:i4>0</vt:i4>
      </vt:variant>
      <vt:variant>
        <vt:i4>5</vt:i4>
      </vt:variant>
      <vt:variant>
        <vt:lpwstr>https://www.ecfr.gov/cgi-bin/text-idx?node=2:1.1.2.2.1</vt:lpwstr>
      </vt:variant>
      <vt:variant>
        <vt:lpwstr/>
      </vt:variant>
      <vt:variant>
        <vt:i4>393239</vt:i4>
      </vt:variant>
      <vt:variant>
        <vt:i4>561</vt:i4>
      </vt:variant>
      <vt:variant>
        <vt:i4>0</vt:i4>
      </vt:variant>
      <vt:variant>
        <vt:i4>5</vt:i4>
      </vt:variant>
      <vt:variant>
        <vt:lpwstr>https://www.ecfr.gov/cgi-bin/text-idx?node=2:1.1.2.2.1.5&amp;rgn=div6</vt:lpwstr>
      </vt:variant>
      <vt:variant>
        <vt:lpwstr/>
      </vt:variant>
      <vt:variant>
        <vt:i4>7864366</vt:i4>
      </vt:variant>
      <vt:variant>
        <vt:i4>558</vt:i4>
      </vt:variant>
      <vt:variant>
        <vt:i4>0</vt:i4>
      </vt:variant>
      <vt:variant>
        <vt:i4>5</vt:i4>
      </vt:variant>
      <vt:variant>
        <vt:lpwstr>https://www.ecfr.gov/cgi-bin/text-idx?SID=393301a7cdccca1ea71f18aae51824e7&amp;node=34:1.1.1.1.23&amp;rgn=div5</vt:lpwstr>
      </vt:variant>
      <vt:variant>
        <vt:lpwstr/>
      </vt:variant>
      <vt:variant>
        <vt:i4>5570598</vt:i4>
      </vt:variant>
      <vt:variant>
        <vt:i4>555</vt:i4>
      </vt:variant>
      <vt:variant>
        <vt:i4>0</vt:i4>
      </vt:variant>
      <vt:variant>
        <vt:i4>5</vt:i4>
      </vt:variant>
      <vt:variant>
        <vt:lpwstr>https://www.ecfr.gov/cgi-bin/text-idx?SID=d0fd5d854a5a34225e4e558656655b66&amp;mc=true&amp;node=se2.1.200_156&amp;rgn=div8</vt:lpwstr>
      </vt:variant>
      <vt:variant>
        <vt:lpwstr/>
      </vt:variant>
      <vt:variant>
        <vt:i4>4587543</vt:i4>
      </vt:variant>
      <vt:variant>
        <vt:i4>552</vt:i4>
      </vt:variant>
      <vt:variant>
        <vt:i4>0</vt:i4>
      </vt:variant>
      <vt:variant>
        <vt:i4>5</vt:i4>
      </vt:variant>
      <vt:variant>
        <vt:lpwstr>http://www.doe.mass.edu/grants/essential.html</vt:lpwstr>
      </vt:variant>
      <vt:variant>
        <vt:lpwstr/>
      </vt:variant>
      <vt:variant>
        <vt:i4>6357010</vt:i4>
      </vt:variant>
      <vt:variant>
        <vt:i4>549</vt:i4>
      </vt:variant>
      <vt:variant>
        <vt:i4>0</vt:i4>
      </vt:variant>
      <vt:variant>
        <vt:i4>5</vt:i4>
      </vt:variant>
      <vt:variant>
        <vt:lpwstr>https://www.ecfr.gov/cgi-bin/text-idx?node=se2.1.200_1313&amp;rgn=div8</vt:lpwstr>
      </vt:variant>
      <vt:variant>
        <vt:lpwstr/>
      </vt:variant>
      <vt:variant>
        <vt:i4>3997740</vt:i4>
      </vt:variant>
      <vt:variant>
        <vt:i4>546</vt:i4>
      </vt:variant>
      <vt:variant>
        <vt:i4>0</vt:i4>
      </vt:variant>
      <vt:variant>
        <vt:i4>5</vt:i4>
      </vt:variant>
      <vt:variant>
        <vt:lpwstr>https://www.ecfr.gov/cgi-bin/text-idx?node=2:1.1.2.2.1</vt:lpwstr>
      </vt:variant>
      <vt:variant>
        <vt:lpwstr/>
      </vt:variant>
      <vt:variant>
        <vt:i4>3997740</vt:i4>
      </vt:variant>
      <vt:variant>
        <vt:i4>543</vt:i4>
      </vt:variant>
      <vt:variant>
        <vt:i4>0</vt:i4>
      </vt:variant>
      <vt:variant>
        <vt:i4>5</vt:i4>
      </vt:variant>
      <vt:variant>
        <vt:lpwstr>https://www.ecfr.gov/cgi-bin/text-idx?node=2:1.1.2.2.1</vt:lpwstr>
      </vt:variant>
      <vt:variant>
        <vt:lpwstr/>
      </vt:variant>
      <vt:variant>
        <vt:i4>3997740</vt:i4>
      </vt:variant>
      <vt:variant>
        <vt:i4>540</vt:i4>
      </vt:variant>
      <vt:variant>
        <vt:i4>0</vt:i4>
      </vt:variant>
      <vt:variant>
        <vt:i4>5</vt:i4>
      </vt:variant>
      <vt:variant>
        <vt:lpwstr>https://www.ecfr.gov/cgi-bin/text-idx?node=2:1.1.2.2.1</vt:lpwstr>
      </vt:variant>
      <vt:variant>
        <vt:lpwstr/>
      </vt:variant>
      <vt:variant>
        <vt:i4>3014779</vt:i4>
      </vt:variant>
      <vt:variant>
        <vt:i4>537</vt:i4>
      </vt:variant>
      <vt:variant>
        <vt:i4>0</vt:i4>
      </vt:variant>
      <vt:variant>
        <vt:i4>5</vt:i4>
      </vt:variant>
      <vt:variant>
        <vt:lpwstr>https://www.ecfr.gov/cgi-bin/text-idx?tpl=/ecfrbrowse/Title02/2cfr200_main_02.tpl</vt:lpwstr>
      </vt:variant>
      <vt:variant>
        <vt:lpwstr/>
      </vt:variant>
      <vt:variant>
        <vt:i4>7864366</vt:i4>
      </vt:variant>
      <vt:variant>
        <vt:i4>534</vt:i4>
      </vt:variant>
      <vt:variant>
        <vt:i4>0</vt:i4>
      </vt:variant>
      <vt:variant>
        <vt:i4>5</vt:i4>
      </vt:variant>
      <vt:variant>
        <vt:lpwstr>https://www.ecfr.gov/cgi-bin/text-idx?SID=393301a7cdccca1ea71f18aae51824e7&amp;node=34:1.1.1.1.23&amp;rgn=div5</vt:lpwstr>
      </vt:variant>
      <vt:variant>
        <vt:lpwstr/>
      </vt:variant>
      <vt:variant>
        <vt:i4>7929906</vt:i4>
      </vt:variant>
      <vt:variant>
        <vt:i4>531</vt:i4>
      </vt:variant>
      <vt:variant>
        <vt:i4>0</vt:i4>
      </vt:variant>
      <vt:variant>
        <vt:i4>5</vt:i4>
      </vt:variant>
      <vt:variant>
        <vt:lpwstr>https://www.ecfr.gov/cgi-bin/retrieveECFR?gp=&amp;SID=bd74a6782834f6b8567d23a1628a2139&amp;mc=true&amp;n=sp34.3.463.d&amp;r=SUBPART&amp;ty=HTML</vt:lpwstr>
      </vt:variant>
      <vt:variant>
        <vt:lpwstr/>
      </vt:variant>
      <vt:variant>
        <vt:i4>6750245</vt:i4>
      </vt:variant>
      <vt:variant>
        <vt:i4>528</vt:i4>
      </vt:variant>
      <vt:variant>
        <vt:i4>0</vt:i4>
      </vt:variant>
      <vt:variant>
        <vt:i4>5</vt:i4>
      </vt:variant>
      <vt:variant>
        <vt:lpwstr>https://www.congress.gov/113/bills/hr803/BILLS-113hr803enr.pdf</vt:lpwstr>
      </vt:variant>
      <vt:variant>
        <vt:lpwstr/>
      </vt:variant>
      <vt:variant>
        <vt:i4>1441803</vt:i4>
      </vt:variant>
      <vt:variant>
        <vt:i4>525</vt:i4>
      </vt:variant>
      <vt:variant>
        <vt:i4>0</vt:i4>
      </vt:variant>
      <vt:variant>
        <vt:i4>5</vt:i4>
      </vt:variant>
      <vt:variant>
        <vt:lpwstr>https://sites.google.com/a/literacypro.com/laces-massachusetts-customizations/ma-laces-manual</vt:lpwstr>
      </vt:variant>
      <vt:variant>
        <vt:lpwstr/>
      </vt:variant>
      <vt:variant>
        <vt:i4>1572952</vt:i4>
      </vt:variant>
      <vt:variant>
        <vt:i4>522</vt:i4>
      </vt:variant>
      <vt:variant>
        <vt:i4>0</vt:i4>
      </vt:variant>
      <vt:variant>
        <vt:i4>5</vt:i4>
      </vt:variant>
      <vt:variant>
        <vt:lpwstr>https://laces.literacypro.com/laces/</vt:lpwstr>
      </vt:variant>
      <vt:variant>
        <vt:lpwstr/>
      </vt:variant>
      <vt:variant>
        <vt:i4>1572952</vt:i4>
      </vt:variant>
      <vt:variant>
        <vt:i4>519</vt:i4>
      </vt:variant>
      <vt:variant>
        <vt:i4>0</vt:i4>
      </vt:variant>
      <vt:variant>
        <vt:i4>5</vt:i4>
      </vt:variant>
      <vt:variant>
        <vt:lpwstr>https://laces.literacypro.com/laces/</vt:lpwstr>
      </vt:variant>
      <vt:variant>
        <vt:lpwstr/>
      </vt:variant>
      <vt:variant>
        <vt:i4>1572952</vt:i4>
      </vt:variant>
      <vt:variant>
        <vt:i4>516</vt:i4>
      </vt:variant>
      <vt:variant>
        <vt:i4>0</vt:i4>
      </vt:variant>
      <vt:variant>
        <vt:i4>5</vt:i4>
      </vt:variant>
      <vt:variant>
        <vt:lpwstr>https://laces.literacypro.com/laces/</vt:lpwstr>
      </vt:variant>
      <vt:variant>
        <vt:lpwstr/>
      </vt:variant>
      <vt:variant>
        <vt:i4>2031680</vt:i4>
      </vt:variant>
      <vt:variant>
        <vt:i4>513</vt:i4>
      </vt:variant>
      <vt:variant>
        <vt:i4>0</vt:i4>
      </vt:variant>
      <vt:variant>
        <vt:i4>5</vt:i4>
      </vt:variant>
      <vt:variant>
        <vt:lpwstr>http://www.doe.mass.edu/grants/edgrants.html</vt:lpwstr>
      </vt:variant>
      <vt:variant>
        <vt:lpwstr/>
      </vt:variant>
      <vt:variant>
        <vt:i4>2031680</vt:i4>
      </vt:variant>
      <vt:variant>
        <vt:i4>510</vt:i4>
      </vt:variant>
      <vt:variant>
        <vt:i4>0</vt:i4>
      </vt:variant>
      <vt:variant>
        <vt:i4>5</vt:i4>
      </vt:variant>
      <vt:variant>
        <vt:lpwstr>http://www.doe.mass.edu/grants/edgrants.html</vt:lpwstr>
      </vt:variant>
      <vt:variant>
        <vt:lpwstr/>
      </vt:variant>
      <vt:variant>
        <vt:i4>27</vt:i4>
      </vt:variant>
      <vt:variant>
        <vt:i4>507</vt:i4>
      </vt:variant>
      <vt:variant>
        <vt:i4>0</vt:i4>
      </vt:variant>
      <vt:variant>
        <vt:i4>5</vt:i4>
      </vt:variant>
      <vt:variant>
        <vt:lpwstr>http://www.doe.mass.edu/grants/procedure/manual.html</vt:lpwstr>
      </vt:variant>
      <vt:variant>
        <vt:lpwstr/>
      </vt:variant>
      <vt:variant>
        <vt:i4>2031680</vt:i4>
      </vt:variant>
      <vt:variant>
        <vt:i4>504</vt:i4>
      </vt:variant>
      <vt:variant>
        <vt:i4>0</vt:i4>
      </vt:variant>
      <vt:variant>
        <vt:i4>5</vt:i4>
      </vt:variant>
      <vt:variant>
        <vt:lpwstr>http://www.doe.mass.edu/grants/edgrants.html</vt:lpwstr>
      </vt:variant>
      <vt:variant>
        <vt:lpwstr/>
      </vt:variant>
      <vt:variant>
        <vt:i4>2031680</vt:i4>
      </vt:variant>
      <vt:variant>
        <vt:i4>501</vt:i4>
      </vt:variant>
      <vt:variant>
        <vt:i4>0</vt:i4>
      </vt:variant>
      <vt:variant>
        <vt:i4>5</vt:i4>
      </vt:variant>
      <vt:variant>
        <vt:lpwstr>http://www.doe.mass.edu/grants/edgrants.html</vt:lpwstr>
      </vt:variant>
      <vt:variant>
        <vt:lpwstr/>
      </vt:variant>
      <vt:variant>
        <vt:i4>4587543</vt:i4>
      </vt:variant>
      <vt:variant>
        <vt:i4>498</vt:i4>
      </vt:variant>
      <vt:variant>
        <vt:i4>0</vt:i4>
      </vt:variant>
      <vt:variant>
        <vt:i4>5</vt:i4>
      </vt:variant>
      <vt:variant>
        <vt:lpwstr>http://www.doe.mass.edu/grants/essential.html</vt:lpwstr>
      </vt:variant>
      <vt:variant>
        <vt:lpwstr/>
      </vt:variant>
      <vt:variant>
        <vt:i4>6750245</vt:i4>
      </vt:variant>
      <vt:variant>
        <vt:i4>495</vt:i4>
      </vt:variant>
      <vt:variant>
        <vt:i4>0</vt:i4>
      </vt:variant>
      <vt:variant>
        <vt:i4>5</vt:i4>
      </vt:variant>
      <vt:variant>
        <vt:lpwstr>https://www.congress.gov/113/bills/hr803/BILLS-113hr803enr.pdf</vt:lpwstr>
      </vt:variant>
      <vt:variant>
        <vt:lpwstr/>
      </vt:variant>
      <vt:variant>
        <vt:i4>2949150</vt:i4>
      </vt:variant>
      <vt:variant>
        <vt:i4>492</vt:i4>
      </vt:variant>
      <vt:variant>
        <vt:i4>0</vt:i4>
      </vt:variant>
      <vt:variant>
        <vt:i4>5</vt:i4>
      </vt:variant>
      <vt:variant>
        <vt:lpwstr>https://ecfr.io/Title-34/cfr463_main</vt:lpwstr>
      </vt:variant>
      <vt:variant>
        <vt:lpwstr/>
      </vt:variant>
      <vt:variant>
        <vt:i4>5374036</vt:i4>
      </vt:variant>
      <vt:variant>
        <vt:i4>489</vt:i4>
      </vt:variant>
      <vt:variant>
        <vt:i4>0</vt:i4>
      </vt:variant>
      <vt:variant>
        <vt:i4>5</vt:i4>
      </vt:variant>
      <vt:variant>
        <vt:lpwstr>http://www.doe.mass.edu/grants/procedure/default.html</vt:lpwstr>
      </vt:variant>
      <vt:variant>
        <vt:lpwstr/>
      </vt:variant>
      <vt:variant>
        <vt:i4>2031680</vt:i4>
      </vt:variant>
      <vt:variant>
        <vt:i4>486</vt:i4>
      </vt:variant>
      <vt:variant>
        <vt:i4>0</vt:i4>
      </vt:variant>
      <vt:variant>
        <vt:i4>5</vt:i4>
      </vt:variant>
      <vt:variant>
        <vt:lpwstr>http://www.doe.mass.edu/grants/edgrants.html</vt:lpwstr>
      </vt:variant>
      <vt:variant>
        <vt:lpwstr/>
      </vt:variant>
      <vt:variant>
        <vt:i4>4587543</vt:i4>
      </vt:variant>
      <vt:variant>
        <vt:i4>483</vt:i4>
      </vt:variant>
      <vt:variant>
        <vt:i4>0</vt:i4>
      </vt:variant>
      <vt:variant>
        <vt:i4>5</vt:i4>
      </vt:variant>
      <vt:variant>
        <vt:lpwstr>http://www.doe.mass.edu/grants/essential.html</vt:lpwstr>
      </vt:variant>
      <vt:variant>
        <vt:lpwstr/>
      </vt:variant>
      <vt:variant>
        <vt:i4>6488086</vt:i4>
      </vt:variant>
      <vt:variant>
        <vt:i4>480</vt:i4>
      </vt:variant>
      <vt:variant>
        <vt:i4>0</vt:i4>
      </vt:variant>
      <vt:variant>
        <vt:i4>5</vt:i4>
      </vt:variant>
      <vt:variant>
        <vt:lpwstr>https://www.ecfr.gov/cgi-bin/text-idx?node=se2.1.200_1430&amp;rgn=div8</vt:lpwstr>
      </vt:variant>
      <vt:variant>
        <vt:lpwstr/>
      </vt:variant>
      <vt:variant>
        <vt:i4>4325471</vt:i4>
      </vt:variant>
      <vt:variant>
        <vt:i4>477</vt:i4>
      </vt:variant>
      <vt:variant>
        <vt:i4>0</vt:i4>
      </vt:variant>
      <vt:variant>
        <vt:i4>5</vt:i4>
      </vt:variant>
      <vt:variant>
        <vt:lpwstr>https://www.ecfr.gov/current/title-2/subtitle-A/chapter-II/part-200?toc=1</vt:lpwstr>
      </vt:variant>
      <vt:variant>
        <vt:lpwstr/>
      </vt:variant>
      <vt:variant>
        <vt:i4>6291477</vt:i4>
      </vt:variant>
      <vt:variant>
        <vt:i4>474</vt:i4>
      </vt:variant>
      <vt:variant>
        <vt:i4>0</vt:i4>
      </vt:variant>
      <vt:variant>
        <vt:i4>5</vt:i4>
      </vt:variant>
      <vt:variant>
        <vt:lpwstr>https://www.ecfr.gov/cgi-bin/text-idx?node=se2.1.200_1205&amp;rgn=div8</vt:lpwstr>
      </vt:variant>
      <vt:variant>
        <vt:lpwstr/>
      </vt:variant>
      <vt:variant>
        <vt:i4>1572952</vt:i4>
      </vt:variant>
      <vt:variant>
        <vt:i4>471</vt:i4>
      </vt:variant>
      <vt:variant>
        <vt:i4>0</vt:i4>
      </vt:variant>
      <vt:variant>
        <vt:i4>5</vt:i4>
      </vt:variant>
      <vt:variant>
        <vt:lpwstr>https://laces.literacypro.com/laces/</vt:lpwstr>
      </vt:variant>
      <vt:variant>
        <vt:lpwstr/>
      </vt:variant>
      <vt:variant>
        <vt:i4>524302</vt:i4>
      </vt:variant>
      <vt:variant>
        <vt:i4>468</vt:i4>
      </vt:variant>
      <vt:variant>
        <vt:i4>0</vt:i4>
      </vt:variant>
      <vt:variant>
        <vt:i4>5</vt:i4>
      </vt:variant>
      <vt:variant>
        <vt:lpwstr>https://www.ecfr.gov/current/title-2/subtitle-A/chapter-II/part-200/subpart-D/section-200.306</vt:lpwstr>
      </vt:variant>
      <vt:variant>
        <vt:lpwstr/>
      </vt:variant>
      <vt:variant>
        <vt:i4>1245272</vt:i4>
      </vt:variant>
      <vt:variant>
        <vt:i4>465</vt:i4>
      </vt:variant>
      <vt:variant>
        <vt:i4>0</vt:i4>
      </vt:variant>
      <vt:variant>
        <vt:i4>5</vt:i4>
      </vt:variant>
      <vt:variant>
        <vt:lpwstr>https://www.ecfr.gov/current/title-34/part-76</vt:lpwstr>
      </vt:variant>
      <vt:variant>
        <vt:lpwstr/>
      </vt:variant>
      <vt:variant>
        <vt:i4>2031680</vt:i4>
      </vt:variant>
      <vt:variant>
        <vt:i4>462</vt:i4>
      </vt:variant>
      <vt:variant>
        <vt:i4>0</vt:i4>
      </vt:variant>
      <vt:variant>
        <vt:i4>5</vt:i4>
      </vt:variant>
      <vt:variant>
        <vt:lpwstr>http://www.doe.mass.edu/grants/edgrants.html</vt:lpwstr>
      </vt:variant>
      <vt:variant>
        <vt:lpwstr/>
      </vt:variant>
      <vt:variant>
        <vt:i4>27</vt:i4>
      </vt:variant>
      <vt:variant>
        <vt:i4>459</vt:i4>
      </vt:variant>
      <vt:variant>
        <vt:i4>0</vt:i4>
      </vt:variant>
      <vt:variant>
        <vt:i4>5</vt:i4>
      </vt:variant>
      <vt:variant>
        <vt:lpwstr>http://www.doe.mass.edu/grants/procedure/manual.html</vt:lpwstr>
      </vt:variant>
      <vt:variant>
        <vt:lpwstr/>
      </vt:variant>
      <vt:variant>
        <vt:i4>2031680</vt:i4>
      </vt:variant>
      <vt:variant>
        <vt:i4>456</vt:i4>
      </vt:variant>
      <vt:variant>
        <vt:i4>0</vt:i4>
      </vt:variant>
      <vt:variant>
        <vt:i4>5</vt:i4>
      </vt:variant>
      <vt:variant>
        <vt:lpwstr>http://www.doe.mass.edu/grants/edgrants.html</vt:lpwstr>
      </vt:variant>
      <vt:variant>
        <vt:lpwstr/>
      </vt:variant>
      <vt:variant>
        <vt:i4>4522001</vt:i4>
      </vt:variant>
      <vt:variant>
        <vt:i4>453</vt:i4>
      </vt:variant>
      <vt:variant>
        <vt:i4>0</vt:i4>
      </vt:variant>
      <vt:variant>
        <vt:i4>5</vt:i4>
      </vt:variant>
      <vt:variant>
        <vt:lpwstr>https://www.sec.state.ma.us/arc/arcpdf/Electronic_Records_Guidelines.pdf</vt:lpwstr>
      </vt:variant>
      <vt:variant>
        <vt:lpwstr/>
      </vt:variant>
      <vt:variant>
        <vt:i4>5374047</vt:i4>
      </vt:variant>
      <vt:variant>
        <vt:i4>450</vt:i4>
      </vt:variant>
      <vt:variant>
        <vt:i4>0</vt:i4>
      </vt:variant>
      <vt:variant>
        <vt:i4>5</vt:i4>
      </vt:variant>
      <vt:variant>
        <vt:lpwstr>https://www.mass.gov/regulations/815-CMR-2-state-grants-federal-grant-awards-federal-subgrants-and-subsidies</vt:lpwstr>
      </vt:variant>
      <vt:variant>
        <vt:lpwstr/>
      </vt:variant>
      <vt:variant>
        <vt:i4>4391004</vt:i4>
      </vt:variant>
      <vt:variant>
        <vt:i4>447</vt:i4>
      </vt:variant>
      <vt:variant>
        <vt:i4>0</vt:i4>
      </vt:variant>
      <vt:variant>
        <vt:i4>5</vt:i4>
      </vt:variant>
      <vt:variant>
        <vt:lpwstr>https://www.ecfr.gov/on/2017-01-03/title-2/subtitle-A/chapter-II/part-200/subpart-A/subject-group-ECFR2a6a0087862fd2c/section-200.62</vt:lpwstr>
      </vt:variant>
      <vt:variant>
        <vt:lpwstr/>
      </vt:variant>
      <vt:variant>
        <vt:i4>1245272</vt:i4>
      </vt:variant>
      <vt:variant>
        <vt:i4>444</vt:i4>
      </vt:variant>
      <vt:variant>
        <vt:i4>0</vt:i4>
      </vt:variant>
      <vt:variant>
        <vt:i4>5</vt:i4>
      </vt:variant>
      <vt:variant>
        <vt:lpwstr>https://www.ecfr.gov/current/title-34/part-76</vt:lpwstr>
      </vt:variant>
      <vt:variant>
        <vt:lpwstr/>
      </vt:variant>
      <vt:variant>
        <vt:i4>7667839</vt:i4>
      </vt:variant>
      <vt:variant>
        <vt:i4>441</vt:i4>
      </vt:variant>
      <vt:variant>
        <vt:i4>0</vt:i4>
      </vt:variant>
      <vt:variant>
        <vt:i4>5</vt:i4>
      </vt:variant>
      <vt:variant>
        <vt:lpwstr>https://www.ecfr.gov/current/title-2/part-200/subpart-e</vt:lpwstr>
      </vt:variant>
      <vt:variant>
        <vt:lpwstr/>
      </vt:variant>
      <vt:variant>
        <vt:i4>1310770</vt:i4>
      </vt:variant>
      <vt:variant>
        <vt:i4>438</vt:i4>
      </vt:variant>
      <vt:variant>
        <vt:i4>0</vt:i4>
      </vt:variant>
      <vt:variant>
        <vt:i4>5</vt:i4>
      </vt:variant>
      <vt:variant>
        <vt:lpwstr>https://www.ecfr.gov/cgi-bin/text-idx?SID=a32963af34d3c94b854882a21e8d77e9&amp;mc=true&amp;node=se2.1.200_1302&amp;rgn=div8</vt:lpwstr>
      </vt:variant>
      <vt:variant>
        <vt:lpwstr/>
      </vt:variant>
      <vt:variant>
        <vt:i4>1900596</vt:i4>
      </vt:variant>
      <vt:variant>
        <vt:i4>435</vt:i4>
      </vt:variant>
      <vt:variant>
        <vt:i4>0</vt:i4>
      </vt:variant>
      <vt:variant>
        <vt:i4>5</vt:i4>
      </vt:variant>
      <vt:variant>
        <vt:lpwstr/>
      </vt:variant>
      <vt:variant>
        <vt:lpwstr>_Toc468698127</vt:lpwstr>
      </vt:variant>
      <vt:variant>
        <vt:i4>4194325</vt:i4>
      </vt:variant>
      <vt:variant>
        <vt:i4>432</vt:i4>
      </vt:variant>
      <vt:variant>
        <vt:i4>0</vt:i4>
      </vt:variant>
      <vt:variant>
        <vt:i4>5</vt:i4>
      </vt:variant>
      <vt:variant>
        <vt:lpwstr>https://lincs.ed.gov/</vt:lpwstr>
      </vt:variant>
      <vt:variant>
        <vt:lpwstr/>
      </vt:variant>
      <vt:variant>
        <vt:i4>2228277</vt:i4>
      </vt:variant>
      <vt:variant>
        <vt:i4>429</vt:i4>
      </vt:variant>
      <vt:variant>
        <vt:i4>0</vt:i4>
      </vt:variant>
      <vt:variant>
        <vt:i4>5</vt:i4>
      </vt:variant>
      <vt:variant>
        <vt:lpwstr>https://www.collegetransition.org/</vt:lpwstr>
      </vt:variant>
      <vt:variant>
        <vt:lpwstr/>
      </vt:variant>
      <vt:variant>
        <vt:i4>4128810</vt:i4>
      </vt:variant>
      <vt:variant>
        <vt:i4>426</vt:i4>
      </vt:variant>
      <vt:variant>
        <vt:i4>0</vt:i4>
      </vt:variant>
      <vt:variant>
        <vt:i4>5</vt:i4>
      </vt:variant>
      <vt:variant>
        <vt:lpwstr>https://www.sabes.org/</vt:lpwstr>
      </vt:variant>
      <vt:variant>
        <vt:lpwstr/>
      </vt:variant>
      <vt:variant>
        <vt:i4>1900596</vt:i4>
      </vt:variant>
      <vt:variant>
        <vt:i4>423</vt:i4>
      </vt:variant>
      <vt:variant>
        <vt:i4>0</vt:i4>
      </vt:variant>
      <vt:variant>
        <vt:i4>5</vt:i4>
      </vt:variant>
      <vt:variant>
        <vt:lpwstr/>
      </vt:variant>
      <vt:variant>
        <vt:lpwstr>_Toc468698126</vt:lpwstr>
      </vt:variant>
      <vt:variant>
        <vt:i4>3276920</vt:i4>
      </vt:variant>
      <vt:variant>
        <vt:i4>420</vt:i4>
      </vt:variant>
      <vt:variant>
        <vt:i4>0</vt:i4>
      </vt:variant>
      <vt:variant>
        <vt:i4>5</vt:i4>
      </vt:variant>
      <vt:variant>
        <vt:lpwstr>https://www.sabes.org/pd-center/program-support</vt:lpwstr>
      </vt:variant>
      <vt:variant>
        <vt:lpwstr/>
      </vt:variant>
      <vt:variant>
        <vt:i4>5439560</vt:i4>
      </vt:variant>
      <vt:variant>
        <vt:i4>417</vt:i4>
      </vt:variant>
      <vt:variant>
        <vt:i4>0</vt:i4>
      </vt:variant>
      <vt:variant>
        <vt:i4>5</vt:i4>
      </vt:variant>
      <vt:variant>
        <vt:lpwstr>https://www.doe.mass.edu/acls/accountability/program-quality/</vt:lpwstr>
      </vt:variant>
      <vt:variant>
        <vt:lpwstr/>
      </vt:variant>
      <vt:variant>
        <vt:i4>6619199</vt:i4>
      </vt:variant>
      <vt:variant>
        <vt:i4>414</vt:i4>
      </vt:variant>
      <vt:variant>
        <vt:i4>0</vt:i4>
      </vt:variant>
      <vt:variant>
        <vt:i4>5</vt:i4>
      </vt:variant>
      <vt:variant>
        <vt:lpwstr>https://www.doe.mass.edu/acls/ecp/</vt:lpwstr>
      </vt:variant>
      <vt:variant>
        <vt:lpwstr/>
      </vt:variant>
      <vt:variant>
        <vt:i4>1900596</vt:i4>
      </vt:variant>
      <vt:variant>
        <vt:i4>411</vt:i4>
      </vt:variant>
      <vt:variant>
        <vt:i4>0</vt:i4>
      </vt:variant>
      <vt:variant>
        <vt:i4>5</vt:i4>
      </vt:variant>
      <vt:variant>
        <vt:lpwstr/>
      </vt:variant>
      <vt:variant>
        <vt:lpwstr>_Toc468698125</vt:lpwstr>
      </vt:variant>
      <vt:variant>
        <vt:i4>1900596</vt:i4>
      </vt:variant>
      <vt:variant>
        <vt:i4>408</vt:i4>
      </vt:variant>
      <vt:variant>
        <vt:i4>0</vt:i4>
      </vt:variant>
      <vt:variant>
        <vt:i4>5</vt:i4>
      </vt:variant>
      <vt:variant>
        <vt:lpwstr/>
      </vt:variant>
      <vt:variant>
        <vt:lpwstr>_Toc468698124</vt:lpwstr>
      </vt:variant>
      <vt:variant>
        <vt:i4>5308492</vt:i4>
      </vt:variant>
      <vt:variant>
        <vt:i4>405</vt:i4>
      </vt:variant>
      <vt:variant>
        <vt:i4>0</vt:i4>
      </vt:variant>
      <vt:variant>
        <vt:i4>5</vt:i4>
      </vt:variant>
      <vt:variant>
        <vt:lpwstr>https://www.mass.gov/service-details/local-plan-packages-by-area</vt:lpwstr>
      </vt:variant>
      <vt:variant>
        <vt:lpwstr/>
      </vt:variant>
      <vt:variant>
        <vt:i4>983060</vt:i4>
      </vt:variant>
      <vt:variant>
        <vt:i4>402</vt:i4>
      </vt:variant>
      <vt:variant>
        <vt:i4>0</vt:i4>
      </vt:variant>
      <vt:variant>
        <vt:i4>5</vt:i4>
      </vt:variant>
      <vt:variant>
        <vt:lpwstr>https://www.mass.gov/masshire-career-centers</vt:lpwstr>
      </vt:variant>
      <vt:variant>
        <vt:lpwstr/>
      </vt:variant>
      <vt:variant>
        <vt:i4>1114127</vt:i4>
      </vt:variant>
      <vt:variant>
        <vt:i4>399</vt:i4>
      </vt:variant>
      <vt:variant>
        <vt:i4>0</vt:i4>
      </vt:variant>
      <vt:variant>
        <vt:i4>5</vt:i4>
      </vt:variant>
      <vt:variant>
        <vt:lpwstr>https://www.mass.gov/service-details/connect-with-your-local-masshire-workforce-board</vt:lpwstr>
      </vt:variant>
      <vt:variant>
        <vt:lpwstr/>
      </vt:variant>
      <vt:variant>
        <vt:i4>4128810</vt:i4>
      </vt:variant>
      <vt:variant>
        <vt:i4>396</vt:i4>
      </vt:variant>
      <vt:variant>
        <vt:i4>0</vt:i4>
      </vt:variant>
      <vt:variant>
        <vt:i4>5</vt:i4>
      </vt:variant>
      <vt:variant>
        <vt:lpwstr>https://www.mass.gov/service-details/fy2022-fy2025-wioa-memorandum-of-understanding-mou</vt:lpwstr>
      </vt:variant>
      <vt:variant>
        <vt:lpwstr/>
      </vt:variant>
      <vt:variant>
        <vt:i4>3145834</vt:i4>
      </vt:variant>
      <vt:variant>
        <vt:i4>393</vt:i4>
      </vt:variant>
      <vt:variant>
        <vt:i4>0</vt:i4>
      </vt:variant>
      <vt:variant>
        <vt:i4>5</vt:i4>
      </vt:variant>
      <vt:variant>
        <vt:lpwstr>https://www.mass.gov/service-details/massworkforce-joint-partner-policy</vt:lpwstr>
      </vt:variant>
      <vt:variant>
        <vt:lpwstr/>
      </vt:variant>
      <vt:variant>
        <vt:i4>7274556</vt:i4>
      </vt:variant>
      <vt:variant>
        <vt:i4>390</vt:i4>
      </vt:variant>
      <vt:variant>
        <vt:i4>0</vt:i4>
      </vt:variant>
      <vt:variant>
        <vt:i4>5</vt:i4>
      </vt:variant>
      <vt:variant>
        <vt:lpwstr>http://www.doe.mass.edu/acls/wioa.html</vt:lpwstr>
      </vt:variant>
      <vt:variant>
        <vt:lpwstr/>
      </vt:variant>
      <vt:variant>
        <vt:i4>3145834</vt:i4>
      </vt:variant>
      <vt:variant>
        <vt:i4>387</vt:i4>
      </vt:variant>
      <vt:variant>
        <vt:i4>0</vt:i4>
      </vt:variant>
      <vt:variant>
        <vt:i4>5</vt:i4>
      </vt:variant>
      <vt:variant>
        <vt:lpwstr>https://www.mass.gov/service-details/massworkforce-joint-partner-policy</vt:lpwstr>
      </vt:variant>
      <vt:variant>
        <vt:lpwstr/>
      </vt:variant>
      <vt:variant>
        <vt:i4>1310750</vt:i4>
      </vt:variant>
      <vt:variant>
        <vt:i4>384</vt:i4>
      </vt:variant>
      <vt:variant>
        <vt:i4>0</vt:i4>
      </vt:variant>
      <vt:variant>
        <vt:i4>5</vt:i4>
      </vt:variant>
      <vt:variant>
        <vt:lpwstr>https://www.mass.gov/doc/fy2020-workforce-innovation-and-opportunity-act-wioa-massachusetts-combined-state-plan/download</vt:lpwstr>
      </vt:variant>
      <vt:variant>
        <vt:lpwstr/>
      </vt:variant>
      <vt:variant>
        <vt:i4>1114127</vt:i4>
      </vt:variant>
      <vt:variant>
        <vt:i4>381</vt:i4>
      </vt:variant>
      <vt:variant>
        <vt:i4>0</vt:i4>
      </vt:variant>
      <vt:variant>
        <vt:i4>5</vt:i4>
      </vt:variant>
      <vt:variant>
        <vt:lpwstr>https://www.mass.gov/service-details/connect-with-your-local-masshire-workforce-board</vt:lpwstr>
      </vt:variant>
      <vt:variant>
        <vt:lpwstr/>
      </vt:variant>
      <vt:variant>
        <vt:i4>1900596</vt:i4>
      </vt:variant>
      <vt:variant>
        <vt:i4>378</vt:i4>
      </vt:variant>
      <vt:variant>
        <vt:i4>0</vt:i4>
      </vt:variant>
      <vt:variant>
        <vt:i4>5</vt:i4>
      </vt:variant>
      <vt:variant>
        <vt:lpwstr/>
      </vt:variant>
      <vt:variant>
        <vt:lpwstr>_Toc468698122</vt:lpwstr>
      </vt:variant>
      <vt:variant>
        <vt:i4>2162720</vt:i4>
      </vt:variant>
      <vt:variant>
        <vt:i4>375</vt:i4>
      </vt:variant>
      <vt:variant>
        <vt:i4>0</vt:i4>
      </vt:variant>
      <vt:variant>
        <vt:i4>5</vt:i4>
      </vt:variant>
      <vt:variant>
        <vt:lpwstr>http://www.mass.gov/elders/</vt:lpwstr>
      </vt:variant>
      <vt:variant>
        <vt:lpwstr/>
      </vt:variant>
      <vt:variant>
        <vt:i4>4718663</vt:i4>
      </vt:variant>
      <vt:variant>
        <vt:i4>372</vt:i4>
      </vt:variant>
      <vt:variant>
        <vt:i4>0</vt:i4>
      </vt:variant>
      <vt:variant>
        <vt:i4>5</vt:i4>
      </vt:variant>
      <vt:variant>
        <vt:lpwstr>http://www.mass.gov/dppc/</vt:lpwstr>
      </vt:variant>
      <vt:variant>
        <vt:lpwstr/>
      </vt:variant>
      <vt:variant>
        <vt:i4>3211304</vt:i4>
      </vt:variant>
      <vt:variant>
        <vt:i4>369</vt:i4>
      </vt:variant>
      <vt:variant>
        <vt:i4>0</vt:i4>
      </vt:variant>
      <vt:variant>
        <vt:i4>5</vt:i4>
      </vt:variant>
      <vt:variant>
        <vt:lpwstr>http://www.mass.gov/eohhs/gov/departments/dcf/</vt:lpwstr>
      </vt:variant>
      <vt:variant>
        <vt:lpwstr/>
      </vt:variant>
      <vt:variant>
        <vt:i4>1310799</vt:i4>
      </vt:variant>
      <vt:variant>
        <vt:i4>366</vt:i4>
      </vt:variant>
      <vt:variant>
        <vt:i4>0</vt:i4>
      </vt:variant>
      <vt:variant>
        <vt:i4>5</vt:i4>
      </vt:variant>
      <vt:variant>
        <vt:lpwstr>https://www2.ed.gov/fund/grant/apply/appforms/gepa427.pdf</vt:lpwstr>
      </vt:variant>
      <vt:variant>
        <vt:lpwstr/>
      </vt:variant>
      <vt:variant>
        <vt:i4>3342406</vt:i4>
      </vt:variant>
      <vt:variant>
        <vt:i4>363</vt:i4>
      </vt:variant>
      <vt:variant>
        <vt:i4>0</vt:i4>
      </vt:variant>
      <vt:variant>
        <vt:i4>5</vt:i4>
      </vt:variant>
      <vt:variant>
        <vt:lpwstr>https://www.grantexperts.info/gepa_examples.php</vt:lpwstr>
      </vt:variant>
      <vt:variant>
        <vt:lpwstr/>
      </vt:variant>
      <vt:variant>
        <vt:i4>1310799</vt:i4>
      </vt:variant>
      <vt:variant>
        <vt:i4>360</vt:i4>
      </vt:variant>
      <vt:variant>
        <vt:i4>0</vt:i4>
      </vt:variant>
      <vt:variant>
        <vt:i4>5</vt:i4>
      </vt:variant>
      <vt:variant>
        <vt:lpwstr>https://www2.ed.gov/fund/grant/apply/appforms/gepa427.pdf</vt:lpwstr>
      </vt:variant>
      <vt:variant>
        <vt:lpwstr/>
      </vt:variant>
      <vt:variant>
        <vt:i4>2162802</vt:i4>
      </vt:variant>
      <vt:variant>
        <vt:i4>357</vt:i4>
      </vt:variant>
      <vt:variant>
        <vt:i4>0</vt:i4>
      </vt:variant>
      <vt:variant>
        <vt:i4>5</vt:i4>
      </vt:variant>
      <vt:variant>
        <vt:lpwstr>https://www.sabes.org/pd-center/ada-training-and-resources</vt:lpwstr>
      </vt:variant>
      <vt:variant>
        <vt:lpwstr/>
      </vt:variant>
      <vt:variant>
        <vt:i4>4325457</vt:i4>
      </vt:variant>
      <vt:variant>
        <vt:i4>354</vt:i4>
      </vt:variant>
      <vt:variant>
        <vt:i4>0</vt:i4>
      </vt:variant>
      <vt:variant>
        <vt:i4>5</vt:i4>
      </vt:variant>
      <vt:variant>
        <vt:lpwstr>https://www.ada.gov/</vt:lpwstr>
      </vt:variant>
      <vt:variant>
        <vt:lpwstr/>
      </vt:variant>
      <vt:variant>
        <vt:i4>5374037</vt:i4>
      </vt:variant>
      <vt:variant>
        <vt:i4>351</vt:i4>
      </vt:variant>
      <vt:variant>
        <vt:i4>0</vt:i4>
      </vt:variant>
      <vt:variant>
        <vt:i4>5</vt:i4>
      </vt:variant>
      <vt:variant>
        <vt:lpwstr>https://www2.ed.gov/about/offices/list/ocr/index.html</vt:lpwstr>
      </vt:variant>
      <vt:variant>
        <vt:lpwstr/>
      </vt:variant>
      <vt:variant>
        <vt:i4>6094918</vt:i4>
      </vt:variant>
      <vt:variant>
        <vt:i4>348</vt:i4>
      </vt:variant>
      <vt:variant>
        <vt:i4>0</vt:i4>
      </vt:variant>
      <vt:variant>
        <vt:i4>5</vt:i4>
      </vt:variant>
      <vt:variant>
        <vt:lpwstr>http://www.doe.mass.edu/acls/disability/default.html</vt:lpwstr>
      </vt:variant>
      <vt:variant>
        <vt:lpwstr/>
      </vt:variant>
      <vt:variant>
        <vt:i4>786501</vt:i4>
      </vt:variant>
      <vt:variant>
        <vt:i4>345</vt:i4>
      </vt:variant>
      <vt:variant>
        <vt:i4>0</vt:i4>
      </vt:variant>
      <vt:variant>
        <vt:i4>5</vt:i4>
      </vt:variant>
      <vt:variant>
        <vt:lpwstr>http://www.doe.mass.edu/acls/assessment/</vt:lpwstr>
      </vt:variant>
      <vt:variant>
        <vt:lpwstr/>
      </vt:variant>
      <vt:variant>
        <vt:i4>1835078</vt:i4>
      </vt:variant>
      <vt:variant>
        <vt:i4>342</vt:i4>
      </vt:variant>
      <vt:variant>
        <vt:i4>0</vt:i4>
      </vt:variant>
      <vt:variant>
        <vt:i4>5</vt:i4>
      </vt:variant>
      <vt:variant>
        <vt:lpwstr>http://www.doe.mass.edu/acls/laces/release-form/</vt:lpwstr>
      </vt:variant>
      <vt:variant>
        <vt:lpwstr/>
      </vt:variant>
      <vt:variant>
        <vt:i4>1572952</vt:i4>
      </vt:variant>
      <vt:variant>
        <vt:i4>339</vt:i4>
      </vt:variant>
      <vt:variant>
        <vt:i4>0</vt:i4>
      </vt:variant>
      <vt:variant>
        <vt:i4>5</vt:i4>
      </vt:variant>
      <vt:variant>
        <vt:lpwstr>https://laces.literacypro.com/laces/</vt:lpwstr>
      </vt:variant>
      <vt:variant>
        <vt:lpwstr/>
      </vt:variant>
      <vt:variant>
        <vt:i4>1572952</vt:i4>
      </vt:variant>
      <vt:variant>
        <vt:i4>336</vt:i4>
      </vt:variant>
      <vt:variant>
        <vt:i4>0</vt:i4>
      </vt:variant>
      <vt:variant>
        <vt:i4>5</vt:i4>
      </vt:variant>
      <vt:variant>
        <vt:lpwstr>https://laces.literacypro.com/laces/</vt:lpwstr>
      </vt:variant>
      <vt:variant>
        <vt:lpwstr/>
      </vt:variant>
      <vt:variant>
        <vt:i4>1572952</vt:i4>
      </vt:variant>
      <vt:variant>
        <vt:i4>333</vt:i4>
      </vt:variant>
      <vt:variant>
        <vt:i4>0</vt:i4>
      </vt:variant>
      <vt:variant>
        <vt:i4>5</vt:i4>
      </vt:variant>
      <vt:variant>
        <vt:lpwstr>https://laces.literacypro.com/laces/</vt:lpwstr>
      </vt:variant>
      <vt:variant>
        <vt:lpwstr/>
      </vt:variant>
      <vt:variant>
        <vt:i4>6553700</vt:i4>
      </vt:variant>
      <vt:variant>
        <vt:i4>330</vt:i4>
      </vt:variant>
      <vt:variant>
        <vt:i4>0</vt:i4>
      </vt:variant>
      <vt:variant>
        <vt:i4>5</vt:i4>
      </vt:variant>
      <vt:variant>
        <vt:lpwstr>http://www.doe.mass.edu/acls/laces/intake-form/</vt:lpwstr>
      </vt:variant>
      <vt:variant>
        <vt:lpwstr/>
      </vt:variant>
      <vt:variant>
        <vt:i4>1900596</vt:i4>
      </vt:variant>
      <vt:variant>
        <vt:i4>327</vt:i4>
      </vt:variant>
      <vt:variant>
        <vt:i4>0</vt:i4>
      </vt:variant>
      <vt:variant>
        <vt:i4>5</vt:i4>
      </vt:variant>
      <vt:variant>
        <vt:lpwstr/>
      </vt:variant>
      <vt:variant>
        <vt:lpwstr>_Toc468698121</vt:lpwstr>
      </vt:variant>
      <vt:variant>
        <vt:i4>1900596</vt:i4>
      </vt:variant>
      <vt:variant>
        <vt:i4>324</vt:i4>
      </vt:variant>
      <vt:variant>
        <vt:i4>0</vt:i4>
      </vt:variant>
      <vt:variant>
        <vt:i4>5</vt:i4>
      </vt:variant>
      <vt:variant>
        <vt:lpwstr/>
      </vt:variant>
      <vt:variant>
        <vt:lpwstr>_Toc468698121</vt:lpwstr>
      </vt:variant>
      <vt:variant>
        <vt:i4>7274556</vt:i4>
      </vt:variant>
      <vt:variant>
        <vt:i4>321</vt:i4>
      </vt:variant>
      <vt:variant>
        <vt:i4>0</vt:i4>
      </vt:variant>
      <vt:variant>
        <vt:i4>5</vt:i4>
      </vt:variant>
      <vt:variant>
        <vt:lpwstr>http://www.doe.mass.edu/acls/wioa.html</vt:lpwstr>
      </vt:variant>
      <vt:variant>
        <vt:lpwstr/>
      </vt:variant>
      <vt:variant>
        <vt:i4>3211314</vt:i4>
      </vt:variant>
      <vt:variant>
        <vt:i4>318</vt:i4>
      </vt:variant>
      <vt:variant>
        <vt:i4>0</vt:i4>
      </vt:variant>
      <vt:variant>
        <vt:i4>5</vt:i4>
      </vt:variant>
      <vt:variant>
        <vt:lpwstr>http://www.doleta.gov/WIOA</vt:lpwstr>
      </vt:variant>
      <vt:variant>
        <vt:lpwstr/>
      </vt:variant>
      <vt:variant>
        <vt:i4>3932276</vt:i4>
      </vt:variant>
      <vt:variant>
        <vt:i4>315</vt:i4>
      </vt:variant>
      <vt:variant>
        <vt:i4>0</vt:i4>
      </vt:variant>
      <vt:variant>
        <vt:i4>5</vt:i4>
      </vt:variant>
      <vt:variant>
        <vt:lpwstr>https://www.congress.gov/113/plaws/publ128/PLAW-113publ128.pdf</vt:lpwstr>
      </vt:variant>
      <vt:variant>
        <vt:lpwstr/>
      </vt:variant>
      <vt:variant>
        <vt:i4>1310750</vt:i4>
      </vt:variant>
      <vt:variant>
        <vt:i4>312</vt:i4>
      </vt:variant>
      <vt:variant>
        <vt:i4>0</vt:i4>
      </vt:variant>
      <vt:variant>
        <vt:i4>5</vt:i4>
      </vt:variant>
      <vt:variant>
        <vt:lpwstr>https://www.mass.gov/doc/fy2020-workforce-innovation-and-opportunity-act-wioa-massachusetts-combined-state-plan/download</vt:lpwstr>
      </vt:variant>
      <vt:variant>
        <vt:lpwstr/>
      </vt:variant>
      <vt:variant>
        <vt:i4>5439560</vt:i4>
      </vt:variant>
      <vt:variant>
        <vt:i4>309</vt:i4>
      </vt:variant>
      <vt:variant>
        <vt:i4>0</vt:i4>
      </vt:variant>
      <vt:variant>
        <vt:i4>5</vt:i4>
      </vt:variant>
      <vt:variant>
        <vt:lpwstr>https://www.doe.mass.edu/acls/accountability/program-quality/</vt:lpwstr>
      </vt:variant>
      <vt:variant>
        <vt:lpwstr/>
      </vt:variant>
      <vt:variant>
        <vt:i4>1310750</vt:i4>
      </vt:variant>
      <vt:variant>
        <vt:i4>306</vt:i4>
      </vt:variant>
      <vt:variant>
        <vt:i4>0</vt:i4>
      </vt:variant>
      <vt:variant>
        <vt:i4>5</vt:i4>
      </vt:variant>
      <vt:variant>
        <vt:lpwstr>https://www.mass.gov/doc/fy2020-workforce-innovation-and-opportunity-act-wioa-massachusetts-combined-state-plan/download</vt:lpwstr>
      </vt:variant>
      <vt:variant>
        <vt:lpwstr/>
      </vt:variant>
      <vt:variant>
        <vt:i4>6881319</vt:i4>
      </vt:variant>
      <vt:variant>
        <vt:i4>303</vt:i4>
      </vt:variant>
      <vt:variant>
        <vt:i4>0</vt:i4>
      </vt:variant>
      <vt:variant>
        <vt:i4>5</vt:i4>
      </vt:variant>
      <vt:variant>
        <vt:lpwstr>https://www.dol.gov/agencies/eta/wioa/</vt:lpwstr>
      </vt:variant>
      <vt:variant>
        <vt:lpwstr/>
      </vt:variant>
      <vt:variant>
        <vt:i4>4653059</vt:i4>
      </vt:variant>
      <vt:variant>
        <vt:i4>300</vt:i4>
      </vt:variant>
      <vt:variant>
        <vt:i4>0</vt:i4>
      </vt:variant>
      <vt:variant>
        <vt:i4>5</vt:i4>
      </vt:variant>
      <vt:variant>
        <vt:lpwstr>http://www.doe.mass.edu/acls/default.html</vt:lpwstr>
      </vt:variant>
      <vt:variant>
        <vt:lpwstr/>
      </vt:variant>
      <vt:variant>
        <vt:i4>1966163</vt:i4>
      </vt:variant>
      <vt:variant>
        <vt:i4>297</vt:i4>
      </vt:variant>
      <vt:variant>
        <vt:i4>0</vt:i4>
      </vt:variant>
      <vt:variant>
        <vt:i4>5</vt:i4>
      </vt:variant>
      <vt:variant>
        <vt:lpwstr>http://www.doe.mass.edu/acls/abeprogram/</vt:lpwstr>
      </vt:variant>
      <vt:variant>
        <vt:lpwstr/>
      </vt:variant>
      <vt:variant>
        <vt:i4>1572952</vt:i4>
      </vt:variant>
      <vt:variant>
        <vt:i4>294</vt:i4>
      </vt:variant>
      <vt:variant>
        <vt:i4>0</vt:i4>
      </vt:variant>
      <vt:variant>
        <vt:i4>5</vt:i4>
      </vt:variant>
      <vt:variant>
        <vt:lpwstr>https://laces.literacypro.com/laces/</vt:lpwstr>
      </vt:variant>
      <vt:variant>
        <vt:lpwstr/>
      </vt:variant>
      <vt:variant>
        <vt:i4>1966132</vt:i4>
      </vt:variant>
      <vt:variant>
        <vt:i4>287</vt:i4>
      </vt:variant>
      <vt:variant>
        <vt:i4>0</vt:i4>
      </vt:variant>
      <vt:variant>
        <vt:i4>5</vt:i4>
      </vt:variant>
      <vt:variant>
        <vt:lpwstr/>
      </vt:variant>
      <vt:variant>
        <vt:lpwstr>_Toc117504290</vt:lpwstr>
      </vt:variant>
      <vt:variant>
        <vt:i4>2031668</vt:i4>
      </vt:variant>
      <vt:variant>
        <vt:i4>281</vt:i4>
      </vt:variant>
      <vt:variant>
        <vt:i4>0</vt:i4>
      </vt:variant>
      <vt:variant>
        <vt:i4>5</vt:i4>
      </vt:variant>
      <vt:variant>
        <vt:lpwstr/>
      </vt:variant>
      <vt:variant>
        <vt:lpwstr>_Toc117504289</vt:lpwstr>
      </vt:variant>
      <vt:variant>
        <vt:i4>2031668</vt:i4>
      </vt:variant>
      <vt:variant>
        <vt:i4>275</vt:i4>
      </vt:variant>
      <vt:variant>
        <vt:i4>0</vt:i4>
      </vt:variant>
      <vt:variant>
        <vt:i4>5</vt:i4>
      </vt:variant>
      <vt:variant>
        <vt:lpwstr/>
      </vt:variant>
      <vt:variant>
        <vt:lpwstr>_Toc117504288</vt:lpwstr>
      </vt:variant>
      <vt:variant>
        <vt:i4>2031668</vt:i4>
      </vt:variant>
      <vt:variant>
        <vt:i4>269</vt:i4>
      </vt:variant>
      <vt:variant>
        <vt:i4>0</vt:i4>
      </vt:variant>
      <vt:variant>
        <vt:i4>5</vt:i4>
      </vt:variant>
      <vt:variant>
        <vt:lpwstr/>
      </vt:variant>
      <vt:variant>
        <vt:lpwstr>_Toc117504287</vt:lpwstr>
      </vt:variant>
      <vt:variant>
        <vt:i4>2031668</vt:i4>
      </vt:variant>
      <vt:variant>
        <vt:i4>263</vt:i4>
      </vt:variant>
      <vt:variant>
        <vt:i4>0</vt:i4>
      </vt:variant>
      <vt:variant>
        <vt:i4>5</vt:i4>
      </vt:variant>
      <vt:variant>
        <vt:lpwstr/>
      </vt:variant>
      <vt:variant>
        <vt:lpwstr>_Toc117504286</vt:lpwstr>
      </vt:variant>
      <vt:variant>
        <vt:i4>2031668</vt:i4>
      </vt:variant>
      <vt:variant>
        <vt:i4>257</vt:i4>
      </vt:variant>
      <vt:variant>
        <vt:i4>0</vt:i4>
      </vt:variant>
      <vt:variant>
        <vt:i4>5</vt:i4>
      </vt:variant>
      <vt:variant>
        <vt:lpwstr/>
      </vt:variant>
      <vt:variant>
        <vt:lpwstr>_Toc117504285</vt:lpwstr>
      </vt:variant>
      <vt:variant>
        <vt:i4>2031668</vt:i4>
      </vt:variant>
      <vt:variant>
        <vt:i4>251</vt:i4>
      </vt:variant>
      <vt:variant>
        <vt:i4>0</vt:i4>
      </vt:variant>
      <vt:variant>
        <vt:i4>5</vt:i4>
      </vt:variant>
      <vt:variant>
        <vt:lpwstr/>
      </vt:variant>
      <vt:variant>
        <vt:lpwstr>_Toc117504284</vt:lpwstr>
      </vt:variant>
      <vt:variant>
        <vt:i4>2031668</vt:i4>
      </vt:variant>
      <vt:variant>
        <vt:i4>245</vt:i4>
      </vt:variant>
      <vt:variant>
        <vt:i4>0</vt:i4>
      </vt:variant>
      <vt:variant>
        <vt:i4>5</vt:i4>
      </vt:variant>
      <vt:variant>
        <vt:lpwstr/>
      </vt:variant>
      <vt:variant>
        <vt:lpwstr>_Toc117504283</vt:lpwstr>
      </vt:variant>
      <vt:variant>
        <vt:i4>2031668</vt:i4>
      </vt:variant>
      <vt:variant>
        <vt:i4>239</vt:i4>
      </vt:variant>
      <vt:variant>
        <vt:i4>0</vt:i4>
      </vt:variant>
      <vt:variant>
        <vt:i4>5</vt:i4>
      </vt:variant>
      <vt:variant>
        <vt:lpwstr/>
      </vt:variant>
      <vt:variant>
        <vt:lpwstr>_Toc117504282</vt:lpwstr>
      </vt:variant>
      <vt:variant>
        <vt:i4>2031668</vt:i4>
      </vt:variant>
      <vt:variant>
        <vt:i4>233</vt:i4>
      </vt:variant>
      <vt:variant>
        <vt:i4>0</vt:i4>
      </vt:variant>
      <vt:variant>
        <vt:i4>5</vt:i4>
      </vt:variant>
      <vt:variant>
        <vt:lpwstr/>
      </vt:variant>
      <vt:variant>
        <vt:lpwstr>_Toc117504281</vt:lpwstr>
      </vt:variant>
      <vt:variant>
        <vt:i4>2031668</vt:i4>
      </vt:variant>
      <vt:variant>
        <vt:i4>227</vt:i4>
      </vt:variant>
      <vt:variant>
        <vt:i4>0</vt:i4>
      </vt:variant>
      <vt:variant>
        <vt:i4>5</vt:i4>
      </vt:variant>
      <vt:variant>
        <vt:lpwstr/>
      </vt:variant>
      <vt:variant>
        <vt:lpwstr>_Toc117504280</vt:lpwstr>
      </vt:variant>
      <vt:variant>
        <vt:i4>1048628</vt:i4>
      </vt:variant>
      <vt:variant>
        <vt:i4>221</vt:i4>
      </vt:variant>
      <vt:variant>
        <vt:i4>0</vt:i4>
      </vt:variant>
      <vt:variant>
        <vt:i4>5</vt:i4>
      </vt:variant>
      <vt:variant>
        <vt:lpwstr/>
      </vt:variant>
      <vt:variant>
        <vt:lpwstr>_Toc117504279</vt:lpwstr>
      </vt:variant>
      <vt:variant>
        <vt:i4>1048628</vt:i4>
      </vt:variant>
      <vt:variant>
        <vt:i4>215</vt:i4>
      </vt:variant>
      <vt:variant>
        <vt:i4>0</vt:i4>
      </vt:variant>
      <vt:variant>
        <vt:i4>5</vt:i4>
      </vt:variant>
      <vt:variant>
        <vt:lpwstr/>
      </vt:variant>
      <vt:variant>
        <vt:lpwstr>_Toc117504278</vt:lpwstr>
      </vt:variant>
      <vt:variant>
        <vt:i4>1048628</vt:i4>
      </vt:variant>
      <vt:variant>
        <vt:i4>209</vt:i4>
      </vt:variant>
      <vt:variant>
        <vt:i4>0</vt:i4>
      </vt:variant>
      <vt:variant>
        <vt:i4>5</vt:i4>
      </vt:variant>
      <vt:variant>
        <vt:lpwstr/>
      </vt:variant>
      <vt:variant>
        <vt:lpwstr>_Toc117504277</vt:lpwstr>
      </vt:variant>
      <vt:variant>
        <vt:i4>1048628</vt:i4>
      </vt:variant>
      <vt:variant>
        <vt:i4>203</vt:i4>
      </vt:variant>
      <vt:variant>
        <vt:i4>0</vt:i4>
      </vt:variant>
      <vt:variant>
        <vt:i4>5</vt:i4>
      </vt:variant>
      <vt:variant>
        <vt:lpwstr/>
      </vt:variant>
      <vt:variant>
        <vt:lpwstr>_Toc117504276</vt:lpwstr>
      </vt:variant>
      <vt:variant>
        <vt:i4>1048628</vt:i4>
      </vt:variant>
      <vt:variant>
        <vt:i4>197</vt:i4>
      </vt:variant>
      <vt:variant>
        <vt:i4>0</vt:i4>
      </vt:variant>
      <vt:variant>
        <vt:i4>5</vt:i4>
      </vt:variant>
      <vt:variant>
        <vt:lpwstr/>
      </vt:variant>
      <vt:variant>
        <vt:lpwstr>_Toc117504275</vt:lpwstr>
      </vt:variant>
      <vt:variant>
        <vt:i4>1048628</vt:i4>
      </vt:variant>
      <vt:variant>
        <vt:i4>191</vt:i4>
      </vt:variant>
      <vt:variant>
        <vt:i4>0</vt:i4>
      </vt:variant>
      <vt:variant>
        <vt:i4>5</vt:i4>
      </vt:variant>
      <vt:variant>
        <vt:lpwstr/>
      </vt:variant>
      <vt:variant>
        <vt:lpwstr>_Toc117504274</vt:lpwstr>
      </vt:variant>
      <vt:variant>
        <vt:i4>1048628</vt:i4>
      </vt:variant>
      <vt:variant>
        <vt:i4>185</vt:i4>
      </vt:variant>
      <vt:variant>
        <vt:i4>0</vt:i4>
      </vt:variant>
      <vt:variant>
        <vt:i4>5</vt:i4>
      </vt:variant>
      <vt:variant>
        <vt:lpwstr/>
      </vt:variant>
      <vt:variant>
        <vt:lpwstr>_Toc117504273</vt:lpwstr>
      </vt:variant>
      <vt:variant>
        <vt:i4>1048628</vt:i4>
      </vt:variant>
      <vt:variant>
        <vt:i4>179</vt:i4>
      </vt:variant>
      <vt:variant>
        <vt:i4>0</vt:i4>
      </vt:variant>
      <vt:variant>
        <vt:i4>5</vt:i4>
      </vt:variant>
      <vt:variant>
        <vt:lpwstr/>
      </vt:variant>
      <vt:variant>
        <vt:lpwstr>_Toc117504272</vt:lpwstr>
      </vt:variant>
      <vt:variant>
        <vt:i4>1048628</vt:i4>
      </vt:variant>
      <vt:variant>
        <vt:i4>173</vt:i4>
      </vt:variant>
      <vt:variant>
        <vt:i4>0</vt:i4>
      </vt:variant>
      <vt:variant>
        <vt:i4>5</vt:i4>
      </vt:variant>
      <vt:variant>
        <vt:lpwstr/>
      </vt:variant>
      <vt:variant>
        <vt:lpwstr>_Toc117504271</vt:lpwstr>
      </vt:variant>
      <vt:variant>
        <vt:i4>1048628</vt:i4>
      </vt:variant>
      <vt:variant>
        <vt:i4>167</vt:i4>
      </vt:variant>
      <vt:variant>
        <vt:i4>0</vt:i4>
      </vt:variant>
      <vt:variant>
        <vt:i4>5</vt:i4>
      </vt:variant>
      <vt:variant>
        <vt:lpwstr/>
      </vt:variant>
      <vt:variant>
        <vt:lpwstr>_Toc117504270</vt:lpwstr>
      </vt:variant>
      <vt:variant>
        <vt:i4>1114164</vt:i4>
      </vt:variant>
      <vt:variant>
        <vt:i4>161</vt:i4>
      </vt:variant>
      <vt:variant>
        <vt:i4>0</vt:i4>
      </vt:variant>
      <vt:variant>
        <vt:i4>5</vt:i4>
      </vt:variant>
      <vt:variant>
        <vt:lpwstr/>
      </vt:variant>
      <vt:variant>
        <vt:lpwstr>_Toc117504269</vt:lpwstr>
      </vt:variant>
      <vt:variant>
        <vt:i4>1114164</vt:i4>
      </vt:variant>
      <vt:variant>
        <vt:i4>155</vt:i4>
      </vt:variant>
      <vt:variant>
        <vt:i4>0</vt:i4>
      </vt:variant>
      <vt:variant>
        <vt:i4>5</vt:i4>
      </vt:variant>
      <vt:variant>
        <vt:lpwstr/>
      </vt:variant>
      <vt:variant>
        <vt:lpwstr>_Toc117504268</vt:lpwstr>
      </vt:variant>
      <vt:variant>
        <vt:i4>1114164</vt:i4>
      </vt:variant>
      <vt:variant>
        <vt:i4>149</vt:i4>
      </vt:variant>
      <vt:variant>
        <vt:i4>0</vt:i4>
      </vt:variant>
      <vt:variant>
        <vt:i4>5</vt:i4>
      </vt:variant>
      <vt:variant>
        <vt:lpwstr/>
      </vt:variant>
      <vt:variant>
        <vt:lpwstr>_Toc117504267</vt:lpwstr>
      </vt:variant>
      <vt:variant>
        <vt:i4>1114164</vt:i4>
      </vt:variant>
      <vt:variant>
        <vt:i4>143</vt:i4>
      </vt:variant>
      <vt:variant>
        <vt:i4>0</vt:i4>
      </vt:variant>
      <vt:variant>
        <vt:i4>5</vt:i4>
      </vt:variant>
      <vt:variant>
        <vt:lpwstr/>
      </vt:variant>
      <vt:variant>
        <vt:lpwstr>_Toc117504266</vt:lpwstr>
      </vt:variant>
      <vt:variant>
        <vt:i4>1114164</vt:i4>
      </vt:variant>
      <vt:variant>
        <vt:i4>137</vt:i4>
      </vt:variant>
      <vt:variant>
        <vt:i4>0</vt:i4>
      </vt:variant>
      <vt:variant>
        <vt:i4>5</vt:i4>
      </vt:variant>
      <vt:variant>
        <vt:lpwstr/>
      </vt:variant>
      <vt:variant>
        <vt:lpwstr>_Toc117504265</vt:lpwstr>
      </vt:variant>
      <vt:variant>
        <vt:i4>1114164</vt:i4>
      </vt:variant>
      <vt:variant>
        <vt:i4>131</vt:i4>
      </vt:variant>
      <vt:variant>
        <vt:i4>0</vt:i4>
      </vt:variant>
      <vt:variant>
        <vt:i4>5</vt:i4>
      </vt:variant>
      <vt:variant>
        <vt:lpwstr/>
      </vt:variant>
      <vt:variant>
        <vt:lpwstr>_Toc117504264</vt:lpwstr>
      </vt:variant>
      <vt:variant>
        <vt:i4>1114164</vt:i4>
      </vt:variant>
      <vt:variant>
        <vt:i4>125</vt:i4>
      </vt:variant>
      <vt:variant>
        <vt:i4>0</vt:i4>
      </vt:variant>
      <vt:variant>
        <vt:i4>5</vt:i4>
      </vt:variant>
      <vt:variant>
        <vt:lpwstr/>
      </vt:variant>
      <vt:variant>
        <vt:lpwstr>_Toc117504263</vt:lpwstr>
      </vt:variant>
      <vt:variant>
        <vt:i4>1114164</vt:i4>
      </vt:variant>
      <vt:variant>
        <vt:i4>119</vt:i4>
      </vt:variant>
      <vt:variant>
        <vt:i4>0</vt:i4>
      </vt:variant>
      <vt:variant>
        <vt:i4>5</vt:i4>
      </vt:variant>
      <vt:variant>
        <vt:lpwstr/>
      </vt:variant>
      <vt:variant>
        <vt:lpwstr>_Toc117504262</vt:lpwstr>
      </vt:variant>
      <vt:variant>
        <vt:i4>1114164</vt:i4>
      </vt:variant>
      <vt:variant>
        <vt:i4>113</vt:i4>
      </vt:variant>
      <vt:variant>
        <vt:i4>0</vt:i4>
      </vt:variant>
      <vt:variant>
        <vt:i4>5</vt:i4>
      </vt:variant>
      <vt:variant>
        <vt:lpwstr/>
      </vt:variant>
      <vt:variant>
        <vt:lpwstr>_Toc117504261</vt:lpwstr>
      </vt:variant>
      <vt:variant>
        <vt:i4>1114164</vt:i4>
      </vt:variant>
      <vt:variant>
        <vt:i4>107</vt:i4>
      </vt:variant>
      <vt:variant>
        <vt:i4>0</vt:i4>
      </vt:variant>
      <vt:variant>
        <vt:i4>5</vt:i4>
      </vt:variant>
      <vt:variant>
        <vt:lpwstr/>
      </vt:variant>
      <vt:variant>
        <vt:lpwstr>_Toc117504260</vt:lpwstr>
      </vt:variant>
      <vt:variant>
        <vt:i4>1179700</vt:i4>
      </vt:variant>
      <vt:variant>
        <vt:i4>101</vt:i4>
      </vt:variant>
      <vt:variant>
        <vt:i4>0</vt:i4>
      </vt:variant>
      <vt:variant>
        <vt:i4>5</vt:i4>
      </vt:variant>
      <vt:variant>
        <vt:lpwstr/>
      </vt:variant>
      <vt:variant>
        <vt:lpwstr>_Toc117504259</vt:lpwstr>
      </vt:variant>
      <vt:variant>
        <vt:i4>1179700</vt:i4>
      </vt:variant>
      <vt:variant>
        <vt:i4>95</vt:i4>
      </vt:variant>
      <vt:variant>
        <vt:i4>0</vt:i4>
      </vt:variant>
      <vt:variant>
        <vt:i4>5</vt:i4>
      </vt:variant>
      <vt:variant>
        <vt:lpwstr/>
      </vt:variant>
      <vt:variant>
        <vt:lpwstr>_Toc117504258</vt:lpwstr>
      </vt:variant>
      <vt:variant>
        <vt:i4>1179700</vt:i4>
      </vt:variant>
      <vt:variant>
        <vt:i4>89</vt:i4>
      </vt:variant>
      <vt:variant>
        <vt:i4>0</vt:i4>
      </vt:variant>
      <vt:variant>
        <vt:i4>5</vt:i4>
      </vt:variant>
      <vt:variant>
        <vt:lpwstr/>
      </vt:variant>
      <vt:variant>
        <vt:lpwstr>_Toc117504257</vt:lpwstr>
      </vt:variant>
      <vt:variant>
        <vt:i4>1179700</vt:i4>
      </vt:variant>
      <vt:variant>
        <vt:i4>83</vt:i4>
      </vt:variant>
      <vt:variant>
        <vt:i4>0</vt:i4>
      </vt:variant>
      <vt:variant>
        <vt:i4>5</vt:i4>
      </vt:variant>
      <vt:variant>
        <vt:lpwstr/>
      </vt:variant>
      <vt:variant>
        <vt:lpwstr>_Toc117504256</vt:lpwstr>
      </vt:variant>
      <vt:variant>
        <vt:i4>1179700</vt:i4>
      </vt:variant>
      <vt:variant>
        <vt:i4>77</vt:i4>
      </vt:variant>
      <vt:variant>
        <vt:i4>0</vt:i4>
      </vt:variant>
      <vt:variant>
        <vt:i4>5</vt:i4>
      </vt:variant>
      <vt:variant>
        <vt:lpwstr/>
      </vt:variant>
      <vt:variant>
        <vt:lpwstr>_Toc117504255</vt:lpwstr>
      </vt:variant>
      <vt:variant>
        <vt:i4>1179700</vt:i4>
      </vt:variant>
      <vt:variant>
        <vt:i4>71</vt:i4>
      </vt:variant>
      <vt:variant>
        <vt:i4>0</vt:i4>
      </vt:variant>
      <vt:variant>
        <vt:i4>5</vt:i4>
      </vt:variant>
      <vt:variant>
        <vt:lpwstr/>
      </vt:variant>
      <vt:variant>
        <vt:lpwstr>_Toc117504254</vt:lpwstr>
      </vt:variant>
      <vt:variant>
        <vt:i4>1179700</vt:i4>
      </vt:variant>
      <vt:variant>
        <vt:i4>65</vt:i4>
      </vt:variant>
      <vt:variant>
        <vt:i4>0</vt:i4>
      </vt:variant>
      <vt:variant>
        <vt:i4>5</vt:i4>
      </vt:variant>
      <vt:variant>
        <vt:lpwstr/>
      </vt:variant>
      <vt:variant>
        <vt:lpwstr>_Toc117504253</vt:lpwstr>
      </vt:variant>
      <vt:variant>
        <vt:i4>1179700</vt:i4>
      </vt:variant>
      <vt:variant>
        <vt:i4>59</vt:i4>
      </vt:variant>
      <vt:variant>
        <vt:i4>0</vt:i4>
      </vt:variant>
      <vt:variant>
        <vt:i4>5</vt:i4>
      </vt:variant>
      <vt:variant>
        <vt:lpwstr/>
      </vt:variant>
      <vt:variant>
        <vt:lpwstr>_Toc117504252</vt:lpwstr>
      </vt:variant>
      <vt:variant>
        <vt:i4>1179700</vt:i4>
      </vt:variant>
      <vt:variant>
        <vt:i4>53</vt:i4>
      </vt:variant>
      <vt:variant>
        <vt:i4>0</vt:i4>
      </vt:variant>
      <vt:variant>
        <vt:i4>5</vt:i4>
      </vt:variant>
      <vt:variant>
        <vt:lpwstr/>
      </vt:variant>
      <vt:variant>
        <vt:lpwstr>_Toc117504251</vt:lpwstr>
      </vt:variant>
      <vt:variant>
        <vt:i4>1179700</vt:i4>
      </vt:variant>
      <vt:variant>
        <vt:i4>47</vt:i4>
      </vt:variant>
      <vt:variant>
        <vt:i4>0</vt:i4>
      </vt:variant>
      <vt:variant>
        <vt:i4>5</vt:i4>
      </vt:variant>
      <vt:variant>
        <vt:lpwstr/>
      </vt:variant>
      <vt:variant>
        <vt:lpwstr>_Toc117504250</vt:lpwstr>
      </vt:variant>
      <vt:variant>
        <vt:i4>1245236</vt:i4>
      </vt:variant>
      <vt:variant>
        <vt:i4>41</vt:i4>
      </vt:variant>
      <vt:variant>
        <vt:i4>0</vt:i4>
      </vt:variant>
      <vt:variant>
        <vt:i4>5</vt:i4>
      </vt:variant>
      <vt:variant>
        <vt:lpwstr/>
      </vt:variant>
      <vt:variant>
        <vt:lpwstr>_Toc117504249</vt:lpwstr>
      </vt:variant>
      <vt:variant>
        <vt:i4>1245236</vt:i4>
      </vt:variant>
      <vt:variant>
        <vt:i4>35</vt:i4>
      </vt:variant>
      <vt:variant>
        <vt:i4>0</vt:i4>
      </vt:variant>
      <vt:variant>
        <vt:i4>5</vt:i4>
      </vt:variant>
      <vt:variant>
        <vt:lpwstr/>
      </vt:variant>
      <vt:variant>
        <vt:lpwstr>_Toc117504248</vt:lpwstr>
      </vt:variant>
      <vt:variant>
        <vt:i4>1245236</vt:i4>
      </vt:variant>
      <vt:variant>
        <vt:i4>29</vt:i4>
      </vt:variant>
      <vt:variant>
        <vt:i4>0</vt:i4>
      </vt:variant>
      <vt:variant>
        <vt:i4>5</vt:i4>
      </vt:variant>
      <vt:variant>
        <vt:lpwstr/>
      </vt:variant>
      <vt:variant>
        <vt:lpwstr>_Toc117504247</vt:lpwstr>
      </vt:variant>
      <vt:variant>
        <vt:i4>1245236</vt:i4>
      </vt:variant>
      <vt:variant>
        <vt:i4>23</vt:i4>
      </vt:variant>
      <vt:variant>
        <vt:i4>0</vt:i4>
      </vt:variant>
      <vt:variant>
        <vt:i4>5</vt:i4>
      </vt:variant>
      <vt:variant>
        <vt:lpwstr/>
      </vt:variant>
      <vt:variant>
        <vt:lpwstr>_Toc117504246</vt:lpwstr>
      </vt:variant>
      <vt:variant>
        <vt:i4>1245236</vt:i4>
      </vt:variant>
      <vt:variant>
        <vt:i4>17</vt:i4>
      </vt:variant>
      <vt:variant>
        <vt:i4>0</vt:i4>
      </vt:variant>
      <vt:variant>
        <vt:i4>5</vt:i4>
      </vt:variant>
      <vt:variant>
        <vt:lpwstr/>
      </vt:variant>
      <vt:variant>
        <vt:lpwstr>_Toc117504245</vt:lpwstr>
      </vt:variant>
      <vt:variant>
        <vt:i4>1245236</vt:i4>
      </vt:variant>
      <vt:variant>
        <vt:i4>11</vt:i4>
      </vt:variant>
      <vt:variant>
        <vt:i4>0</vt:i4>
      </vt:variant>
      <vt:variant>
        <vt:i4>5</vt:i4>
      </vt:variant>
      <vt:variant>
        <vt:lpwstr/>
      </vt:variant>
      <vt:variant>
        <vt:lpwstr>_Toc117504244</vt:lpwstr>
      </vt:variant>
      <vt:variant>
        <vt:i4>1245236</vt:i4>
      </vt:variant>
      <vt:variant>
        <vt:i4>5</vt:i4>
      </vt:variant>
      <vt:variant>
        <vt:i4>0</vt:i4>
      </vt:variant>
      <vt:variant>
        <vt:i4>5</vt:i4>
      </vt:variant>
      <vt:variant>
        <vt:lpwstr/>
      </vt:variant>
      <vt:variant>
        <vt:lpwstr>_Toc117504243</vt:lpwstr>
      </vt:variant>
      <vt:variant>
        <vt:i4>4259870</vt:i4>
      </vt:variant>
      <vt:variant>
        <vt:i4>0</vt:i4>
      </vt:variant>
      <vt:variant>
        <vt:i4>0</vt:i4>
      </vt:variant>
      <vt:variant>
        <vt:i4>5</vt:i4>
      </vt:variant>
      <vt:variant>
        <vt:lpwstr>http://www.doe.mass.edu/acls</vt:lpwstr>
      </vt:variant>
      <vt:variant>
        <vt:lpwstr/>
      </vt:variant>
      <vt:variant>
        <vt:i4>7864366</vt:i4>
      </vt:variant>
      <vt:variant>
        <vt:i4>0</vt:i4>
      </vt:variant>
      <vt:variant>
        <vt:i4>0</vt:i4>
      </vt:variant>
      <vt:variant>
        <vt:i4>5</vt:i4>
      </vt:variant>
      <vt:variant>
        <vt:lpwstr>https://www.ecfr.gov/cgi-bin/text-idx?SID=393301a7cdccca1ea71f18aae51824e7&amp;node=34:1.1.1.1.23&amp;rgn=div5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FC668 Transition to College ADD INFO Policies for Effective Transition to College</dc:title>
  <dc:subject/>
  <dc:creator>DESE</dc:creator>
  <cp:keywords/>
  <dc:description/>
  <cp:lastModifiedBy>Zou, Dong (EOE)</cp:lastModifiedBy>
  <cp:revision>285</cp:revision>
  <cp:lastPrinted>2019-10-28T17:27:00Z</cp:lastPrinted>
  <dcterms:created xsi:type="dcterms:W3CDTF">2022-07-26T19:59:00Z</dcterms:created>
  <dcterms:modified xsi:type="dcterms:W3CDTF">2022-12-21T15:25:00Z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