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2862"/>
        <w:gridCol w:w="2628"/>
      </w:tblGrid>
      <w:tr w:rsidR="00410797" w14:paraId="0C3258D4" w14:textId="77777777" w:rsidTr="0C95981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63620AA5" w:rsidR="00410797" w:rsidRDefault="00410797" w:rsidP="317A0D0D">
            <w:pPr>
              <w:spacing w:after="120"/>
              <w:rPr>
                <w:b/>
                <w:bCs/>
                <w:sz w:val="22"/>
                <w:szCs w:val="22"/>
              </w:rPr>
            </w:pPr>
            <w:r w:rsidRPr="317A0D0D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EB38AE3" w:rsidR="00410797" w:rsidRPr="006667D8" w:rsidRDefault="006667D8" w:rsidP="317A0D0D">
            <w:pPr>
              <w:pStyle w:val="Heading1"/>
              <w:rPr>
                <w:sz w:val="22"/>
                <w:szCs w:val="22"/>
              </w:rPr>
            </w:pPr>
            <w:r w:rsidRPr="317A0D0D">
              <w:rPr>
                <w:sz w:val="22"/>
                <w:szCs w:val="22"/>
              </w:rPr>
              <w:t>Investigating History Expansion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0A90410" w:rsidR="00410797" w:rsidRPr="006667D8" w:rsidRDefault="00410797" w:rsidP="317A0D0D">
            <w:pPr>
              <w:spacing w:after="120"/>
              <w:rPr>
                <w:b/>
                <w:bCs/>
                <w:sz w:val="22"/>
                <w:szCs w:val="22"/>
              </w:rPr>
            </w:pPr>
            <w:r w:rsidRPr="317A0D0D">
              <w:rPr>
                <w:b/>
                <w:bCs/>
                <w:sz w:val="22"/>
                <w:szCs w:val="22"/>
              </w:rPr>
              <w:t>FUND CODE:</w:t>
            </w:r>
            <w:r w:rsidR="00372996" w:rsidRPr="317A0D0D">
              <w:rPr>
                <w:sz w:val="22"/>
                <w:szCs w:val="22"/>
              </w:rPr>
              <w:t xml:space="preserve"> </w:t>
            </w:r>
            <w:r w:rsidR="006667D8" w:rsidRPr="317A0D0D">
              <w:rPr>
                <w:sz w:val="22"/>
                <w:szCs w:val="22"/>
              </w:rPr>
              <w:t>0116/0206</w:t>
            </w:r>
          </w:p>
        </w:tc>
      </w:tr>
      <w:tr w:rsidR="00410797" w14:paraId="16366702" w14:textId="77777777" w:rsidTr="0C95981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68ED27D8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816F9F4" w:rsidR="006667D8" w:rsidRPr="0099126C" w:rsidRDefault="00B41618" w:rsidP="007B2582">
            <w:pPr>
              <w:spacing w:after="120"/>
              <w:jc w:val="both"/>
              <w:rPr>
                <w:sz w:val="22"/>
              </w:rPr>
            </w:pPr>
            <w:r w:rsidRPr="0099126C">
              <w:rPr>
                <w:sz w:val="22"/>
              </w:rPr>
              <w:t>$</w:t>
            </w:r>
            <w:r w:rsidR="008231B4" w:rsidRPr="0099126C">
              <w:rPr>
                <w:sz w:val="22"/>
              </w:rPr>
              <w:t>334,600</w:t>
            </w:r>
            <w:r w:rsidRPr="0099126C">
              <w:rPr>
                <w:sz w:val="22"/>
              </w:rPr>
              <w:t xml:space="preserve"> [</w:t>
            </w:r>
            <w:r w:rsidR="006667D8" w:rsidRPr="0099126C">
              <w:rPr>
                <w:sz w:val="22"/>
              </w:rPr>
              <w:t>FC 0116: $</w:t>
            </w:r>
            <w:r w:rsidR="009A6E5E" w:rsidRPr="0099126C">
              <w:rPr>
                <w:sz w:val="22"/>
              </w:rPr>
              <w:t>63,700</w:t>
            </w:r>
            <w:r w:rsidR="006667D8" w:rsidRPr="0099126C">
              <w:rPr>
                <w:sz w:val="22"/>
              </w:rPr>
              <w:t xml:space="preserve"> (State)</w:t>
            </w:r>
            <w:r w:rsidR="00F4039B" w:rsidRPr="0099126C">
              <w:rPr>
                <w:sz w:val="22"/>
              </w:rPr>
              <w:t xml:space="preserve">; </w:t>
            </w:r>
            <w:r w:rsidR="006667D8" w:rsidRPr="0099126C">
              <w:rPr>
                <w:sz w:val="22"/>
              </w:rPr>
              <w:t>FC 0206: $</w:t>
            </w:r>
            <w:r w:rsidR="00652E3A" w:rsidRPr="0099126C">
              <w:rPr>
                <w:sz w:val="22"/>
              </w:rPr>
              <w:t>270,900</w:t>
            </w:r>
            <w:r w:rsidR="006667D8" w:rsidRPr="0099126C">
              <w:rPr>
                <w:sz w:val="22"/>
              </w:rPr>
              <w:t xml:space="preserve"> (Federal)</w:t>
            </w:r>
            <w:r w:rsidRPr="0099126C">
              <w:rPr>
                <w:sz w:val="22"/>
              </w:rPr>
              <w:t>]</w:t>
            </w:r>
          </w:p>
        </w:tc>
      </w:tr>
      <w:tr w:rsidR="00410797" w14:paraId="3F43B3FC" w14:textId="77777777" w:rsidTr="0C95981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BAF1AB0" w:rsidR="00410797" w:rsidRPr="0099126C" w:rsidRDefault="00B41618" w:rsidP="317A0D0D">
            <w:pPr>
              <w:spacing w:after="120"/>
              <w:jc w:val="both"/>
              <w:rPr>
                <w:sz w:val="22"/>
                <w:szCs w:val="22"/>
              </w:rPr>
            </w:pPr>
            <w:r w:rsidRPr="0099126C">
              <w:rPr>
                <w:sz w:val="22"/>
                <w:szCs w:val="22"/>
              </w:rPr>
              <w:t>$</w:t>
            </w:r>
            <w:r w:rsidR="00B93D55" w:rsidRPr="0099126C">
              <w:rPr>
                <w:sz w:val="22"/>
                <w:szCs w:val="22"/>
              </w:rPr>
              <w:t>522,451.50</w:t>
            </w:r>
            <w:r w:rsidRPr="0099126C">
              <w:rPr>
                <w:sz w:val="22"/>
                <w:szCs w:val="22"/>
              </w:rPr>
              <w:t xml:space="preserve"> [</w:t>
            </w:r>
            <w:r w:rsidR="006667D8" w:rsidRPr="0099126C">
              <w:rPr>
                <w:sz w:val="22"/>
                <w:szCs w:val="22"/>
              </w:rPr>
              <w:t>FC 0116: $</w:t>
            </w:r>
            <w:r w:rsidR="002C20E4" w:rsidRPr="0099126C">
              <w:rPr>
                <w:sz w:val="22"/>
                <w:szCs w:val="22"/>
              </w:rPr>
              <w:t>166,151.50</w:t>
            </w:r>
            <w:r w:rsidR="00F4039B" w:rsidRPr="0099126C">
              <w:rPr>
                <w:sz w:val="22"/>
                <w:szCs w:val="22"/>
              </w:rPr>
              <w:t xml:space="preserve">; </w:t>
            </w:r>
            <w:r w:rsidR="006667D8" w:rsidRPr="0099126C">
              <w:rPr>
                <w:sz w:val="22"/>
                <w:szCs w:val="22"/>
              </w:rPr>
              <w:t>FC 0206: $</w:t>
            </w:r>
            <w:r w:rsidR="003E07AC" w:rsidRPr="0099126C">
              <w:rPr>
                <w:sz w:val="22"/>
                <w:szCs w:val="22"/>
              </w:rPr>
              <w:t>356,300</w:t>
            </w:r>
            <w:r w:rsidRPr="0099126C">
              <w:rPr>
                <w:sz w:val="22"/>
                <w:szCs w:val="22"/>
              </w:rPr>
              <w:t>]</w:t>
            </w:r>
            <w:r w:rsidR="00372996" w:rsidRPr="0099126C">
              <w:rPr>
                <w:sz w:val="22"/>
                <w:szCs w:val="22"/>
              </w:rPr>
              <w:t xml:space="preserve">  </w:t>
            </w:r>
          </w:p>
        </w:tc>
      </w:tr>
      <w:tr w:rsidR="00410797" w14:paraId="30AE8315" w14:textId="77777777" w:rsidTr="0C95981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CB5CAB4" w:rsidR="00410797" w:rsidRPr="00EA53E3" w:rsidRDefault="00410797" w:rsidP="317A0D0D">
            <w:pPr>
              <w:spacing w:after="120"/>
              <w:jc w:val="both"/>
              <w:rPr>
                <w:sz w:val="22"/>
                <w:szCs w:val="22"/>
              </w:rPr>
            </w:pPr>
            <w:r w:rsidRPr="317A0D0D">
              <w:rPr>
                <w:b/>
                <w:bCs/>
                <w:sz w:val="22"/>
                <w:szCs w:val="22"/>
              </w:rPr>
              <w:t xml:space="preserve">PURPOSE: </w:t>
            </w:r>
            <w:r w:rsidR="00EA53E3" w:rsidRPr="317A0D0D">
              <w:rPr>
                <w:sz w:val="22"/>
                <w:szCs w:val="22"/>
              </w:rPr>
              <w:t xml:space="preserve">This grant is intended to support the </w:t>
            </w:r>
            <w:r w:rsidR="001A7107" w:rsidRPr="317A0D0D">
              <w:rPr>
                <w:sz w:val="22"/>
                <w:szCs w:val="22"/>
              </w:rPr>
              <w:t>initial adoption</w:t>
            </w:r>
            <w:r w:rsidR="00EA53E3" w:rsidRPr="317A0D0D">
              <w:rPr>
                <w:sz w:val="22"/>
                <w:szCs w:val="22"/>
              </w:rPr>
              <w:t xml:space="preserve"> (FC 0206) and</w:t>
            </w:r>
            <w:r w:rsidR="001A7107" w:rsidRPr="317A0D0D">
              <w:rPr>
                <w:sz w:val="22"/>
                <w:szCs w:val="22"/>
              </w:rPr>
              <w:t xml:space="preserve"> further</w:t>
            </w:r>
            <w:r w:rsidR="00EA53E3" w:rsidRPr="317A0D0D">
              <w:rPr>
                <w:sz w:val="22"/>
                <w:szCs w:val="22"/>
              </w:rPr>
              <w:t xml:space="preserve"> implementation (FC 0116) of DESE’s Investigating History curriculum for grades 5-7 through supporting the cost of professional learning and curricular materials. </w:t>
            </w:r>
            <w:r w:rsidR="00E245FE" w:rsidRPr="317A0D0D">
              <w:rPr>
                <w:sz w:val="22"/>
                <w:szCs w:val="22"/>
              </w:rPr>
              <w:t>FC 0116</w:t>
            </w:r>
            <w:r w:rsidR="00F4039B" w:rsidRPr="317A0D0D">
              <w:rPr>
                <w:sz w:val="22"/>
                <w:szCs w:val="22"/>
              </w:rPr>
              <w:t>, which provides support for districts already using Investigating History,</w:t>
            </w:r>
            <w:r w:rsidR="00E245FE" w:rsidRPr="317A0D0D">
              <w:rPr>
                <w:sz w:val="22"/>
                <w:szCs w:val="22"/>
              </w:rPr>
              <w:t xml:space="preserve"> is funded </w:t>
            </w:r>
            <w:r w:rsidR="6525C7DC" w:rsidRPr="317A0D0D">
              <w:rPr>
                <w:sz w:val="22"/>
                <w:szCs w:val="22"/>
              </w:rPr>
              <w:t>with support of</w:t>
            </w:r>
            <w:r w:rsidR="00E245FE" w:rsidRPr="317A0D0D">
              <w:rPr>
                <w:sz w:val="22"/>
                <w:szCs w:val="22"/>
              </w:rPr>
              <w:t xml:space="preserve"> the One8 Foundation.</w:t>
            </w:r>
          </w:p>
        </w:tc>
      </w:tr>
      <w:tr w:rsidR="00410797" w14:paraId="6559C0FA" w14:textId="77777777" w:rsidTr="0C959818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1E781DE" w:rsidR="005B143F" w:rsidRPr="005B143F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6667D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A07CD98" w:rsidR="004705DD" w:rsidRDefault="00B41618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59 </w:t>
            </w:r>
            <w:r>
              <w:rPr>
                <w:sz w:val="22"/>
              </w:rPr>
              <w:t>[</w:t>
            </w:r>
            <w:r w:rsidR="004705DD">
              <w:rPr>
                <w:sz w:val="22"/>
              </w:rPr>
              <w:t>FC 0116: 16</w:t>
            </w:r>
            <w:r w:rsidR="00F4039B">
              <w:rPr>
                <w:sz w:val="22"/>
              </w:rPr>
              <w:t xml:space="preserve">; </w:t>
            </w:r>
            <w:r w:rsidR="004705DD">
              <w:rPr>
                <w:sz w:val="22"/>
              </w:rPr>
              <w:t xml:space="preserve">FC 0206: </w:t>
            </w:r>
            <w:r w:rsidR="00F4039B">
              <w:rPr>
                <w:sz w:val="22"/>
              </w:rPr>
              <w:t>43</w:t>
            </w:r>
            <w:r>
              <w:rPr>
                <w:sz w:val="22"/>
              </w:rPr>
              <w:t>]</w:t>
            </w:r>
          </w:p>
        </w:tc>
      </w:tr>
      <w:tr w:rsidR="00410797" w14:paraId="761730FA" w14:textId="77777777" w:rsidTr="0C959818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E045EC5" w:rsidR="00410797" w:rsidRPr="006667D8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6667D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97FC7AF" w:rsidR="00F4039B" w:rsidRDefault="002F215F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42</w:t>
            </w:r>
            <w:r w:rsidR="00B41618">
              <w:rPr>
                <w:b/>
                <w:bCs/>
                <w:sz w:val="22"/>
              </w:rPr>
              <w:t xml:space="preserve"> </w:t>
            </w:r>
            <w:r w:rsidR="00B41618">
              <w:rPr>
                <w:sz w:val="22"/>
              </w:rPr>
              <w:t>[</w:t>
            </w:r>
            <w:r w:rsidR="00F4039B">
              <w:rPr>
                <w:sz w:val="22"/>
              </w:rPr>
              <w:t xml:space="preserve">FC 0116: </w:t>
            </w:r>
            <w:r>
              <w:rPr>
                <w:sz w:val="22"/>
              </w:rPr>
              <w:t>10</w:t>
            </w:r>
            <w:r w:rsidR="00F4039B">
              <w:rPr>
                <w:sz w:val="22"/>
              </w:rPr>
              <w:t xml:space="preserve">; FC 0206: </w:t>
            </w:r>
            <w:r w:rsidR="00652E3A">
              <w:rPr>
                <w:sz w:val="22"/>
              </w:rPr>
              <w:t>32</w:t>
            </w:r>
            <w:r w:rsidR="00B41618">
              <w:rPr>
                <w:sz w:val="22"/>
              </w:rPr>
              <w:t>]</w:t>
            </w:r>
          </w:p>
        </w:tc>
      </w:tr>
      <w:tr w:rsidR="00410797" w14:paraId="794D6562" w14:textId="77777777" w:rsidTr="0C959818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 w:rsidP="0C95981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C959818">
              <w:rPr>
                <w:b/>
                <w:bCs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1FE6374" w:rsidR="00410797" w:rsidRDefault="002F215F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  <w:r w:rsidR="00B41618">
              <w:rPr>
                <w:b/>
                <w:bCs/>
                <w:sz w:val="22"/>
              </w:rPr>
              <w:t xml:space="preserve"> </w:t>
            </w:r>
            <w:r w:rsidR="00B41618">
              <w:rPr>
                <w:sz w:val="22"/>
              </w:rPr>
              <w:t>[</w:t>
            </w:r>
            <w:r w:rsidR="00F4039B">
              <w:rPr>
                <w:sz w:val="22"/>
              </w:rPr>
              <w:t xml:space="preserve">FC 0116: </w:t>
            </w:r>
            <w:r>
              <w:rPr>
                <w:sz w:val="22"/>
              </w:rPr>
              <w:t>6</w:t>
            </w:r>
            <w:r w:rsidR="00F4039B">
              <w:rPr>
                <w:sz w:val="22"/>
              </w:rPr>
              <w:t xml:space="preserve">; FC 0206: </w:t>
            </w:r>
            <w:r w:rsidR="00652E3A">
              <w:rPr>
                <w:sz w:val="22"/>
              </w:rPr>
              <w:t>11</w:t>
            </w:r>
            <w:r w:rsidR="00B41618">
              <w:rPr>
                <w:sz w:val="22"/>
              </w:rPr>
              <w:t>]</w:t>
            </w:r>
          </w:p>
        </w:tc>
      </w:tr>
      <w:tr w:rsidR="00410797" w14:paraId="6A89E767" w14:textId="77777777" w:rsidTr="0C95981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5F4B4E0E" w:rsidR="00410797" w:rsidRDefault="00410797" w:rsidP="317A0D0D">
            <w:pPr>
              <w:rPr>
                <w:b/>
                <w:bCs/>
                <w:sz w:val="22"/>
                <w:szCs w:val="22"/>
              </w:rPr>
            </w:pPr>
            <w:r w:rsidRPr="317A0D0D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1A7107" w:rsidRPr="317A0D0D">
              <w:rPr>
                <w:sz w:val="22"/>
                <w:szCs w:val="22"/>
              </w:rPr>
              <w:t xml:space="preserve">This grant will support </w:t>
            </w:r>
            <w:r w:rsidR="002F215F">
              <w:rPr>
                <w:sz w:val="22"/>
                <w:szCs w:val="22"/>
              </w:rPr>
              <w:t>42</w:t>
            </w:r>
            <w:r w:rsidR="001A7107" w:rsidRPr="317A0D0D">
              <w:rPr>
                <w:sz w:val="22"/>
                <w:szCs w:val="22"/>
              </w:rPr>
              <w:t xml:space="preserve"> Local Education Agencies (LEAs) and approximately </w:t>
            </w:r>
            <w:r w:rsidR="00BC422B">
              <w:rPr>
                <w:sz w:val="22"/>
                <w:szCs w:val="22"/>
              </w:rPr>
              <w:t>500</w:t>
            </w:r>
            <w:r w:rsidR="001A7107" w:rsidRPr="317A0D0D">
              <w:rPr>
                <w:sz w:val="22"/>
                <w:szCs w:val="22"/>
              </w:rPr>
              <w:t xml:space="preserve"> teachers across approximately </w:t>
            </w:r>
            <w:r w:rsidR="005E11FD">
              <w:rPr>
                <w:sz w:val="22"/>
                <w:szCs w:val="22"/>
              </w:rPr>
              <w:t>100</w:t>
            </w:r>
            <w:r w:rsidR="001A7107" w:rsidRPr="317A0D0D">
              <w:rPr>
                <w:sz w:val="22"/>
                <w:szCs w:val="22"/>
              </w:rPr>
              <w:t xml:space="preserve"> schools with the costs of implementing DESE’s Investigating History curriculum across grades 5, 6, and/or 7 in the 2024-2025 school year. FC 0116 awards</w:t>
            </w:r>
            <w:r w:rsidR="00BD2594" w:rsidRPr="317A0D0D">
              <w:rPr>
                <w:sz w:val="22"/>
                <w:szCs w:val="22"/>
              </w:rPr>
              <w:t xml:space="preserve"> to LEAs already using Investigating History</w:t>
            </w:r>
            <w:r w:rsidR="001A7107" w:rsidRPr="317A0D0D">
              <w:rPr>
                <w:sz w:val="22"/>
                <w:szCs w:val="22"/>
              </w:rPr>
              <w:t xml:space="preserve">, which range from </w:t>
            </w:r>
            <w:r w:rsidR="002F215F">
              <w:rPr>
                <w:sz w:val="22"/>
                <w:szCs w:val="22"/>
              </w:rPr>
              <w:t>$1,400</w:t>
            </w:r>
            <w:r w:rsidR="001A7107" w:rsidRPr="317A0D0D">
              <w:rPr>
                <w:sz w:val="22"/>
                <w:szCs w:val="22"/>
              </w:rPr>
              <w:t xml:space="preserve"> to </w:t>
            </w:r>
            <w:r w:rsidR="002F215F">
              <w:rPr>
                <w:sz w:val="22"/>
                <w:szCs w:val="22"/>
              </w:rPr>
              <w:t>$22,750</w:t>
            </w:r>
            <w:r w:rsidR="001A7107" w:rsidRPr="317A0D0D">
              <w:rPr>
                <w:sz w:val="22"/>
                <w:szCs w:val="22"/>
              </w:rPr>
              <w:t xml:space="preserve">, will support educators’ attendance at statewide professional development institutes </w:t>
            </w:r>
            <w:r w:rsidR="0C326533" w:rsidRPr="317A0D0D">
              <w:rPr>
                <w:sz w:val="22"/>
                <w:szCs w:val="22"/>
              </w:rPr>
              <w:t xml:space="preserve">organized </w:t>
            </w:r>
            <w:r w:rsidR="001A7107" w:rsidRPr="317A0D0D">
              <w:rPr>
                <w:sz w:val="22"/>
                <w:szCs w:val="22"/>
              </w:rPr>
              <w:t>by the One8 Foundation. FC 0206 awards</w:t>
            </w:r>
            <w:r w:rsidR="00BD2594" w:rsidRPr="317A0D0D">
              <w:rPr>
                <w:sz w:val="22"/>
                <w:szCs w:val="22"/>
              </w:rPr>
              <w:t xml:space="preserve"> to LEAs adopting Investigating History for the first time</w:t>
            </w:r>
            <w:r w:rsidR="001A7107" w:rsidRPr="317A0D0D">
              <w:rPr>
                <w:sz w:val="22"/>
                <w:szCs w:val="22"/>
              </w:rPr>
              <w:t xml:space="preserve">, which range from </w:t>
            </w:r>
            <w:r w:rsidR="005F3085">
              <w:rPr>
                <w:sz w:val="22"/>
                <w:szCs w:val="22"/>
              </w:rPr>
              <w:t>$1,600</w:t>
            </w:r>
            <w:r w:rsidR="001A7107" w:rsidRPr="317A0D0D">
              <w:rPr>
                <w:sz w:val="22"/>
                <w:szCs w:val="22"/>
              </w:rPr>
              <w:t xml:space="preserve"> to </w:t>
            </w:r>
            <w:r w:rsidR="005F3085">
              <w:rPr>
                <w:sz w:val="22"/>
                <w:szCs w:val="22"/>
              </w:rPr>
              <w:t>$38,000</w:t>
            </w:r>
            <w:r w:rsidR="001A7107" w:rsidRPr="317A0D0D">
              <w:rPr>
                <w:sz w:val="22"/>
                <w:szCs w:val="22"/>
              </w:rPr>
              <w:t>, are intended to cover the costs of providing teachers and administrators with high-quality, curriculum-based professional development to support the initial adoption of a small number of Investigating History units in 2024-2025</w:t>
            </w:r>
            <w:r w:rsidR="00BD2594" w:rsidRPr="317A0D0D">
              <w:rPr>
                <w:sz w:val="22"/>
                <w:szCs w:val="22"/>
              </w:rPr>
              <w:t xml:space="preserve">, </w:t>
            </w:r>
            <w:r w:rsidR="001A7107" w:rsidRPr="317A0D0D">
              <w:rPr>
                <w:sz w:val="22"/>
                <w:szCs w:val="22"/>
              </w:rPr>
              <w:t xml:space="preserve">as well as to cover additional costs related to the purchase of hard-copy materials. Ultimately, this grant will provide thousands of students across Massachusetts with inquiry-based, culturally sustaining history/social science instruction that empowers </w:t>
            </w:r>
            <w:r w:rsidR="006E72A4">
              <w:rPr>
                <w:sz w:val="22"/>
                <w:szCs w:val="22"/>
              </w:rPr>
              <w:t xml:space="preserve">them </w:t>
            </w:r>
            <w:r w:rsidR="001A7107" w:rsidRPr="317A0D0D">
              <w:rPr>
                <w:sz w:val="22"/>
                <w:szCs w:val="22"/>
              </w:rPr>
              <w:t>with civic knowledge, skills, and dispositions.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1942AEF4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7D7134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C6E8B47" w:rsidR="00410797" w:rsidRDefault="0099126C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99126C">
              <w:rPr>
                <w:b/>
                <w:bCs/>
                <w:sz w:val="22"/>
              </w:rPr>
              <w:t>FC 0116</w:t>
            </w:r>
            <w:r>
              <w:rPr>
                <w:sz w:val="22"/>
              </w:rPr>
              <w:t xml:space="preserve"> </w:t>
            </w:r>
            <w:r w:rsidR="00410797">
              <w:rPr>
                <w:b/>
                <w:snapToGrid w:val="0"/>
                <w:color w:val="000000"/>
                <w:sz w:val="22"/>
              </w:rPr>
              <w:t>RECIPIENTS</w:t>
            </w: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D7134" w14:paraId="2557505B" w14:textId="77777777" w:rsidTr="007D713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4BE046C5" w:rsidR="007D7134" w:rsidRPr="007D7134" w:rsidRDefault="007D7134" w:rsidP="007D7134">
            <w:pPr>
              <w:spacing w:before="20" w:after="20"/>
              <w:rPr>
                <w:b/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Argosy Collegiate Charter School (District)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1FD7EDA" w:rsidR="007D7134" w:rsidRPr="007D7134" w:rsidRDefault="007D7134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$1,750</w:t>
            </w:r>
          </w:p>
        </w:tc>
      </w:tr>
      <w:tr w:rsidR="007D7134" w14:paraId="41529082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7607C310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Attleboro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F5FD59D" w:rsidR="007D7134" w:rsidRPr="007D7134" w:rsidRDefault="007D7134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$9,450</w:t>
            </w:r>
          </w:p>
        </w:tc>
      </w:tr>
      <w:tr w:rsidR="007D7134" w14:paraId="4338704C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1B3D869F" w:rsidR="007D7134" w:rsidRPr="007D7134" w:rsidRDefault="007D7134" w:rsidP="007D7134">
            <w:pPr>
              <w:spacing w:before="20" w:after="20"/>
              <w:rPr>
                <w:b/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Greenfield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295BF862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$1,750</w:t>
            </w:r>
          </w:p>
        </w:tc>
      </w:tr>
      <w:tr w:rsidR="007D7134" w14:paraId="34AB2A19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226242A7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Narragansett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3A0C33E9" w:rsidR="007D7134" w:rsidRPr="007D7134" w:rsidRDefault="007D7134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</w:t>
            </w:r>
            <w:r w:rsidR="00D432F1">
              <w:rPr>
                <w:sz w:val="22"/>
                <w:szCs w:val="22"/>
              </w:rPr>
              <w:t>400</w:t>
            </w:r>
          </w:p>
        </w:tc>
      </w:tr>
      <w:tr w:rsidR="007D7134" w14:paraId="7EE361BA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2EA3BFAF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North Middlesex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7235EEB1" w:rsidR="007D7134" w:rsidRPr="007D7134" w:rsidRDefault="007D7134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D432F1">
              <w:rPr>
                <w:sz w:val="22"/>
                <w:szCs w:val="22"/>
              </w:rPr>
              <w:t>11,200</w:t>
            </w:r>
          </w:p>
        </w:tc>
      </w:tr>
      <w:tr w:rsidR="007D7134" w14:paraId="5E06D2ED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5AFD6D32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Salem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375B3D76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$3,150</w:t>
            </w:r>
          </w:p>
        </w:tc>
      </w:tr>
      <w:tr w:rsidR="007D7134" w14:paraId="5E65AE64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47530216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Taunton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1DC5C26D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$22,750</w:t>
            </w:r>
          </w:p>
        </w:tc>
      </w:tr>
      <w:tr w:rsidR="007D7134" w14:paraId="7E142AFE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5683E78C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UP Academy Charter School of Dorchester (District)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1C28E797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$6,300</w:t>
            </w:r>
          </w:p>
        </w:tc>
      </w:tr>
      <w:tr w:rsidR="007D7134" w14:paraId="6AC07A10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1D56D2BC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Uxbridge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626C62B3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$2,800</w:t>
            </w:r>
          </w:p>
        </w:tc>
      </w:tr>
      <w:tr w:rsidR="007D7134" w14:paraId="3CF1775C" w14:textId="77777777" w:rsidTr="007D713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26DF26DA" w:rsidR="007D7134" w:rsidRPr="007D7134" w:rsidRDefault="007D7134" w:rsidP="007D7134">
            <w:pPr>
              <w:spacing w:before="20" w:after="20"/>
              <w:rPr>
                <w:sz w:val="22"/>
                <w:szCs w:val="22"/>
              </w:rPr>
            </w:pPr>
            <w:r w:rsidRPr="007D7134">
              <w:rPr>
                <w:sz w:val="22"/>
                <w:szCs w:val="22"/>
              </w:rPr>
              <w:t>Winchendon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41F902AC" w:rsidR="007D7134" w:rsidRPr="007D7134" w:rsidRDefault="00D432F1" w:rsidP="007D713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$3,150</w:t>
            </w:r>
          </w:p>
        </w:tc>
      </w:tr>
      <w:tr w:rsidR="00372996" w14:paraId="1AE7CC78" w14:textId="77777777" w:rsidTr="007D7134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107CD73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94E44F3" w:rsidR="00372996" w:rsidRPr="0099126C" w:rsidRDefault="00573B7F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99126C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9A6E5E" w:rsidRPr="0099126C">
              <w:rPr>
                <w:b/>
                <w:bCs/>
                <w:snapToGrid w:val="0"/>
                <w:color w:val="000000"/>
                <w:sz w:val="22"/>
                <w:szCs w:val="21"/>
              </w:rPr>
              <w:t>63,700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p w14:paraId="249B023D" w14:textId="5C91F746" w:rsidR="007B7466" w:rsidRDefault="007B7466" w:rsidP="007B7466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7B7466" w14:paraId="754AC3CB" w14:textId="77777777" w:rsidTr="00596268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B19D53" w14:textId="407A4F44" w:rsidR="007B7466" w:rsidRDefault="0099126C" w:rsidP="00CA486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99126C">
              <w:rPr>
                <w:b/>
                <w:bCs/>
                <w:sz w:val="22"/>
              </w:rPr>
              <w:t>FC 0206</w:t>
            </w:r>
            <w:r>
              <w:rPr>
                <w:sz w:val="22"/>
              </w:rPr>
              <w:t xml:space="preserve"> </w:t>
            </w:r>
            <w:r w:rsidR="007B7466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ED57B6" w14:textId="77777777" w:rsidR="007B7466" w:rsidRDefault="007B7466" w:rsidP="00CA4867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6E72A4" w14:paraId="1BCE4250" w14:textId="77777777" w:rsidTr="00ED131C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64B6A" w14:textId="03566E82" w:rsidR="006E72A4" w:rsidRPr="006E72A4" w:rsidRDefault="006E72A4" w:rsidP="006E72A4">
            <w:pPr>
              <w:spacing w:before="20" w:after="20"/>
              <w:rPr>
                <w:b/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Agawam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80756" w14:textId="5304449E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$12,000</w:t>
            </w:r>
          </w:p>
        </w:tc>
      </w:tr>
      <w:tr w:rsidR="006E72A4" w14:paraId="70DFEC65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2C942" w14:textId="25DA1066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Ashburnham-Westminster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FCCC7" w14:textId="65C94859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$9,600</w:t>
            </w:r>
          </w:p>
        </w:tc>
      </w:tr>
      <w:tr w:rsidR="006E72A4" w14:paraId="157DA02B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CD381" w14:textId="39B3E21C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Auburn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ADC99" w14:textId="75E96E32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$13,000</w:t>
            </w:r>
          </w:p>
        </w:tc>
      </w:tr>
      <w:tr w:rsidR="006E72A4" w14:paraId="1835989A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64925" w14:textId="44F629D5" w:rsidR="006E72A4" w:rsidRPr="006E72A4" w:rsidRDefault="006E72A4" w:rsidP="006E72A4">
            <w:pPr>
              <w:spacing w:before="20" w:after="20"/>
              <w:rPr>
                <w:b/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Ayer Shirley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0DAC5" w14:textId="17357BA3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$7,000</w:t>
            </w:r>
          </w:p>
        </w:tc>
      </w:tr>
      <w:tr w:rsidR="006E72A4" w14:paraId="1E286619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C0809" w14:textId="32AFAC2B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3D3509" w14:textId="79D4DF46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$3,000</w:t>
            </w:r>
          </w:p>
        </w:tc>
      </w:tr>
      <w:tr w:rsidR="006E72A4" w14:paraId="2202CA3B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E1A008" w14:textId="186CB4A8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Bridge Boston Charter School (District)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5094F" w14:textId="76867012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$2,000</w:t>
            </w:r>
          </w:p>
        </w:tc>
      </w:tr>
      <w:tr w:rsidR="006E72A4" w14:paraId="3839FE49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50B8E" w14:textId="1D5B4C01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Bridgewater-Raynham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92EED" w14:textId="1E865542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$5,000</w:t>
            </w:r>
          </w:p>
        </w:tc>
      </w:tr>
      <w:tr w:rsidR="006E72A4" w14:paraId="448C94B0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CF53D" w14:textId="527F73F7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Chesterfield-Goshen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8D9E8" w14:textId="22817C0D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$2,000</w:t>
            </w:r>
          </w:p>
        </w:tc>
      </w:tr>
      <w:tr w:rsidR="006E72A4" w14:paraId="713B77EF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10412" w14:textId="7E90AE02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Freetown-Lakeville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6021A" w14:textId="5C80C59A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$4,000</w:t>
            </w:r>
          </w:p>
        </w:tc>
      </w:tr>
      <w:tr w:rsidR="006E72A4" w14:paraId="2AE4FE61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4F986" w14:textId="0F70766B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Gloucester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53A28" w14:textId="53299EB4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$14,000</w:t>
            </w:r>
          </w:p>
        </w:tc>
      </w:tr>
      <w:tr w:rsidR="006E72A4" w14:paraId="14A4AD99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F8DA8" w14:textId="687BABBA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lastRenderedPageBreak/>
              <w:t>Hoosac Valley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A2545" w14:textId="7EBA3F98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$2,400</w:t>
            </w:r>
          </w:p>
        </w:tc>
      </w:tr>
      <w:tr w:rsidR="006E72A4" w14:paraId="309A84C4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47EC8" w14:textId="6B77FBFF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A07AFA" w14:textId="4A26B31D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$11,000</w:t>
            </w:r>
          </w:p>
        </w:tc>
      </w:tr>
      <w:tr w:rsidR="006E72A4" w14:paraId="71A06FFF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412AB" w14:textId="750B6862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ACFE30" w14:textId="49B233FB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$37,800</w:t>
            </w:r>
          </w:p>
        </w:tc>
      </w:tr>
      <w:tr w:rsidR="006E72A4" w14:paraId="55D506E2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F56D84" w14:textId="51B07674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Malden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73FBE" w14:textId="5480F2DB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$6,700</w:t>
            </w:r>
          </w:p>
        </w:tc>
      </w:tr>
      <w:tr w:rsidR="006E72A4" w14:paraId="42AA81C8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5E20B" w14:textId="79BD2DE8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Match Charter Public School (District)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DA6F3" w14:textId="71F1B11E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$4,000</w:t>
            </w:r>
          </w:p>
        </w:tc>
      </w:tr>
      <w:tr w:rsidR="006E72A4" w14:paraId="6D6739FB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1B6C4" w14:textId="69972174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D4043" w14:textId="6024CBE0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$2,000</w:t>
            </w:r>
          </w:p>
        </w:tc>
      </w:tr>
      <w:tr w:rsidR="006E72A4" w14:paraId="4720EB60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844C0" w14:textId="65EB48DD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Millis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24940" w14:textId="7EAE3380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$4,000</w:t>
            </w:r>
          </w:p>
        </w:tc>
      </w:tr>
      <w:tr w:rsidR="006E72A4" w14:paraId="71A17D01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B0A153" w14:textId="0E572B71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Nashoba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29BF6D" w14:textId="7BFAC19D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$2,000</w:t>
            </w:r>
          </w:p>
        </w:tc>
      </w:tr>
      <w:tr w:rsidR="006E72A4" w14:paraId="0BCAFDCD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58958" w14:textId="412A49C5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New Bedford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2EA16" w14:textId="5DE297A6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$38,000</w:t>
            </w:r>
          </w:p>
        </w:tc>
      </w:tr>
      <w:tr w:rsidR="006E72A4" w14:paraId="5E96A902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7509B" w14:textId="0E5CDB7E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North Reading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5C0773" w14:textId="58E09FA2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$6,600</w:t>
            </w:r>
          </w:p>
        </w:tc>
      </w:tr>
      <w:tr w:rsidR="006E72A4" w14:paraId="1836E566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DE9096" w14:textId="1B5D2AD8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Northbridge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DA2AE" w14:textId="3C58EC02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$9,000</w:t>
            </w:r>
          </w:p>
        </w:tc>
      </w:tr>
      <w:tr w:rsidR="006E72A4" w14:paraId="7E3328F9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B3B05" w14:textId="6041718A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Norwood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3F4CE" w14:textId="3A62E09E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$13,350</w:t>
            </w:r>
          </w:p>
        </w:tc>
      </w:tr>
      <w:tr w:rsidR="006E72A4" w14:paraId="0BF15F3E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7C3C3" w14:textId="49ADA980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Peabody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DB83A" w14:textId="7E4FE9B5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$17,800</w:t>
            </w:r>
          </w:p>
        </w:tc>
      </w:tr>
      <w:tr w:rsidR="006E72A4" w14:paraId="7799D836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DF7CA7" w14:textId="264C82B2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Pioneer Valley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DF62D" w14:textId="5AC5BC90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$5,000</w:t>
            </w:r>
          </w:p>
        </w:tc>
      </w:tr>
      <w:tr w:rsidR="006E72A4" w14:paraId="5FFB712F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198D" w14:textId="603EAF6B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proofErr w:type="spellStart"/>
            <w:r w:rsidRPr="006E72A4">
              <w:rPr>
                <w:color w:val="000000"/>
                <w:sz w:val="22"/>
                <w:szCs w:val="22"/>
              </w:rPr>
              <w:t>Quabbin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60A72" w14:textId="6EDFCB3C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$6,000</w:t>
            </w:r>
          </w:p>
        </w:tc>
      </w:tr>
      <w:tr w:rsidR="006E72A4" w14:paraId="008EC317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1F3A3" w14:textId="5FDC8405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Silver Lake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C8CB5" w14:textId="1A849E5B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$2,100</w:t>
            </w:r>
          </w:p>
        </w:tc>
      </w:tr>
      <w:tr w:rsidR="006E72A4" w14:paraId="6D7CD106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DEF9D5" w14:textId="29C1A017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234E3A" w14:textId="6CBBCFB7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$5,950</w:t>
            </w:r>
          </w:p>
        </w:tc>
      </w:tr>
      <w:tr w:rsidR="006E72A4" w14:paraId="1A31FCE9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BB7BB" w14:textId="042757E5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Topsfield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47826" w14:textId="7C1C8455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$5,000</w:t>
            </w:r>
          </w:p>
        </w:tc>
      </w:tr>
      <w:tr w:rsidR="006E72A4" w14:paraId="78E1DCFD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0257A" w14:textId="74638EE1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A80F5" w14:textId="6D0D9D99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$1,600</w:t>
            </w:r>
          </w:p>
        </w:tc>
      </w:tr>
      <w:tr w:rsidR="006E72A4" w14:paraId="6785433E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7D9A3" w14:textId="2A6D51C3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Wellesley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950247" w14:textId="3E63E600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$14,000</w:t>
            </w:r>
          </w:p>
        </w:tc>
      </w:tr>
      <w:tr w:rsidR="006E72A4" w14:paraId="60F87131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19F79" w14:textId="3EE681C7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Westhampton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FF21F" w14:textId="197B6BBD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$2,000</w:t>
            </w:r>
          </w:p>
        </w:tc>
      </w:tr>
      <w:tr w:rsidR="006E72A4" w14:paraId="09C36F03" w14:textId="77777777" w:rsidTr="00ED131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B4E27" w14:textId="2C0D8443" w:rsidR="006E72A4" w:rsidRPr="006E72A4" w:rsidRDefault="006E72A4" w:rsidP="006E72A4">
            <w:pPr>
              <w:spacing w:before="20" w:after="20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Williamsburg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1F07B" w14:textId="74915B37" w:rsidR="006E72A4" w:rsidRPr="006E72A4" w:rsidRDefault="006E72A4" w:rsidP="006E72A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E72A4">
              <w:rPr>
                <w:color w:val="000000"/>
                <w:sz w:val="22"/>
                <w:szCs w:val="22"/>
              </w:rPr>
              <w:t>$3,000</w:t>
            </w:r>
          </w:p>
        </w:tc>
      </w:tr>
      <w:tr w:rsidR="007B7466" w14:paraId="0B68350F" w14:textId="77777777" w:rsidTr="00596268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29485" w14:textId="023997D4" w:rsidR="007B7466" w:rsidRPr="006E72A4" w:rsidRDefault="007B7466" w:rsidP="00CA4867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6E72A4">
              <w:rPr>
                <w:rFonts w:ascii="Times New Roman" w:hAnsi="Times New Roman"/>
                <w:sz w:val="22"/>
                <w:szCs w:val="21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389990" w14:textId="07654492" w:rsidR="007B7466" w:rsidRPr="0099126C" w:rsidRDefault="006E72A4" w:rsidP="00CA4867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99126C">
              <w:rPr>
                <w:b/>
                <w:bCs/>
                <w:snapToGrid w:val="0"/>
                <w:color w:val="000000"/>
                <w:sz w:val="22"/>
                <w:szCs w:val="21"/>
              </w:rPr>
              <w:t>$270,900</w:t>
            </w:r>
          </w:p>
        </w:tc>
      </w:tr>
    </w:tbl>
    <w:p w14:paraId="041B410B" w14:textId="77777777" w:rsidR="007B7466" w:rsidRDefault="007B7466">
      <w:pPr>
        <w:spacing w:before="60" w:after="60"/>
        <w:jc w:val="both"/>
        <w:rPr>
          <w:sz w:val="22"/>
        </w:rPr>
      </w:pPr>
    </w:p>
    <w:sectPr w:rsidR="007B7466" w:rsidSect="001559DF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06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559DF"/>
    <w:rsid w:val="001A433F"/>
    <w:rsid w:val="001A7107"/>
    <w:rsid w:val="001B5362"/>
    <w:rsid w:val="001B78A6"/>
    <w:rsid w:val="001C6572"/>
    <w:rsid w:val="001E2790"/>
    <w:rsid w:val="00224F8E"/>
    <w:rsid w:val="002C20E4"/>
    <w:rsid w:val="002D5121"/>
    <w:rsid w:val="002F215F"/>
    <w:rsid w:val="0031794D"/>
    <w:rsid w:val="003226AE"/>
    <w:rsid w:val="00330653"/>
    <w:rsid w:val="00351281"/>
    <w:rsid w:val="00372996"/>
    <w:rsid w:val="003E07AC"/>
    <w:rsid w:val="00410797"/>
    <w:rsid w:val="00427DA8"/>
    <w:rsid w:val="004705DD"/>
    <w:rsid w:val="0047732A"/>
    <w:rsid w:val="004F0BFF"/>
    <w:rsid w:val="00521A12"/>
    <w:rsid w:val="00534FE7"/>
    <w:rsid w:val="00542157"/>
    <w:rsid w:val="005736D2"/>
    <w:rsid w:val="00573B7F"/>
    <w:rsid w:val="00596268"/>
    <w:rsid w:val="005B143F"/>
    <w:rsid w:val="005D2FC9"/>
    <w:rsid w:val="005E11FD"/>
    <w:rsid w:val="005F3085"/>
    <w:rsid w:val="006040C0"/>
    <w:rsid w:val="00634CDE"/>
    <w:rsid w:val="00652A79"/>
    <w:rsid w:val="00652E3A"/>
    <w:rsid w:val="006667D8"/>
    <w:rsid w:val="006D71B2"/>
    <w:rsid w:val="006E72A4"/>
    <w:rsid w:val="00730E52"/>
    <w:rsid w:val="007506C8"/>
    <w:rsid w:val="007911BB"/>
    <w:rsid w:val="007B2582"/>
    <w:rsid w:val="007B7466"/>
    <w:rsid w:val="007D0D4F"/>
    <w:rsid w:val="007D7134"/>
    <w:rsid w:val="008231B4"/>
    <w:rsid w:val="008256FF"/>
    <w:rsid w:val="00837F08"/>
    <w:rsid w:val="00842E20"/>
    <w:rsid w:val="008826AD"/>
    <w:rsid w:val="008941CA"/>
    <w:rsid w:val="008B2255"/>
    <w:rsid w:val="008D1631"/>
    <w:rsid w:val="008F2001"/>
    <w:rsid w:val="00920656"/>
    <w:rsid w:val="0099126C"/>
    <w:rsid w:val="009A6E5E"/>
    <w:rsid w:val="00AF1A04"/>
    <w:rsid w:val="00B23916"/>
    <w:rsid w:val="00B329DA"/>
    <w:rsid w:val="00B41618"/>
    <w:rsid w:val="00B93D55"/>
    <w:rsid w:val="00BA484A"/>
    <w:rsid w:val="00BC422B"/>
    <w:rsid w:val="00BD2594"/>
    <w:rsid w:val="00C056D3"/>
    <w:rsid w:val="00C34967"/>
    <w:rsid w:val="00C44806"/>
    <w:rsid w:val="00C721A9"/>
    <w:rsid w:val="00CF534A"/>
    <w:rsid w:val="00CF5517"/>
    <w:rsid w:val="00D432F1"/>
    <w:rsid w:val="00D85054"/>
    <w:rsid w:val="00D96130"/>
    <w:rsid w:val="00DA73E5"/>
    <w:rsid w:val="00DB56D5"/>
    <w:rsid w:val="00E245FE"/>
    <w:rsid w:val="00E378A6"/>
    <w:rsid w:val="00E91F64"/>
    <w:rsid w:val="00EA53E3"/>
    <w:rsid w:val="00F11240"/>
    <w:rsid w:val="00F4039B"/>
    <w:rsid w:val="00FA17BE"/>
    <w:rsid w:val="00FE37CD"/>
    <w:rsid w:val="0C326533"/>
    <w:rsid w:val="0C959818"/>
    <w:rsid w:val="1842C6F6"/>
    <w:rsid w:val="317A0D0D"/>
    <w:rsid w:val="6525C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6" ma:contentTypeDescription="Create a new document." ma:contentTypeScope="" ma:versionID="5e32de3aa0b5fdb42715a7314f67cd5f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343d9dd46b930d9390ea00c4d599db4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8fac6-a31a-4bd3-95c7-847842a5fb5e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2.xml><?xml version="1.0" encoding="utf-8"?>
<ds:datastoreItem xmlns:ds="http://schemas.openxmlformats.org/officeDocument/2006/customXml" ds:itemID="{EFF4EF4E-C0C2-44B9-A6DB-B302CD5EF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2631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0116 0206 Board Package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0116 0206 Board Package</dc:title>
  <dc:creator>DESE</dc:creator>
  <cp:lastModifiedBy>Zou, Dong (EOE)</cp:lastModifiedBy>
  <cp:revision>36</cp:revision>
  <cp:lastPrinted>2001-07-23T18:06:00Z</cp:lastPrinted>
  <dcterms:created xsi:type="dcterms:W3CDTF">2020-08-04T17:36:00Z</dcterms:created>
  <dcterms:modified xsi:type="dcterms:W3CDTF">2024-03-29T13:45:00Z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2024 12:00AM</vt:lpwstr>
  </property>
</Properties>
</file>