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152"/>
        <w:gridCol w:w="1260"/>
        <w:gridCol w:w="2628"/>
        <w:gridCol w:w="920"/>
        <w:gridCol w:w="1440"/>
        <w:gridCol w:w="52"/>
      </w:tblGrid>
      <w:tr w:rsidR="00410797" w14:paraId="0C3258D4" w14:textId="77777777" w:rsidTr="006852B8">
        <w:trPr>
          <w:cantSplit/>
        </w:trPr>
        <w:tc>
          <w:tcPr>
            <w:tcW w:w="3438" w:type="dxa"/>
            <w:gridSpan w:val="2"/>
            <w:tcBorders>
              <w:top w:val="nil"/>
              <w:left w:val="nil"/>
              <w:bottom w:val="nil"/>
              <w:right w:val="nil"/>
            </w:tcBorders>
          </w:tcPr>
          <w:p w14:paraId="45AC63A6" w14:textId="77777777" w:rsidR="00B7349E" w:rsidRPr="008A1786" w:rsidRDefault="00410797">
            <w:pPr>
              <w:spacing w:after="120"/>
              <w:jc w:val="both"/>
              <w:rPr>
                <w:b/>
                <w:sz w:val="22"/>
              </w:rPr>
            </w:pPr>
            <w:r w:rsidRPr="008A1786">
              <w:rPr>
                <w:b/>
                <w:sz w:val="22"/>
              </w:rPr>
              <w:t xml:space="preserve">NAME OF GRANT PROGRAM: </w:t>
            </w:r>
          </w:p>
          <w:p w14:paraId="2E8555FB" w14:textId="5874B605" w:rsidR="00410797" w:rsidRPr="008A1786" w:rsidRDefault="00410797">
            <w:pPr>
              <w:spacing w:after="120"/>
              <w:jc w:val="both"/>
              <w:rPr>
                <w:b/>
                <w:sz w:val="22"/>
              </w:rPr>
            </w:pPr>
          </w:p>
        </w:tc>
        <w:tc>
          <w:tcPr>
            <w:tcW w:w="5040" w:type="dxa"/>
            <w:gridSpan w:val="3"/>
            <w:tcBorders>
              <w:top w:val="nil"/>
              <w:left w:val="nil"/>
              <w:bottom w:val="nil"/>
              <w:right w:val="nil"/>
            </w:tcBorders>
          </w:tcPr>
          <w:p w14:paraId="0C475E5D" w14:textId="77777777" w:rsidR="00410797" w:rsidRPr="00B11551" w:rsidRDefault="009D0F12" w:rsidP="0074352F">
            <w:pPr>
              <w:pStyle w:val="Heading1"/>
              <w:spacing w:after="0"/>
              <w:jc w:val="both"/>
              <w:rPr>
                <w:bCs/>
                <w:sz w:val="22"/>
                <w:szCs w:val="22"/>
              </w:rPr>
            </w:pPr>
            <w:r w:rsidRPr="00B11551">
              <w:rPr>
                <w:bCs/>
                <w:sz w:val="22"/>
                <w:szCs w:val="22"/>
              </w:rPr>
              <w:t xml:space="preserve">Implementing Strategies </w:t>
            </w:r>
            <w:r w:rsidR="00B108AE" w:rsidRPr="00B11551">
              <w:rPr>
                <w:bCs/>
                <w:sz w:val="22"/>
                <w:szCs w:val="22"/>
              </w:rPr>
              <w:t>to Reduce or Eliminate the</w:t>
            </w:r>
          </w:p>
          <w:p w14:paraId="4C40413E" w14:textId="2C5086E5" w:rsidR="00B108AE" w:rsidRPr="008A1786" w:rsidRDefault="00B108AE" w:rsidP="0074352F">
            <w:pPr>
              <w:rPr>
                <w:b/>
              </w:rPr>
            </w:pPr>
            <w:r w:rsidRPr="00B11551">
              <w:rPr>
                <w:bCs/>
                <w:sz w:val="22"/>
                <w:szCs w:val="22"/>
              </w:rPr>
              <w:t xml:space="preserve">Use </w:t>
            </w:r>
            <w:r w:rsidR="00DD27CB" w:rsidRPr="00B11551">
              <w:rPr>
                <w:bCs/>
                <w:sz w:val="22"/>
                <w:szCs w:val="22"/>
              </w:rPr>
              <w:t xml:space="preserve">of Time-Out Rooms Federal </w:t>
            </w:r>
            <w:r w:rsidR="00EB4B52" w:rsidRPr="00B11551">
              <w:rPr>
                <w:bCs/>
                <w:sz w:val="22"/>
                <w:szCs w:val="22"/>
              </w:rPr>
              <w:t>Competitive Special Education Program Grant</w:t>
            </w:r>
          </w:p>
        </w:tc>
        <w:tc>
          <w:tcPr>
            <w:tcW w:w="2412" w:type="dxa"/>
            <w:gridSpan w:val="3"/>
            <w:tcBorders>
              <w:top w:val="nil"/>
              <w:left w:val="nil"/>
              <w:bottom w:val="nil"/>
              <w:right w:val="nil"/>
            </w:tcBorders>
          </w:tcPr>
          <w:p w14:paraId="5813D72A" w14:textId="2CA9E275" w:rsidR="00410797" w:rsidRPr="008A1786" w:rsidRDefault="00410797" w:rsidP="007B2582">
            <w:pPr>
              <w:spacing w:after="120"/>
              <w:jc w:val="both"/>
              <w:rPr>
                <w:b/>
                <w:sz w:val="22"/>
              </w:rPr>
            </w:pPr>
            <w:r w:rsidRPr="008A1786">
              <w:rPr>
                <w:b/>
                <w:sz w:val="22"/>
              </w:rPr>
              <w:t>FUND CODE:</w:t>
            </w:r>
            <w:r w:rsidR="00372996" w:rsidRPr="008A1786">
              <w:rPr>
                <w:b/>
                <w:sz w:val="22"/>
              </w:rPr>
              <w:t xml:space="preserve"> </w:t>
            </w:r>
            <w:r w:rsidR="00743186" w:rsidRPr="0057556B">
              <w:rPr>
                <w:bCs/>
                <w:sz w:val="22"/>
              </w:rPr>
              <w:t>0213</w:t>
            </w:r>
          </w:p>
        </w:tc>
      </w:tr>
      <w:tr w:rsidR="00410797" w14:paraId="16366702" w14:textId="77777777" w:rsidTr="006852B8">
        <w:trPr>
          <w:cantSplit/>
        </w:trPr>
        <w:tc>
          <w:tcPr>
            <w:tcW w:w="4590" w:type="dxa"/>
            <w:gridSpan w:val="3"/>
            <w:tcBorders>
              <w:top w:val="nil"/>
              <w:left w:val="nil"/>
              <w:bottom w:val="nil"/>
              <w:right w:val="nil"/>
            </w:tcBorders>
          </w:tcPr>
          <w:p w14:paraId="011BCFED" w14:textId="77777777" w:rsidR="008A1786" w:rsidRPr="00B11551" w:rsidRDefault="008A1786">
            <w:pPr>
              <w:spacing w:after="120"/>
              <w:jc w:val="both"/>
              <w:rPr>
                <w:b/>
                <w:sz w:val="22"/>
                <w:szCs w:val="22"/>
              </w:rPr>
            </w:pPr>
          </w:p>
          <w:p w14:paraId="02866615" w14:textId="2B542F35" w:rsidR="00410797" w:rsidRPr="00B11551" w:rsidRDefault="00410797">
            <w:pPr>
              <w:spacing w:after="120"/>
              <w:jc w:val="both"/>
              <w:rPr>
                <w:b/>
                <w:sz w:val="22"/>
                <w:szCs w:val="22"/>
              </w:rPr>
            </w:pPr>
            <w:r w:rsidRPr="00B11551">
              <w:rPr>
                <w:b/>
                <w:sz w:val="22"/>
                <w:szCs w:val="22"/>
              </w:rPr>
              <w:t>FUNDS</w:t>
            </w:r>
            <w:r w:rsidR="003B1A3A" w:rsidRPr="00B11551">
              <w:rPr>
                <w:b/>
                <w:sz w:val="22"/>
                <w:szCs w:val="22"/>
              </w:rPr>
              <w:t xml:space="preserve"> </w:t>
            </w:r>
            <w:r w:rsidRPr="00B11551">
              <w:rPr>
                <w:b/>
                <w:sz w:val="22"/>
                <w:szCs w:val="22"/>
              </w:rPr>
              <w:t xml:space="preserve">ALLOCATED:    </w:t>
            </w:r>
            <w:r w:rsidR="00C574E6" w:rsidRPr="00B11551">
              <w:rPr>
                <w:bCs/>
                <w:sz w:val="22"/>
                <w:szCs w:val="22"/>
              </w:rPr>
              <w:t>$1,50</w:t>
            </w:r>
            <w:r w:rsidR="003B1A3A" w:rsidRPr="00B11551">
              <w:rPr>
                <w:bCs/>
                <w:sz w:val="22"/>
                <w:szCs w:val="22"/>
              </w:rPr>
              <w:t>8,</w:t>
            </w:r>
            <w:r w:rsidR="00D565EB">
              <w:rPr>
                <w:bCs/>
                <w:sz w:val="22"/>
                <w:szCs w:val="22"/>
              </w:rPr>
              <w:t>968</w:t>
            </w:r>
            <w:r w:rsidR="003B1A3A" w:rsidRPr="00B11551">
              <w:rPr>
                <w:b/>
                <w:sz w:val="22"/>
                <w:szCs w:val="22"/>
              </w:rPr>
              <w:t xml:space="preserve">   </w:t>
            </w:r>
            <w:r w:rsidR="00C574E6" w:rsidRPr="00B11551">
              <w:rPr>
                <w:bCs/>
                <w:sz w:val="22"/>
                <w:szCs w:val="22"/>
              </w:rPr>
              <w:t>(Federal)</w:t>
            </w:r>
            <w:r w:rsidRPr="00B11551">
              <w:rPr>
                <w:b/>
                <w:sz w:val="22"/>
                <w:szCs w:val="22"/>
              </w:rPr>
              <w:t xml:space="preserve"> </w:t>
            </w:r>
            <w:r w:rsidR="008A1786" w:rsidRPr="00B11551">
              <w:rPr>
                <w:b/>
                <w:sz w:val="22"/>
                <w:szCs w:val="22"/>
              </w:rPr>
              <w:t xml:space="preserve">                </w:t>
            </w:r>
          </w:p>
        </w:tc>
        <w:tc>
          <w:tcPr>
            <w:tcW w:w="6300" w:type="dxa"/>
            <w:gridSpan w:val="5"/>
            <w:tcBorders>
              <w:top w:val="nil"/>
              <w:left w:val="nil"/>
              <w:bottom w:val="nil"/>
              <w:right w:val="nil"/>
            </w:tcBorders>
          </w:tcPr>
          <w:p w14:paraId="7906D56B" w14:textId="0BBEBA3A" w:rsidR="00410797" w:rsidRPr="008A1786" w:rsidRDefault="00410797" w:rsidP="007B2582">
            <w:pPr>
              <w:spacing w:after="120"/>
              <w:jc w:val="both"/>
              <w:rPr>
                <w:b/>
                <w:sz w:val="22"/>
              </w:rPr>
            </w:pPr>
          </w:p>
        </w:tc>
      </w:tr>
      <w:tr w:rsidR="00410797" w14:paraId="3F43B3FC" w14:textId="77777777" w:rsidTr="006852B8">
        <w:trPr>
          <w:cantSplit/>
        </w:trPr>
        <w:tc>
          <w:tcPr>
            <w:tcW w:w="4590" w:type="dxa"/>
            <w:gridSpan w:val="3"/>
            <w:tcBorders>
              <w:top w:val="nil"/>
              <w:left w:val="nil"/>
              <w:bottom w:val="nil"/>
              <w:right w:val="nil"/>
            </w:tcBorders>
          </w:tcPr>
          <w:p w14:paraId="401A68F4" w14:textId="30B87622" w:rsidR="00C574E6" w:rsidRPr="00B11551" w:rsidRDefault="00410797" w:rsidP="00C574E6">
            <w:pPr>
              <w:spacing w:after="120"/>
              <w:jc w:val="both"/>
              <w:rPr>
                <w:b/>
                <w:sz w:val="22"/>
                <w:szCs w:val="22"/>
              </w:rPr>
            </w:pPr>
            <w:r w:rsidRPr="00B11551">
              <w:rPr>
                <w:b/>
                <w:sz w:val="22"/>
                <w:szCs w:val="22"/>
              </w:rPr>
              <w:t>FUNDS REQUESTED:</w:t>
            </w:r>
            <w:r w:rsidR="00C574E6" w:rsidRPr="00B11551">
              <w:rPr>
                <w:b/>
                <w:sz w:val="22"/>
                <w:szCs w:val="22"/>
              </w:rPr>
              <w:t xml:space="preserve">   </w:t>
            </w:r>
            <w:r w:rsidR="0074352F" w:rsidRPr="00B11551">
              <w:rPr>
                <w:b/>
                <w:sz w:val="22"/>
                <w:szCs w:val="22"/>
              </w:rPr>
              <w:t xml:space="preserve"> </w:t>
            </w:r>
            <w:r w:rsidR="0074352F" w:rsidRPr="00B11551">
              <w:rPr>
                <w:bCs/>
                <w:sz w:val="22"/>
                <w:szCs w:val="22"/>
              </w:rPr>
              <w:t>$</w:t>
            </w:r>
            <w:r w:rsidR="00C849F5">
              <w:rPr>
                <w:bCs/>
                <w:sz w:val="22"/>
                <w:szCs w:val="22"/>
              </w:rPr>
              <w:t>5,2</w:t>
            </w:r>
            <w:r w:rsidR="00925F07">
              <w:rPr>
                <w:bCs/>
                <w:sz w:val="22"/>
                <w:szCs w:val="22"/>
              </w:rPr>
              <w:t>9</w:t>
            </w:r>
            <w:r w:rsidR="00C849F5">
              <w:rPr>
                <w:bCs/>
                <w:sz w:val="22"/>
                <w:szCs w:val="22"/>
              </w:rPr>
              <w:t>6</w:t>
            </w:r>
            <w:r w:rsidR="00EA06F4">
              <w:rPr>
                <w:bCs/>
                <w:sz w:val="22"/>
                <w:szCs w:val="22"/>
              </w:rPr>
              <w:t>,06</w:t>
            </w:r>
            <w:r w:rsidR="001464FE">
              <w:rPr>
                <w:bCs/>
                <w:sz w:val="22"/>
                <w:szCs w:val="22"/>
              </w:rPr>
              <w:t>6</w:t>
            </w:r>
            <w:r w:rsidR="0074352F" w:rsidRPr="00B11551">
              <w:rPr>
                <w:b/>
                <w:sz w:val="22"/>
                <w:szCs w:val="22"/>
              </w:rPr>
              <w:t xml:space="preserve">   </w:t>
            </w:r>
          </w:p>
        </w:tc>
        <w:tc>
          <w:tcPr>
            <w:tcW w:w="6300" w:type="dxa"/>
            <w:gridSpan w:val="5"/>
            <w:tcBorders>
              <w:top w:val="nil"/>
              <w:left w:val="nil"/>
              <w:bottom w:val="nil"/>
              <w:right w:val="nil"/>
            </w:tcBorders>
          </w:tcPr>
          <w:p w14:paraId="50393F71" w14:textId="05307CE0" w:rsidR="00410797" w:rsidRPr="008A1786" w:rsidRDefault="00410797" w:rsidP="007B2582">
            <w:pPr>
              <w:spacing w:after="120"/>
              <w:jc w:val="both"/>
              <w:rPr>
                <w:b/>
                <w:sz w:val="22"/>
              </w:rPr>
            </w:pPr>
          </w:p>
        </w:tc>
      </w:tr>
      <w:tr w:rsidR="00410797" w14:paraId="30AE8315" w14:textId="77777777" w:rsidTr="006852B8">
        <w:trPr>
          <w:cantSplit/>
          <w:trHeight w:val="207"/>
        </w:trPr>
        <w:tc>
          <w:tcPr>
            <w:tcW w:w="10890" w:type="dxa"/>
            <w:gridSpan w:val="8"/>
            <w:tcBorders>
              <w:top w:val="nil"/>
              <w:left w:val="nil"/>
              <w:bottom w:val="nil"/>
              <w:right w:val="nil"/>
            </w:tcBorders>
          </w:tcPr>
          <w:p w14:paraId="3EB6DECB" w14:textId="77777777" w:rsidR="006852B8" w:rsidRPr="006852B8" w:rsidRDefault="00410797" w:rsidP="006852B8">
            <w:pPr>
              <w:rPr>
                <w:sz w:val="22"/>
                <w:szCs w:val="22"/>
              </w:rPr>
            </w:pPr>
            <w:r w:rsidRPr="008A1786">
              <w:rPr>
                <w:b/>
                <w:sz w:val="22"/>
              </w:rPr>
              <w:t xml:space="preserve">PURPOSE: </w:t>
            </w:r>
            <w:r w:rsidR="006852B8" w:rsidRPr="006852B8">
              <w:rPr>
                <w:sz w:val="22"/>
                <w:szCs w:val="22"/>
              </w:rPr>
              <w:t xml:space="preserve">The purpose of this federally funded competitive grant program is to support </w:t>
            </w:r>
            <w:bookmarkStart w:id="0" w:name="_Hlk154683506"/>
            <w:r w:rsidR="006852B8" w:rsidRPr="006852B8">
              <w:rPr>
                <w:sz w:val="22"/>
                <w:szCs w:val="22"/>
              </w:rPr>
              <w:t xml:space="preserve">schools and districts </w:t>
            </w:r>
            <w:bookmarkEnd w:id="0"/>
            <w:r w:rsidR="006852B8" w:rsidRPr="006852B8">
              <w:rPr>
                <w:sz w:val="22"/>
                <w:szCs w:val="22"/>
              </w:rPr>
              <w:t>as they implement strategies, interventions, and supports to reduce or eliminate the use of  time-out rooms and increase the amount of time that students spend learning alongside their peers.</w:t>
            </w:r>
            <w:r w:rsidR="006852B8" w:rsidRPr="006852B8">
              <w:rPr>
                <w:rStyle w:val="FootnoteReference"/>
                <w:sz w:val="22"/>
                <w:szCs w:val="22"/>
              </w:rPr>
              <w:footnoteReference w:id="1"/>
            </w:r>
            <w:r w:rsidR="006852B8" w:rsidRPr="006852B8">
              <w:rPr>
                <w:sz w:val="22"/>
                <w:szCs w:val="22"/>
              </w:rPr>
              <w:t xml:space="preserve"> Strategies, interventions, and supports to promote the social emotional wellbeing of students and reduce  practices are outlined in the </w:t>
            </w:r>
            <w:hyperlink r:id="rId11" w:history="1">
              <w:r w:rsidR="006852B8" w:rsidRPr="006852B8">
                <w:rPr>
                  <w:rStyle w:val="Hyperlink"/>
                  <w:sz w:val="22"/>
                  <w:szCs w:val="22"/>
                </w:rPr>
                <w:t>memorandum</w:t>
              </w:r>
            </w:hyperlink>
            <w:r w:rsidR="006852B8" w:rsidRPr="006852B8">
              <w:rPr>
                <w:sz w:val="22"/>
                <w:szCs w:val="22"/>
              </w:rPr>
              <w:t xml:space="preserve"> sent on September 10, 2021 and reposted in May of 2023.   </w:t>
            </w:r>
          </w:p>
          <w:p w14:paraId="235C8D89" w14:textId="05F0CDEE" w:rsidR="00410797" w:rsidRPr="008A1786" w:rsidRDefault="00410797" w:rsidP="0074352F">
            <w:pPr>
              <w:spacing w:after="120"/>
              <w:jc w:val="both"/>
              <w:rPr>
                <w:b/>
                <w:sz w:val="22"/>
              </w:rPr>
            </w:pPr>
          </w:p>
        </w:tc>
      </w:tr>
      <w:tr w:rsidR="00410797" w14:paraId="6559C0FA" w14:textId="77777777" w:rsidTr="006852B8">
        <w:tc>
          <w:tcPr>
            <w:tcW w:w="5850" w:type="dxa"/>
            <w:gridSpan w:val="4"/>
            <w:tcBorders>
              <w:top w:val="nil"/>
              <w:left w:val="nil"/>
              <w:bottom w:val="nil"/>
              <w:right w:val="nil"/>
            </w:tcBorders>
          </w:tcPr>
          <w:p w14:paraId="31E78CF4" w14:textId="17EACDF4" w:rsidR="00410797" w:rsidRPr="008A1786" w:rsidRDefault="00410797">
            <w:pPr>
              <w:spacing w:after="120"/>
              <w:jc w:val="both"/>
              <w:rPr>
                <w:b/>
                <w:sz w:val="22"/>
              </w:rPr>
            </w:pPr>
            <w:r w:rsidRPr="008A1786">
              <w:rPr>
                <w:b/>
                <w:sz w:val="22"/>
              </w:rPr>
              <w:t>NUMBER OF PROPOSALS RECEIVED:</w:t>
            </w:r>
            <w:r w:rsidR="008A1786" w:rsidRPr="008A1786">
              <w:rPr>
                <w:b/>
                <w:sz w:val="22"/>
              </w:rPr>
              <w:t xml:space="preserve"> </w:t>
            </w:r>
          </w:p>
        </w:tc>
        <w:tc>
          <w:tcPr>
            <w:tcW w:w="5040" w:type="dxa"/>
            <w:gridSpan w:val="4"/>
            <w:tcBorders>
              <w:top w:val="nil"/>
              <w:left w:val="nil"/>
              <w:bottom w:val="nil"/>
              <w:right w:val="nil"/>
            </w:tcBorders>
          </w:tcPr>
          <w:p w14:paraId="1B173BB1" w14:textId="1E2E8F1F" w:rsidR="00410797" w:rsidRPr="00F245E3" w:rsidRDefault="0057556B">
            <w:pPr>
              <w:spacing w:after="120"/>
              <w:jc w:val="both"/>
              <w:rPr>
                <w:bCs/>
                <w:sz w:val="22"/>
              </w:rPr>
            </w:pPr>
            <w:r w:rsidRPr="00F245E3">
              <w:rPr>
                <w:bCs/>
                <w:sz w:val="22"/>
              </w:rPr>
              <w:t>69</w:t>
            </w:r>
          </w:p>
        </w:tc>
      </w:tr>
      <w:tr w:rsidR="00410797" w14:paraId="761730FA" w14:textId="77777777" w:rsidTr="006852B8">
        <w:trPr>
          <w:trHeight w:val="224"/>
        </w:trPr>
        <w:tc>
          <w:tcPr>
            <w:tcW w:w="5850" w:type="dxa"/>
            <w:gridSpan w:val="4"/>
            <w:tcBorders>
              <w:top w:val="nil"/>
              <w:left w:val="nil"/>
              <w:bottom w:val="nil"/>
              <w:right w:val="nil"/>
            </w:tcBorders>
          </w:tcPr>
          <w:p w14:paraId="3F4D2231" w14:textId="2BD238D9" w:rsidR="00410797" w:rsidRPr="008A1786" w:rsidRDefault="00410797">
            <w:pPr>
              <w:spacing w:after="120"/>
              <w:jc w:val="both"/>
              <w:rPr>
                <w:b/>
                <w:sz w:val="22"/>
              </w:rPr>
            </w:pPr>
            <w:r w:rsidRPr="008A1786">
              <w:rPr>
                <w:b/>
                <w:sz w:val="22"/>
              </w:rPr>
              <w:t>NUMBER OF PROPOSALS RECOMMENDED:</w:t>
            </w:r>
            <w:r w:rsidR="008A1786" w:rsidRPr="008A1786">
              <w:rPr>
                <w:b/>
                <w:sz w:val="22"/>
              </w:rPr>
              <w:t xml:space="preserve"> </w:t>
            </w:r>
          </w:p>
        </w:tc>
        <w:tc>
          <w:tcPr>
            <w:tcW w:w="5040" w:type="dxa"/>
            <w:gridSpan w:val="4"/>
            <w:tcBorders>
              <w:top w:val="nil"/>
              <w:left w:val="nil"/>
              <w:bottom w:val="nil"/>
              <w:right w:val="nil"/>
            </w:tcBorders>
          </w:tcPr>
          <w:p w14:paraId="0D2596CF" w14:textId="45CD4FBB" w:rsidR="00410797" w:rsidRPr="00F245E3" w:rsidRDefault="0057556B">
            <w:pPr>
              <w:spacing w:after="120"/>
              <w:jc w:val="both"/>
              <w:rPr>
                <w:bCs/>
                <w:sz w:val="22"/>
              </w:rPr>
            </w:pPr>
            <w:r w:rsidRPr="00F245E3">
              <w:rPr>
                <w:bCs/>
                <w:sz w:val="22"/>
              </w:rPr>
              <w:t>19</w:t>
            </w:r>
          </w:p>
        </w:tc>
      </w:tr>
      <w:tr w:rsidR="00410797" w14:paraId="794D6562" w14:textId="77777777" w:rsidTr="006852B8">
        <w:trPr>
          <w:trHeight w:val="117"/>
        </w:trPr>
        <w:tc>
          <w:tcPr>
            <w:tcW w:w="5850" w:type="dxa"/>
            <w:gridSpan w:val="4"/>
            <w:tcBorders>
              <w:top w:val="nil"/>
              <w:left w:val="nil"/>
              <w:bottom w:val="nil"/>
              <w:right w:val="nil"/>
            </w:tcBorders>
          </w:tcPr>
          <w:p w14:paraId="72BEE658" w14:textId="4272CE4C" w:rsidR="00410797" w:rsidRPr="008A1786" w:rsidRDefault="00410797">
            <w:pPr>
              <w:spacing w:after="120"/>
              <w:jc w:val="both"/>
              <w:rPr>
                <w:b/>
                <w:sz w:val="22"/>
              </w:rPr>
            </w:pPr>
            <w:r w:rsidRPr="008A1786">
              <w:rPr>
                <w:b/>
                <w:sz w:val="22"/>
              </w:rPr>
              <w:t>NUMBER OF PROPOSALS NOT RECOMMENDED:</w:t>
            </w:r>
            <w:r w:rsidR="008A1786" w:rsidRPr="008A1786">
              <w:rPr>
                <w:b/>
                <w:sz w:val="22"/>
              </w:rPr>
              <w:t xml:space="preserve"> </w:t>
            </w:r>
          </w:p>
        </w:tc>
        <w:tc>
          <w:tcPr>
            <w:tcW w:w="5040" w:type="dxa"/>
            <w:gridSpan w:val="4"/>
            <w:tcBorders>
              <w:top w:val="nil"/>
              <w:left w:val="nil"/>
              <w:bottom w:val="nil"/>
              <w:right w:val="nil"/>
            </w:tcBorders>
          </w:tcPr>
          <w:p w14:paraId="2097C42B" w14:textId="5B2258EE" w:rsidR="00410797" w:rsidRPr="00F245E3" w:rsidRDefault="0057556B">
            <w:pPr>
              <w:spacing w:after="120"/>
              <w:jc w:val="both"/>
              <w:rPr>
                <w:bCs/>
                <w:sz w:val="22"/>
              </w:rPr>
            </w:pPr>
            <w:r w:rsidRPr="00F245E3">
              <w:rPr>
                <w:bCs/>
                <w:sz w:val="22"/>
              </w:rPr>
              <w:t>50</w:t>
            </w:r>
          </w:p>
        </w:tc>
      </w:tr>
      <w:tr w:rsidR="00410797" w14:paraId="6A89E767" w14:textId="77777777" w:rsidTr="006852B8">
        <w:trPr>
          <w:cantSplit/>
          <w:trHeight w:val="828"/>
        </w:trPr>
        <w:tc>
          <w:tcPr>
            <w:tcW w:w="10890" w:type="dxa"/>
            <w:gridSpan w:val="8"/>
            <w:tcBorders>
              <w:top w:val="nil"/>
              <w:left w:val="nil"/>
              <w:bottom w:val="nil"/>
              <w:right w:val="nil"/>
            </w:tcBorders>
          </w:tcPr>
          <w:p w14:paraId="49A11C57" w14:textId="77777777" w:rsidR="006852B8" w:rsidRDefault="00410797" w:rsidP="007B2582">
            <w:pPr>
              <w:rPr>
                <w:sz w:val="22"/>
                <w:szCs w:val="22"/>
              </w:rPr>
            </w:pPr>
            <w:r w:rsidRPr="008A1786">
              <w:rPr>
                <w:b/>
                <w:sz w:val="22"/>
              </w:rPr>
              <w:t xml:space="preserve">RESULT OF FUNDING: </w:t>
            </w:r>
            <w:r w:rsidR="006852B8" w:rsidRPr="006852B8">
              <w:rPr>
                <w:sz w:val="22"/>
                <w:szCs w:val="22"/>
              </w:rPr>
              <w:t xml:space="preserve">Strategies, interventions, and supports to promote the social emotional wellbeing of students and reduce  practices are outlined in the </w:t>
            </w:r>
            <w:hyperlink r:id="rId12" w:history="1">
              <w:r w:rsidR="006852B8" w:rsidRPr="006852B8">
                <w:rPr>
                  <w:rStyle w:val="Hyperlink"/>
                  <w:sz w:val="22"/>
                  <w:szCs w:val="22"/>
                </w:rPr>
                <w:t>memorandum</w:t>
              </w:r>
            </w:hyperlink>
            <w:r w:rsidR="006852B8" w:rsidRPr="006852B8">
              <w:rPr>
                <w:sz w:val="22"/>
                <w:szCs w:val="22"/>
              </w:rPr>
              <w:t xml:space="preserve"> sent on September 10, 2021 and reposted in May of 2023.</w:t>
            </w:r>
          </w:p>
          <w:p w14:paraId="2937508C" w14:textId="78394F38" w:rsidR="00410797" w:rsidRPr="006852B8" w:rsidRDefault="006852B8" w:rsidP="007B2582">
            <w:pPr>
              <w:rPr>
                <w:sz w:val="22"/>
                <w:szCs w:val="22"/>
              </w:rPr>
            </w:pPr>
            <w:r w:rsidRPr="006852B8">
              <w:rPr>
                <w:sz w:val="22"/>
                <w:szCs w:val="22"/>
              </w:rPr>
              <w:t xml:space="preserve">   </w:t>
            </w:r>
          </w:p>
          <w:p w14:paraId="75744381" w14:textId="77777777" w:rsidR="00A50A63" w:rsidRPr="006852B8" w:rsidRDefault="00A50A63" w:rsidP="00A50A63">
            <w:pPr>
              <w:rPr>
                <w:b/>
                <w:bCs/>
                <w:sz w:val="22"/>
                <w:szCs w:val="22"/>
              </w:rPr>
            </w:pPr>
            <w:r w:rsidRPr="006852B8">
              <w:rPr>
                <w:b/>
                <w:bCs/>
                <w:sz w:val="22"/>
                <w:szCs w:val="22"/>
              </w:rPr>
              <w:t>Expected outcomes:</w:t>
            </w:r>
          </w:p>
          <w:p w14:paraId="084E9A3D" w14:textId="77777777" w:rsidR="00A50A63" w:rsidRPr="006852B8" w:rsidRDefault="00A50A63" w:rsidP="00A50A63">
            <w:pPr>
              <w:pStyle w:val="ListParagraph"/>
              <w:numPr>
                <w:ilvl w:val="0"/>
                <w:numId w:val="2"/>
              </w:numPr>
              <w:spacing w:after="160" w:line="259" w:lineRule="auto"/>
              <w:rPr>
                <w:rFonts w:ascii="Times New Roman" w:hAnsi="Times New Roman"/>
                <w:b/>
                <w:bCs/>
              </w:rPr>
            </w:pPr>
            <w:r w:rsidRPr="006852B8">
              <w:rPr>
                <w:rFonts w:ascii="Times New Roman" w:hAnsi="Times New Roman"/>
              </w:rPr>
              <w:t>A significant reduction in the use of  time-out rooms and an increase in the amount of time students spend learning alongside peers.</w:t>
            </w:r>
          </w:p>
          <w:p w14:paraId="4A7FB8B4" w14:textId="77777777" w:rsidR="00A50A63" w:rsidRPr="006852B8" w:rsidRDefault="00A50A63" w:rsidP="00A50A63">
            <w:pPr>
              <w:pStyle w:val="ListParagraph"/>
              <w:numPr>
                <w:ilvl w:val="0"/>
                <w:numId w:val="2"/>
              </w:numPr>
              <w:spacing w:after="160" w:line="259" w:lineRule="auto"/>
              <w:rPr>
                <w:rFonts w:ascii="Times New Roman" w:hAnsi="Times New Roman"/>
                <w:b/>
                <w:bCs/>
              </w:rPr>
            </w:pPr>
            <w:r w:rsidRPr="006852B8">
              <w:rPr>
                <w:rFonts w:ascii="Times New Roman" w:hAnsi="Times New Roman"/>
              </w:rPr>
              <w:t xml:space="preserve">Improved student </w:t>
            </w:r>
            <w:r w:rsidRPr="006852B8">
              <w:rPr>
                <w:rFonts w:ascii="Times New Roman" w:eastAsia="Calibri" w:hAnsi="Times New Roman"/>
              </w:rPr>
              <w:t xml:space="preserve">emotional and behavioral regulation (self- and/or co-regulation) </w:t>
            </w:r>
            <w:r w:rsidRPr="006852B8">
              <w:rPr>
                <w:rFonts w:ascii="Times New Roman" w:hAnsi="Times New Roman"/>
              </w:rPr>
              <w:t>and overall school climate.</w:t>
            </w:r>
          </w:p>
          <w:p w14:paraId="5ACFA215" w14:textId="0BBB7312" w:rsidR="00A50A63" w:rsidRPr="00A50A63" w:rsidRDefault="00A50A63" w:rsidP="00A50A63">
            <w:pPr>
              <w:pStyle w:val="ListParagraph"/>
              <w:numPr>
                <w:ilvl w:val="0"/>
                <w:numId w:val="2"/>
              </w:numPr>
              <w:spacing w:after="160" w:line="259" w:lineRule="auto"/>
              <w:rPr>
                <w:rFonts w:ascii="Segoe UI" w:hAnsi="Segoe UI" w:cs="Segoe UI"/>
                <w:sz w:val="24"/>
                <w:szCs w:val="24"/>
              </w:rPr>
            </w:pPr>
            <w:r w:rsidRPr="006852B8">
              <w:rPr>
                <w:rFonts w:ascii="Times New Roman" w:hAnsi="Times New Roman"/>
              </w:rPr>
              <w:t>Increased collaboration and communication among school staff, parents, and the community.</w:t>
            </w:r>
          </w:p>
        </w:tc>
      </w:tr>
      <w:tr w:rsidR="00410797" w14:paraId="0D3A9C74"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264"/>
        </w:trPr>
        <w:tc>
          <w:tcPr>
            <w:tcW w:w="9390" w:type="dxa"/>
            <w:gridSpan w:val="5"/>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B373FB" w14:paraId="2557505B"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50"/>
        </w:trPr>
        <w:tc>
          <w:tcPr>
            <w:tcW w:w="9390" w:type="dxa"/>
            <w:gridSpan w:val="5"/>
            <w:tcBorders>
              <w:top w:val="single" w:sz="6" w:space="0" w:color="auto"/>
              <w:left w:val="single" w:sz="6" w:space="0" w:color="auto"/>
              <w:bottom w:val="single" w:sz="6" w:space="0" w:color="auto"/>
              <w:right w:val="single" w:sz="6" w:space="0" w:color="auto"/>
            </w:tcBorders>
            <w:vAlign w:val="bottom"/>
          </w:tcPr>
          <w:p w14:paraId="1C90C571" w14:textId="796903F9" w:rsidR="00B373FB" w:rsidRPr="006A1541" w:rsidRDefault="00B373FB" w:rsidP="00B373FB">
            <w:pPr>
              <w:spacing w:before="20" w:after="20"/>
              <w:rPr>
                <w:b/>
                <w:sz w:val="22"/>
                <w:szCs w:val="22"/>
              </w:rPr>
            </w:pPr>
            <w:r w:rsidRPr="006A1541">
              <w:rPr>
                <w:rFonts w:eastAsia="Calibri"/>
                <w:color w:val="000000" w:themeColor="text1"/>
                <w:sz w:val="22"/>
                <w:szCs w:val="22"/>
              </w:rPr>
              <w:t>Berkshire Arts and Technology Charter Public (District)</w:t>
            </w:r>
          </w:p>
        </w:tc>
        <w:tc>
          <w:tcPr>
            <w:tcW w:w="1440" w:type="dxa"/>
            <w:tcBorders>
              <w:top w:val="single" w:sz="6" w:space="0" w:color="auto"/>
              <w:left w:val="single" w:sz="6" w:space="0" w:color="auto"/>
              <w:bottom w:val="single" w:sz="6" w:space="0" w:color="auto"/>
              <w:right w:val="single" w:sz="6" w:space="0" w:color="auto"/>
            </w:tcBorders>
            <w:vAlign w:val="bottom"/>
          </w:tcPr>
          <w:p w14:paraId="78F33579" w14:textId="58B5804A"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41529082"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21B26E08" w14:textId="4CCA71B3" w:rsidR="00B373FB" w:rsidRPr="006A1541" w:rsidRDefault="00B373FB" w:rsidP="00B373FB">
            <w:pPr>
              <w:spacing w:before="20" w:after="20"/>
              <w:rPr>
                <w:sz w:val="22"/>
                <w:szCs w:val="22"/>
              </w:rPr>
            </w:pPr>
            <w:r w:rsidRPr="006A1541">
              <w:rPr>
                <w:rFonts w:eastAsia="Calibri"/>
                <w:color w:val="000000" w:themeColor="text1"/>
                <w:sz w:val="22"/>
                <w:szCs w:val="22"/>
              </w:rPr>
              <w:t>Bi-County Collaborative (BICO)</w:t>
            </w:r>
          </w:p>
        </w:tc>
        <w:tc>
          <w:tcPr>
            <w:tcW w:w="1440" w:type="dxa"/>
            <w:tcBorders>
              <w:top w:val="single" w:sz="6" w:space="0" w:color="auto"/>
              <w:left w:val="single" w:sz="6" w:space="0" w:color="auto"/>
              <w:bottom w:val="single" w:sz="6" w:space="0" w:color="auto"/>
              <w:right w:val="single" w:sz="6" w:space="0" w:color="auto"/>
            </w:tcBorders>
            <w:vAlign w:val="bottom"/>
          </w:tcPr>
          <w:p w14:paraId="5533DA82" w14:textId="7DCC195E" w:rsidR="00B373FB" w:rsidRPr="006A1541" w:rsidRDefault="00B373FB" w:rsidP="00B373FB">
            <w:pPr>
              <w:spacing w:before="20" w:after="20"/>
              <w:jc w:val="right"/>
              <w:rPr>
                <w:sz w:val="22"/>
                <w:szCs w:val="22"/>
              </w:rPr>
            </w:pPr>
            <w:r w:rsidRPr="006A1541">
              <w:rPr>
                <w:rFonts w:eastAsia="Calibri"/>
                <w:color w:val="000000" w:themeColor="text1"/>
                <w:sz w:val="22"/>
                <w:szCs w:val="22"/>
              </w:rPr>
              <w:t>$</w:t>
            </w:r>
            <w:r w:rsidR="00950A40">
              <w:rPr>
                <w:rFonts w:eastAsia="Calibri"/>
                <w:color w:val="000000" w:themeColor="text1"/>
                <w:sz w:val="22"/>
                <w:szCs w:val="22"/>
              </w:rPr>
              <w:t>75,000</w:t>
            </w:r>
            <w:r w:rsidRPr="006A1541">
              <w:rPr>
                <w:rFonts w:eastAsia="Calibri"/>
                <w:color w:val="000000" w:themeColor="text1"/>
                <w:sz w:val="22"/>
                <w:szCs w:val="22"/>
              </w:rPr>
              <w:t xml:space="preserve">.00 </w:t>
            </w:r>
          </w:p>
        </w:tc>
      </w:tr>
      <w:tr w:rsidR="00B373FB" w14:paraId="54E1A07B"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177E988E" w14:textId="0D78BED1" w:rsidR="00B373FB" w:rsidRPr="006A1541" w:rsidRDefault="00B373FB" w:rsidP="00B373FB">
            <w:pPr>
              <w:spacing w:before="20" w:after="20"/>
              <w:rPr>
                <w:sz w:val="22"/>
                <w:szCs w:val="22"/>
              </w:rPr>
            </w:pPr>
            <w:r w:rsidRPr="006A1541">
              <w:rPr>
                <w:rFonts w:eastAsia="Calibri"/>
                <w:color w:val="000000" w:themeColor="text1"/>
                <w:sz w:val="22"/>
                <w:szCs w:val="22"/>
              </w:rPr>
              <w:t>CAPS Collaborative</w:t>
            </w:r>
          </w:p>
        </w:tc>
        <w:tc>
          <w:tcPr>
            <w:tcW w:w="1440" w:type="dxa"/>
            <w:tcBorders>
              <w:top w:val="single" w:sz="6" w:space="0" w:color="auto"/>
              <w:left w:val="single" w:sz="6" w:space="0" w:color="auto"/>
              <w:bottom w:val="single" w:sz="6" w:space="0" w:color="auto"/>
              <w:right w:val="single" w:sz="6" w:space="0" w:color="auto"/>
            </w:tcBorders>
            <w:vAlign w:val="bottom"/>
          </w:tcPr>
          <w:p w14:paraId="6EAF4471" w14:textId="29A3F68A"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4338704C"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6ED66B38" w14:textId="6C3D02C8" w:rsidR="00B373FB" w:rsidRPr="006A1541" w:rsidRDefault="00B373FB" w:rsidP="00B373FB">
            <w:pPr>
              <w:spacing w:before="20" w:after="20"/>
              <w:rPr>
                <w:b/>
                <w:sz w:val="22"/>
                <w:szCs w:val="22"/>
              </w:rPr>
            </w:pPr>
            <w:r w:rsidRPr="006A1541">
              <w:rPr>
                <w:rFonts w:eastAsia="Calibri"/>
                <w:color w:val="000000" w:themeColor="text1"/>
                <w:sz w:val="22"/>
                <w:szCs w:val="22"/>
              </w:rPr>
              <w:t>Gardner</w:t>
            </w:r>
          </w:p>
        </w:tc>
        <w:tc>
          <w:tcPr>
            <w:tcW w:w="1440" w:type="dxa"/>
            <w:tcBorders>
              <w:top w:val="single" w:sz="6" w:space="0" w:color="auto"/>
              <w:left w:val="single" w:sz="6" w:space="0" w:color="auto"/>
              <w:bottom w:val="single" w:sz="6" w:space="0" w:color="auto"/>
              <w:right w:val="single" w:sz="6" w:space="0" w:color="auto"/>
            </w:tcBorders>
            <w:vAlign w:val="bottom"/>
          </w:tcPr>
          <w:p w14:paraId="32DC29B2" w14:textId="1235DE68"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$55,085.00 </w:t>
            </w:r>
          </w:p>
        </w:tc>
      </w:tr>
      <w:tr w:rsidR="00B373FB" w14:paraId="34AB2A19"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6738FD42" w14:textId="7BA0AEF5" w:rsidR="00B373FB" w:rsidRPr="006A1541" w:rsidRDefault="00B373FB" w:rsidP="00B373FB">
            <w:pPr>
              <w:spacing w:before="20" w:after="20"/>
              <w:rPr>
                <w:sz w:val="22"/>
                <w:szCs w:val="22"/>
              </w:rPr>
            </w:pPr>
            <w:r w:rsidRPr="006A1541">
              <w:rPr>
                <w:rFonts w:eastAsia="Calibri"/>
                <w:color w:val="000000" w:themeColor="text1"/>
                <w:sz w:val="22"/>
                <w:szCs w:val="22"/>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1058AB2A" w14:textId="37A20031"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$100,000.00 </w:t>
            </w:r>
          </w:p>
        </w:tc>
      </w:tr>
      <w:tr w:rsidR="00B373FB" w14:paraId="78D26E18"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57945635" w14:textId="5E64FA64" w:rsidR="00B373FB" w:rsidRPr="006A1541" w:rsidRDefault="00B373FB" w:rsidP="00B373FB">
            <w:pPr>
              <w:spacing w:before="20" w:after="20"/>
              <w:rPr>
                <w:sz w:val="22"/>
                <w:szCs w:val="22"/>
              </w:rPr>
            </w:pPr>
            <w:r w:rsidRPr="006A1541">
              <w:rPr>
                <w:rFonts w:eastAsia="Calibri"/>
                <w:color w:val="000000" w:themeColor="text1"/>
                <w:sz w:val="22"/>
                <w:szCs w:val="22"/>
              </w:rPr>
              <w:t>Match Charter Public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0BC09D7" w14:textId="5CEE2B6B"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7EE361BA"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257AD1A2" w14:textId="62E6C53D" w:rsidR="00B373FB" w:rsidRPr="006A1541" w:rsidRDefault="00B373FB" w:rsidP="00B373FB">
            <w:pPr>
              <w:spacing w:before="20" w:after="20"/>
              <w:rPr>
                <w:sz w:val="22"/>
                <w:szCs w:val="22"/>
              </w:rPr>
            </w:pPr>
            <w:r w:rsidRPr="006A1541">
              <w:rPr>
                <w:rFonts w:eastAsia="Calibri"/>
                <w:color w:val="000000" w:themeColor="text1"/>
                <w:sz w:val="22"/>
                <w:szCs w:val="22"/>
              </w:rPr>
              <w:t>New England Adolescent Research Institute, Inc.</w:t>
            </w:r>
          </w:p>
        </w:tc>
        <w:tc>
          <w:tcPr>
            <w:tcW w:w="1440" w:type="dxa"/>
            <w:tcBorders>
              <w:top w:val="single" w:sz="6" w:space="0" w:color="auto"/>
              <w:left w:val="single" w:sz="6" w:space="0" w:color="auto"/>
              <w:bottom w:val="single" w:sz="6" w:space="0" w:color="auto"/>
              <w:right w:val="single" w:sz="6" w:space="0" w:color="auto"/>
            </w:tcBorders>
            <w:vAlign w:val="bottom"/>
          </w:tcPr>
          <w:p w14:paraId="73C8F171" w14:textId="38049CFC"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5E06D2ED"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74290923" w14:textId="4A29991D" w:rsidR="00B373FB" w:rsidRPr="006A1541" w:rsidRDefault="00B373FB" w:rsidP="00B373FB">
            <w:pPr>
              <w:spacing w:before="20" w:after="20"/>
              <w:rPr>
                <w:sz w:val="22"/>
                <w:szCs w:val="22"/>
              </w:rPr>
            </w:pPr>
            <w:r w:rsidRPr="006A1541">
              <w:rPr>
                <w:rFonts w:eastAsia="Calibri"/>
                <w:color w:val="000000" w:themeColor="text1"/>
                <w:sz w:val="22"/>
                <w:szCs w:val="22"/>
              </w:rPr>
              <w:t>Newton</w:t>
            </w:r>
          </w:p>
        </w:tc>
        <w:tc>
          <w:tcPr>
            <w:tcW w:w="1440" w:type="dxa"/>
            <w:tcBorders>
              <w:top w:val="single" w:sz="6" w:space="0" w:color="auto"/>
              <w:left w:val="single" w:sz="6" w:space="0" w:color="auto"/>
              <w:bottom w:val="single" w:sz="6" w:space="0" w:color="auto"/>
              <w:right w:val="single" w:sz="6" w:space="0" w:color="auto"/>
            </w:tcBorders>
            <w:vAlign w:val="bottom"/>
          </w:tcPr>
          <w:p w14:paraId="65508B8F" w14:textId="240745B7"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$200,000.00 </w:t>
            </w:r>
          </w:p>
        </w:tc>
      </w:tr>
      <w:tr w:rsidR="00B373FB" w14:paraId="5E65AE64"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46D6B01B" w14:textId="38E3D337" w:rsidR="00B373FB" w:rsidRPr="006A1541" w:rsidRDefault="00B373FB" w:rsidP="00B373FB">
            <w:pPr>
              <w:spacing w:before="20" w:after="20"/>
              <w:rPr>
                <w:sz w:val="22"/>
                <w:szCs w:val="22"/>
              </w:rPr>
            </w:pPr>
            <w:r w:rsidRPr="006A1541">
              <w:rPr>
                <w:rFonts w:eastAsia="Calibri"/>
                <w:color w:val="000000" w:themeColor="text1"/>
                <w:sz w:val="22"/>
                <w:szCs w:val="22"/>
              </w:rPr>
              <w:t>Norton</w:t>
            </w:r>
          </w:p>
        </w:tc>
        <w:tc>
          <w:tcPr>
            <w:tcW w:w="1440" w:type="dxa"/>
            <w:tcBorders>
              <w:top w:val="single" w:sz="6" w:space="0" w:color="auto"/>
              <w:left w:val="single" w:sz="6" w:space="0" w:color="auto"/>
              <w:bottom w:val="single" w:sz="6" w:space="0" w:color="auto"/>
              <w:right w:val="single" w:sz="6" w:space="0" w:color="auto"/>
            </w:tcBorders>
            <w:vAlign w:val="bottom"/>
          </w:tcPr>
          <w:p w14:paraId="352EC5C4" w14:textId="460A52F9" w:rsidR="00B373FB" w:rsidRPr="006A1541" w:rsidRDefault="00B373FB" w:rsidP="00B373FB">
            <w:pPr>
              <w:spacing w:before="20" w:after="20"/>
              <w:jc w:val="right"/>
              <w:rPr>
                <w:sz w:val="22"/>
                <w:szCs w:val="22"/>
              </w:rPr>
            </w:pPr>
            <w:r w:rsidRPr="006A1541">
              <w:rPr>
                <w:rFonts w:eastAsia="Calibri"/>
                <w:color w:val="000000" w:themeColor="text1"/>
                <w:sz w:val="22"/>
                <w:szCs w:val="22"/>
              </w:rPr>
              <w:t>$50,000.00</w:t>
            </w:r>
          </w:p>
        </w:tc>
      </w:tr>
      <w:tr w:rsidR="00B373FB" w14:paraId="6B776939"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7A33106E" w14:textId="172AAB1E" w:rsidR="00B373FB" w:rsidRPr="006A1541" w:rsidRDefault="00B373FB" w:rsidP="00B373FB">
            <w:pPr>
              <w:spacing w:before="20" w:after="20"/>
              <w:rPr>
                <w:sz w:val="22"/>
                <w:szCs w:val="22"/>
              </w:rPr>
            </w:pPr>
            <w:r w:rsidRPr="006A1541">
              <w:rPr>
                <w:rFonts w:eastAsia="Calibri"/>
                <w:color w:val="000000" w:themeColor="text1"/>
                <w:sz w:val="22"/>
                <w:szCs w:val="22"/>
              </w:rPr>
              <w:t>Peabody</w:t>
            </w:r>
          </w:p>
        </w:tc>
        <w:tc>
          <w:tcPr>
            <w:tcW w:w="1440" w:type="dxa"/>
            <w:tcBorders>
              <w:top w:val="single" w:sz="6" w:space="0" w:color="auto"/>
              <w:left w:val="single" w:sz="6" w:space="0" w:color="auto"/>
              <w:bottom w:val="single" w:sz="6" w:space="0" w:color="auto"/>
              <w:right w:val="single" w:sz="6" w:space="0" w:color="auto"/>
            </w:tcBorders>
            <w:vAlign w:val="bottom"/>
          </w:tcPr>
          <w:p w14:paraId="140A554F" w14:textId="1E639FE6" w:rsidR="00B373FB" w:rsidRPr="006A1541" w:rsidRDefault="00B373FB" w:rsidP="00B373FB">
            <w:pPr>
              <w:spacing w:before="20" w:after="20"/>
              <w:jc w:val="right"/>
              <w:rPr>
                <w:sz w:val="22"/>
                <w:szCs w:val="22"/>
              </w:rPr>
            </w:pPr>
            <w:r w:rsidRPr="006A1541">
              <w:rPr>
                <w:rFonts w:eastAsia="Calibri"/>
                <w:color w:val="000000" w:themeColor="text1"/>
                <w:sz w:val="22"/>
                <w:szCs w:val="22"/>
              </w:rPr>
              <w:t>$</w:t>
            </w:r>
            <w:r w:rsidR="00FC72FC">
              <w:rPr>
                <w:rFonts w:eastAsia="Calibri"/>
                <w:color w:val="000000" w:themeColor="text1"/>
                <w:sz w:val="22"/>
                <w:szCs w:val="22"/>
              </w:rPr>
              <w:t>100</w:t>
            </w:r>
            <w:r w:rsidRPr="006A1541">
              <w:rPr>
                <w:rFonts w:eastAsia="Calibri"/>
                <w:color w:val="000000" w:themeColor="text1"/>
                <w:sz w:val="22"/>
                <w:szCs w:val="22"/>
              </w:rPr>
              <w:t xml:space="preserve">,000.00 </w:t>
            </w:r>
          </w:p>
        </w:tc>
      </w:tr>
      <w:tr w:rsidR="00B373FB" w14:paraId="7E142AFE"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7DE02963" w14:textId="5AF351F9" w:rsidR="00B373FB" w:rsidRPr="006A1541" w:rsidRDefault="00B373FB" w:rsidP="00B373FB">
            <w:pPr>
              <w:spacing w:before="20" w:after="20"/>
              <w:rPr>
                <w:sz w:val="22"/>
                <w:szCs w:val="22"/>
              </w:rPr>
            </w:pPr>
            <w:r w:rsidRPr="006A1541">
              <w:rPr>
                <w:rFonts w:eastAsia="Calibri"/>
                <w:color w:val="000000" w:themeColor="text1"/>
                <w:sz w:val="22"/>
                <w:szCs w:val="22"/>
              </w:rPr>
              <w:t>Reading</w:t>
            </w:r>
          </w:p>
        </w:tc>
        <w:tc>
          <w:tcPr>
            <w:tcW w:w="1440" w:type="dxa"/>
            <w:tcBorders>
              <w:top w:val="single" w:sz="6" w:space="0" w:color="auto"/>
              <w:left w:val="single" w:sz="6" w:space="0" w:color="auto"/>
              <w:bottom w:val="single" w:sz="6" w:space="0" w:color="auto"/>
              <w:right w:val="single" w:sz="6" w:space="0" w:color="auto"/>
            </w:tcBorders>
            <w:vAlign w:val="bottom"/>
          </w:tcPr>
          <w:p w14:paraId="1BA0ACDC" w14:textId="3AA4A899"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6AC07A10"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66C23F84" w14:textId="439CA083" w:rsidR="00B373FB" w:rsidRPr="006A1541" w:rsidRDefault="00B373FB" w:rsidP="00B373FB">
            <w:pPr>
              <w:spacing w:before="20" w:after="20"/>
              <w:rPr>
                <w:sz w:val="22"/>
                <w:szCs w:val="22"/>
              </w:rPr>
            </w:pPr>
            <w:r w:rsidRPr="006A1541">
              <w:rPr>
                <w:rFonts w:eastAsia="Calibri"/>
                <w:color w:val="000000" w:themeColor="text1"/>
                <w:sz w:val="22"/>
                <w:szCs w:val="22"/>
              </w:rPr>
              <w:t>Rockland</w:t>
            </w:r>
          </w:p>
        </w:tc>
        <w:tc>
          <w:tcPr>
            <w:tcW w:w="1440" w:type="dxa"/>
            <w:tcBorders>
              <w:top w:val="single" w:sz="6" w:space="0" w:color="auto"/>
              <w:left w:val="single" w:sz="6" w:space="0" w:color="auto"/>
              <w:bottom w:val="single" w:sz="6" w:space="0" w:color="auto"/>
              <w:right w:val="single" w:sz="6" w:space="0" w:color="auto"/>
            </w:tcBorders>
            <w:vAlign w:val="bottom"/>
          </w:tcPr>
          <w:p w14:paraId="450BA4DD" w14:textId="4531486C" w:rsidR="00B373FB" w:rsidRPr="006A1541" w:rsidRDefault="00B373FB" w:rsidP="00B373FB">
            <w:pPr>
              <w:spacing w:before="20" w:after="20"/>
              <w:jc w:val="right"/>
              <w:rPr>
                <w:sz w:val="22"/>
                <w:szCs w:val="22"/>
              </w:rPr>
            </w:pPr>
            <w:r w:rsidRPr="006A1541">
              <w:rPr>
                <w:rFonts w:eastAsia="Calibri"/>
                <w:color w:val="000000" w:themeColor="text1"/>
                <w:sz w:val="22"/>
                <w:szCs w:val="22"/>
              </w:rPr>
              <w:t>$</w:t>
            </w:r>
            <w:r w:rsidR="00AE3210">
              <w:rPr>
                <w:rFonts w:eastAsia="Calibri"/>
                <w:color w:val="000000" w:themeColor="text1"/>
                <w:sz w:val="22"/>
                <w:szCs w:val="22"/>
              </w:rPr>
              <w:t>50</w:t>
            </w:r>
            <w:r w:rsidRPr="006A1541">
              <w:rPr>
                <w:rFonts w:eastAsia="Calibri"/>
                <w:color w:val="000000" w:themeColor="text1"/>
                <w:sz w:val="22"/>
                <w:szCs w:val="22"/>
              </w:rPr>
              <w:t xml:space="preserve">,000.00 </w:t>
            </w:r>
          </w:p>
        </w:tc>
      </w:tr>
      <w:tr w:rsidR="00B373FB" w14:paraId="3CF1775C"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7517B876" w14:textId="6AC6A05F" w:rsidR="00B373FB" w:rsidRPr="006A1541" w:rsidRDefault="00B373FB" w:rsidP="00B373FB">
            <w:pPr>
              <w:spacing w:before="20" w:after="20"/>
              <w:rPr>
                <w:sz w:val="22"/>
                <w:szCs w:val="22"/>
              </w:rPr>
            </w:pPr>
            <w:r w:rsidRPr="006A1541">
              <w:rPr>
                <w:rFonts w:eastAsia="Calibri"/>
                <w:color w:val="000000" w:themeColor="text1"/>
                <w:sz w:val="22"/>
                <w:szCs w:val="22"/>
              </w:rPr>
              <w:t>South Coast Educational Collaborative</w:t>
            </w:r>
          </w:p>
        </w:tc>
        <w:tc>
          <w:tcPr>
            <w:tcW w:w="1440" w:type="dxa"/>
            <w:tcBorders>
              <w:top w:val="single" w:sz="6" w:space="0" w:color="auto"/>
              <w:left w:val="single" w:sz="6" w:space="0" w:color="auto"/>
              <w:bottom w:val="single" w:sz="6" w:space="0" w:color="auto"/>
              <w:right w:val="single" w:sz="6" w:space="0" w:color="auto"/>
            </w:tcBorders>
            <w:vAlign w:val="bottom"/>
          </w:tcPr>
          <w:p w14:paraId="2A0C825A" w14:textId="3AB6CB3E"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7891D225"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167CD4E6" w14:textId="61035418" w:rsidR="00B373FB" w:rsidRPr="006A1541" w:rsidRDefault="00B373FB" w:rsidP="00B373FB">
            <w:pPr>
              <w:spacing w:before="20" w:after="20"/>
              <w:rPr>
                <w:sz w:val="22"/>
                <w:szCs w:val="22"/>
              </w:rPr>
            </w:pPr>
            <w:r w:rsidRPr="006A1541">
              <w:rPr>
                <w:rFonts w:eastAsia="Calibri"/>
                <w:color w:val="000000" w:themeColor="text1"/>
                <w:sz w:val="22"/>
                <w:szCs w:val="22"/>
              </w:rPr>
              <w:t>South Hadley</w:t>
            </w:r>
          </w:p>
        </w:tc>
        <w:tc>
          <w:tcPr>
            <w:tcW w:w="1440" w:type="dxa"/>
            <w:tcBorders>
              <w:top w:val="single" w:sz="6" w:space="0" w:color="auto"/>
              <w:left w:val="single" w:sz="6" w:space="0" w:color="auto"/>
              <w:bottom w:val="single" w:sz="6" w:space="0" w:color="auto"/>
              <w:right w:val="single" w:sz="6" w:space="0" w:color="auto"/>
            </w:tcBorders>
            <w:vAlign w:val="bottom"/>
          </w:tcPr>
          <w:p w14:paraId="4E00322D" w14:textId="119FDB59" w:rsidR="00B373FB" w:rsidRPr="006A1541" w:rsidRDefault="00B373FB" w:rsidP="00B373FB">
            <w:pPr>
              <w:spacing w:before="20" w:after="20"/>
              <w:jc w:val="right"/>
              <w:rPr>
                <w:sz w:val="22"/>
                <w:szCs w:val="22"/>
              </w:rPr>
            </w:pPr>
            <w:r w:rsidRPr="006A1541">
              <w:rPr>
                <w:rFonts w:eastAsia="Calibri"/>
                <w:color w:val="000000" w:themeColor="text1"/>
                <w:sz w:val="22"/>
                <w:szCs w:val="22"/>
              </w:rPr>
              <w:t>$74,976.00</w:t>
            </w:r>
          </w:p>
        </w:tc>
      </w:tr>
      <w:tr w:rsidR="00B373FB" w14:paraId="1CCD219A"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0D37C191" w14:textId="57BE1906" w:rsidR="00B373FB" w:rsidRPr="006A1541" w:rsidRDefault="00B373FB" w:rsidP="00B373FB">
            <w:pPr>
              <w:spacing w:before="20" w:after="20"/>
              <w:rPr>
                <w:sz w:val="22"/>
                <w:szCs w:val="22"/>
              </w:rPr>
            </w:pPr>
            <w:r w:rsidRPr="006A1541">
              <w:rPr>
                <w:rFonts w:eastAsia="Calibri"/>
                <w:color w:val="000000" w:themeColor="text1"/>
                <w:sz w:val="22"/>
                <w:szCs w:val="22"/>
              </w:rPr>
              <w:t>Southbridge</w:t>
            </w:r>
          </w:p>
        </w:tc>
        <w:tc>
          <w:tcPr>
            <w:tcW w:w="1440" w:type="dxa"/>
            <w:tcBorders>
              <w:top w:val="single" w:sz="6" w:space="0" w:color="auto"/>
              <w:left w:val="single" w:sz="6" w:space="0" w:color="auto"/>
              <w:bottom w:val="single" w:sz="6" w:space="0" w:color="auto"/>
              <w:right w:val="single" w:sz="6" w:space="0" w:color="auto"/>
            </w:tcBorders>
            <w:vAlign w:val="bottom"/>
          </w:tcPr>
          <w:p w14:paraId="2F098F59" w14:textId="3CAEA64C" w:rsidR="00B373FB" w:rsidRPr="006A1541" w:rsidRDefault="00B373FB" w:rsidP="00B373FB">
            <w:pPr>
              <w:spacing w:before="20" w:after="20"/>
              <w:jc w:val="right"/>
              <w:rPr>
                <w:sz w:val="22"/>
                <w:szCs w:val="22"/>
              </w:rPr>
            </w:pPr>
            <w:r w:rsidRPr="006A1541">
              <w:rPr>
                <w:rFonts w:eastAsia="Calibri"/>
                <w:color w:val="000000" w:themeColor="text1"/>
                <w:sz w:val="22"/>
                <w:szCs w:val="22"/>
              </w:rPr>
              <w:t>$54,000.00</w:t>
            </w:r>
          </w:p>
        </w:tc>
      </w:tr>
      <w:tr w:rsidR="00B373FB" w14:paraId="71AAB733"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048EC360" w14:textId="32D2E222" w:rsidR="00B373FB" w:rsidRPr="006A1541" w:rsidRDefault="00B373FB" w:rsidP="00B373FB">
            <w:pPr>
              <w:spacing w:before="20" w:after="20"/>
              <w:rPr>
                <w:sz w:val="22"/>
                <w:szCs w:val="22"/>
              </w:rPr>
            </w:pPr>
            <w:r w:rsidRPr="006A1541">
              <w:rPr>
                <w:rFonts w:eastAsia="Calibri"/>
                <w:color w:val="000000" w:themeColor="text1"/>
                <w:sz w:val="22"/>
                <w:szCs w:val="22"/>
              </w:rPr>
              <w:t>Sutton</w:t>
            </w:r>
          </w:p>
        </w:tc>
        <w:tc>
          <w:tcPr>
            <w:tcW w:w="1440" w:type="dxa"/>
            <w:tcBorders>
              <w:top w:val="single" w:sz="6" w:space="0" w:color="auto"/>
              <w:left w:val="single" w:sz="6" w:space="0" w:color="auto"/>
              <w:bottom w:val="single" w:sz="6" w:space="0" w:color="auto"/>
              <w:right w:val="single" w:sz="6" w:space="0" w:color="auto"/>
            </w:tcBorders>
            <w:vAlign w:val="bottom"/>
          </w:tcPr>
          <w:p w14:paraId="73E9F6B7" w14:textId="132E7798"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53E0BE0F"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3D430EF2" w14:textId="5F39FBDB" w:rsidR="00B373FB" w:rsidRPr="006A1541" w:rsidRDefault="00B373FB" w:rsidP="00B373FB">
            <w:pPr>
              <w:spacing w:before="20" w:after="20"/>
              <w:rPr>
                <w:sz w:val="22"/>
                <w:szCs w:val="22"/>
              </w:rPr>
            </w:pPr>
            <w:r w:rsidRPr="006A1541">
              <w:rPr>
                <w:rFonts w:eastAsia="Calibri"/>
                <w:color w:val="000000" w:themeColor="text1"/>
                <w:sz w:val="22"/>
                <w:szCs w:val="22"/>
              </w:rPr>
              <w:t>The Guild for Human Services</w:t>
            </w:r>
          </w:p>
        </w:tc>
        <w:tc>
          <w:tcPr>
            <w:tcW w:w="1440" w:type="dxa"/>
            <w:tcBorders>
              <w:top w:val="single" w:sz="6" w:space="0" w:color="auto"/>
              <w:left w:val="single" w:sz="6" w:space="0" w:color="auto"/>
              <w:bottom w:val="single" w:sz="6" w:space="0" w:color="auto"/>
              <w:right w:val="single" w:sz="6" w:space="0" w:color="auto"/>
            </w:tcBorders>
            <w:vAlign w:val="bottom"/>
          </w:tcPr>
          <w:p w14:paraId="50A137A6" w14:textId="03E479E0" w:rsidR="00B373FB" w:rsidRPr="006A1541" w:rsidRDefault="00B373FB" w:rsidP="00B373FB">
            <w:pPr>
              <w:spacing w:before="20" w:after="20"/>
              <w:jc w:val="right"/>
              <w:rPr>
                <w:sz w:val="22"/>
                <w:szCs w:val="22"/>
              </w:rPr>
            </w:pPr>
            <w:r w:rsidRPr="006A1541">
              <w:rPr>
                <w:rFonts w:eastAsia="Calibri"/>
                <w:color w:val="000000" w:themeColor="text1"/>
                <w:sz w:val="22"/>
                <w:szCs w:val="22"/>
              </w:rPr>
              <w:t>$7</w:t>
            </w:r>
            <w:r w:rsidR="003315B1">
              <w:rPr>
                <w:rFonts w:eastAsia="Calibri"/>
                <w:color w:val="000000" w:themeColor="text1"/>
                <w:sz w:val="22"/>
                <w:szCs w:val="22"/>
              </w:rPr>
              <w:t>4</w:t>
            </w:r>
            <w:r w:rsidRPr="006A1541">
              <w:rPr>
                <w:rFonts w:eastAsia="Calibri"/>
                <w:color w:val="000000" w:themeColor="text1"/>
                <w:sz w:val="22"/>
                <w:szCs w:val="22"/>
              </w:rPr>
              <w:t>,</w:t>
            </w:r>
            <w:r w:rsidR="003315B1">
              <w:rPr>
                <w:rFonts w:eastAsia="Calibri"/>
                <w:color w:val="000000" w:themeColor="text1"/>
                <w:sz w:val="22"/>
                <w:szCs w:val="22"/>
              </w:rPr>
              <w:t>907</w:t>
            </w:r>
            <w:r w:rsidRPr="006A1541">
              <w:rPr>
                <w:rFonts w:eastAsia="Calibri"/>
                <w:color w:val="000000" w:themeColor="text1"/>
                <w:sz w:val="22"/>
                <w:szCs w:val="22"/>
              </w:rPr>
              <w:t xml:space="preserve">.00 </w:t>
            </w:r>
          </w:p>
        </w:tc>
      </w:tr>
      <w:tr w:rsidR="00B373FB" w14:paraId="190DF574"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6FE82EB9" w14:textId="4E7FE1AA" w:rsidR="00B373FB" w:rsidRPr="006A1541" w:rsidRDefault="00B373FB" w:rsidP="00B373FB">
            <w:pPr>
              <w:spacing w:before="20" w:after="20"/>
              <w:rPr>
                <w:sz w:val="22"/>
                <w:szCs w:val="22"/>
              </w:rPr>
            </w:pPr>
            <w:r w:rsidRPr="006A1541">
              <w:rPr>
                <w:rFonts w:eastAsia="Calibri"/>
                <w:color w:val="000000" w:themeColor="text1"/>
                <w:sz w:val="22"/>
                <w:szCs w:val="22"/>
              </w:rPr>
              <w:t>Uxbridge</w:t>
            </w:r>
          </w:p>
        </w:tc>
        <w:tc>
          <w:tcPr>
            <w:tcW w:w="1440" w:type="dxa"/>
            <w:tcBorders>
              <w:top w:val="single" w:sz="6" w:space="0" w:color="auto"/>
              <w:left w:val="single" w:sz="6" w:space="0" w:color="auto"/>
              <w:bottom w:val="single" w:sz="6" w:space="0" w:color="auto"/>
              <w:right w:val="single" w:sz="6" w:space="0" w:color="auto"/>
            </w:tcBorders>
            <w:vAlign w:val="bottom"/>
          </w:tcPr>
          <w:p w14:paraId="395550EA" w14:textId="653D5424" w:rsidR="00B373FB" w:rsidRPr="006A1541" w:rsidRDefault="00B373FB" w:rsidP="00B373FB">
            <w:pPr>
              <w:spacing w:before="20" w:after="20"/>
              <w:jc w:val="right"/>
              <w:rPr>
                <w:sz w:val="22"/>
                <w:szCs w:val="22"/>
              </w:rPr>
            </w:pPr>
            <w:r w:rsidRPr="006A1541">
              <w:rPr>
                <w:rFonts w:eastAsia="Calibri"/>
                <w:color w:val="000000" w:themeColor="text1"/>
                <w:sz w:val="22"/>
                <w:szCs w:val="22"/>
              </w:rPr>
              <w:t xml:space="preserve">$75,000.00 </w:t>
            </w:r>
          </w:p>
        </w:tc>
      </w:tr>
      <w:tr w:rsidR="00B373FB" w14:paraId="3ED11B3D"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65"/>
        </w:trPr>
        <w:tc>
          <w:tcPr>
            <w:tcW w:w="9390" w:type="dxa"/>
            <w:gridSpan w:val="5"/>
            <w:tcBorders>
              <w:top w:val="single" w:sz="6" w:space="0" w:color="auto"/>
              <w:left w:val="single" w:sz="6" w:space="0" w:color="auto"/>
              <w:bottom w:val="single" w:sz="6" w:space="0" w:color="auto"/>
              <w:right w:val="single" w:sz="6" w:space="0" w:color="auto"/>
            </w:tcBorders>
            <w:vAlign w:val="bottom"/>
          </w:tcPr>
          <w:p w14:paraId="478E31D1" w14:textId="1B01202F" w:rsidR="00B373FB" w:rsidRPr="006A1541" w:rsidRDefault="00B373FB" w:rsidP="00B373FB">
            <w:pPr>
              <w:spacing w:before="20" w:after="20"/>
              <w:rPr>
                <w:sz w:val="22"/>
                <w:szCs w:val="22"/>
              </w:rPr>
            </w:pPr>
            <w:r w:rsidRPr="006A1541">
              <w:rPr>
                <w:rFonts w:eastAsia="Calibri"/>
                <w:color w:val="000000" w:themeColor="text1"/>
                <w:sz w:val="22"/>
                <w:szCs w:val="22"/>
              </w:rPr>
              <w:lastRenderedPageBreak/>
              <w:t>Whitney Academy</w:t>
            </w:r>
          </w:p>
        </w:tc>
        <w:tc>
          <w:tcPr>
            <w:tcW w:w="1440" w:type="dxa"/>
            <w:tcBorders>
              <w:top w:val="single" w:sz="6" w:space="0" w:color="auto"/>
              <w:left w:val="single" w:sz="6" w:space="0" w:color="auto"/>
              <w:bottom w:val="single" w:sz="6" w:space="0" w:color="auto"/>
              <w:right w:val="single" w:sz="6" w:space="0" w:color="auto"/>
            </w:tcBorders>
            <w:vAlign w:val="bottom"/>
          </w:tcPr>
          <w:p w14:paraId="3519EE20" w14:textId="7CD1C71C" w:rsidR="00B373FB" w:rsidRPr="006A1541" w:rsidRDefault="00B373FB" w:rsidP="00B373FB">
            <w:pPr>
              <w:spacing w:before="20" w:after="20"/>
              <w:jc w:val="right"/>
              <w:rPr>
                <w:sz w:val="22"/>
                <w:szCs w:val="22"/>
              </w:rPr>
            </w:pPr>
            <w:r w:rsidRPr="006A1541">
              <w:rPr>
                <w:rFonts w:eastAsia="Calibri"/>
                <w:color w:val="000000" w:themeColor="text1"/>
                <w:sz w:val="22"/>
                <w:szCs w:val="22"/>
              </w:rPr>
              <w:t>$75,000.00</w:t>
            </w:r>
          </w:p>
        </w:tc>
      </w:tr>
      <w:tr w:rsidR="00B373FB" w14:paraId="1AE7CC78" w14:textId="77777777" w:rsidTr="00685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2" w:type="dxa"/>
          <w:cantSplit/>
          <w:trHeight w:val="138"/>
        </w:trPr>
        <w:tc>
          <w:tcPr>
            <w:tcW w:w="9390" w:type="dxa"/>
            <w:gridSpan w:val="5"/>
            <w:tcBorders>
              <w:top w:val="double" w:sz="6" w:space="0" w:color="auto"/>
              <w:left w:val="single" w:sz="6" w:space="0" w:color="auto"/>
              <w:bottom w:val="single" w:sz="4" w:space="0" w:color="auto"/>
              <w:right w:val="single" w:sz="6" w:space="0" w:color="auto"/>
            </w:tcBorders>
          </w:tcPr>
          <w:p w14:paraId="770ED64A" w14:textId="5DF736E6" w:rsidR="00B373FB" w:rsidRPr="00B329DA" w:rsidRDefault="00B373FB" w:rsidP="00B373FB">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C0FDFB1" w:rsidR="00B373FB" w:rsidRPr="003B1A3A" w:rsidRDefault="00CB6A0B" w:rsidP="00B373FB">
            <w:pPr>
              <w:spacing w:before="20" w:after="20"/>
              <w:jc w:val="right"/>
              <w:rPr>
                <w:b/>
                <w:bCs/>
                <w:snapToGrid w:val="0"/>
                <w:color w:val="000000"/>
                <w:sz w:val="22"/>
                <w:szCs w:val="21"/>
              </w:rPr>
            </w:pPr>
            <w:r w:rsidRPr="003B1A3A">
              <w:rPr>
                <w:b/>
                <w:bCs/>
                <w:snapToGrid w:val="0"/>
                <w:color w:val="000000"/>
                <w:sz w:val="22"/>
                <w:szCs w:val="21"/>
              </w:rPr>
              <w:t>$</w:t>
            </w:r>
            <w:r w:rsidR="00F44974" w:rsidRPr="003B1A3A">
              <w:rPr>
                <w:b/>
                <w:bCs/>
                <w:snapToGrid w:val="0"/>
                <w:color w:val="000000"/>
                <w:sz w:val="22"/>
                <w:szCs w:val="21"/>
              </w:rPr>
              <w:t>1</w:t>
            </w:r>
            <w:r w:rsidR="003B1A3A" w:rsidRPr="003B1A3A">
              <w:rPr>
                <w:b/>
                <w:bCs/>
                <w:snapToGrid w:val="0"/>
                <w:color w:val="000000"/>
                <w:sz w:val="22"/>
                <w:szCs w:val="21"/>
              </w:rPr>
              <w:t xml:space="preserve">,508, </w:t>
            </w:r>
            <w:r w:rsidR="003315B1">
              <w:rPr>
                <w:b/>
                <w:bCs/>
                <w:snapToGrid w:val="0"/>
                <w:color w:val="000000"/>
                <w:sz w:val="22"/>
                <w:szCs w:val="21"/>
              </w:rPr>
              <w:t>968</w:t>
            </w:r>
            <w:r w:rsidR="003B1A3A" w:rsidRPr="003B1A3A">
              <w:rPr>
                <w:b/>
                <w:bCs/>
                <w:snapToGrid w:val="0"/>
                <w:color w:val="000000"/>
                <w:sz w:val="22"/>
                <w:szCs w:val="21"/>
              </w:rPr>
              <w:t>.00</w:t>
            </w:r>
          </w:p>
        </w:tc>
      </w:tr>
    </w:tbl>
    <w:p w14:paraId="499BD57C" w14:textId="77777777" w:rsidR="00410797" w:rsidRDefault="00410797">
      <w:pPr>
        <w:spacing w:before="60" w:after="60"/>
        <w:jc w:val="both"/>
        <w:rPr>
          <w:sz w:val="22"/>
        </w:rPr>
      </w:pPr>
    </w:p>
    <w:sectPr w:rsidR="00410797" w:rsidSect="0072299D">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392C2" w14:textId="77777777" w:rsidR="0072299D" w:rsidRDefault="0072299D" w:rsidP="00F07D58">
      <w:r>
        <w:separator/>
      </w:r>
    </w:p>
  </w:endnote>
  <w:endnote w:type="continuationSeparator" w:id="0">
    <w:p w14:paraId="72E7BECF" w14:textId="77777777" w:rsidR="0072299D" w:rsidRDefault="0072299D" w:rsidP="00F0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481C" w14:textId="77777777" w:rsidR="0072299D" w:rsidRDefault="0072299D" w:rsidP="00F07D58">
      <w:r>
        <w:separator/>
      </w:r>
    </w:p>
  </w:footnote>
  <w:footnote w:type="continuationSeparator" w:id="0">
    <w:p w14:paraId="3630004D" w14:textId="77777777" w:rsidR="0072299D" w:rsidRDefault="0072299D" w:rsidP="00F07D58">
      <w:r>
        <w:continuationSeparator/>
      </w:r>
    </w:p>
  </w:footnote>
  <w:footnote w:id="1">
    <w:p w14:paraId="442F9238" w14:textId="77777777" w:rsidR="006852B8" w:rsidRDefault="006852B8" w:rsidP="006852B8">
      <w:pPr>
        <w:pStyle w:val="FootnoteText"/>
      </w:pPr>
      <w:r>
        <w:rPr>
          <w:rStyle w:val="FootnoteReference"/>
        </w:rPr>
        <w:footnoteRef/>
      </w:r>
      <w:r>
        <w:t xml:space="preserve"> </w:t>
      </w:r>
      <w:r w:rsidRPr="00383740">
        <w:t xml:space="preserve">Time-out rooms as referred to in this </w:t>
      </w:r>
      <w:r>
        <w:t>RFP</w:t>
      </w:r>
      <w:r w:rsidRPr="00383740">
        <w:t xml:space="preserve"> are designated rooms used to temporarily separate the student during the school day from the classroom or the learning activity for the purpose of calming. The Department’s regulations in part describe time-out as “a behavioral support strategy developed pursuant to 603 CMR 46.04(1) in which a student temporarily separates from the learning activity or the classroom, either by choice or by direction from staff, for the purpose of calming.” </w:t>
      </w:r>
      <w:hyperlink r:id="rId1" w:history="1">
        <w:r w:rsidRPr="00676B5C">
          <w:rPr>
            <w:rStyle w:val="Hyperlink"/>
          </w:rPr>
          <w:t>603 CMR 46.02</w:t>
        </w:r>
      </w:hyperlink>
      <w:r w:rsidRPr="00383740">
        <w:t xml:space="preserve">. Different schools use different labels for time-out rooms, including calming rooms, reflection rooms, or cool-down rooms. Spaces solely used for other purposes, such as disciplinary in-school suspensions, are not covered by this </w:t>
      </w:r>
      <w:r>
        <w:t>grant</w:t>
      </w:r>
      <w:r w:rsidRPr="0038374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C34B4"/>
    <w:multiLevelType w:val="hybridMultilevel"/>
    <w:tmpl w:val="152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68481586">
    <w:abstractNumId w:val="1"/>
  </w:num>
  <w:num w:numId="2" w16cid:durableId="180507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464FE"/>
    <w:rsid w:val="001522C7"/>
    <w:rsid w:val="001A433F"/>
    <w:rsid w:val="001B5362"/>
    <w:rsid w:val="001B78A6"/>
    <w:rsid w:val="001C6572"/>
    <w:rsid w:val="001E2790"/>
    <w:rsid w:val="00224F8E"/>
    <w:rsid w:val="002D5121"/>
    <w:rsid w:val="0031794D"/>
    <w:rsid w:val="003226AE"/>
    <w:rsid w:val="00330653"/>
    <w:rsid w:val="003315B1"/>
    <w:rsid w:val="00351281"/>
    <w:rsid w:val="00360755"/>
    <w:rsid w:val="00372996"/>
    <w:rsid w:val="003B1A3A"/>
    <w:rsid w:val="00410797"/>
    <w:rsid w:val="00427DA8"/>
    <w:rsid w:val="00521A12"/>
    <w:rsid w:val="00534FE7"/>
    <w:rsid w:val="00542157"/>
    <w:rsid w:val="005736D2"/>
    <w:rsid w:val="0057556B"/>
    <w:rsid w:val="005A6062"/>
    <w:rsid w:val="006040C0"/>
    <w:rsid w:val="00634CDE"/>
    <w:rsid w:val="00652A79"/>
    <w:rsid w:val="00663891"/>
    <w:rsid w:val="006852B8"/>
    <w:rsid w:val="006A1541"/>
    <w:rsid w:val="006B05D7"/>
    <w:rsid w:val="006D71B2"/>
    <w:rsid w:val="0072299D"/>
    <w:rsid w:val="00730E52"/>
    <w:rsid w:val="00743186"/>
    <w:rsid w:val="0074352F"/>
    <w:rsid w:val="007472CA"/>
    <w:rsid w:val="007506C8"/>
    <w:rsid w:val="00766E00"/>
    <w:rsid w:val="007911BB"/>
    <w:rsid w:val="007B2582"/>
    <w:rsid w:val="007D0D4F"/>
    <w:rsid w:val="007E5B84"/>
    <w:rsid w:val="008256FF"/>
    <w:rsid w:val="00837F08"/>
    <w:rsid w:val="00842E20"/>
    <w:rsid w:val="00862501"/>
    <w:rsid w:val="008941CA"/>
    <w:rsid w:val="008A1786"/>
    <w:rsid w:val="008B2255"/>
    <w:rsid w:val="008D1631"/>
    <w:rsid w:val="008F2001"/>
    <w:rsid w:val="00920656"/>
    <w:rsid w:val="00925F07"/>
    <w:rsid w:val="00950A40"/>
    <w:rsid w:val="009B700A"/>
    <w:rsid w:val="009D0F12"/>
    <w:rsid w:val="00A50A63"/>
    <w:rsid w:val="00AE3210"/>
    <w:rsid w:val="00AF1A04"/>
    <w:rsid w:val="00B108AE"/>
    <w:rsid w:val="00B11551"/>
    <w:rsid w:val="00B23916"/>
    <w:rsid w:val="00B329DA"/>
    <w:rsid w:val="00B373FB"/>
    <w:rsid w:val="00B7349E"/>
    <w:rsid w:val="00BA484A"/>
    <w:rsid w:val="00C056D3"/>
    <w:rsid w:val="00C34967"/>
    <w:rsid w:val="00C44806"/>
    <w:rsid w:val="00C574E6"/>
    <w:rsid w:val="00C721A9"/>
    <w:rsid w:val="00C849F5"/>
    <w:rsid w:val="00CB6A0B"/>
    <w:rsid w:val="00CF534A"/>
    <w:rsid w:val="00CF5517"/>
    <w:rsid w:val="00D565EB"/>
    <w:rsid w:val="00D85054"/>
    <w:rsid w:val="00D96130"/>
    <w:rsid w:val="00DA73E5"/>
    <w:rsid w:val="00DB56D5"/>
    <w:rsid w:val="00DD27CB"/>
    <w:rsid w:val="00DF6E39"/>
    <w:rsid w:val="00EA06F4"/>
    <w:rsid w:val="00EB4B52"/>
    <w:rsid w:val="00F07D58"/>
    <w:rsid w:val="00F11240"/>
    <w:rsid w:val="00F245E3"/>
    <w:rsid w:val="00F44974"/>
    <w:rsid w:val="00FA17BE"/>
    <w:rsid w:val="00FC72FC"/>
    <w:rsid w:val="00FD2F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6A1541"/>
    <w:rPr>
      <w:sz w:val="16"/>
      <w:szCs w:val="16"/>
    </w:rPr>
  </w:style>
  <w:style w:type="paragraph" w:styleId="CommentText">
    <w:name w:val="annotation text"/>
    <w:basedOn w:val="Normal"/>
    <w:link w:val="CommentTextChar"/>
    <w:uiPriority w:val="99"/>
    <w:unhideWhenUsed/>
    <w:rsid w:val="006A1541"/>
  </w:style>
  <w:style w:type="character" w:customStyle="1" w:styleId="CommentTextChar">
    <w:name w:val="Comment Text Char"/>
    <w:basedOn w:val="DefaultParagraphFont"/>
    <w:link w:val="CommentText"/>
    <w:uiPriority w:val="99"/>
    <w:rsid w:val="006A1541"/>
    <w:rPr>
      <w:sz w:val="20"/>
      <w:szCs w:val="20"/>
    </w:rPr>
  </w:style>
  <w:style w:type="paragraph" w:styleId="CommentSubject">
    <w:name w:val="annotation subject"/>
    <w:basedOn w:val="CommentText"/>
    <w:next w:val="CommentText"/>
    <w:link w:val="CommentSubjectChar"/>
    <w:uiPriority w:val="99"/>
    <w:semiHidden/>
    <w:unhideWhenUsed/>
    <w:rsid w:val="006A1541"/>
    <w:rPr>
      <w:b/>
      <w:bCs/>
    </w:rPr>
  </w:style>
  <w:style w:type="character" w:customStyle="1" w:styleId="CommentSubjectChar">
    <w:name w:val="Comment Subject Char"/>
    <w:basedOn w:val="CommentTextChar"/>
    <w:link w:val="CommentSubject"/>
    <w:uiPriority w:val="99"/>
    <w:semiHidden/>
    <w:rsid w:val="006A1541"/>
    <w:rPr>
      <w:b/>
      <w:bCs/>
      <w:sz w:val="20"/>
      <w:szCs w:val="20"/>
    </w:rPr>
  </w:style>
  <w:style w:type="character" w:styleId="Hyperlink">
    <w:name w:val="Hyperlink"/>
    <w:basedOn w:val="DefaultParagraphFont"/>
    <w:uiPriority w:val="99"/>
    <w:unhideWhenUsed/>
    <w:rsid w:val="00F07D58"/>
    <w:rPr>
      <w:color w:val="0000FF"/>
      <w:u w:val="single"/>
    </w:rPr>
  </w:style>
  <w:style w:type="paragraph" w:styleId="FootnoteText">
    <w:name w:val="footnote text"/>
    <w:basedOn w:val="Normal"/>
    <w:link w:val="FootnoteTextChar"/>
    <w:uiPriority w:val="99"/>
    <w:semiHidden/>
    <w:unhideWhenUsed/>
    <w:rsid w:val="00F07D5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07D58"/>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F07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view.officeapps.live.com/op/view.aspx?src=https%3A%2F%2Fwww.doe.mass.edu%2Fsped%2Fadvisories%2F2021-0910timeout-rooms.docx&amp;wdOrigin=BROWSELINK"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view.officeapps.live.com/op/view.aspx?src=https%3A%2F%2Fwww.doe.mass.edu%2Fsped%2Fadvisories%2F2021-0910timeout-rooms.docx&amp;wdOrigin=BROWSELI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awsregs/603cmr46.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75E4F-1E47-4852-94B4-44333756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FY24 0213 Board Package</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0213 Board Package</dc:title>
  <dc:creator>DESE</dc:creator>
  <cp:lastModifiedBy>Zou, Dong (EOE)</cp:lastModifiedBy>
  <cp:revision>10</cp:revision>
  <cp:lastPrinted>2001-07-23T18:06:00Z</cp:lastPrinted>
  <dcterms:created xsi:type="dcterms:W3CDTF">2024-04-08T15:00:00Z</dcterms:created>
  <dcterms:modified xsi:type="dcterms:W3CDTF">2024-04-11T15:29:00Z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11 2024 12:00AM</vt:lpwstr>
  </property>
</Properties>
</file>