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643C533D">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0FAC6927" w14:textId="57C0F7F1" w:rsidR="00410797" w:rsidRDefault="7C99BD05" w:rsidP="277114D2">
            <w:pPr>
              <w:pStyle w:val="Heading1"/>
              <w:jc w:val="both"/>
              <w:rPr>
                <w:sz w:val="22"/>
                <w:szCs w:val="22"/>
              </w:rPr>
            </w:pPr>
            <w:r w:rsidRPr="277114D2">
              <w:rPr>
                <w:sz w:val="22"/>
                <w:szCs w:val="22"/>
              </w:rPr>
              <w:t>Diversifying the Educator Workforce</w:t>
            </w:r>
          </w:p>
          <w:p w14:paraId="4C40413E" w14:textId="60B75B13" w:rsidR="00410797" w:rsidRDefault="00410797" w:rsidP="277114D2"/>
        </w:tc>
        <w:tc>
          <w:tcPr>
            <w:tcW w:w="2430" w:type="dxa"/>
            <w:tcBorders>
              <w:top w:val="nil"/>
              <w:left w:val="nil"/>
              <w:bottom w:val="nil"/>
              <w:right w:val="nil"/>
            </w:tcBorders>
          </w:tcPr>
          <w:p w14:paraId="5813D72A" w14:textId="3A757721" w:rsidR="00410797" w:rsidRDefault="712E1C87" w:rsidP="277114D2">
            <w:pPr>
              <w:spacing w:after="120"/>
              <w:jc w:val="both"/>
              <w:rPr>
                <w:sz w:val="22"/>
                <w:szCs w:val="22"/>
              </w:rPr>
            </w:pPr>
            <w:r w:rsidRPr="277114D2">
              <w:rPr>
                <w:b/>
                <w:bCs/>
                <w:sz w:val="22"/>
                <w:szCs w:val="22"/>
              </w:rPr>
              <w:t>FUND CODE:</w:t>
            </w:r>
            <w:r w:rsidR="7CC9BCB6" w:rsidRPr="277114D2">
              <w:rPr>
                <w:sz w:val="22"/>
                <w:szCs w:val="22"/>
              </w:rPr>
              <w:t xml:space="preserve"> </w:t>
            </w:r>
            <w:r w:rsidR="251EEDE1" w:rsidRPr="277114D2">
              <w:rPr>
                <w:sz w:val="22"/>
                <w:szCs w:val="22"/>
              </w:rPr>
              <w:t>242</w:t>
            </w:r>
          </w:p>
        </w:tc>
      </w:tr>
      <w:tr w:rsidR="00410797" w14:paraId="16366702" w14:textId="77777777" w:rsidTr="643C533D">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10AC80A5" w:rsidR="00410797" w:rsidRDefault="712E1C87" w:rsidP="277114D2">
            <w:pPr>
              <w:spacing w:after="120"/>
              <w:jc w:val="both"/>
              <w:rPr>
                <w:sz w:val="22"/>
                <w:szCs w:val="22"/>
              </w:rPr>
            </w:pPr>
            <w:r w:rsidRPr="643C533D">
              <w:rPr>
                <w:sz w:val="22"/>
                <w:szCs w:val="22"/>
              </w:rPr>
              <w:t xml:space="preserve">$ </w:t>
            </w:r>
            <w:r w:rsidR="523CB851" w:rsidRPr="643C533D">
              <w:rPr>
                <w:sz w:val="22"/>
                <w:szCs w:val="22"/>
              </w:rPr>
              <w:t>1,</w:t>
            </w:r>
            <w:r w:rsidR="00416DDB">
              <w:rPr>
                <w:sz w:val="22"/>
                <w:szCs w:val="22"/>
              </w:rPr>
              <w:t>598</w:t>
            </w:r>
            <w:r w:rsidR="523CB851" w:rsidRPr="643C533D">
              <w:rPr>
                <w:sz w:val="22"/>
                <w:szCs w:val="22"/>
              </w:rPr>
              <w:t>,</w:t>
            </w:r>
            <w:r w:rsidR="00416DDB">
              <w:rPr>
                <w:sz w:val="22"/>
                <w:szCs w:val="22"/>
              </w:rPr>
              <w:t>6</w:t>
            </w:r>
            <w:r w:rsidR="523CB851" w:rsidRPr="643C533D">
              <w:rPr>
                <w:sz w:val="22"/>
                <w:szCs w:val="22"/>
              </w:rPr>
              <w:t>0</w:t>
            </w:r>
            <w:r w:rsidR="00416DDB">
              <w:rPr>
                <w:sz w:val="22"/>
                <w:szCs w:val="22"/>
              </w:rPr>
              <w:t>6</w:t>
            </w:r>
            <w:r w:rsidR="08B4EDE2" w:rsidRPr="643C533D">
              <w:rPr>
                <w:sz w:val="22"/>
                <w:szCs w:val="22"/>
              </w:rPr>
              <w:t xml:space="preserve"> </w:t>
            </w:r>
            <w:r w:rsidRPr="643C533D">
              <w:rPr>
                <w:sz w:val="22"/>
                <w:szCs w:val="22"/>
              </w:rPr>
              <w:t>(</w:t>
            </w:r>
            <w:r w:rsidR="08B4EDE2" w:rsidRPr="643C533D">
              <w:rPr>
                <w:sz w:val="22"/>
                <w:szCs w:val="22"/>
              </w:rPr>
              <w:t>State</w:t>
            </w:r>
            <w:r w:rsidRPr="643C533D">
              <w:rPr>
                <w:sz w:val="22"/>
                <w:szCs w:val="22"/>
              </w:rPr>
              <w:t>)</w:t>
            </w:r>
          </w:p>
        </w:tc>
      </w:tr>
      <w:tr w:rsidR="00410797" w14:paraId="3F43B3FC" w14:textId="77777777" w:rsidTr="643C533D">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1610F2EF" w:rsidR="00410797" w:rsidRDefault="712E1C87" w:rsidP="277114D2">
            <w:pPr>
              <w:spacing w:after="120"/>
              <w:jc w:val="both"/>
              <w:rPr>
                <w:sz w:val="22"/>
                <w:szCs w:val="22"/>
              </w:rPr>
            </w:pPr>
            <w:r w:rsidRPr="277114D2">
              <w:rPr>
                <w:sz w:val="22"/>
                <w:szCs w:val="22"/>
              </w:rPr>
              <w:t>$</w:t>
            </w:r>
            <w:r w:rsidR="7CC9BCB6" w:rsidRPr="277114D2">
              <w:rPr>
                <w:sz w:val="22"/>
                <w:szCs w:val="22"/>
              </w:rPr>
              <w:t xml:space="preserve"> </w:t>
            </w:r>
            <w:r w:rsidR="756C0D95" w:rsidRPr="277114D2">
              <w:rPr>
                <w:sz w:val="22"/>
                <w:szCs w:val="22"/>
              </w:rPr>
              <w:t>4,</w:t>
            </w:r>
            <w:r w:rsidR="57890BEE" w:rsidRPr="52FCAA6E">
              <w:rPr>
                <w:sz w:val="22"/>
                <w:szCs w:val="22"/>
              </w:rPr>
              <w:t>603</w:t>
            </w:r>
            <w:r w:rsidR="756C0D95" w:rsidRPr="277114D2">
              <w:rPr>
                <w:sz w:val="22"/>
                <w:szCs w:val="22"/>
              </w:rPr>
              <w:t>,573</w:t>
            </w:r>
          </w:p>
        </w:tc>
      </w:tr>
      <w:tr w:rsidR="00410797" w14:paraId="30AE8315" w14:textId="77777777" w:rsidTr="643C533D">
        <w:trPr>
          <w:cantSplit/>
        </w:trPr>
        <w:tc>
          <w:tcPr>
            <w:tcW w:w="10908" w:type="dxa"/>
            <w:gridSpan w:val="4"/>
            <w:tcBorders>
              <w:top w:val="nil"/>
              <w:left w:val="nil"/>
              <w:bottom w:val="nil"/>
              <w:right w:val="nil"/>
            </w:tcBorders>
          </w:tcPr>
          <w:p w14:paraId="235C8D89" w14:textId="02B07069" w:rsidR="00410797" w:rsidRDefault="712E1C87" w:rsidP="277114D2">
            <w:pPr>
              <w:spacing w:after="120" w:line="259" w:lineRule="auto"/>
              <w:jc w:val="both"/>
              <w:rPr>
                <w:sz w:val="22"/>
                <w:szCs w:val="22"/>
              </w:rPr>
            </w:pPr>
            <w:r w:rsidRPr="277114D2">
              <w:rPr>
                <w:b/>
                <w:bCs/>
                <w:sz w:val="22"/>
                <w:szCs w:val="22"/>
              </w:rPr>
              <w:t xml:space="preserve">PURPOSE: </w:t>
            </w:r>
            <w:r w:rsidR="62C13895" w:rsidRPr="277114D2">
              <w:rPr>
                <w:sz w:val="22"/>
                <w:szCs w:val="22"/>
              </w:rPr>
              <w:t>The competitive Diversifying the Educator Workforce Grant is designed to support non-profit organizations and institutes of higher education efforts to diversify the Massachusetts educator workforce. Applicants may propose using grant funds to strengthen existing teacher recruitment and retention programs in one or more ways option A: Existing Programs; option B: New Programs; and option C: School and District Partnerships.</w:t>
            </w:r>
          </w:p>
        </w:tc>
      </w:tr>
      <w:tr w:rsidR="00410797" w14:paraId="6559C0FA" w14:textId="77777777" w:rsidTr="643C533D">
        <w:tc>
          <w:tcPr>
            <w:tcW w:w="5418" w:type="dxa"/>
            <w:gridSpan w:val="2"/>
            <w:tcBorders>
              <w:top w:val="nil"/>
              <w:left w:val="nil"/>
              <w:bottom w:val="nil"/>
              <w:right w:val="nil"/>
            </w:tcBorders>
          </w:tcPr>
          <w:p w14:paraId="31E78CF4" w14:textId="4666E99C" w:rsidR="00410797" w:rsidRDefault="712E1C87" w:rsidP="277114D2">
            <w:pPr>
              <w:spacing w:after="120"/>
              <w:jc w:val="both"/>
              <w:rPr>
                <w:b/>
                <w:bCs/>
                <w:sz w:val="22"/>
                <w:szCs w:val="22"/>
              </w:rPr>
            </w:pPr>
            <w:r w:rsidRPr="277114D2">
              <w:rPr>
                <w:b/>
                <w:bCs/>
                <w:sz w:val="22"/>
                <w:szCs w:val="22"/>
              </w:rPr>
              <w:t>NUMBER OF PROPOSALS RECEIVED:</w:t>
            </w:r>
            <w:r w:rsidR="4F304312" w:rsidRPr="277114D2">
              <w:rPr>
                <w:b/>
                <w:bCs/>
                <w:sz w:val="22"/>
                <w:szCs w:val="22"/>
              </w:rPr>
              <w:t xml:space="preserve"> </w:t>
            </w:r>
          </w:p>
        </w:tc>
        <w:tc>
          <w:tcPr>
            <w:tcW w:w="5490" w:type="dxa"/>
            <w:gridSpan w:val="2"/>
            <w:tcBorders>
              <w:top w:val="nil"/>
              <w:left w:val="nil"/>
              <w:bottom w:val="nil"/>
              <w:right w:val="nil"/>
            </w:tcBorders>
          </w:tcPr>
          <w:p w14:paraId="1B173BB1" w14:textId="6A660A37" w:rsidR="00410797" w:rsidRDefault="003754DF">
            <w:pPr>
              <w:spacing w:after="120"/>
              <w:jc w:val="both"/>
              <w:rPr>
                <w:sz w:val="22"/>
              </w:rPr>
            </w:pPr>
            <w:r>
              <w:rPr>
                <w:sz w:val="22"/>
              </w:rPr>
              <w:t>18</w:t>
            </w:r>
          </w:p>
        </w:tc>
      </w:tr>
      <w:tr w:rsidR="00410797" w14:paraId="761730FA" w14:textId="77777777" w:rsidTr="643C533D">
        <w:trPr>
          <w:trHeight w:val="224"/>
        </w:trPr>
        <w:tc>
          <w:tcPr>
            <w:tcW w:w="5418" w:type="dxa"/>
            <w:gridSpan w:val="2"/>
            <w:tcBorders>
              <w:top w:val="nil"/>
              <w:left w:val="nil"/>
              <w:bottom w:val="nil"/>
              <w:right w:val="nil"/>
            </w:tcBorders>
          </w:tcPr>
          <w:p w14:paraId="3F4D2231" w14:textId="6D3C32D7" w:rsidR="00410797" w:rsidRDefault="712E1C87" w:rsidP="277114D2">
            <w:pPr>
              <w:spacing w:after="120"/>
              <w:jc w:val="both"/>
              <w:rPr>
                <w:b/>
                <w:bCs/>
                <w:sz w:val="22"/>
                <w:szCs w:val="22"/>
              </w:rPr>
            </w:pPr>
            <w:r w:rsidRPr="277114D2">
              <w:rPr>
                <w:b/>
                <w:bCs/>
                <w:sz w:val="22"/>
                <w:szCs w:val="22"/>
              </w:rPr>
              <w:t>NUMBER OF PROPOSALS RECOMMENDED:</w:t>
            </w:r>
          </w:p>
        </w:tc>
        <w:tc>
          <w:tcPr>
            <w:tcW w:w="5490" w:type="dxa"/>
            <w:gridSpan w:val="2"/>
            <w:tcBorders>
              <w:top w:val="nil"/>
              <w:left w:val="nil"/>
              <w:bottom w:val="nil"/>
              <w:right w:val="nil"/>
            </w:tcBorders>
          </w:tcPr>
          <w:p w14:paraId="0D2596CF" w14:textId="6E45BF54" w:rsidR="00410797" w:rsidRDefault="003754DF">
            <w:pPr>
              <w:spacing w:after="120"/>
              <w:jc w:val="both"/>
              <w:rPr>
                <w:sz w:val="22"/>
              </w:rPr>
            </w:pPr>
            <w:r>
              <w:rPr>
                <w:sz w:val="22"/>
              </w:rPr>
              <w:t>16</w:t>
            </w:r>
          </w:p>
        </w:tc>
      </w:tr>
      <w:tr w:rsidR="00410797" w14:paraId="794D6562" w14:textId="77777777" w:rsidTr="643C533D">
        <w:trPr>
          <w:trHeight w:val="117"/>
        </w:trPr>
        <w:tc>
          <w:tcPr>
            <w:tcW w:w="5418" w:type="dxa"/>
            <w:gridSpan w:val="2"/>
            <w:tcBorders>
              <w:top w:val="nil"/>
              <w:left w:val="nil"/>
              <w:bottom w:val="nil"/>
              <w:right w:val="nil"/>
            </w:tcBorders>
          </w:tcPr>
          <w:p w14:paraId="72BEE658" w14:textId="37B4CBE3" w:rsidR="00410797" w:rsidRDefault="712E1C87" w:rsidP="277114D2">
            <w:pPr>
              <w:spacing w:after="120"/>
              <w:jc w:val="both"/>
              <w:rPr>
                <w:b/>
                <w:bCs/>
                <w:sz w:val="22"/>
                <w:szCs w:val="22"/>
              </w:rPr>
            </w:pPr>
            <w:r w:rsidRPr="277114D2">
              <w:rPr>
                <w:b/>
                <w:bCs/>
                <w:sz w:val="22"/>
                <w:szCs w:val="22"/>
              </w:rPr>
              <w:t>NUMBER OF PROPOSALS NOT RECOMMENDED:</w:t>
            </w:r>
            <w:r w:rsidR="6002586C" w:rsidRPr="277114D2">
              <w:rPr>
                <w:b/>
                <w:bCs/>
                <w:sz w:val="22"/>
                <w:szCs w:val="22"/>
              </w:rPr>
              <w:t xml:space="preserve"> </w:t>
            </w:r>
          </w:p>
        </w:tc>
        <w:tc>
          <w:tcPr>
            <w:tcW w:w="5490" w:type="dxa"/>
            <w:gridSpan w:val="2"/>
            <w:tcBorders>
              <w:top w:val="nil"/>
              <w:left w:val="nil"/>
              <w:bottom w:val="nil"/>
              <w:right w:val="nil"/>
            </w:tcBorders>
          </w:tcPr>
          <w:p w14:paraId="2097C42B" w14:textId="04C9FEF8" w:rsidR="00410797" w:rsidRDefault="003754DF">
            <w:pPr>
              <w:spacing w:after="120"/>
              <w:jc w:val="both"/>
              <w:rPr>
                <w:sz w:val="22"/>
              </w:rPr>
            </w:pPr>
            <w:r>
              <w:rPr>
                <w:sz w:val="22"/>
              </w:rPr>
              <w:t>2</w:t>
            </w:r>
          </w:p>
        </w:tc>
      </w:tr>
      <w:tr w:rsidR="00410797" w14:paraId="6A89E767" w14:textId="77777777" w:rsidTr="643C533D">
        <w:trPr>
          <w:cantSplit/>
          <w:trHeight w:val="828"/>
        </w:trPr>
        <w:tc>
          <w:tcPr>
            <w:tcW w:w="10908" w:type="dxa"/>
            <w:gridSpan w:val="4"/>
            <w:tcBorders>
              <w:top w:val="nil"/>
              <w:left w:val="nil"/>
              <w:bottom w:val="nil"/>
              <w:right w:val="nil"/>
            </w:tcBorders>
          </w:tcPr>
          <w:p w14:paraId="5ACFA215" w14:textId="186C382F" w:rsidR="00D85054" w:rsidRPr="00FA17BE" w:rsidRDefault="712E1C87" w:rsidP="643C533D">
            <w:pPr>
              <w:rPr>
                <w:sz w:val="22"/>
                <w:szCs w:val="22"/>
              </w:rPr>
            </w:pPr>
            <w:r w:rsidRPr="643C533D">
              <w:rPr>
                <w:b/>
                <w:bCs/>
                <w:sz w:val="22"/>
                <w:szCs w:val="22"/>
              </w:rPr>
              <w:t>RESULT OF FUNDING:</w:t>
            </w:r>
            <w:r w:rsidRPr="643C533D">
              <w:rPr>
                <w:sz w:val="22"/>
                <w:szCs w:val="22"/>
              </w:rPr>
              <w:t xml:space="preserve"> </w:t>
            </w:r>
            <w:r w:rsidR="13052C51" w:rsidRPr="643C533D">
              <w:rPr>
                <w:sz w:val="22"/>
                <w:szCs w:val="22"/>
              </w:rPr>
              <w:t xml:space="preserve">The Massachusetts Department of Elementary and Secondary Education will provide $1,400,000 to </w:t>
            </w:r>
            <w:r w:rsidR="5DF30C28" w:rsidRPr="643C533D">
              <w:rPr>
                <w:sz w:val="22"/>
                <w:szCs w:val="22"/>
              </w:rPr>
              <w:t xml:space="preserve">sixteen (16) </w:t>
            </w:r>
            <w:r w:rsidR="13052C51" w:rsidRPr="643C533D">
              <w:rPr>
                <w:sz w:val="22"/>
                <w:szCs w:val="22"/>
              </w:rPr>
              <w:t xml:space="preserve">nonprofit organizations and institutes of higher education to enhance and strengthen existing teacher recruitment and retention pipelines. </w:t>
            </w:r>
            <w:r w:rsidR="69267F10" w:rsidRPr="643C533D">
              <w:rPr>
                <w:sz w:val="22"/>
                <w:szCs w:val="22"/>
              </w:rPr>
              <w:t>Two of the submitted eighteen (18) applications were not recommended due to misalignment</w:t>
            </w:r>
            <w:r w:rsidR="7BEA63F2" w:rsidRPr="643C533D">
              <w:rPr>
                <w:sz w:val="22"/>
                <w:szCs w:val="22"/>
              </w:rPr>
              <w:t xml:space="preserve"> </w:t>
            </w:r>
            <w:proofErr w:type="gramStart"/>
            <w:r w:rsidR="7BEA63F2" w:rsidRPr="643C533D">
              <w:rPr>
                <w:sz w:val="22"/>
                <w:szCs w:val="22"/>
              </w:rPr>
              <w:t>to</w:t>
            </w:r>
            <w:proofErr w:type="gramEnd"/>
            <w:r w:rsidR="7BEA63F2" w:rsidRPr="643C533D">
              <w:rPr>
                <w:sz w:val="22"/>
                <w:szCs w:val="22"/>
              </w:rPr>
              <w:t xml:space="preserve"> the purpose of the grant. Grant awardees will be able to use their </w:t>
            </w:r>
            <w:r w:rsidR="69267F10" w:rsidRPr="643C533D">
              <w:rPr>
                <w:sz w:val="22"/>
                <w:szCs w:val="22"/>
              </w:rPr>
              <w:t xml:space="preserve">Diversifying the Educator Workforce Grant </w:t>
            </w:r>
            <w:r w:rsidR="1FC41FFF" w:rsidRPr="643C533D">
              <w:rPr>
                <w:sz w:val="22"/>
                <w:szCs w:val="22"/>
              </w:rPr>
              <w:t>allocation</w:t>
            </w:r>
            <w:r w:rsidR="69267F10" w:rsidRPr="643C533D">
              <w:rPr>
                <w:sz w:val="22"/>
                <w:szCs w:val="22"/>
              </w:rPr>
              <w:t xml:space="preserve">s to strengthen existing teacher recruitment and retention programs in one or more ways: existing programs that enhance and expand the organizations existing programs designed </w:t>
            </w:r>
            <w:r w:rsidR="0DBE46E6" w:rsidRPr="643C533D">
              <w:rPr>
                <w:sz w:val="22"/>
                <w:szCs w:val="22"/>
              </w:rPr>
              <w:t xml:space="preserve">to </w:t>
            </w:r>
            <w:r w:rsidR="69267F10" w:rsidRPr="643C533D">
              <w:rPr>
                <w:sz w:val="22"/>
                <w:szCs w:val="22"/>
              </w:rPr>
              <w:t>increase the recruitment and retention of effective racial and ethnically diverse Massachusetts public K–12 educators (option A), new programs designed to increase the recruitment and retention of effective and diverse Massachusetts public K–12 educators  (option B), and school and district partnerships to develop new partnerships between the organization and Massachusetts public schools and districts which are designed to increase the school or district's diverse educator recruitment and retention efforts (option C).</w:t>
            </w:r>
          </w:p>
        </w:tc>
      </w:tr>
    </w:tbl>
    <w:p w14:paraId="477F4A36" w14:textId="77777777" w:rsidR="00410797" w:rsidRDefault="00410797">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416DDB">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szCs w:val="22"/>
              </w:rPr>
            </w:pPr>
            <w:r w:rsidRPr="52FCAA6E">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szCs w:val="22"/>
              </w:rPr>
            </w:pPr>
            <w:r w:rsidRPr="52FCAA6E">
              <w:rPr>
                <w:b/>
                <w:snapToGrid w:val="0"/>
                <w:color w:val="000000"/>
                <w:sz w:val="22"/>
                <w:szCs w:val="22"/>
              </w:rPr>
              <w:t>AMOUNTS</w:t>
            </w:r>
          </w:p>
        </w:tc>
      </w:tr>
      <w:tr w:rsidR="00416DDB" w14:paraId="2557505B" w14:textId="77777777" w:rsidTr="00416DDB">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720AAD67" w14:textId="5A473073" w:rsidR="00416DDB" w:rsidRPr="52FCAA6E" w:rsidRDefault="00416DDB" w:rsidP="00416DDB">
            <w:pPr>
              <w:rPr>
                <w:color w:val="000000" w:themeColor="text1"/>
                <w:sz w:val="22"/>
                <w:szCs w:val="22"/>
              </w:rPr>
            </w:pPr>
            <w:r w:rsidRPr="52FCAA6E">
              <w:rPr>
                <w:color w:val="000000" w:themeColor="text1"/>
                <w:sz w:val="22"/>
                <w:szCs w:val="22"/>
              </w:rPr>
              <w:t xml:space="preserve">Boston Plan for Excellence </w:t>
            </w:r>
          </w:p>
        </w:tc>
        <w:tc>
          <w:tcPr>
            <w:tcW w:w="1440" w:type="dxa"/>
            <w:tcBorders>
              <w:top w:val="single" w:sz="6" w:space="0" w:color="auto"/>
              <w:left w:val="single" w:sz="6" w:space="0" w:color="auto"/>
              <w:bottom w:val="single" w:sz="6" w:space="0" w:color="auto"/>
              <w:right w:val="single" w:sz="6" w:space="0" w:color="auto"/>
            </w:tcBorders>
            <w:vAlign w:val="center"/>
          </w:tcPr>
          <w:p w14:paraId="1D30BC12" w14:textId="3E37122D" w:rsidR="00416DDB" w:rsidRPr="52FCAA6E" w:rsidRDefault="00416DDB" w:rsidP="00416DDB">
            <w:pPr>
              <w:jc w:val="right"/>
              <w:rPr>
                <w:color w:val="000000" w:themeColor="text1"/>
                <w:sz w:val="22"/>
                <w:szCs w:val="22"/>
              </w:rPr>
            </w:pPr>
            <w:r>
              <w:rPr>
                <w:rFonts w:ascii="Calibri" w:hAnsi="Calibri" w:cs="Calibri"/>
                <w:sz w:val="22"/>
                <w:szCs w:val="22"/>
              </w:rPr>
              <w:t>$165,000</w:t>
            </w:r>
          </w:p>
        </w:tc>
      </w:tr>
      <w:tr w:rsidR="00416DDB" w14:paraId="41529082"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AF183FE" w14:textId="729F2470" w:rsidR="00416DDB" w:rsidRPr="52FCAA6E" w:rsidRDefault="00416DDB" w:rsidP="00416DDB">
            <w:pPr>
              <w:rPr>
                <w:color w:val="000000" w:themeColor="text1"/>
                <w:sz w:val="22"/>
                <w:szCs w:val="22"/>
              </w:rPr>
            </w:pPr>
            <w:r w:rsidRPr="52FCAA6E">
              <w:rPr>
                <w:color w:val="000000" w:themeColor="text1"/>
                <w:sz w:val="22"/>
                <w:szCs w:val="22"/>
              </w:rPr>
              <w:t xml:space="preserve">Collaborative for Educational Services </w:t>
            </w:r>
          </w:p>
        </w:tc>
        <w:tc>
          <w:tcPr>
            <w:tcW w:w="1440" w:type="dxa"/>
            <w:tcBorders>
              <w:top w:val="single" w:sz="6" w:space="0" w:color="auto"/>
              <w:left w:val="single" w:sz="6" w:space="0" w:color="auto"/>
              <w:bottom w:val="single" w:sz="6" w:space="0" w:color="auto"/>
              <w:right w:val="single" w:sz="6" w:space="0" w:color="auto"/>
            </w:tcBorders>
            <w:vAlign w:val="center"/>
          </w:tcPr>
          <w:p w14:paraId="18891E8B" w14:textId="470A76F9" w:rsidR="00416DDB" w:rsidRPr="52FCAA6E" w:rsidRDefault="00416DDB" w:rsidP="00416DDB">
            <w:pPr>
              <w:jc w:val="right"/>
              <w:rPr>
                <w:color w:val="000000" w:themeColor="text1"/>
                <w:sz w:val="22"/>
                <w:szCs w:val="22"/>
              </w:rPr>
            </w:pPr>
            <w:r>
              <w:rPr>
                <w:rFonts w:ascii="Calibri" w:hAnsi="Calibri" w:cs="Calibri"/>
                <w:sz w:val="22"/>
                <w:szCs w:val="22"/>
              </w:rPr>
              <w:t>$25,000</w:t>
            </w:r>
          </w:p>
        </w:tc>
      </w:tr>
      <w:tr w:rsidR="00416DDB" w14:paraId="54E1A07B"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0EB4460" w14:textId="22D76EF4" w:rsidR="00416DDB" w:rsidRPr="52FCAA6E" w:rsidRDefault="00416DDB" w:rsidP="00416DDB">
            <w:pPr>
              <w:rPr>
                <w:color w:val="000000" w:themeColor="text1"/>
                <w:sz w:val="22"/>
                <w:szCs w:val="22"/>
              </w:rPr>
            </w:pPr>
            <w:r w:rsidRPr="52FCAA6E">
              <w:rPr>
                <w:color w:val="000000" w:themeColor="text1"/>
                <w:sz w:val="22"/>
                <w:szCs w:val="22"/>
              </w:rPr>
              <w:t xml:space="preserve">Eastern Nazarene College </w:t>
            </w:r>
          </w:p>
        </w:tc>
        <w:tc>
          <w:tcPr>
            <w:tcW w:w="1440" w:type="dxa"/>
            <w:tcBorders>
              <w:top w:val="single" w:sz="6" w:space="0" w:color="auto"/>
              <w:left w:val="single" w:sz="6" w:space="0" w:color="auto"/>
              <w:bottom w:val="single" w:sz="6" w:space="0" w:color="auto"/>
              <w:right w:val="single" w:sz="6" w:space="0" w:color="auto"/>
            </w:tcBorders>
            <w:vAlign w:val="center"/>
          </w:tcPr>
          <w:p w14:paraId="4D024E1A" w14:textId="7B99BDFB" w:rsidR="00416DDB" w:rsidRPr="52FCAA6E" w:rsidRDefault="00416DDB" w:rsidP="00416DDB">
            <w:pPr>
              <w:jc w:val="right"/>
              <w:rPr>
                <w:color w:val="000000" w:themeColor="text1"/>
                <w:sz w:val="22"/>
                <w:szCs w:val="22"/>
              </w:rPr>
            </w:pPr>
            <w:r>
              <w:rPr>
                <w:rFonts w:ascii="Calibri" w:hAnsi="Calibri" w:cs="Calibri"/>
                <w:sz w:val="22"/>
                <w:szCs w:val="22"/>
              </w:rPr>
              <w:t>$49,000</w:t>
            </w:r>
          </w:p>
        </w:tc>
      </w:tr>
      <w:tr w:rsidR="00416DDB" w14:paraId="4338704C"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670B360" w14:textId="3B4FE6D4" w:rsidR="00416DDB" w:rsidRPr="52FCAA6E" w:rsidRDefault="00416DDB" w:rsidP="00416DDB">
            <w:pPr>
              <w:rPr>
                <w:color w:val="000000" w:themeColor="text1"/>
                <w:sz w:val="22"/>
                <w:szCs w:val="22"/>
              </w:rPr>
            </w:pPr>
            <w:r w:rsidRPr="52FCAA6E">
              <w:rPr>
                <w:color w:val="000000" w:themeColor="text1"/>
                <w:sz w:val="22"/>
                <w:szCs w:val="22"/>
              </w:rPr>
              <w:t xml:space="preserve">Elms College </w:t>
            </w:r>
          </w:p>
        </w:tc>
        <w:tc>
          <w:tcPr>
            <w:tcW w:w="1440" w:type="dxa"/>
            <w:tcBorders>
              <w:top w:val="single" w:sz="6" w:space="0" w:color="auto"/>
              <w:left w:val="single" w:sz="6" w:space="0" w:color="auto"/>
              <w:bottom w:val="single" w:sz="6" w:space="0" w:color="auto"/>
              <w:right w:val="single" w:sz="6" w:space="0" w:color="auto"/>
            </w:tcBorders>
            <w:vAlign w:val="center"/>
          </w:tcPr>
          <w:p w14:paraId="78B035BC" w14:textId="0EFF963B" w:rsidR="00416DDB" w:rsidRPr="52FCAA6E" w:rsidRDefault="00416DDB" w:rsidP="00416DDB">
            <w:pPr>
              <w:jc w:val="right"/>
              <w:rPr>
                <w:color w:val="000000" w:themeColor="text1"/>
                <w:sz w:val="22"/>
                <w:szCs w:val="22"/>
              </w:rPr>
            </w:pPr>
            <w:r>
              <w:rPr>
                <w:rFonts w:ascii="Calibri" w:hAnsi="Calibri" w:cs="Calibri"/>
                <w:sz w:val="22"/>
                <w:szCs w:val="22"/>
              </w:rPr>
              <w:t>$61,000</w:t>
            </w:r>
          </w:p>
        </w:tc>
      </w:tr>
      <w:tr w:rsidR="00416DDB" w14:paraId="34AB2A19"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ED0A534" w14:textId="713B8C86" w:rsidR="00416DDB" w:rsidRPr="52FCAA6E" w:rsidRDefault="00416DDB" w:rsidP="00416DDB">
            <w:pPr>
              <w:rPr>
                <w:color w:val="000000" w:themeColor="text1"/>
                <w:sz w:val="22"/>
                <w:szCs w:val="22"/>
              </w:rPr>
            </w:pPr>
            <w:r w:rsidRPr="52FCAA6E">
              <w:rPr>
                <w:color w:val="000000" w:themeColor="text1"/>
                <w:sz w:val="22"/>
                <w:szCs w:val="22"/>
              </w:rPr>
              <w:t xml:space="preserve">Greatest MINDS </w:t>
            </w:r>
          </w:p>
        </w:tc>
        <w:tc>
          <w:tcPr>
            <w:tcW w:w="1440" w:type="dxa"/>
            <w:tcBorders>
              <w:top w:val="single" w:sz="6" w:space="0" w:color="auto"/>
              <w:left w:val="single" w:sz="6" w:space="0" w:color="auto"/>
              <w:bottom w:val="single" w:sz="6" w:space="0" w:color="auto"/>
              <w:right w:val="single" w:sz="6" w:space="0" w:color="auto"/>
            </w:tcBorders>
            <w:vAlign w:val="center"/>
          </w:tcPr>
          <w:p w14:paraId="07824097" w14:textId="0A5C1C9E" w:rsidR="00416DDB" w:rsidRPr="52FCAA6E" w:rsidRDefault="00416DDB" w:rsidP="00416DDB">
            <w:pPr>
              <w:jc w:val="right"/>
              <w:rPr>
                <w:color w:val="000000" w:themeColor="text1"/>
                <w:sz w:val="22"/>
                <w:szCs w:val="22"/>
              </w:rPr>
            </w:pPr>
            <w:r>
              <w:rPr>
                <w:rFonts w:ascii="Calibri" w:hAnsi="Calibri" w:cs="Calibri"/>
                <w:sz w:val="22"/>
                <w:szCs w:val="22"/>
              </w:rPr>
              <w:t>$45,000</w:t>
            </w:r>
          </w:p>
        </w:tc>
      </w:tr>
      <w:tr w:rsidR="00416DDB" w14:paraId="7EE361BA"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3C997EC" w14:textId="76CE39B5" w:rsidR="00416DDB" w:rsidRPr="52FCAA6E" w:rsidRDefault="00416DDB" w:rsidP="00416DDB">
            <w:pPr>
              <w:rPr>
                <w:color w:val="000000" w:themeColor="text1"/>
                <w:sz w:val="22"/>
                <w:szCs w:val="22"/>
              </w:rPr>
            </w:pPr>
            <w:r w:rsidRPr="52FCAA6E">
              <w:rPr>
                <w:color w:val="000000" w:themeColor="text1"/>
                <w:sz w:val="22"/>
                <w:szCs w:val="22"/>
              </w:rPr>
              <w:t xml:space="preserve">Hale Education, Inc </w:t>
            </w:r>
          </w:p>
        </w:tc>
        <w:tc>
          <w:tcPr>
            <w:tcW w:w="1440" w:type="dxa"/>
            <w:tcBorders>
              <w:top w:val="single" w:sz="6" w:space="0" w:color="auto"/>
              <w:left w:val="single" w:sz="6" w:space="0" w:color="auto"/>
              <w:bottom w:val="single" w:sz="6" w:space="0" w:color="auto"/>
              <w:right w:val="single" w:sz="6" w:space="0" w:color="auto"/>
            </w:tcBorders>
            <w:vAlign w:val="center"/>
          </w:tcPr>
          <w:p w14:paraId="250A26DE" w14:textId="64B47E45" w:rsidR="00416DDB" w:rsidRPr="52FCAA6E" w:rsidRDefault="00416DDB" w:rsidP="00416DDB">
            <w:pPr>
              <w:jc w:val="right"/>
              <w:rPr>
                <w:color w:val="000000" w:themeColor="text1"/>
                <w:sz w:val="22"/>
                <w:szCs w:val="22"/>
              </w:rPr>
            </w:pPr>
            <w:r>
              <w:rPr>
                <w:rFonts w:ascii="Calibri" w:hAnsi="Calibri" w:cs="Calibri"/>
                <w:sz w:val="22"/>
                <w:szCs w:val="22"/>
              </w:rPr>
              <w:t>$90,000</w:t>
            </w:r>
          </w:p>
        </w:tc>
      </w:tr>
      <w:tr w:rsidR="00416DDB" w14:paraId="5E06D2ED"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1F4FBF0" w14:textId="4C7DD2EC" w:rsidR="00416DDB" w:rsidRPr="52FCAA6E" w:rsidRDefault="00416DDB" w:rsidP="00416DDB">
            <w:pPr>
              <w:rPr>
                <w:color w:val="000000" w:themeColor="text1"/>
                <w:sz w:val="22"/>
                <w:szCs w:val="22"/>
              </w:rPr>
            </w:pPr>
            <w:r w:rsidRPr="52FCAA6E">
              <w:rPr>
                <w:color w:val="000000" w:themeColor="text1"/>
                <w:sz w:val="22"/>
                <w:szCs w:val="22"/>
              </w:rPr>
              <w:t xml:space="preserve">He is Me </w:t>
            </w:r>
          </w:p>
        </w:tc>
        <w:tc>
          <w:tcPr>
            <w:tcW w:w="1440" w:type="dxa"/>
            <w:tcBorders>
              <w:top w:val="single" w:sz="6" w:space="0" w:color="auto"/>
              <w:left w:val="single" w:sz="6" w:space="0" w:color="auto"/>
              <w:bottom w:val="single" w:sz="6" w:space="0" w:color="auto"/>
              <w:right w:val="single" w:sz="6" w:space="0" w:color="auto"/>
            </w:tcBorders>
            <w:vAlign w:val="center"/>
          </w:tcPr>
          <w:p w14:paraId="662DD600" w14:textId="3A72DD31" w:rsidR="00416DDB" w:rsidRPr="52FCAA6E" w:rsidRDefault="00416DDB" w:rsidP="00416DDB">
            <w:pPr>
              <w:jc w:val="right"/>
              <w:rPr>
                <w:color w:val="000000" w:themeColor="text1"/>
                <w:sz w:val="22"/>
                <w:szCs w:val="22"/>
              </w:rPr>
            </w:pPr>
            <w:r>
              <w:rPr>
                <w:rFonts w:ascii="Calibri" w:hAnsi="Calibri" w:cs="Calibri"/>
                <w:sz w:val="22"/>
                <w:szCs w:val="22"/>
              </w:rPr>
              <w:t>$114,000</w:t>
            </w:r>
          </w:p>
        </w:tc>
      </w:tr>
      <w:tr w:rsidR="00416DDB" w14:paraId="5E65AE64"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3459830" w14:textId="5F8CA029" w:rsidR="00416DDB" w:rsidRPr="52FCAA6E" w:rsidRDefault="00416DDB" w:rsidP="00416DDB">
            <w:pPr>
              <w:rPr>
                <w:color w:val="000000" w:themeColor="text1"/>
                <w:sz w:val="22"/>
                <w:szCs w:val="22"/>
              </w:rPr>
            </w:pPr>
            <w:r w:rsidRPr="52FCAA6E">
              <w:rPr>
                <w:color w:val="000000" w:themeColor="text1"/>
                <w:sz w:val="22"/>
                <w:szCs w:val="22"/>
              </w:rPr>
              <w:t xml:space="preserve">Journey into Education &amp; Teaching </w:t>
            </w:r>
          </w:p>
        </w:tc>
        <w:tc>
          <w:tcPr>
            <w:tcW w:w="1440" w:type="dxa"/>
            <w:tcBorders>
              <w:top w:val="single" w:sz="6" w:space="0" w:color="auto"/>
              <w:left w:val="single" w:sz="6" w:space="0" w:color="auto"/>
              <w:bottom w:val="single" w:sz="6" w:space="0" w:color="auto"/>
              <w:right w:val="single" w:sz="6" w:space="0" w:color="auto"/>
            </w:tcBorders>
            <w:vAlign w:val="center"/>
          </w:tcPr>
          <w:p w14:paraId="29596325" w14:textId="05983190" w:rsidR="00416DDB" w:rsidRPr="52FCAA6E" w:rsidRDefault="00416DDB" w:rsidP="00416DDB">
            <w:pPr>
              <w:jc w:val="right"/>
              <w:rPr>
                <w:color w:val="000000" w:themeColor="text1"/>
                <w:sz w:val="22"/>
                <w:szCs w:val="22"/>
              </w:rPr>
            </w:pPr>
            <w:r>
              <w:rPr>
                <w:rFonts w:ascii="Calibri" w:hAnsi="Calibri" w:cs="Calibri"/>
                <w:sz w:val="22"/>
                <w:szCs w:val="22"/>
              </w:rPr>
              <w:t>$125,000</w:t>
            </w:r>
          </w:p>
        </w:tc>
      </w:tr>
      <w:tr w:rsidR="00416DDB" w14:paraId="7E142AFE"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48BC084" w14:textId="19A3E937" w:rsidR="00416DDB" w:rsidRPr="52FCAA6E" w:rsidRDefault="00416DDB" w:rsidP="00416DDB">
            <w:pPr>
              <w:rPr>
                <w:color w:val="000000" w:themeColor="text1"/>
                <w:sz w:val="22"/>
                <w:szCs w:val="22"/>
              </w:rPr>
            </w:pPr>
            <w:r w:rsidRPr="52FCAA6E">
              <w:rPr>
                <w:color w:val="000000" w:themeColor="text1"/>
                <w:sz w:val="22"/>
                <w:szCs w:val="22"/>
              </w:rPr>
              <w:t xml:space="preserve">Lasell University </w:t>
            </w:r>
          </w:p>
        </w:tc>
        <w:tc>
          <w:tcPr>
            <w:tcW w:w="1440" w:type="dxa"/>
            <w:tcBorders>
              <w:top w:val="single" w:sz="6" w:space="0" w:color="auto"/>
              <w:left w:val="single" w:sz="6" w:space="0" w:color="auto"/>
              <w:bottom w:val="single" w:sz="6" w:space="0" w:color="auto"/>
              <w:right w:val="single" w:sz="6" w:space="0" w:color="auto"/>
            </w:tcBorders>
            <w:vAlign w:val="center"/>
          </w:tcPr>
          <w:p w14:paraId="741E0842" w14:textId="5E5589B9" w:rsidR="00416DDB" w:rsidRPr="52FCAA6E" w:rsidRDefault="00416DDB" w:rsidP="00416DDB">
            <w:pPr>
              <w:jc w:val="right"/>
              <w:rPr>
                <w:color w:val="000000" w:themeColor="text1"/>
                <w:sz w:val="22"/>
                <w:szCs w:val="22"/>
              </w:rPr>
            </w:pPr>
            <w:r>
              <w:rPr>
                <w:rFonts w:ascii="Calibri" w:hAnsi="Calibri" w:cs="Calibri"/>
                <w:sz w:val="22"/>
                <w:szCs w:val="22"/>
              </w:rPr>
              <w:t>$55,000</w:t>
            </w:r>
          </w:p>
        </w:tc>
      </w:tr>
      <w:tr w:rsidR="00416DDB" w14:paraId="6AC07A10"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CE7FE69" w14:textId="3D27E73A" w:rsidR="00416DDB" w:rsidRPr="52FCAA6E" w:rsidRDefault="00416DDB" w:rsidP="00416DDB">
            <w:pPr>
              <w:rPr>
                <w:color w:val="000000" w:themeColor="text1"/>
                <w:sz w:val="22"/>
                <w:szCs w:val="22"/>
              </w:rPr>
            </w:pPr>
            <w:r w:rsidRPr="52FCAA6E">
              <w:rPr>
                <w:color w:val="000000" w:themeColor="text1"/>
                <w:sz w:val="22"/>
                <w:szCs w:val="22"/>
              </w:rPr>
              <w:t xml:space="preserve">Salem State University </w:t>
            </w:r>
          </w:p>
        </w:tc>
        <w:tc>
          <w:tcPr>
            <w:tcW w:w="1440" w:type="dxa"/>
            <w:tcBorders>
              <w:top w:val="single" w:sz="6" w:space="0" w:color="auto"/>
              <w:left w:val="single" w:sz="6" w:space="0" w:color="auto"/>
              <w:bottom w:val="single" w:sz="6" w:space="0" w:color="auto"/>
              <w:right w:val="single" w:sz="6" w:space="0" w:color="auto"/>
            </w:tcBorders>
            <w:vAlign w:val="center"/>
          </w:tcPr>
          <w:p w14:paraId="089D7CFB" w14:textId="70556EB7" w:rsidR="00416DDB" w:rsidRPr="52FCAA6E" w:rsidRDefault="00416DDB" w:rsidP="00416DDB">
            <w:pPr>
              <w:jc w:val="right"/>
              <w:rPr>
                <w:color w:val="000000" w:themeColor="text1"/>
                <w:sz w:val="22"/>
                <w:szCs w:val="22"/>
              </w:rPr>
            </w:pPr>
            <w:r>
              <w:rPr>
                <w:rFonts w:ascii="Calibri" w:hAnsi="Calibri" w:cs="Calibri"/>
                <w:sz w:val="22"/>
                <w:szCs w:val="22"/>
              </w:rPr>
              <w:t>$192,606</w:t>
            </w:r>
          </w:p>
        </w:tc>
      </w:tr>
      <w:tr w:rsidR="00416DDB" w14:paraId="1CCD219A"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FC04647" w14:textId="1F9AECD4" w:rsidR="00416DDB" w:rsidRPr="52FCAA6E" w:rsidRDefault="00416DDB" w:rsidP="00416DDB">
            <w:pPr>
              <w:rPr>
                <w:color w:val="000000" w:themeColor="text1"/>
                <w:sz w:val="22"/>
                <w:szCs w:val="22"/>
              </w:rPr>
            </w:pPr>
            <w:r w:rsidRPr="52FCAA6E">
              <w:rPr>
                <w:color w:val="000000" w:themeColor="text1"/>
                <w:sz w:val="22"/>
                <w:szCs w:val="22"/>
              </w:rPr>
              <w:t xml:space="preserve">St. Stephen's Youth Programs </w:t>
            </w:r>
          </w:p>
        </w:tc>
        <w:tc>
          <w:tcPr>
            <w:tcW w:w="1440" w:type="dxa"/>
            <w:tcBorders>
              <w:top w:val="single" w:sz="6" w:space="0" w:color="auto"/>
              <w:left w:val="single" w:sz="6" w:space="0" w:color="auto"/>
              <w:bottom w:val="single" w:sz="6" w:space="0" w:color="auto"/>
              <w:right w:val="single" w:sz="6" w:space="0" w:color="auto"/>
            </w:tcBorders>
            <w:vAlign w:val="center"/>
          </w:tcPr>
          <w:p w14:paraId="67FC78AB" w14:textId="4C50918D" w:rsidR="00416DDB" w:rsidRPr="52FCAA6E" w:rsidRDefault="00416DDB" w:rsidP="00416DDB">
            <w:pPr>
              <w:jc w:val="right"/>
              <w:rPr>
                <w:color w:val="000000" w:themeColor="text1"/>
                <w:sz w:val="22"/>
                <w:szCs w:val="22"/>
              </w:rPr>
            </w:pPr>
            <w:r>
              <w:rPr>
                <w:rFonts w:ascii="Calibri" w:hAnsi="Calibri" w:cs="Calibri"/>
                <w:sz w:val="22"/>
                <w:szCs w:val="22"/>
              </w:rPr>
              <w:t>$20,000</w:t>
            </w:r>
          </w:p>
        </w:tc>
      </w:tr>
      <w:tr w:rsidR="00416DDB" w14:paraId="6A5CA35D"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685D8E6" w14:textId="7D54FB17" w:rsidR="00416DDB" w:rsidRDefault="00416DDB" w:rsidP="00416DDB">
            <w:pPr>
              <w:rPr>
                <w:color w:val="000000" w:themeColor="text1"/>
                <w:sz w:val="22"/>
                <w:szCs w:val="22"/>
              </w:rPr>
            </w:pPr>
            <w:r w:rsidRPr="52FCAA6E">
              <w:rPr>
                <w:color w:val="000000" w:themeColor="text1"/>
                <w:sz w:val="22"/>
                <w:szCs w:val="22"/>
              </w:rPr>
              <w:t xml:space="preserve">Stonehill College </w:t>
            </w:r>
          </w:p>
        </w:tc>
        <w:tc>
          <w:tcPr>
            <w:tcW w:w="1440" w:type="dxa"/>
            <w:tcBorders>
              <w:top w:val="single" w:sz="6" w:space="0" w:color="auto"/>
              <w:left w:val="single" w:sz="6" w:space="0" w:color="auto"/>
              <w:bottom w:val="single" w:sz="6" w:space="0" w:color="auto"/>
              <w:right w:val="single" w:sz="6" w:space="0" w:color="auto"/>
            </w:tcBorders>
            <w:vAlign w:val="center"/>
          </w:tcPr>
          <w:p w14:paraId="264CC508" w14:textId="16712591" w:rsidR="00416DDB" w:rsidRDefault="00416DDB" w:rsidP="00416DDB">
            <w:pPr>
              <w:jc w:val="right"/>
              <w:rPr>
                <w:color w:val="000000" w:themeColor="text1"/>
                <w:sz w:val="22"/>
                <w:szCs w:val="22"/>
              </w:rPr>
            </w:pPr>
            <w:r>
              <w:rPr>
                <w:rFonts w:ascii="Calibri" w:hAnsi="Calibri" w:cs="Calibri"/>
                <w:sz w:val="22"/>
                <w:szCs w:val="22"/>
              </w:rPr>
              <w:t>$60,000</w:t>
            </w:r>
          </w:p>
        </w:tc>
      </w:tr>
      <w:tr w:rsidR="00416DDB" w14:paraId="266C3244"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790C06D" w14:textId="27D0BC17" w:rsidR="00416DDB" w:rsidRDefault="00416DDB" w:rsidP="00416DDB">
            <w:pPr>
              <w:rPr>
                <w:color w:val="000000" w:themeColor="text1"/>
                <w:sz w:val="22"/>
                <w:szCs w:val="22"/>
              </w:rPr>
            </w:pPr>
            <w:r w:rsidRPr="52FCAA6E">
              <w:rPr>
                <w:color w:val="000000" w:themeColor="text1"/>
                <w:sz w:val="22"/>
                <w:szCs w:val="22"/>
              </w:rPr>
              <w:t xml:space="preserve">Teach For America  </w:t>
            </w:r>
          </w:p>
        </w:tc>
        <w:tc>
          <w:tcPr>
            <w:tcW w:w="1440" w:type="dxa"/>
            <w:tcBorders>
              <w:top w:val="single" w:sz="6" w:space="0" w:color="auto"/>
              <w:left w:val="single" w:sz="6" w:space="0" w:color="auto"/>
              <w:bottom w:val="single" w:sz="6" w:space="0" w:color="auto"/>
              <w:right w:val="single" w:sz="6" w:space="0" w:color="auto"/>
            </w:tcBorders>
            <w:vAlign w:val="center"/>
          </w:tcPr>
          <w:p w14:paraId="5A7477AC" w14:textId="55464A62" w:rsidR="00416DDB" w:rsidRDefault="00416DDB" w:rsidP="00416DDB">
            <w:pPr>
              <w:jc w:val="right"/>
              <w:rPr>
                <w:color w:val="000000" w:themeColor="text1"/>
                <w:sz w:val="22"/>
                <w:szCs w:val="22"/>
              </w:rPr>
            </w:pPr>
            <w:r>
              <w:rPr>
                <w:rFonts w:ascii="Calibri" w:hAnsi="Calibri" w:cs="Calibri"/>
                <w:sz w:val="22"/>
                <w:szCs w:val="22"/>
              </w:rPr>
              <w:t>$110,000</w:t>
            </w:r>
          </w:p>
        </w:tc>
      </w:tr>
      <w:tr w:rsidR="00416DDB" w14:paraId="62F4EF9C"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EA8D812" w14:textId="0A4103BF" w:rsidR="00416DDB" w:rsidRDefault="00416DDB" w:rsidP="00416DDB">
            <w:pPr>
              <w:rPr>
                <w:color w:val="000000" w:themeColor="text1"/>
                <w:sz w:val="22"/>
                <w:szCs w:val="22"/>
              </w:rPr>
            </w:pPr>
            <w:r w:rsidRPr="52FCAA6E">
              <w:rPr>
                <w:color w:val="000000" w:themeColor="text1"/>
                <w:sz w:val="22"/>
                <w:szCs w:val="22"/>
              </w:rPr>
              <w:t xml:space="preserve">Teach Western Mass </w:t>
            </w:r>
          </w:p>
        </w:tc>
        <w:tc>
          <w:tcPr>
            <w:tcW w:w="1440" w:type="dxa"/>
            <w:tcBorders>
              <w:top w:val="single" w:sz="6" w:space="0" w:color="auto"/>
              <w:left w:val="single" w:sz="6" w:space="0" w:color="auto"/>
              <w:bottom w:val="single" w:sz="6" w:space="0" w:color="auto"/>
              <w:right w:val="single" w:sz="6" w:space="0" w:color="auto"/>
            </w:tcBorders>
            <w:vAlign w:val="center"/>
          </w:tcPr>
          <w:p w14:paraId="447F2BAC" w14:textId="18F90338" w:rsidR="00416DDB" w:rsidRDefault="00416DDB" w:rsidP="00416DDB">
            <w:pPr>
              <w:jc w:val="right"/>
              <w:rPr>
                <w:color w:val="000000" w:themeColor="text1"/>
                <w:sz w:val="22"/>
                <w:szCs w:val="22"/>
              </w:rPr>
            </w:pPr>
            <w:r>
              <w:rPr>
                <w:rFonts w:ascii="Calibri" w:hAnsi="Calibri" w:cs="Calibri"/>
                <w:sz w:val="22"/>
                <w:szCs w:val="22"/>
              </w:rPr>
              <w:t>$162,000</w:t>
            </w:r>
          </w:p>
        </w:tc>
      </w:tr>
      <w:tr w:rsidR="00416DDB" w14:paraId="71AAB733" w14:textId="77777777" w:rsidTr="00416DD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F3CF2BD" w14:textId="536C7534" w:rsidR="00416DDB" w:rsidRPr="52FCAA6E" w:rsidRDefault="00416DDB" w:rsidP="00416DDB">
            <w:pPr>
              <w:rPr>
                <w:color w:val="000000" w:themeColor="text1"/>
                <w:sz w:val="22"/>
                <w:szCs w:val="22"/>
              </w:rPr>
            </w:pPr>
            <w:r w:rsidRPr="52FCAA6E">
              <w:rPr>
                <w:color w:val="000000" w:themeColor="text1"/>
                <w:sz w:val="22"/>
                <w:szCs w:val="22"/>
              </w:rPr>
              <w:t xml:space="preserve">The Teachers' Lounge </w:t>
            </w:r>
          </w:p>
        </w:tc>
        <w:tc>
          <w:tcPr>
            <w:tcW w:w="1440" w:type="dxa"/>
            <w:tcBorders>
              <w:top w:val="single" w:sz="6" w:space="0" w:color="auto"/>
              <w:left w:val="single" w:sz="6" w:space="0" w:color="auto"/>
              <w:bottom w:val="single" w:sz="6" w:space="0" w:color="auto"/>
              <w:right w:val="single" w:sz="6" w:space="0" w:color="auto"/>
            </w:tcBorders>
            <w:vAlign w:val="center"/>
          </w:tcPr>
          <w:p w14:paraId="4E650524" w14:textId="490E47E3" w:rsidR="00416DDB" w:rsidRPr="52FCAA6E" w:rsidRDefault="00416DDB" w:rsidP="00416DDB">
            <w:pPr>
              <w:jc w:val="right"/>
              <w:rPr>
                <w:color w:val="000000" w:themeColor="text1"/>
                <w:sz w:val="22"/>
                <w:szCs w:val="22"/>
              </w:rPr>
            </w:pPr>
            <w:r>
              <w:rPr>
                <w:rFonts w:ascii="Calibri" w:hAnsi="Calibri" w:cs="Calibri"/>
                <w:sz w:val="22"/>
                <w:szCs w:val="22"/>
              </w:rPr>
              <w:t>$150,000</w:t>
            </w:r>
          </w:p>
        </w:tc>
      </w:tr>
      <w:tr w:rsidR="00416DDB" w14:paraId="190DF574" w14:textId="77777777" w:rsidTr="00416DDB">
        <w:trPr>
          <w:cantSplit/>
          <w:trHeight w:val="270"/>
          <w:jc w:val="center"/>
        </w:trPr>
        <w:tc>
          <w:tcPr>
            <w:tcW w:w="9390" w:type="dxa"/>
            <w:tcBorders>
              <w:top w:val="single" w:sz="6" w:space="0" w:color="auto"/>
              <w:left w:val="single" w:sz="6" w:space="0" w:color="auto"/>
              <w:bottom w:val="single" w:sz="6" w:space="0" w:color="auto"/>
              <w:right w:val="single" w:sz="6" w:space="0" w:color="auto"/>
            </w:tcBorders>
            <w:vAlign w:val="center"/>
          </w:tcPr>
          <w:p w14:paraId="05CE3894" w14:textId="1F9C5B13" w:rsidR="00416DDB" w:rsidRPr="52FCAA6E" w:rsidRDefault="00416DDB" w:rsidP="00416DDB">
            <w:pPr>
              <w:rPr>
                <w:color w:val="000000" w:themeColor="text1"/>
                <w:sz w:val="22"/>
                <w:szCs w:val="22"/>
              </w:rPr>
            </w:pPr>
            <w:r w:rsidRPr="52FCAA6E">
              <w:rPr>
                <w:color w:val="000000" w:themeColor="text1"/>
                <w:sz w:val="22"/>
                <w:szCs w:val="22"/>
              </w:rPr>
              <w:t xml:space="preserve">University of Massachusetts Lowell </w:t>
            </w:r>
          </w:p>
        </w:tc>
        <w:tc>
          <w:tcPr>
            <w:tcW w:w="1440" w:type="dxa"/>
            <w:tcBorders>
              <w:top w:val="single" w:sz="6" w:space="0" w:color="auto"/>
              <w:left w:val="single" w:sz="6" w:space="0" w:color="auto"/>
              <w:bottom w:val="single" w:sz="6" w:space="0" w:color="auto"/>
              <w:right w:val="single" w:sz="6" w:space="0" w:color="auto"/>
            </w:tcBorders>
            <w:vAlign w:val="center"/>
          </w:tcPr>
          <w:p w14:paraId="085D6554" w14:textId="5196D148" w:rsidR="00416DDB" w:rsidRPr="52FCAA6E" w:rsidRDefault="00416DDB" w:rsidP="00416DDB">
            <w:pPr>
              <w:jc w:val="right"/>
              <w:rPr>
                <w:color w:val="000000" w:themeColor="text1"/>
                <w:sz w:val="22"/>
                <w:szCs w:val="22"/>
              </w:rPr>
            </w:pPr>
            <w:r>
              <w:rPr>
                <w:rFonts w:ascii="Calibri" w:hAnsi="Calibri" w:cs="Calibri"/>
                <w:sz w:val="22"/>
                <w:szCs w:val="22"/>
              </w:rPr>
              <w:t>$175,000</w:t>
            </w:r>
          </w:p>
        </w:tc>
      </w:tr>
      <w:tr w:rsidR="00372996" w14:paraId="1AE7CC78" w14:textId="77777777" w:rsidTr="00416DDB">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770ED64A" w14:textId="61F82004" w:rsidR="00372996" w:rsidRPr="00B329DA" w:rsidRDefault="00372996" w:rsidP="00FA17BE">
            <w:pPr>
              <w:pStyle w:val="Heading2"/>
              <w:spacing w:before="20" w:after="20"/>
              <w:jc w:val="both"/>
              <w:rPr>
                <w:rFonts w:ascii="Times New Roman" w:hAnsi="Times New Roman"/>
                <w:sz w:val="22"/>
                <w:szCs w:val="22"/>
              </w:rPr>
            </w:pPr>
            <w:r w:rsidRPr="52FCAA6E">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E2FC5FC" w:rsidR="00372996" w:rsidRPr="00B34B76" w:rsidRDefault="2C36EB88" w:rsidP="003754DF">
            <w:pPr>
              <w:spacing w:before="20" w:after="20"/>
              <w:jc w:val="right"/>
              <w:rPr>
                <w:b/>
                <w:bCs/>
                <w:snapToGrid w:val="0"/>
                <w:color w:val="000000"/>
                <w:sz w:val="22"/>
                <w:szCs w:val="22"/>
              </w:rPr>
            </w:pPr>
            <w:r w:rsidRPr="00B34B76">
              <w:rPr>
                <w:b/>
                <w:bCs/>
                <w:color w:val="000000" w:themeColor="text1"/>
                <w:sz w:val="22"/>
                <w:szCs w:val="22"/>
              </w:rPr>
              <w:t>$</w:t>
            </w:r>
            <w:r w:rsidR="00416DDB" w:rsidRPr="00B34B76">
              <w:rPr>
                <w:b/>
                <w:bCs/>
                <w:sz w:val="22"/>
                <w:szCs w:val="22"/>
              </w:rPr>
              <w:t>1,598,606</w:t>
            </w:r>
          </w:p>
        </w:tc>
      </w:tr>
    </w:tbl>
    <w:p w14:paraId="499BD57C" w14:textId="77777777" w:rsidR="00410797" w:rsidRDefault="00410797">
      <w:pPr>
        <w:spacing w:before="60" w:after="60"/>
        <w:jc w:val="both"/>
        <w:rPr>
          <w:sz w:val="22"/>
        </w:rPr>
      </w:pPr>
    </w:p>
    <w:sectPr w:rsidR="00410797" w:rsidSect="007200FA">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143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522C7"/>
    <w:rsid w:val="001A433F"/>
    <w:rsid w:val="001B5362"/>
    <w:rsid w:val="001B78A6"/>
    <w:rsid w:val="001C6572"/>
    <w:rsid w:val="001E2790"/>
    <w:rsid w:val="00224F8E"/>
    <w:rsid w:val="002D5121"/>
    <w:rsid w:val="002F45C0"/>
    <w:rsid w:val="0031794D"/>
    <w:rsid w:val="003226AE"/>
    <w:rsid w:val="00330653"/>
    <w:rsid w:val="00351281"/>
    <w:rsid w:val="00372996"/>
    <w:rsid w:val="003754DF"/>
    <w:rsid w:val="00410797"/>
    <w:rsid w:val="00416DDB"/>
    <w:rsid w:val="00427DA8"/>
    <w:rsid w:val="004322EF"/>
    <w:rsid w:val="00435941"/>
    <w:rsid w:val="00463E9D"/>
    <w:rsid w:val="004B7274"/>
    <w:rsid w:val="00512F25"/>
    <w:rsid w:val="00521A12"/>
    <w:rsid w:val="00534FE7"/>
    <w:rsid w:val="00542157"/>
    <w:rsid w:val="005736D2"/>
    <w:rsid w:val="006040C0"/>
    <w:rsid w:val="00634CDE"/>
    <w:rsid w:val="00652A79"/>
    <w:rsid w:val="006D71B2"/>
    <w:rsid w:val="007200FA"/>
    <w:rsid w:val="00730E52"/>
    <w:rsid w:val="007352F2"/>
    <w:rsid w:val="007506C8"/>
    <w:rsid w:val="007911BB"/>
    <w:rsid w:val="007B2582"/>
    <w:rsid w:val="007D0D4F"/>
    <w:rsid w:val="008256FF"/>
    <w:rsid w:val="00837F08"/>
    <w:rsid w:val="00842E20"/>
    <w:rsid w:val="008941CA"/>
    <w:rsid w:val="008B2255"/>
    <w:rsid w:val="008D1631"/>
    <w:rsid w:val="008F2001"/>
    <w:rsid w:val="00920656"/>
    <w:rsid w:val="009D702E"/>
    <w:rsid w:val="00AF1A04"/>
    <w:rsid w:val="00B06192"/>
    <w:rsid w:val="00B23916"/>
    <w:rsid w:val="00B329DA"/>
    <w:rsid w:val="00B34B76"/>
    <w:rsid w:val="00BA484A"/>
    <w:rsid w:val="00C056D3"/>
    <w:rsid w:val="00C34967"/>
    <w:rsid w:val="00C3678E"/>
    <w:rsid w:val="00C44806"/>
    <w:rsid w:val="00C721A9"/>
    <w:rsid w:val="00CF534A"/>
    <w:rsid w:val="00CF5517"/>
    <w:rsid w:val="00D85054"/>
    <w:rsid w:val="00D96130"/>
    <w:rsid w:val="00DA73E5"/>
    <w:rsid w:val="00DB56D5"/>
    <w:rsid w:val="00E3183B"/>
    <w:rsid w:val="00F11240"/>
    <w:rsid w:val="00F70A6F"/>
    <w:rsid w:val="00F75CAF"/>
    <w:rsid w:val="00FA17BE"/>
    <w:rsid w:val="02D7034B"/>
    <w:rsid w:val="0485BF3E"/>
    <w:rsid w:val="06526C0C"/>
    <w:rsid w:val="08B4EDE2"/>
    <w:rsid w:val="092D1C72"/>
    <w:rsid w:val="0DBE46E6"/>
    <w:rsid w:val="11A72F63"/>
    <w:rsid w:val="13052C51"/>
    <w:rsid w:val="191E4C69"/>
    <w:rsid w:val="1FC41FFF"/>
    <w:rsid w:val="251EEDE1"/>
    <w:rsid w:val="258CA168"/>
    <w:rsid w:val="25EEAA95"/>
    <w:rsid w:val="2736D407"/>
    <w:rsid w:val="277114D2"/>
    <w:rsid w:val="281C34BC"/>
    <w:rsid w:val="2C36EB88"/>
    <w:rsid w:val="367B4A66"/>
    <w:rsid w:val="3A520FEC"/>
    <w:rsid w:val="3C3146EC"/>
    <w:rsid w:val="3CECA14C"/>
    <w:rsid w:val="47E08DE8"/>
    <w:rsid w:val="4D089D3A"/>
    <w:rsid w:val="4F304312"/>
    <w:rsid w:val="51C4FB62"/>
    <w:rsid w:val="523CB851"/>
    <w:rsid w:val="52FCAA6E"/>
    <w:rsid w:val="57890BEE"/>
    <w:rsid w:val="5DF30C28"/>
    <w:rsid w:val="5F191FF0"/>
    <w:rsid w:val="6002586C"/>
    <w:rsid w:val="62BFA6EA"/>
    <w:rsid w:val="62C13895"/>
    <w:rsid w:val="643C533D"/>
    <w:rsid w:val="649E6C24"/>
    <w:rsid w:val="66A5D84C"/>
    <w:rsid w:val="6914021D"/>
    <w:rsid w:val="69267F10"/>
    <w:rsid w:val="6DF86C69"/>
    <w:rsid w:val="6F019A75"/>
    <w:rsid w:val="712E1C87"/>
    <w:rsid w:val="71300D2B"/>
    <w:rsid w:val="72C9C82A"/>
    <w:rsid w:val="72CBDD8C"/>
    <w:rsid w:val="7467ADED"/>
    <w:rsid w:val="756C0D95"/>
    <w:rsid w:val="7BEA63F2"/>
    <w:rsid w:val="7C30DE80"/>
    <w:rsid w:val="7C99BD05"/>
    <w:rsid w:val="7CC9BCB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F75CAF"/>
    <w:rPr>
      <w:sz w:val="16"/>
      <w:szCs w:val="16"/>
    </w:rPr>
  </w:style>
  <w:style w:type="paragraph" w:styleId="CommentText">
    <w:name w:val="annotation text"/>
    <w:basedOn w:val="Normal"/>
    <w:link w:val="CommentTextChar"/>
    <w:uiPriority w:val="99"/>
    <w:unhideWhenUsed/>
    <w:rsid w:val="00F75CAF"/>
  </w:style>
  <w:style w:type="character" w:customStyle="1" w:styleId="CommentTextChar">
    <w:name w:val="Comment Text Char"/>
    <w:basedOn w:val="DefaultParagraphFont"/>
    <w:link w:val="CommentText"/>
    <w:uiPriority w:val="99"/>
    <w:rsid w:val="00F75CAF"/>
    <w:rPr>
      <w:sz w:val="20"/>
      <w:szCs w:val="20"/>
    </w:rPr>
  </w:style>
  <w:style w:type="paragraph" w:styleId="CommentSubject">
    <w:name w:val="annotation subject"/>
    <w:basedOn w:val="CommentText"/>
    <w:next w:val="CommentText"/>
    <w:link w:val="CommentSubjectChar"/>
    <w:uiPriority w:val="99"/>
    <w:semiHidden/>
    <w:unhideWhenUsed/>
    <w:rsid w:val="00F75CAF"/>
    <w:rPr>
      <w:b/>
      <w:bCs/>
    </w:rPr>
  </w:style>
  <w:style w:type="character" w:customStyle="1" w:styleId="CommentSubjectChar">
    <w:name w:val="Comment Subject Char"/>
    <w:basedOn w:val="CommentTextChar"/>
    <w:link w:val="CommentSubject"/>
    <w:uiPriority w:val="99"/>
    <w:semiHidden/>
    <w:rsid w:val="00F75CAF"/>
    <w:rPr>
      <w:b/>
      <w:bCs/>
      <w:sz w:val="20"/>
      <w:szCs w:val="20"/>
    </w:rPr>
  </w:style>
  <w:style w:type="character" w:styleId="Hyperlink">
    <w:name w:val="Hyperlink"/>
    <w:basedOn w:val="DefaultParagraphFont"/>
    <w:uiPriority w:val="99"/>
    <w:unhideWhenUsed/>
    <w:rsid w:val="00F75CAF"/>
    <w:rPr>
      <w:color w:val="0000FF" w:themeColor="hyperlink"/>
      <w:u w:val="single"/>
    </w:rPr>
  </w:style>
  <w:style w:type="character" w:styleId="UnresolvedMention">
    <w:name w:val="Unresolved Mention"/>
    <w:basedOn w:val="DefaultParagraphFont"/>
    <w:uiPriority w:val="99"/>
    <w:semiHidden/>
    <w:unhideWhenUsed/>
    <w:rsid w:val="00F75CAF"/>
    <w:rPr>
      <w:color w:val="605E5C"/>
      <w:shd w:val="clear" w:color="auto" w:fill="E1DFDD"/>
    </w:rPr>
  </w:style>
  <w:style w:type="paragraph" w:styleId="Revision">
    <w:name w:val="Revision"/>
    <w:hidden/>
    <w:uiPriority w:val="99"/>
    <w:semiHidden/>
    <w:rsid w:val="009D70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
        <AccountId xsi:nil="true"/>
        <AccountType/>
      </UserInfo>
    </SharedWithUsers>
    <Count xmlns="9324d023-3849-46fe-9182-6ce950756bea" xsi:nil="true"/>
  </documentManagement>
</p:properties>
</file>

<file path=customXml/itemProps1.xml><?xml version="1.0" encoding="utf-8"?>
<ds:datastoreItem xmlns:ds="http://schemas.openxmlformats.org/officeDocument/2006/customXml" ds:itemID="{3761D1E1-AD32-48CC-9A00-7889DC57D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333</Words>
  <Characters>2079</Characters>
  <Application>Microsoft Office Word</Application>
  <DocSecurity>0</DocSecurity>
  <Lines>66</Lines>
  <Paragraphs>51</Paragraphs>
  <ScaleCrop>false</ScaleCrop>
  <HeadingPairs>
    <vt:vector size="2" baseType="variant">
      <vt:variant>
        <vt:lpstr>Title</vt:lpstr>
      </vt:variant>
      <vt:variant>
        <vt:i4>1</vt:i4>
      </vt:variant>
    </vt:vector>
  </HeadingPairs>
  <TitlesOfParts>
    <vt:vector size="1" baseType="lpstr">
      <vt:lpstr>FY24 242 Board Package</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242 Board Package</dc:title>
  <dc:creator>DESE</dc:creator>
  <cp:lastModifiedBy>Zou, Dong (EOE)</cp:lastModifiedBy>
  <cp:revision>4</cp:revision>
  <cp:lastPrinted>2001-07-23T18:06:00Z</cp:lastPrinted>
  <dcterms:created xsi:type="dcterms:W3CDTF">2024-03-26T21:36:00Z</dcterms:created>
  <dcterms:modified xsi:type="dcterms:W3CDTF">2024-03-27T18:54:00Z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2024 12:00AM</vt:lpwstr>
  </property>
</Properties>
</file>