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4F0897B2" w:rsidR="00455585" w:rsidRPr="0096038A" w:rsidRDefault="00455585" w:rsidP="0096038A">
      <w:pPr>
        <w:pStyle w:val="Heading1"/>
      </w:pPr>
      <w:r>
        <w:t xml:space="preserve">FY2026 </w:t>
      </w:r>
      <w:r w:rsidR="18501261">
        <w:t xml:space="preserve">Transforming Diverse Educator Pathways Grant </w:t>
      </w:r>
      <w:r>
        <w:t>Fund Code</w:t>
      </w:r>
      <w:r w:rsidRPr="00AC0717">
        <w:t xml:space="preserve">: </w:t>
      </w:r>
      <w:r w:rsidR="2CF44119" w:rsidRPr="00AC0717">
        <w:t>0253</w:t>
      </w:r>
    </w:p>
    <w:p w14:paraId="0E10200A" w14:textId="77777777" w:rsidR="0096038A" w:rsidRDefault="0096038A" w:rsidP="00455585">
      <w:pPr>
        <w:rPr>
          <w:b/>
          <w:bCs/>
          <w:szCs w:val="22"/>
        </w:rPr>
      </w:pPr>
    </w:p>
    <w:p w14:paraId="384CCCFC" w14:textId="1A4D5A52" w:rsidR="00455585" w:rsidRPr="00455585" w:rsidRDefault="00455585" w:rsidP="00455585">
      <w:r w:rsidRPr="0FD6B115">
        <w:rPr>
          <w:b/>
          <w:bCs/>
        </w:rPr>
        <w:t>Funds Allocated:</w:t>
      </w:r>
      <w:r w:rsidR="4F497AAE" w:rsidRPr="0FD6B115">
        <w:rPr>
          <w:b/>
          <w:bCs/>
        </w:rPr>
        <w:t xml:space="preserve"> </w:t>
      </w:r>
      <w:r>
        <w:t>$</w:t>
      </w:r>
      <w:r w:rsidR="730B4801">
        <w:t xml:space="preserve">1,300,000 </w:t>
      </w:r>
      <w:r>
        <w:t>(State)</w:t>
      </w:r>
    </w:p>
    <w:p w14:paraId="28C28CA2" w14:textId="77777777" w:rsidR="0096038A" w:rsidRDefault="0096038A" w:rsidP="00455585">
      <w:pPr>
        <w:rPr>
          <w:b/>
          <w:bCs/>
          <w:szCs w:val="22"/>
        </w:rPr>
      </w:pPr>
    </w:p>
    <w:p w14:paraId="7560BF87" w14:textId="1AE9A42C" w:rsidR="00455585" w:rsidRPr="00455585" w:rsidRDefault="00455585" w:rsidP="00455585">
      <w:r w:rsidRPr="0FD6B115">
        <w:rPr>
          <w:b/>
          <w:bCs/>
        </w:rPr>
        <w:t>Funds Requested</w:t>
      </w:r>
      <w:r>
        <w:t>:</w:t>
      </w:r>
      <w:r w:rsidR="586AEE7A">
        <w:t xml:space="preserve"> </w:t>
      </w:r>
      <w:r>
        <w:t>$</w:t>
      </w:r>
      <w:r w:rsidR="00496F36">
        <w:t>3</w:t>
      </w:r>
      <w:r w:rsidR="7F8CF461">
        <w:t>,</w:t>
      </w:r>
      <w:r w:rsidR="00DE0F88">
        <w:t>537</w:t>
      </w:r>
      <w:r w:rsidR="7F8CF461">
        <w:t>,</w:t>
      </w:r>
      <w:r w:rsidR="00DE0F88">
        <w:t>092</w:t>
      </w:r>
      <w:r>
        <w:t xml:space="preserve"> </w:t>
      </w:r>
    </w:p>
    <w:p w14:paraId="5ECC770E" w14:textId="77777777" w:rsidR="0096038A" w:rsidRDefault="0096038A" w:rsidP="00455585">
      <w:pPr>
        <w:rPr>
          <w:b/>
          <w:bCs/>
          <w:szCs w:val="22"/>
        </w:rPr>
      </w:pPr>
    </w:p>
    <w:p w14:paraId="6C10DE10" w14:textId="77777777" w:rsidR="00AC0717" w:rsidRDefault="0096038A" w:rsidP="00785BFE">
      <w:pPr>
        <w:rPr>
          <w:b/>
          <w:bCs/>
        </w:rPr>
      </w:pPr>
      <w:r w:rsidRPr="00785BFE">
        <w:rPr>
          <w:b/>
          <w:bCs/>
        </w:rPr>
        <w:t>Purpose</w:t>
      </w:r>
      <w:r w:rsidR="00455585" w:rsidRPr="00785BFE">
        <w:rPr>
          <w:b/>
          <w:bCs/>
        </w:rPr>
        <w:t>:</w:t>
      </w:r>
      <w:r w:rsidR="20035FF4">
        <w:t xml:space="preserve"> The Massachusetts Department of Elementary and Secondary Education (DESE) recently concluded the competitive grant cycle for the </w:t>
      </w:r>
      <w:hyperlink r:id="rId9">
        <w:r w:rsidR="20035FF4" w:rsidRPr="0FD6B115">
          <w:rPr>
            <w:rStyle w:val="Hyperlink"/>
          </w:rPr>
          <w:t>FY26 Transforming Diverse Educator Pathways</w:t>
        </w:r>
        <w:r w:rsidR="68ADCF16" w:rsidRPr="0FD6B115">
          <w:rPr>
            <w:rStyle w:val="Hyperlink"/>
          </w:rPr>
          <w:t xml:space="preserve"> (TDEP)</w:t>
        </w:r>
      </w:hyperlink>
      <w:r w:rsidR="20035FF4">
        <w:t xml:space="preserve">. Now in its inaugural year, this grant is designed to provide initial funding to school districts to build and implement systems that attract and retain a diverse teaching staff. Throughout the implementation process, districts will receive monthly guidance from DESE staff to help adapt their strategies. Additionally, a Community of Practice will be established to highlight the exemplary work of these districts and assist in scaling similar strategies across the Commonwealth. To further measure impact and identify effective pathways for teacher diversification, the University of Massachusetts Amherst Donahue Institute will collect data and analyze how these funds contribute to diversifying the educator workforce. </w:t>
      </w:r>
    </w:p>
    <w:p w14:paraId="27FF066D" w14:textId="77777777" w:rsidR="00AC0717" w:rsidRDefault="00AC0717" w:rsidP="00785BFE"/>
    <w:p w14:paraId="26EA77E4" w14:textId="5E240C76" w:rsidR="002A1FCC" w:rsidRPr="00455585" w:rsidRDefault="20035FF4" w:rsidP="00785BFE">
      <w:pPr>
        <w:rPr>
          <w:b/>
          <w:bCs/>
        </w:rPr>
      </w:pPr>
      <w:r>
        <w:t>The applications received underscored the critical need for a multi-pronged approach to address the persistent underrepresentation of diverse educators in Massachusetts classrooms. School districts overwhelmingly highlighted the importance of combining financial incentives with supportive, inclusive school environments. Requests for financial support frequently included retention bonuses, loan repayment assistance, and funding to cover licensure costs, such as MTEL exam fees and professional development courses. Furthermore, applicants emphasized the necessity of fostering a sense of belonging through ongoing professional support. Many proposals prioritized mentorship programs, culturally responsive teaching training, and initiatives designed to address unconscious bias. The creation of affinity employee-led groups was also frequently cited as an essential component for retention, demonstrating a clear understanding that an inclusive school climate is vital for keeping diverse educators in the profession.</w:t>
      </w:r>
    </w:p>
    <w:p w14:paraId="41F3805D" w14:textId="5117188D" w:rsidR="0FD6B115" w:rsidRDefault="0FD6B115" w:rsidP="0FD6B115"/>
    <w:p w14:paraId="30F0E329" w14:textId="6DE79A03" w:rsidR="00455585" w:rsidRPr="00455585" w:rsidRDefault="0096038A" w:rsidP="00455585">
      <w:r w:rsidRPr="0FD6B115">
        <w:rPr>
          <w:b/>
          <w:bCs/>
        </w:rPr>
        <w:t>Number of Proposals Received:</w:t>
      </w:r>
      <w:r>
        <w:t xml:space="preserve"> </w:t>
      </w:r>
      <w:r w:rsidR="65F5EA26">
        <w:t>43</w:t>
      </w:r>
    </w:p>
    <w:p w14:paraId="244779EE" w14:textId="62A3BD3A" w:rsidR="00455585" w:rsidRPr="00455585" w:rsidRDefault="0096038A" w:rsidP="00455585">
      <w:r w:rsidRPr="0FD6B115">
        <w:rPr>
          <w:b/>
          <w:bCs/>
        </w:rPr>
        <w:t>Number of Proposals Recommended:</w:t>
      </w:r>
      <w:r>
        <w:t xml:space="preserve"> </w:t>
      </w:r>
      <w:r w:rsidR="5201ACCF">
        <w:t>20</w:t>
      </w:r>
    </w:p>
    <w:p w14:paraId="651D77B9" w14:textId="30BDDE7B" w:rsidR="00455585" w:rsidRDefault="0096038A" w:rsidP="00455585">
      <w:r w:rsidRPr="0FD6B115">
        <w:rPr>
          <w:b/>
          <w:bCs/>
        </w:rPr>
        <w:t>Number of Proposals Not Recommended:</w:t>
      </w:r>
      <w:r>
        <w:t xml:space="preserve"> </w:t>
      </w:r>
      <w:r w:rsidR="2D74608C">
        <w:t>23</w:t>
      </w:r>
    </w:p>
    <w:p w14:paraId="0EC2F29E" w14:textId="77777777" w:rsidR="0096038A" w:rsidRPr="00455585" w:rsidRDefault="0096038A" w:rsidP="00455585">
      <w:pPr>
        <w:rPr>
          <w:szCs w:val="22"/>
        </w:rPr>
      </w:pPr>
    </w:p>
    <w:p w14:paraId="08D1B054" w14:textId="7E1F20D5" w:rsidR="0096038A" w:rsidRPr="0096038A" w:rsidRDefault="0096038A" w:rsidP="00785BFE">
      <w:pPr>
        <w:rPr>
          <w:b/>
          <w:bCs/>
        </w:rPr>
      </w:pPr>
      <w:r w:rsidRPr="00785BFE">
        <w:rPr>
          <w:b/>
          <w:bCs/>
        </w:rPr>
        <w:t>Result of Funding</w:t>
      </w:r>
      <w:r w:rsidR="00455585" w:rsidRPr="00785BFE">
        <w:rPr>
          <w:b/>
          <w:bCs/>
        </w:rPr>
        <w:t>:</w:t>
      </w:r>
      <w:r w:rsidR="739CE7BA">
        <w:t xml:space="preserve"> Of the 43 completed grant proposals received, 4 were missing required materials and were immediately disqualified from the team score process. Once the team scoring process was completed, </w:t>
      </w:r>
      <w:r w:rsidR="6DAB81E3">
        <w:t>team leadership decided on the score threshold above which approximately half of the reci</w:t>
      </w:r>
      <w:r w:rsidR="147F8921">
        <w:t xml:space="preserve">pients would be funded. </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FD6B115">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6B0A31" w:rsidRPr="00455585" w14:paraId="2557505B" w14:textId="77777777" w:rsidTr="0FD6B115">
        <w:trPr>
          <w:cantSplit/>
          <w:trHeight w:val="50"/>
        </w:trPr>
        <w:tc>
          <w:tcPr>
            <w:tcW w:w="9390" w:type="dxa"/>
            <w:tcBorders>
              <w:top w:val="single" w:sz="6" w:space="0" w:color="auto"/>
              <w:left w:val="single" w:sz="6" w:space="0" w:color="auto"/>
              <w:bottom w:val="single" w:sz="6" w:space="0" w:color="auto"/>
              <w:right w:val="single" w:sz="6" w:space="0" w:color="auto"/>
            </w:tcBorders>
          </w:tcPr>
          <w:p w14:paraId="27619FD5" w14:textId="50AE0CAD" w:rsidR="0FD6B115" w:rsidRPr="00AC0717" w:rsidRDefault="0FD6B115" w:rsidP="0FD6B115">
            <w:r w:rsidRPr="00AC0717">
              <w:rPr>
                <w:rFonts w:eastAsia="Aptos"/>
                <w:color w:val="242424"/>
                <w:szCs w:val="22"/>
              </w:rPr>
              <w:t>Bedford</w:t>
            </w:r>
          </w:p>
        </w:tc>
        <w:tc>
          <w:tcPr>
            <w:tcW w:w="1440" w:type="dxa"/>
            <w:tcBorders>
              <w:top w:val="single" w:sz="6" w:space="0" w:color="auto"/>
              <w:left w:val="single" w:sz="6" w:space="0" w:color="auto"/>
              <w:bottom w:val="single" w:sz="6" w:space="0" w:color="auto"/>
              <w:right w:val="single" w:sz="6" w:space="0" w:color="auto"/>
            </w:tcBorders>
          </w:tcPr>
          <w:p w14:paraId="0763B56F" w14:textId="72D80303"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70</w:t>
            </w:r>
            <w:r w:rsidRPr="00AC0717">
              <w:rPr>
                <w:rFonts w:eastAsia="Aptos"/>
                <w:color w:val="242424"/>
                <w:szCs w:val="22"/>
              </w:rPr>
              <w:t>,</w:t>
            </w:r>
            <w:r w:rsidR="0FD6B115" w:rsidRPr="00AC0717">
              <w:rPr>
                <w:rFonts w:eastAsia="Aptos"/>
                <w:color w:val="242424"/>
                <w:szCs w:val="22"/>
              </w:rPr>
              <w:t>700</w:t>
            </w:r>
          </w:p>
        </w:tc>
      </w:tr>
      <w:tr w:rsidR="006B0A31" w:rsidRPr="00455585" w14:paraId="41529082"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6AE3E5AF" w14:textId="794BC84F" w:rsidR="0FD6B115" w:rsidRPr="00AC0717" w:rsidRDefault="0FD6B115" w:rsidP="0FD6B115">
            <w:r w:rsidRPr="00AC0717">
              <w:rPr>
                <w:rFonts w:eastAsia="Aptos"/>
                <w:color w:val="242424"/>
                <w:szCs w:val="22"/>
              </w:rPr>
              <w:t>Bridge Boston Charter School (District)</w:t>
            </w:r>
          </w:p>
        </w:tc>
        <w:tc>
          <w:tcPr>
            <w:tcW w:w="1440" w:type="dxa"/>
            <w:tcBorders>
              <w:top w:val="single" w:sz="6" w:space="0" w:color="auto"/>
              <w:left w:val="single" w:sz="6" w:space="0" w:color="auto"/>
              <w:bottom w:val="single" w:sz="6" w:space="0" w:color="auto"/>
              <w:right w:val="single" w:sz="6" w:space="0" w:color="auto"/>
            </w:tcBorders>
          </w:tcPr>
          <w:p w14:paraId="40C93A9C" w14:textId="570841FA"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54E1A07B"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0289D033" w14:textId="743422DE" w:rsidR="0FD6B115" w:rsidRPr="00AC0717" w:rsidRDefault="0FD6B115" w:rsidP="0FD6B115">
            <w:r w:rsidRPr="00AC0717">
              <w:rPr>
                <w:rFonts w:eastAsia="Aptos"/>
                <w:color w:val="242424"/>
                <w:szCs w:val="22"/>
              </w:rPr>
              <w:t>Brockton</w:t>
            </w:r>
          </w:p>
        </w:tc>
        <w:tc>
          <w:tcPr>
            <w:tcW w:w="1440" w:type="dxa"/>
            <w:tcBorders>
              <w:top w:val="single" w:sz="6" w:space="0" w:color="auto"/>
              <w:left w:val="single" w:sz="6" w:space="0" w:color="auto"/>
              <w:bottom w:val="single" w:sz="6" w:space="0" w:color="auto"/>
              <w:right w:val="single" w:sz="6" w:space="0" w:color="auto"/>
            </w:tcBorders>
          </w:tcPr>
          <w:p w14:paraId="1616AA3D" w14:textId="4384C1B6"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4338704C"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353DE1EB" w14:textId="6B983966" w:rsidR="0FD6B115" w:rsidRPr="00AC0717" w:rsidRDefault="0FD6B115" w:rsidP="0FD6B115">
            <w:r w:rsidRPr="00AC0717">
              <w:rPr>
                <w:rFonts w:eastAsia="Aptos"/>
                <w:color w:val="242424"/>
                <w:szCs w:val="22"/>
              </w:rPr>
              <w:t>Chelsea</w:t>
            </w:r>
          </w:p>
        </w:tc>
        <w:tc>
          <w:tcPr>
            <w:tcW w:w="1440" w:type="dxa"/>
            <w:tcBorders>
              <w:top w:val="single" w:sz="6" w:space="0" w:color="auto"/>
              <w:left w:val="single" w:sz="6" w:space="0" w:color="auto"/>
              <w:bottom w:val="single" w:sz="6" w:space="0" w:color="auto"/>
              <w:right w:val="single" w:sz="6" w:space="0" w:color="auto"/>
            </w:tcBorders>
          </w:tcPr>
          <w:p w14:paraId="76FBA2F0" w14:textId="02C10FB8"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34AB2A19"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3A9C7AE7" w14:textId="0A249142" w:rsidR="0FD6B115" w:rsidRPr="00AC0717" w:rsidRDefault="0FD6B115" w:rsidP="0FD6B115">
            <w:r w:rsidRPr="00AC0717">
              <w:rPr>
                <w:rFonts w:eastAsia="Aptos"/>
                <w:color w:val="242424"/>
                <w:szCs w:val="22"/>
              </w:rPr>
              <w:t>Holyoke</w:t>
            </w:r>
          </w:p>
        </w:tc>
        <w:tc>
          <w:tcPr>
            <w:tcW w:w="1440" w:type="dxa"/>
            <w:tcBorders>
              <w:top w:val="single" w:sz="6" w:space="0" w:color="auto"/>
              <w:left w:val="single" w:sz="6" w:space="0" w:color="auto"/>
              <w:bottom w:val="single" w:sz="6" w:space="0" w:color="auto"/>
              <w:right w:val="single" w:sz="6" w:space="0" w:color="auto"/>
            </w:tcBorders>
          </w:tcPr>
          <w:p w14:paraId="0626870A" w14:textId="270EEDAF"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7EE361BA"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502738E8" w14:textId="41E8B79C" w:rsidR="0FD6B115" w:rsidRPr="00AC0717" w:rsidRDefault="0FD6B115" w:rsidP="0FD6B115">
            <w:r w:rsidRPr="00AC0717">
              <w:rPr>
                <w:rFonts w:eastAsia="Aptos"/>
                <w:color w:val="242424"/>
                <w:szCs w:val="22"/>
              </w:rPr>
              <w:t>KIPP Academy Boston Charter School (District)</w:t>
            </w:r>
          </w:p>
        </w:tc>
        <w:tc>
          <w:tcPr>
            <w:tcW w:w="1440" w:type="dxa"/>
            <w:tcBorders>
              <w:top w:val="single" w:sz="6" w:space="0" w:color="auto"/>
              <w:left w:val="single" w:sz="6" w:space="0" w:color="auto"/>
              <w:bottom w:val="single" w:sz="6" w:space="0" w:color="auto"/>
              <w:right w:val="single" w:sz="6" w:space="0" w:color="auto"/>
            </w:tcBorders>
          </w:tcPr>
          <w:p w14:paraId="039434B8" w14:textId="1F1295F0"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5E06D2ED"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0366EC89" w14:textId="3D07209C" w:rsidR="0FD6B115" w:rsidRPr="00AC0717" w:rsidRDefault="0FD6B115" w:rsidP="0FD6B115">
            <w:r w:rsidRPr="00AC0717">
              <w:rPr>
                <w:rFonts w:eastAsia="Aptos"/>
                <w:color w:val="242424"/>
                <w:szCs w:val="22"/>
              </w:rPr>
              <w:t>KIPP Academy Lynn Charter (District)</w:t>
            </w:r>
          </w:p>
        </w:tc>
        <w:tc>
          <w:tcPr>
            <w:tcW w:w="1440" w:type="dxa"/>
            <w:tcBorders>
              <w:top w:val="single" w:sz="6" w:space="0" w:color="auto"/>
              <w:left w:val="single" w:sz="6" w:space="0" w:color="auto"/>
              <w:bottom w:val="single" w:sz="6" w:space="0" w:color="auto"/>
              <w:right w:val="single" w:sz="6" w:space="0" w:color="auto"/>
            </w:tcBorders>
          </w:tcPr>
          <w:p w14:paraId="0C776BE2" w14:textId="3B329889"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5E65AE64"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7EBEBE27" w14:textId="606BC3FF" w:rsidR="0FD6B115" w:rsidRPr="00AC0717" w:rsidRDefault="0FD6B115" w:rsidP="0FD6B115">
            <w:r w:rsidRPr="00AC0717">
              <w:rPr>
                <w:rFonts w:eastAsia="Aptos"/>
                <w:color w:val="242424"/>
                <w:szCs w:val="22"/>
              </w:rPr>
              <w:t>Lawrence</w:t>
            </w:r>
          </w:p>
        </w:tc>
        <w:tc>
          <w:tcPr>
            <w:tcW w:w="1440" w:type="dxa"/>
            <w:tcBorders>
              <w:top w:val="single" w:sz="6" w:space="0" w:color="auto"/>
              <w:left w:val="single" w:sz="6" w:space="0" w:color="auto"/>
              <w:bottom w:val="single" w:sz="6" w:space="0" w:color="auto"/>
              <w:right w:val="single" w:sz="6" w:space="0" w:color="auto"/>
            </w:tcBorders>
          </w:tcPr>
          <w:p w14:paraId="4E41BC33" w14:textId="6805A25C"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6AC07A10"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666DFCD9" w14:textId="344E4875" w:rsidR="0FD6B115" w:rsidRPr="00AC0717" w:rsidRDefault="0FD6B115" w:rsidP="0FD6B115">
            <w:r w:rsidRPr="00AC0717">
              <w:rPr>
                <w:rFonts w:eastAsia="Aptos"/>
                <w:color w:val="242424"/>
                <w:szCs w:val="22"/>
              </w:rPr>
              <w:t>Lowell</w:t>
            </w:r>
          </w:p>
        </w:tc>
        <w:tc>
          <w:tcPr>
            <w:tcW w:w="1440" w:type="dxa"/>
            <w:tcBorders>
              <w:top w:val="single" w:sz="6" w:space="0" w:color="auto"/>
              <w:left w:val="single" w:sz="6" w:space="0" w:color="auto"/>
              <w:bottom w:val="single" w:sz="6" w:space="0" w:color="auto"/>
              <w:right w:val="single" w:sz="6" w:space="0" w:color="auto"/>
            </w:tcBorders>
          </w:tcPr>
          <w:p w14:paraId="43665007" w14:textId="4395E1D6"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3CF1775C"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371D485F" w14:textId="4E032FD8" w:rsidR="0FD6B115" w:rsidRPr="00AC0717" w:rsidRDefault="0FD6B115" w:rsidP="0FD6B115">
            <w:r w:rsidRPr="00AC0717">
              <w:rPr>
                <w:rFonts w:eastAsia="Aptos"/>
                <w:color w:val="242424"/>
                <w:szCs w:val="22"/>
              </w:rPr>
              <w:t>Milton</w:t>
            </w:r>
          </w:p>
        </w:tc>
        <w:tc>
          <w:tcPr>
            <w:tcW w:w="1440" w:type="dxa"/>
            <w:tcBorders>
              <w:top w:val="single" w:sz="6" w:space="0" w:color="auto"/>
              <w:left w:val="single" w:sz="6" w:space="0" w:color="auto"/>
              <w:bottom w:val="single" w:sz="6" w:space="0" w:color="auto"/>
              <w:right w:val="single" w:sz="6" w:space="0" w:color="auto"/>
            </w:tcBorders>
          </w:tcPr>
          <w:p w14:paraId="30862A97" w14:textId="5D6D4250"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7891D225"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7829E4B1" w14:textId="64C1359C" w:rsidR="0FD6B115" w:rsidRPr="00AC0717" w:rsidRDefault="0FD6B115" w:rsidP="0FD6B115">
            <w:r w:rsidRPr="00AC0717">
              <w:rPr>
                <w:rFonts w:eastAsia="Aptos"/>
                <w:color w:val="242424"/>
                <w:szCs w:val="22"/>
              </w:rPr>
              <w:t>Needham</w:t>
            </w:r>
          </w:p>
        </w:tc>
        <w:tc>
          <w:tcPr>
            <w:tcW w:w="1440" w:type="dxa"/>
            <w:tcBorders>
              <w:top w:val="single" w:sz="6" w:space="0" w:color="auto"/>
              <w:left w:val="single" w:sz="6" w:space="0" w:color="auto"/>
              <w:bottom w:val="single" w:sz="6" w:space="0" w:color="auto"/>
              <w:right w:val="single" w:sz="6" w:space="0" w:color="auto"/>
            </w:tcBorders>
          </w:tcPr>
          <w:p w14:paraId="749D2BD7" w14:textId="51AFB987"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37</w:t>
            </w:r>
            <w:r w:rsidRPr="00AC0717">
              <w:rPr>
                <w:rFonts w:eastAsia="Aptos"/>
                <w:color w:val="242424"/>
                <w:szCs w:val="22"/>
              </w:rPr>
              <w:t>,</w:t>
            </w:r>
            <w:r w:rsidR="0FD6B115" w:rsidRPr="00AC0717">
              <w:rPr>
                <w:rFonts w:eastAsia="Aptos"/>
                <w:color w:val="242424"/>
                <w:szCs w:val="22"/>
              </w:rPr>
              <w:t>300</w:t>
            </w:r>
          </w:p>
        </w:tc>
      </w:tr>
      <w:tr w:rsidR="006B0A31" w:rsidRPr="00455585" w14:paraId="1CCD219A"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43159C47" w14:textId="3BE4232B" w:rsidR="0FD6B115" w:rsidRPr="00AC0717" w:rsidRDefault="0FD6B115" w:rsidP="0FD6B115">
            <w:r w:rsidRPr="00AC0717">
              <w:rPr>
                <w:rFonts w:eastAsia="Aptos"/>
                <w:color w:val="242424"/>
                <w:szCs w:val="22"/>
              </w:rPr>
              <w:t>Newton</w:t>
            </w:r>
          </w:p>
        </w:tc>
        <w:tc>
          <w:tcPr>
            <w:tcW w:w="1440" w:type="dxa"/>
            <w:tcBorders>
              <w:top w:val="single" w:sz="6" w:space="0" w:color="auto"/>
              <w:left w:val="single" w:sz="6" w:space="0" w:color="auto"/>
              <w:bottom w:val="single" w:sz="6" w:space="0" w:color="auto"/>
              <w:right w:val="single" w:sz="6" w:space="0" w:color="auto"/>
            </w:tcBorders>
          </w:tcPr>
          <w:p w14:paraId="33B79C16" w14:textId="27FA8AE8"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71AAB733"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66F6EEC0" w14:textId="445579C8" w:rsidR="0FD6B115" w:rsidRPr="00AC0717" w:rsidRDefault="0FD6B115" w:rsidP="0FD6B115">
            <w:r w:rsidRPr="00AC0717">
              <w:rPr>
                <w:rFonts w:eastAsia="Aptos"/>
                <w:color w:val="242424"/>
                <w:szCs w:val="22"/>
              </w:rPr>
              <w:t>Phoenix Academy Charter Public High School, Chelsea (District)</w:t>
            </w:r>
          </w:p>
        </w:tc>
        <w:tc>
          <w:tcPr>
            <w:tcW w:w="1440" w:type="dxa"/>
            <w:tcBorders>
              <w:top w:val="single" w:sz="6" w:space="0" w:color="auto"/>
              <w:left w:val="single" w:sz="6" w:space="0" w:color="auto"/>
              <w:bottom w:val="single" w:sz="6" w:space="0" w:color="auto"/>
              <w:right w:val="single" w:sz="6" w:space="0" w:color="auto"/>
            </w:tcBorders>
          </w:tcPr>
          <w:p w14:paraId="33CA460C" w14:textId="738DF4F0"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73</w:t>
            </w:r>
            <w:r w:rsidRPr="00AC0717">
              <w:rPr>
                <w:rFonts w:eastAsia="Aptos"/>
                <w:color w:val="242424"/>
                <w:szCs w:val="22"/>
              </w:rPr>
              <w:t>,</w:t>
            </w:r>
            <w:r w:rsidR="0FD6B115" w:rsidRPr="00AC0717">
              <w:rPr>
                <w:rFonts w:eastAsia="Aptos"/>
                <w:color w:val="242424"/>
                <w:szCs w:val="22"/>
              </w:rPr>
              <w:t>000</w:t>
            </w:r>
          </w:p>
        </w:tc>
      </w:tr>
      <w:tr w:rsidR="006B0A31" w:rsidRPr="00455585" w14:paraId="53E0BE0F"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764ABCD5" w14:textId="4685A14A" w:rsidR="0FD6B115" w:rsidRPr="00AC0717" w:rsidRDefault="0FD6B115" w:rsidP="0FD6B115">
            <w:r w:rsidRPr="00AC0717">
              <w:rPr>
                <w:rFonts w:eastAsia="Aptos"/>
                <w:color w:val="242424"/>
                <w:szCs w:val="22"/>
              </w:rPr>
              <w:t>Phoenix Academy Public Charter High School, Lawrence (District)</w:t>
            </w:r>
          </w:p>
        </w:tc>
        <w:tc>
          <w:tcPr>
            <w:tcW w:w="1440" w:type="dxa"/>
            <w:tcBorders>
              <w:top w:val="single" w:sz="6" w:space="0" w:color="auto"/>
              <w:left w:val="single" w:sz="6" w:space="0" w:color="auto"/>
              <w:bottom w:val="single" w:sz="6" w:space="0" w:color="auto"/>
              <w:right w:val="single" w:sz="6" w:space="0" w:color="auto"/>
            </w:tcBorders>
          </w:tcPr>
          <w:p w14:paraId="29DB06A1" w14:textId="289EEA44"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12</w:t>
            </w:r>
            <w:r w:rsidRPr="00AC0717">
              <w:rPr>
                <w:rFonts w:eastAsia="Aptos"/>
                <w:color w:val="242424"/>
                <w:szCs w:val="22"/>
              </w:rPr>
              <w:t>,</w:t>
            </w:r>
            <w:r w:rsidR="0FD6B115" w:rsidRPr="00AC0717">
              <w:rPr>
                <w:rFonts w:eastAsia="Aptos"/>
                <w:color w:val="242424"/>
                <w:szCs w:val="22"/>
              </w:rPr>
              <w:t>000</w:t>
            </w:r>
          </w:p>
        </w:tc>
      </w:tr>
      <w:tr w:rsidR="006B0A31" w:rsidRPr="00455585" w14:paraId="190DF574"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tcPr>
          <w:p w14:paraId="4E4B619A" w14:textId="307D8BC6" w:rsidR="0FD6B115" w:rsidRPr="00AC0717" w:rsidRDefault="0FD6B115" w:rsidP="0FD6B115">
            <w:r w:rsidRPr="00AC0717">
              <w:rPr>
                <w:rFonts w:eastAsia="Aptos"/>
                <w:color w:val="242424"/>
                <w:szCs w:val="22"/>
              </w:rPr>
              <w:t>Phoenix Academy Public Charter High School, Springfield (District)</w:t>
            </w:r>
          </w:p>
        </w:tc>
        <w:tc>
          <w:tcPr>
            <w:tcW w:w="1440" w:type="dxa"/>
            <w:tcBorders>
              <w:top w:val="single" w:sz="6" w:space="0" w:color="auto"/>
              <w:left w:val="single" w:sz="6" w:space="0" w:color="auto"/>
              <w:bottom w:val="single" w:sz="6" w:space="0" w:color="auto"/>
              <w:right w:val="single" w:sz="6" w:space="0" w:color="auto"/>
            </w:tcBorders>
          </w:tcPr>
          <w:p w14:paraId="1DE9B95C" w14:textId="1004F104" w:rsidR="0FD6B115" w:rsidRPr="00AC0717" w:rsidRDefault="00AC0717" w:rsidP="00AC0717">
            <w:pPr>
              <w:jc w:val="right"/>
            </w:pPr>
            <w:r w:rsidRPr="00AC0717">
              <w:rPr>
                <w:rFonts w:eastAsia="Aptos"/>
                <w:color w:val="242424"/>
                <w:szCs w:val="22"/>
              </w:rPr>
              <w:t>$</w:t>
            </w:r>
            <w:r w:rsidR="0FD6B115" w:rsidRPr="00AC0717">
              <w:rPr>
                <w:rFonts w:eastAsia="Aptos"/>
                <w:color w:val="242424"/>
                <w:szCs w:val="22"/>
              </w:rPr>
              <w:t>12</w:t>
            </w:r>
            <w:r w:rsidRPr="00AC0717">
              <w:rPr>
                <w:rFonts w:eastAsia="Aptos"/>
                <w:color w:val="242424"/>
                <w:szCs w:val="22"/>
              </w:rPr>
              <w:t>,</w:t>
            </w:r>
            <w:r w:rsidR="0FD6B115" w:rsidRPr="00AC0717">
              <w:rPr>
                <w:rFonts w:eastAsia="Aptos"/>
                <w:color w:val="242424"/>
                <w:szCs w:val="22"/>
              </w:rPr>
              <w:t>000</w:t>
            </w:r>
          </w:p>
        </w:tc>
      </w:tr>
      <w:tr w:rsidR="000039F5" w:rsidRPr="00455585" w14:paraId="091B42D5" w14:textId="77777777" w:rsidTr="0FD6B115">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4E4ECE7B" w:rsidR="000039F5" w:rsidRPr="00455585" w:rsidRDefault="0096038A" w:rsidP="000039F5">
            <w:pPr>
              <w:rPr>
                <w:b/>
                <w:bCs/>
                <w:color w:val="000000"/>
                <w:szCs w:val="22"/>
              </w:rPr>
            </w:pPr>
            <w:r w:rsidRPr="0096038A">
              <w:rPr>
                <w:b/>
                <w:bCs/>
                <w:color w:val="000000"/>
                <w:szCs w:val="22"/>
              </w:rPr>
              <w:t xml:space="preserve">Total </w:t>
            </w:r>
            <w:r w:rsidRPr="00AC0717">
              <w:rPr>
                <w:b/>
                <w:bCs/>
                <w:color w:val="000000"/>
                <w:szCs w:val="22"/>
              </w:rPr>
              <w:t>State</w:t>
            </w:r>
            <w:r w:rsidRPr="0096038A">
              <w:rPr>
                <w:b/>
                <w:bCs/>
                <w:color w:val="000000"/>
                <w:szCs w:val="22"/>
              </w:rPr>
              <w:t xml:space="preserve">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0D943D37" w:rsidR="000039F5" w:rsidRPr="00455585" w:rsidRDefault="24CA784E" w:rsidP="0FD6B115">
            <w:pPr>
              <w:spacing w:before="20" w:after="20"/>
              <w:jc w:val="right"/>
              <w:rPr>
                <w:b/>
                <w:bCs/>
              </w:rPr>
            </w:pPr>
            <w:r w:rsidRPr="0FD6B115">
              <w:rPr>
                <w:b/>
                <w:bCs/>
              </w:rPr>
              <w:t>$1,300,000</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310E1"/>
    <w:rsid w:val="000C6C68"/>
    <w:rsid w:val="001522C7"/>
    <w:rsid w:val="001A433F"/>
    <w:rsid w:val="001B5362"/>
    <w:rsid w:val="001B78A6"/>
    <w:rsid w:val="001C23C4"/>
    <w:rsid w:val="001C6572"/>
    <w:rsid w:val="001E2790"/>
    <w:rsid w:val="00224F8E"/>
    <w:rsid w:val="002704FE"/>
    <w:rsid w:val="002A1FCC"/>
    <w:rsid w:val="002D5121"/>
    <w:rsid w:val="0031794D"/>
    <w:rsid w:val="003226AE"/>
    <w:rsid w:val="00330653"/>
    <w:rsid w:val="0033156A"/>
    <w:rsid w:val="00331788"/>
    <w:rsid w:val="00351281"/>
    <w:rsid w:val="00372996"/>
    <w:rsid w:val="003C631D"/>
    <w:rsid w:val="00407430"/>
    <w:rsid w:val="00410797"/>
    <w:rsid w:val="004262B6"/>
    <w:rsid w:val="00427DA8"/>
    <w:rsid w:val="004545AE"/>
    <w:rsid w:val="00455585"/>
    <w:rsid w:val="00474C32"/>
    <w:rsid w:val="00496F36"/>
    <w:rsid w:val="004A6E72"/>
    <w:rsid w:val="004F6A9F"/>
    <w:rsid w:val="00521A12"/>
    <w:rsid w:val="00534FE7"/>
    <w:rsid w:val="00542157"/>
    <w:rsid w:val="005736D2"/>
    <w:rsid w:val="006040C0"/>
    <w:rsid w:val="00634CDE"/>
    <w:rsid w:val="00652A79"/>
    <w:rsid w:val="00674217"/>
    <w:rsid w:val="006B0A31"/>
    <w:rsid w:val="006D71B2"/>
    <w:rsid w:val="00730E52"/>
    <w:rsid w:val="007506C8"/>
    <w:rsid w:val="00785BFE"/>
    <w:rsid w:val="007911BB"/>
    <w:rsid w:val="007B2582"/>
    <w:rsid w:val="007D0D4F"/>
    <w:rsid w:val="007E3905"/>
    <w:rsid w:val="008256FF"/>
    <w:rsid w:val="00830B58"/>
    <w:rsid w:val="00837F08"/>
    <w:rsid w:val="00842E20"/>
    <w:rsid w:val="008941CA"/>
    <w:rsid w:val="008A4C70"/>
    <w:rsid w:val="008B2255"/>
    <w:rsid w:val="008D0376"/>
    <w:rsid w:val="008D1631"/>
    <w:rsid w:val="008F2001"/>
    <w:rsid w:val="00920656"/>
    <w:rsid w:val="0096038A"/>
    <w:rsid w:val="00987F48"/>
    <w:rsid w:val="00AC0717"/>
    <w:rsid w:val="00AF1A04"/>
    <w:rsid w:val="00B23916"/>
    <w:rsid w:val="00B27179"/>
    <w:rsid w:val="00B329DA"/>
    <w:rsid w:val="00BA484A"/>
    <w:rsid w:val="00C056D3"/>
    <w:rsid w:val="00C06B1C"/>
    <w:rsid w:val="00C34967"/>
    <w:rsid w:val="00C44806"/>
    <w:rsid w:val="00C721A9"/>
    <w:rsid w:val="00C85062"/>
    <w:rsid w:val="00CF534A"/>
    <w:rsid w:val="00CF5517"/>
    <w:rsid w:val="00D85054"/>
    <w:rsid w:val="00D96130"/>
    <w:rsid w:val="00D96621"/>
    <w:rsid w:val="00DA73E5"/>
    <w:rsid w:val="00DB56D5"/>
    <w:rsid w:val="00DE0F88"/>
    <w:rsid w:val="00E11B38"/>
    <w:rsid w:val="00F11240"/>
    <w:rsid w:val="00F15C46"/>
    <w:rsid w:val="00F718E5"/>
    <w:rsid w:val="00FA17BE"/>
    <w:rsid w:val="00FB73C4"/>
    <w:rsid w:val="0113ADB5"/>
    <w:rsid w:val="0423B4C5"/>
    <w:rsid w:val="08A0CBB5"/>
    <w:rsid w:val="092C6B28"/>
    <w:rsid w:val="0DC38C05"/>
    <w:rsid w:val="0FD6B115"/>
    <w:rsid w:val="11BB31B8"/>
    <w:rsid w:val="147F8921"/>
    <w:rsid w:val="18501261"/>
    <w:rsid w:val="1C1A2224"/>
    <w:rsid w:val="1F867922"/>
    <w:rsid w:val="20035FF4"/>
    <w:rsid w:val="21FD35D8"/>
    <w:rsid w:val="24CA784E"/>
    <w:rsid w:val="2629714D"/>
    <w:rsid w:val="29F45225"/>
    <w:rsid w:val="2BE39867"/>
    <w:rsid w:val="2CF44119"/>
    <w:rsid w:val="2D74608C"/>
    <w:rsid w:val="2EAFDD44"/>
    <w:rsid w:val="2FC2F416"/>
    <w:rsid w:val="3991279B"/>
    <w:rsid w:val="3A79D283"/>
    <w:rsid w:val="3B04EF67"/>
    <w:rsid w:val="3B9F648C"/>
    <w:rsid w:val="3F72B1E9"/>
    <w:rsid w:val="4104BA85"/>
    <w:rsid w:val="4B65000B"/>
    <w:rsid w:val="4CC05CEA"/>
    <w:rsid w:val="4F497AAE"/>
    <w:rsid w:val="507C9776"/>
    <w:rsid w:val="5201ACCF"/>
    <w:rsid w:val="533A298D"/>
    <w:rsid w:val="5782AE14"/>
    <w:rsid w:val="58345ED4"/>
    <w:rsid w:val="586AEE7A"/>
    <w:rsid w:val="5E4F64DD"/>
    <w:rsid w:val="62434E2F"/>
    <w:rsid w:val="63312D00"/>
    <w:rsid w:val="6564FBD0"/>
    <w:rsid w:val="65F5EA26"/>
    <w:rsid w:val="66A0713A"/>
    <w:rsid w:val="68ADCF16"/>
    <w:rsid w:val="6D24162F"/>
    <w:rsid w:val="6D8093EB"/>
    <w:rsid w:val="6DAB81E3"/>
    <w:rsid w:val="6F7BA76D"/>
    <w:rsid w:val="7266206A"/>
    <w:rsid w:val="730B4801"/>
    <w:rsid w:val="739CE7BA"/>
    <w:rsid w:val="75B2ED07"/>
    <w:rsid w:val="796CAF74"/>
    <w:rsid w:val="7F8CF46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hyperlink" Target="https://www.doe.mass.edu/grants/2026/0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94F68-E38E-4AF9-94D3-696BD13D6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FY2026 FC 0253 Board Package</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0253 Board Package</dc:title>
  <dc:creator>DESE</dc:creator>
  <cp:lastModifiedBy>Zou, Dong (EOE)</cp:lastModifiedBy>
  <cp:revision>27</cp:revision>
  <cp:lastPrinted>2001-07-23T18:06:00Z</cp:lastPrinted>
  <dcterms:created xsi:type="dcterms:W3CDTF">2025-05-08T17:20:00Z</dcterms:created>
  <dcterms:modified xsi:type="dcterms:W3CDTF">2026-01-22T21:31:00Z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22 2026 12:00AM</vt:lpwstr>
  </property>
</Properties>
</file>