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49C6075F" w:rsidR="00455585" w:rsidRPr="00D77981" w:rsidRDefault="00455585" w:rsidP="00D77981">
      <w:pPr>
        <w:pStyle w:val="Heading1"/>
      </w:pPr>
      <w:r w:rsidRPr="00D77981">
        <w:t>FY202</w:t>
      </w:r>
      <w:r w:rsidR="00B65DD8" w:rsidRPr="00D77981">
        <w:t xml:space="preserve">6 </w:t>
      </w:r>
      <w:r w:rsidR="00054F31" w:rsidRPr="00D77981">
        <w:t xml:space="preserve">Supporting Arts and Cultural Vitality </w:t>
      </w:r>
      <w:proofErr w:type="gramStart"/>
      <w:r w:rsidR="00054F31" w:rsidRPr="00D77981">
        <w:t xml:space="preserve">Teams  </w:t>
      </w:r>
      <w:r w:rsidRPr="00D77981">
        <w:t>Fund</w:t>
      </w:r>
      <w:proofErr w:type="gramEnd"/>
      <w:r w:rsidRPr="00D77981">
        <w:t xml:space="preserve"> Code: </w:t>
      </w:r>
      <w:r w:rsidR="57A0FCAF" w:rsidRPr="00D77981">
        <w:t>0718</w:t>
      </w:r>
    </w:p>
    <w:p w14:paraId="0E10200A" w14:textId="77777777" w:rsidR="0096038A" w:rsidRDefault="0096038A" w:rsidP="00455585">
      <w:pPr>
        <w:rPr>
          <w:b/>
          <w:bCs/>
          <w:szCs w:val="22"/>
        </w:rPr>
      </w:pPr>
    </w:p>
    <w:p w14:paraId="384CCCFC" w14:textId="57F2C30C" w:rsidR="00455585" w:rsidRPr="00455585" w:rsidRDefault="00455585" w:rsidP="00455585">
      <w:r w:rsidRPr="718A1B47">
        <w:rPr>
          <w:b/>
          <w:bCs/>
        </w:rPr>
        <w:t>Funds Allocated:</w:t>
      </w:r>
      <w:r w:rsidR="4F497AAE" w:rsidRPr="718A1B47">
        <w:rPr>
          <w:b/>
          <w:bCs/>
        </w:rPr>
        <w:t xml:space="preserve"> </w:t>
      </w:r>
      <w:r>
        <w:t>$</w:t>
      </w:r>
      <w:r w:rsidR="1376A5F6">
        <w:t xml:space="preserve">142,425 </w:t>
      </w:r>
      <w:r>
        <w:t>(State)</w:t>
      </w:r>
    </w:p>
    <w:p w14:paraId="28C28CA2" w14:textId="77777777" w:rsidR="0096038A" w:rsidRDefault="0096038A" w:rsidP="00455585">
      <w:pPr>
        <w:rPr>
          <w:b/>
          <w:bCs/>
          <w:szCs w:val="22"/>
        </w:rPr>
      </w:pPr>
    </w:p>
    <w:p w14:paraId="7560BF87" w14:textId="7CA93EB6" w:rsidR="00455585" w:rsidRPr="00455585" w:rsidRDefault="00455585" w:rsidP="00455585">
      <w:r w:rsidRPr="56022F52">
        <w:rPr>
          <w:b/>
          <w:bCs/>
        </w:rPr>
        <w:t>Funds Requested</w:t>
      </w:r>
      <w:r>
        <w:t>:</w:t>
      </w:r>
      <w:r w:rsidR="586AEE7A">
        <w:t xml:space="preserve"> </w:t>
      </w:r>
      <w:r>
        <w:t>$</w:t>
      </w:r>
      <w:r w:rsidR="63B796CA">
        <w:t>196,780</w:t>
      </w:r>
    </w:p>
    <w:p w14:paraId="5ECC770E" w14:textId="77777777" w:rsidR="0096038A" w:rsidRDefault="0096038A" w:rsidP="00455585">
      <w:pPr>
        <w:rPr>
          <w:b/>
          <w:bCs/>
          <w:szCs w:val="22"/>
        </w:rPr>
      </w:pPr>
    </w:p>
    <w:p w14:paraId="5B4F651E" w14:textId="303DC013" w:rsidR="0096038A" w:rsidRPr="0096038A" w:rsidRDefault="0096038A" w:rsidP="00D77981">
      <w:r w:rsidRPr="00D77981">
        <w:rPr>
          <w:b/>
          <w:bCs/>
        </w:rPr>
        <w:t>Purpose</w:t>
      </w:r>
      <w:r w:rsidR="00455585" w:rsidRPr="00D77981">
        <w:rPr>
          <w:b/>
          <w:bCs/>
        </w:rPr>
        <w:t>:</w:t>
      </w:r>
      <w:r w:rsidR="069D0B9B">
        <w:t xml:space="preserve"> The purpose of this competitive grant is to provide funding support for schools to conduct an arts program review using DESE's Arts &amp; Cultural Vitality (ACV) Index. The grant will support stipends and necessary materials for the members of school review teams. Participating schools will receive guidance about using the ACV Index tools and resources, funding to compensate a team within the school to do this work, and support from DESE Arts </w:t>
      </w:r>
      <w:proofErr w:type="gramStart"/>
      <w:r w:rsidR="069D0B9B">
        <w:t>specialist</w:t>
      </w:r>
      <w:proofErr w:type="gramEnd"/>
      <w:r w:rsidR="069D0B9B">
        <w:t>.</w:t>
      </w:r>
    </w:p>
    <w:p w14:paraId="26EA77E4" w14:textId="77777777" w:rsidR="002A1FCC" w:rsidRPr="00455585" w:rsidRDefault="002A1FCC" w:rsidP="00455585">
      <w:pPr>
        <w:rPr>
          <w:szCs w:val="22"/>
        </w:rPr>
      </w:pPr>
    </w:p>
    <w:p w14:paraId="30F0E329" w14:textId="64DFA823" w:rsidR="00455585" w:rsidRPr="00455585" w:rsidRDefault="0096038A" w:rsidP="00455585">
      <w:r w:rsidRPr="56022F52">
        <w:rPr>
          <w:b/>
          <w:bCs/>
        </w:rPr>
        <w:t>Number of Proposals Received:</w:t>
      </w:r>
      <w:r>
        <w:t xml:space="preserve"> </w:t>
      </w:r>
      <w:r w:rsidR="0AF01C68">
        <w:t>23</w:t>
      </w:r>
    </w:p>
    <w:p w14:paraId="244779EE" w14:textId="14354A24" w:rsidR="00455585" w:rsidRPr="00455585" w:rsidRDefault="0096038A" w:rsidP="00455585">
      <w:r w:rsidRPr="718A1B47">
        <w:rPr>
          <w:b/>
          <w:bCs/>
        </w:rPr>
        <w:t>Number of Proposals Recommended:</w:t>
      </w:r>
      <w:r>
        <w:t xml:space="preserve"> </w:t>
      </w:r>
      <w:r w:rsidR="03E12231">
        <w:t>18</w:t>
      </w:r>
    </w:p>
    <w:p w14:paraId="651D77B9" w14:textId="4A5AE71C" w:rsidR="00455585" w:rsidRDefault="0096038A" w:rsidP="00455585">
      <w:r w:rsidRPr="718A1B47">
        <w:rPr>
          <w:b/>
          <w:bCs/>
        </w:rPr>
        <w:t>Number of Proposals Not Recommended:</w:t>
      </w:r>
      <w:r>
        <w:t xml:space="preserve"> </w:t>
      </w:r>
      <w:r w:rsidR="4C56810E">
        <w:t>5</w:t>
      </w:r>
    </w:p>
    <w:p w14:paraId="0EC2F29E" w14:textId="77777777" w:rsidR="0096038A" w:rsidRPr="00455585" w:rsidRDefault="0096038A" w:rsidP="00455585">
      <w:pPr>
        <w:rPr>
          <w:szCs w:val="22"/>
        </w:rPr>
      </w:pPr>
    </w:p>
    <w:p w14:paraId="08D1B054" w14:textId="43A6405A" w:rsidR="0096038A" w:rsidRPr="0096038A" w:rsidRDefault="0096038A" w:rsidP="00D77981">
      <w:r w:rsidRPr="00D77981">
        <w:rPr>
          <w:b/>
          <w:bCs/>
        </w:rPr>
        <w:t>Result of Funding</w:t>
      </w:r>
      <w:r w:rsidR="00455585" w:rsidRPr="00D77981">
        <w:rPr>
          <w:b/>
          <w:bCs/>
        </w:rPr>
        <w:t>:</w:t>
      </w:r>
      <w:r w:rsidR="4F821421">
        <w:t xml:space="preserve"> New grant recipients will engage a representative team to conduct an arts program review using the Arts and Cultural Vitality Index. Returning grant recipients will engage in action planning, implementation, and monitoring </w:t>
      </w:r>
      <w:r w:rsidR="5EF1C38D">
        <w:t xml:space="preserve">using the results of their </w:t>
      </w:r>
      <w:r w:rsidR="4F821421">
        <w:t>previously conducted ACV review.</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240"/>
        <w:gridCol w:w="1590"/>
      </w:tblGrid>
      <w:tr w:rsidR="00410797" w:rsidRPr="00455585" w14:paraId="0D3A9C74" w14:textId="77777777" w:rsidTr="718A1B47">
        <w:trPr>
          <w:cantSplit/>
          <w:trHeight w:val="264"/>
          <w:tblHeader/>
        </w:trPr>
        <w:tc>
          <w:tcPr>
            <w:tcW w:w="924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718A1B47">
            <w:pPr>
              <w:spacing w:before="20" w:after="20"/>
              <w:jc w:val="center"/>
              <w:rPr>
                <w:b/>
                <w:bCs/>
                <w:snapToGrid w:val="0"/>
                <w:color w:val="000000"/>
              </w:rPr>
            </w:pPr>
            <w:r w:rsidRPr="718A1B47">
              <w:rPr>
                <w:b/>
                <w:bCs/>
                <w:snapToGrid w:val="0"/>
                <w:color w:val="000000"/>
              </w:rPr>
              <w:t>Recipients</w:t>
            </w:r>
          </w:p>
        </w:tc>
        <w:tc>
          <w:tcPr>
            <w:tcW w:w="159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718A1B47">
            <w:pPr>
              <w:spacing w:before="20" w:after="20"/>
              <w:jc w:val="center"/>
              <w:rPr>
                <w:b/>
                <w:bCs/>
                <w:snapToGrid w:val="0"/>
                <w:color w:val="000000"/>
              </w:rPr>
            </w:pPr>
            <w:r w:rsidRPr="718A1B47">
              <w:rPr>
                <w:b/>
                <w:bCs/>
                <w:snapToGrid w:val="0"/>
                <w:color w:val="000000"/>
              </w:rPr>
              <w:t>Amounts</w:t>
            </w:r>
          </w:p>
        </w:tc>
      </w:tr>
      <w:tr w:rsidR="006B0A31" w:rsidRPr="00455585" w14:paraId="2557505B" w14:textId="77777777" w:rsidTr="718A1B47">
        <w:trPr>
          <w:cantSplit/>
          <w:trHeight w:val="50"/>
        </w:trPr>
        <w:tc>
          <w:tcPr>
            <w:tcW w:w="9240" w:type="dxa"/>
            <w:tcBorders>
              <w:top w:val="single" w:sz="6" w:space="0" w:color="auto"/>
              <w:left w:val="single" w:sz="6" w:space="0" w:color="auto"/>
              <w:bottom w:val="single" w:sz="6" w:space="0" w:color="auto"/>
              <w:right w:val="single" w:sz="6" w:space="0" w:color="auto"/>
            </w:tcBorders>
          </w:tcPr>
          <w:p w14:paraId="31BFF7F4" w14:textId="2EC32D8B" w:rsidR="718A1B47" w:rsidRDefault="718A1B47" w:rsidP="718A1B47">
            <w:pPr>
              <w:rPr>
                <w:color w:val="000000" w:themeColor="text1"/>
                <w:szCs w:val="22"/>
              </w:rPr>
            </w:pPr>
            <w:r w:rsidRPr="718A1B47">
              <w:rPr>
                <w:color w:val="000000" w:themeColor="text1"/>
                <w:szCs w:val="22"/>
              </w:rPr>
              <w:t>Acton-Boxborough</w:t>
            </w:r>
          </w:p>
        </w:tc>
        <w:tc>
          <w:tcPr>
            <w:tcW w:w="1590" w:type="dxa"/>
            <w:tcBorders>
              <w:top w:val="single" w:sz="6" w:space="0" w:color="auto"/>
              <w:left w:val="single" w:sz="6" w:space="0" w:color="auto"/>
              <w:bottom w:val="single" w:sz="6" w:space="0" w:color="auto"/>
              <w:right w:val="single" w:sz="6" w:space="0" w:color="auto"/>
            </w:tcBorders>
          </w:tcPr>
          <w:p w14:paraId="3612BC95" w14:textId="65093A0F" w:rsidR="718A1B47" w:rsidRDefault="718A1B47" w:rsidP="718A1B47">
            <w:pPr>
              <w:rPr>
                <w:szCs w:val="22"/>
              </w:rPr>
            </w:pPr>
            <w:r w:rsidRPr="718A1B47">
              <w:rPr>
                <w:szCs w:val="22"/>
              </w:rPr>
              <w:t xml:space="preserve">$10,225 </w:t>
            </w:r>
          </w:p>
        </w:tc>
      </w:tr>
      <w:tr w:rsidR="006B0A31" w:rsidRPr="00455585" w14:paraId="41529082"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14740533" w14:textId="641CF65C" w:rsidR="718A1B47" w:rsidRDefault="718A1B47" w:rsidP="718A1B47">
            <w:pPr>
              <w:rPr>
                <w:color w:val="000000" w:themeColor="text1"/>
                <w:szCs w:val="22"/>
              </w:rPr>
            </w:pPr>
            <w:r w:rsidRPr="718A1B47">
              <w:rPr>
                <w:color w:val="000000" w:themeColor="text1"/>
                <w:szCs w:val="22"/>
              </w:rPr>
              <w:t>Alma Del Mar</w:t>
            </w:r>
            <w:r w:rsidR="1531AF18" w:rsidRPr="718A1B47">
              <w:rPr>
                <w:color w:val="000000" w:themeColor="text1"/>
                <w:szCs w:val="22"/>
              </w:rPr>
              <w:t xml:space="preserve"> Charter</w:t>
            </w:r>
          </w:p>
        </w:tc>
        <w:tc>
          <w:tcPr>
            <w:tcW w:w="1590" w:type="dxa"/>
            <w:tcBorders>
              <w:top w:val="single" w:sz="6" w:space="0" w:color="auto"/>
              <w:left w:val="single" w:sz="6" w:space="0" w:color="auto"/>
              <w:bottom w:val="single" w:sz="6" w:space="0" w:color="auto"/>
              <w:right w:val="single" w:sz="6" w:space="0" w:color="auto"/>
            </w:tcBorders>
          </w:tcPr>
          <w:p w14:paraId="13104182" w14:textId="73609211" w:rsidR="718A1B47" w:rsidRDefault="718A1B47" w:rsidP="718A1B47">
            <w:pPr>
              <w:rPr>
                <w:szCs w:val="22"/>
              </w:rPr>
            </w:pPr>
            <w:r w:rsidRPr="718A1B47">
              <w:rPr>
                <w:szCs w:val="22"/>
              </w:rPr>
              <w:t xml:space="preserve"> $4,225 </w:t>
            </w:r>
          </w:p>
        </w:tc>
      </w:tr>
      <w:tr w:rsidR="006B0A31" w:rsidRPr="00455585" w14:paraId="54E1A07B"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15C6CFAC" w14:textId="2C9447DD" w:rsidR="718A1B47" w:rsidRDefault="718A1B47" w:rsidP="718A1B47">
            <w:pPr>
              <w:rPr>
                <w:color w:val="000000" w:themeColor="text1"/>
                <w:szCs w:val="22"/>
              </w:rPr>
            </w:pPr>
            <w:r w:rsidRPr="718A1B47">
              <w:rPr>
                <w:color w:val="000000" w:themeColor="text1"/>
                <w:szCs w:val="22"/>
              </w:rPr>
              <w:t>Brockton</w:t>
            </w:r>
          </w:p>
        </w:tc>
        <w:tc>
          <w:tcPr>
            <w:tcW w:w="1590" w:type="dxa"/>
            <w:tcBorders>
              <w:top w:val="single" w:sz="6" w:space="0" w:color="auto"/>
              <w:left w:val="single" w:sz="6" w:space="0" w:color="auto"/>
              <w:bottom w:val="single" w:sz="6" w:space="0" w:color="auto"/>
              <w:right w:val="single" w:sz="6" w:space="0" w:color="auto"/>
            </w:tcBorders>
          </w:tcPr>
          <w:p w14:paraId="668E8D99" w14:textId="1199AF2F" w:rsidR="718A1B47" w:rsidRDefault="718A1B47" w:rsidP="718A1B47">
            <w:pPr>
              <w:rPr>
                <w:szCs w:val="22"/>
              </w:rPr>
            </w:pPr>
            <w:r w:rsidRPr="718A1B47">
              <w:rPr>
                <w:szCs w:val="22"/>
              </w:rPr>
              <w:t xml:space="preserve"> $12,225 </w:t>
            </w:r>
          </w:p>
        </w:tc>
      </w:tr>
      <w:tr w:rsidR="006B0A31" w:rsidRPr="00455585" w14:paraId="4338704C"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291169BE" w14:textId="58C94E91" w:rsidR="718A1B47" w:rsidRDefault="718A1B47" w:rsidP="718A1B47">
            <w:pPr>
              <w:rPr>
                <w:color w:val="000000" w:themeColor="text1"/>
                <w:szCs w:val="22"/>
              </w:rPr>
            </w:pPr>
            <w:r w:rsidRPr="718A1B47">
              <w:rPr>
                <w:color w:val="000000" w:themeColor="text1"/>
                <w:szCs w:val="22"/>
              </w:rPr>
              <w:t>Collegiate Charter of Lowell</w:t>
            </w:r>
          </w:p>
        </w:tc>
        <w:tc>
          <w:tcPr>
            <w:tcW w:w="1590" w:type="dxa"/>
            <w:tcBorders>
              <w:top w:val="single" w:sz="6" w:space="0" w:color="auto"/>
              <w:left w:val="single" w:sz="6" w:space="0" w:color="auto"/>
              <w:bottom w:val="single" w:sz="6" w:space="0" w:color="auto"/>
              <w:right w:val="single" w:sz="6" w:space="0" w:color="auto"/>
            </w:tcBorders>
          </w:tcPr>
          <w:p w14:paraId="6335BC41" w14:textId="16692AFA" w:rsidR="718A1B47" w:rsidRDefault="718A1B47" w:rsidP="718A1B47">
            <w:pPr>
              <w:rPr>
                <w:szCs w:val="22"/>
              </w:rPr>
            </w:pPr>
            <w:r w:rsidRPr="718A1B47">
              <w:rPr>
                <w:szCs w:val="22"/>
              </w:rPr>
              <w:t xml:space="preserve"> $4,225 </w:t>
            </w:r>
          </w:p>
        </w:tc>
      </w:tr>
      <w:tr w:rsidR="006B0A31" w:rsidRPr="00455585" w14:paraId="34AB2A19"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7E3A6DBD" w14:textId="7B4725C2" w:rsidR="718A1B47" w:rsidRDefault="718A1B47" w:rsidP="718A1B47">
            <w:pPr>
              <w:rPr>
                <w:color w:val="000000" w:themeColor="text1"/>
                <w:szCs w:val="22"/>
              </w:rPr>
            </w:pPr>
            <w:r w:rsidRPr="718A1B47">
              <w:rPr>
                <w:color w:val="000000" w:themeColor="text1"/>
                <w:szCs w:val="22"/>
              </w:rPr>
              <w:t>CREST Collaborative</w:t>
            </w:r>
          </w:p>
        </w:tc>
        <w:tc>
          <w:tcPr>
            <w:tcW w:w="1590" w:type="dxa"/>
            <w:tcBorders>
              <w:top w:val="single" w:sz="6" w:space="0" w:color="auto"/>
              <w:left w:val="single" w:sz="6" w:space="0" w:color="auto"/>
              <w:bottom w:val="single" w:sz="6" w:space="0" w:color="auto"/>
              <w:right w:val="single" w:sz="6" w:space="0" w:color="auto"/>
            </w:tcBorders>
          </w:tcPr>
          <w:p w14:paraId="48E41365" w14:textId="2C581EB8" w:rsidR="718A1B47" w:rsidRDefault="718A1B47" w:rsidP="718A1B47">
            <w:pPr>
              <w:rPr>
                <w:szCs w:val="22"/>
              </w:rPr>
            </w:pPr>
            <w:r w:rsidRPr="718A1B47">
              <w:rPr>
                <w:szCs w:val="22"/>
              </w:rPr>
              <w:t xml:space="preserve"> $ 5,000 </w:t>
            </w:r>
          </w:p>
        </w:tc>
      </w:tr>
      <w:tr w:rsidR="006B0A31" w:rsidRPr="00455585" w14:paraId="7EE361BA"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2B95E1B7" w14:textId="71D019B2" w:rsidR="718A1B47" w:rsidRDefault="718A1B47" w:rsidP="718A1B47">
            <w:pPr>
              <w:rPr>
                <w:color w:val="000000" w:themeColor="text1"/>
                <w:szCs w:val="22"/>
              </w:rPr>
            </w:pPr>
            <w:r w:rsidRPr="718A1B47">
              <w:rPr>
                <w:color w:val="000000" w:themeColor="text1"/>
                <w:szCs w:val="22"/>
              </w:rPr>
              <w:t>Dighton-Rehoboth</w:t>
            </w:r>
          </w:p>
        </w:tc>
        <w:tc>
          <w:tcPr>
            <w:tcW w:w="1590" w:type="dxa"/>
            <w:tcBorders>
              <w:top w:val="single" w:sz="6" w:space="0" w:color="auto"/>
              <w:left w:val="single" w:sz="6" w:space="0" w:color="auto"/>
              <w:bottom w:val="single" w:sz="6" w:space="0" w:color="auto"/>
              <w:right w:val="single" w:sz="6" w:space="0" w:color="auto"/>
            </w:tcBorders>
          </w:tcPr>
          <w:p w14:paraId="106857E1" w14:textId="4BC87225" w:rsidR="718A1B47" w:rsidRDefault="718A1B47" w:rsidP="718A1B47">
            <w:pPr>
              <w:rPr>
                <w:szCs w:val="22"/>
              </w:rPr>
            </w:pPr>
            <w:r w:rsidRPr="718A1B47">
              <w:rPr>
                <w:szCs w:val="22"/>
              </w:rPr>
              <w:t xml:space="preserve"> $7,000 </w:t>
            </w:r>
          </w:p>
        </w:tc>
      </w:tr>
      <w:tr w:rsidR="006B0A31" w:rsidRPr="00455585" w14:paraId="5E06D2ED"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21321206" w14:textId="4596D0B9" w:rsidR="718A1B47" w:rsidRDefault="718A1B47" w:rsidP="718A1B47">
            <w:pPr>
              <w:rPr>
                <w:color w:val="000000" w:themeColor="text1"/>
                <w:szCs w:val="22"/>
              </w:rPr>
            </w:pPr>
            <w:r w:rsidRPr="718A1B47">
              <w:rPr>
                <w:color w:val="000000" w:themeColor="text1"/>
                <w:szCs w:val="22"/>
              </w:rPr>
              <w:t>Four Rivers Charter</w:t>
            </w:r>
          </w:p>
        </w:tc>
        <w:tc>
          <w:tcPr>
            <w:tcW w:w="1590" w:type="dxa"/>
            <w:tcBorders>
              <w:top w:val="single" w:sz="6" w:space="0" w:color="auto"/>
              <w:left w:val="single" w:sz="6" w:space="0" w:color="auto"/>
              <w:bottom w:val="single" w:sz="6" w:space="0" w:color="auto"/>
              <w:right w:val="single" w:sz="6" w:space="0" w:color="auto"/>
            </w:tcBorders>
          </w:tcPr>
          <w:p w14:paraId="62B12DA4" w14:textId="7516E7C7" w:rsidR="718A1B47" w:rsidRDefault="718A1B47" w:rsidP="718A1B47">
            <w:pPr>
              <w:rPr>
                <w:szCs w:val="22"/>
              </w:rPr>
            </w:pPr>
            <w:r w:rsidRPr="718A1B47">
              <w:rPr>
                <w:szCs w:val="22"/>
              </w:rPr>
              <w:t xml:space="preserve"> $5,225 </w:t>
            </w:r>
          </w:p>
        </w:tc>
      </w:tr>
      <w:tr w:rsidR="006B0A31" w:rsidRPr="00455585" w14:paraId="5E65AE64"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16158E07" w14:textId="0414B168" w:rsidR="718A1B47" w:rsidRDefault="718A1B47" w:rsidP="718A1B47">
            <w:pPr>
              <w:rPr>
                <w:color w:val="000000" w:themeColor="text1"/>
                <w:szCs w:val="22"/>
              </w:rPr>
            </w:pPr>
            <w:r w:rsidRPr="718A1B47">
              <w:rPr>
                <w:color w:val="000000" w:themeColor="text1"/>
                <w:szCs w:val="22"/>
              </w:rPr>
              <w:t>Hadley</w:t>
            </w:r>
          </w:p>
        </w:tc>
        <w:tc>
          <w:tcPr>
            <w:tcW w:w="1590" w:type="dxa"/>
            <w:tcBorders>
              <w:top w:val="single" w:sz="6" w:space="0" w:color="auto"/>
              <w:left w:val="single" w:sz="6" w:space="0" w:color="auto"/>
              <w:bottom w:val="single" w:sz="6" w:space="0" w:color="auto"/>
              <w:right w:val="single" w:sz="6" w:space="0" w:color="auto"/>
            </w:tcBorders>
          </w:tcPr>
          <w:p w14:paraId="42A9160F" w14:textId="4D90A963" w:rsidR="718A1B47" w:rsidRDefault="718A1B47" w:rsidP="718A1B47">
            <w:pPr>
              <w:rPr>
                <w:szCs w:val="22"/>
              </w:rPr>
            </w:pPr>
            <w:r w:rsidRPr="718A1B47">
              <w:rPr>
                <w:szCs w:val="22"/>
              </w:rPr>
              <w:t xml:space="preserve"> $6,225 </w:t>
            </w:r>
          </w:p>
        </w:tc>
      </w:tr>
      <w:tr w:rsidR="006B0A31" w:rsidRPr="00455585" w14:paraId="6AC07A10"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6BA9E3AC" w14:textId="1BA48756" w:rsidR="718A1B47" w:rsidRDefault="718A1B47" w:rsidP="718A1B47">
            <w:pPr>
              <w:rPr>
                <w:color w:val="000000" w:themeColor="text1"/>
                <w:szCs w:val="22"/>
              </w:rPr>
            </w:pPr>
            <w:r w:rsidRPr="718A1B47">
              <w:rPr>
                <w:color w:val="000000" w:themeColor="text1"/>
                <w:szCs w:val="22"/>
              </w:rPr>
              <w:t>Lowell</w:t>
            </w:r>
          </w:p>
        </w:tc>
        <w:tc>
          <w:tcPr>
            <w:tcW w:w="1590" w:type="dxa"/>
            <w:tcBorders>
              <w:top w:val="single" w:sz="6" w:space="0" w:color="auto"/>
              <w:left w:val="single" w:sz="6" w:space="0" w:color="auto"/>
              <w:bottom w:val="single" w:sz="6" w:space="0" w:color="auto"/>
              <w:right w:val="single" w:sz="6" w:space="0" w:color="auto"/>
            </w:tcBorders>
          </w:tcPr>
          <w:p w14:paraId="6E8D8029" w14:textId="5F563D58" w:rsidR="718A1B47" w:rsidRDefault="718A1B47" w:rsidP="718A1B47">
            <w:pPr>
              <w:rPr>
                <w:szCs w:val="22"/>
              </w:rPr>
            </w:pPr>
            <w:r w:rsidRPr="718A1B47">
              <w:rPr>
                <w:szCs w:val="22"/>
              </w:rPr>
              <w:t xml:space="preserve"> $9,225 </w:t>
            </w:r>
          </w:p>
        </w:tc>
      </w:tr>
      <w:tr w:rsidR="006B0A31" w:rsidRPr="00455585" w14:paraId="3CF1775C"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6D51D6FB" w14:textId="3882BCC2" w:rsidR="718A1B47" w:rsidRDefault="718A1B47" w:rsidP="718A1B47">
            <w:pPr>
              <w:rPr>
                <w:color w:val="000000" w:themeColor="text1"/>
                <w:szCs w:val="22"/>
              </w:rPr>
            </w:pPr>
            <w:r w:rsidRPr="718A1B47">
              <w:rPr>
                <w:color w:val="000000" w:themeColor="text1"/>
                <w:szCs w:val="22"/>
              </w:rPr>
              <w:t>Lynn</w:t>
            </w:r>
          </w:p>
        </w:tc>
        <w:tc>
          <w:tcPr>
            <w:tcW w:w="1590" w:type="dxa"/>
            <w:tcBorders>
              <w:top w:val="single" w:sz="6" w:space="0" w:color="auto"/>
              <w:left w:val="single" w:sz="6" w:space="0" w:color="auto"/>
              <w:bottom w:val="single" w:sz="6" w:space="0" w:color="auto"/>
              <w:right w:val="single" w:sz="6" w:space="0" w:color="auto"/>
            </w:tcBorders>
          </w:tcPr>
          <w:p w14:paraId="7FA0FB59" w14:textId="64957EDC" w:rsidR="718A1B47" w:rsidRDefault="718A1B47" w:rsidP="718A1B47">
            <w:pPr>
              <w:rPr>
                <w:szCs w:val="22"/>
              </w:rPr>
            </w:pPr>
            <w:r w:rsidRPr="718A1B47">
              <w:rPr>
                <w:szCs w:val="22"/>
              </w:rPr>
              <w:t xml:space="preserve"> $5,225 </w:t>
            </w:r>
          </w:p>
        </w:tc>
      </w:tr>
      <w:tr w:rsidR="006B0A31" w:rsidRPr="00455585" w14:paraId="7891D225"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6A3DD3BC" w14:textId="158CD7C7" w:rsidR="718A1B47" w:rsidRDefault="718A1B47" w:rsidP="718A1B47">
            <w:pPr>
              <w:rPr>
                <w:color w:val="000000" w:themeColor="text1"/>
                <w:szCs w:val="22"/>
              </w:rPr>
            </w:pPr>
            <w:r w:rsidRPr="718A1B47">
              <w:rPr>
                <w:color w:val="000000" w:themeColor="text1"/>
                <w:szCs w:val="22"/>
              </w:rPr>
              <w:t>Maynard</w:t>
            </w:r>
          </w:p>
        </w:tc>
        <w:tc>
          <w:tcPr>
            <w:tcW w:w="1590" w:type="dxa"/>
            <w:tcBorders>
              <w:top w:val="single" w:sz="6" w:space="0" w:color="auto"/>
              <w:left w:val="single" w:sz="6" w:space="0" w:color="auto"/>
              <w:bottom w:val="single" w:sz="6" w:space="0" w:color="auto"/>
              <w:right w:val="single" w:sz="6" w:space="0" w:color="auto"/>
            </w:tcBorders>
          </w:tcPr>
          <w:p w14:paraId="07C0CC79" w14:textId="6B4C1AC0" w:rsidR="718A1B47" w:rsidRDefault="718A1B47" w:rsidP="718A1B47">
            <w:pPr>
              <w:rPr>
                <w:szCs w:val="22"/>
              </w:rPr>
            </w:pPr>
            <w:r w:rsidRPr="718A1B47">
              <w:rPr>
                <w:szCs w:val="22"/>
              </w:rPr>
              <w:t xml:space="preserve"> $8,000 </w:t>
            </w:r>
          </w:p>
        </w:tc>
      </w:tr>
      <w:tr w:rsidR="006B0A31" w:rsidRPr="00455585" w14:paraId="1CCD219A"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6D312817" w14:textId="268D8876" w:rsidR="718A1B47" w:rsidRDefault="718A1B47" w:rsidP="718A1B47">
            <w:pPr>
              <w:rPr>
                <w:color w:val="000000" w:themeColor="text1"/>
                <w:szCs w:val="22"/>
              </w:rPr>
            </w:pPr>
            <w:r w:rsidRPr="718A1B47">
              <w:rPr>
                <w:color w:val="000000" w:themeColor="text1"/>
                <w:szCs w:val="22"/>
              </w:rPr>
              <w:t>Mt. Greylock</w:t>
            </w:r>
          </w:p>
        </w:tc>
        <w:tc>
          <w:tcPr>
            <w:tcW w:w="1590" w:type="dxa"/>
            <w:tcBorders>
              <w:top w:val="single" w:sz="6" w:space="0" w:color="auto"/>
              <w:left w:val="single" w:sz="6" w:space="0" w:color="auto"/>
              <w:bottom w:val="single" w:sz="6" w:space="0" w:color="auto"/>
              <w:right w:val="single" w:sz="6" w:space="0" w:color="auto"/>
            </w:tcBorders>
          </w:tcPr>
          <w:p w14:paraId="1B222D8F" w14:textId="1C6490CA" w:rsidR="718A1B47" w:rsidRDefault="718A1B47" w:rsidP="718A1B47">
            <w:pPr>
              <w:rPr>
                <w:szCs w:val="22"/>
              </w:rPr>
            </w:pPr>
            <w:r w:rsidRPr="718A1B47">
              <w:rPr>
                <w:szCs w:val="22"/>
              </w:rPr>
              <w:t xml:space="preserve"> $10,000 </w:t>
            </w:r>
          </w:p>
        </w:tc>
      </w:tr>
      <w:tr w:rsidR="006B0A31" w:rsidRPr="00455585" w14:paraId="71AAB733"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19B3A5B5" w14:textId="2B9DF7F5" w:rsidR="718A1B47" w:rsidRDefault="718A1B47" w:rsidP="718A1B47">
            <w:pPr>
              <w:rPr>
                <w:color w:val="000000" w:themeColor="text1"/>
                <w:szCs w:val="22"/>
              </w:rPr>
            </w:pPr>
            <w:r w:rsidRPr="718A1B47">
              <w:rPr>
                <w:color w:val="000000" w:themeColor="text1"/>
                <w:szCs w:val="22"/>
              </w:rPr>
              <w:t>North Middlesex</w:t>
            </w:r>
          </w:p>
        </w:tc>
        <w:tc>
          <w:tcPr>
            <w:tcW w:w="1590" w:type="dxa"/>
            <w:tcBorders>
              <w:top w:val="single" w:sz="6" w:space="0" w:color="auto"/>
              <w:left w:val="single" w:sz="6" w:space="0" w:color="auto"/>
              <w:bottom w:val="single" w:sz="6" w:space="0" w:color="auto"/>
              <w:right w:val="single" w:sz="6" w:space="0" w:color="auto"/>
            </w:tcBorders>
          </w:tcPr>
          <w:p w14:paraId="1C302C3D" w14:textId="6EF2D084" w:rsidR="718A1B47" w:rsidRDefault="718A1B47" w:rsidP="718A1B47">
            <w:pPr>
              <w:rPr>
                <w:szCs w:val="22"/>
              </w:rPr>
            </w:pPr>
            <w:r w:rsidRPr="718A1B47">
              <w:rPr>
                <w:szCs w:val="22"/>
              </w:rPr>
              <w:t xml:space="preserve"> $13,725 </w:t>
            </w:r>
          </w:p>
        </w:tc>
      </w:tr>
      <w:tr w:rsidR="006B0A31" w:rsidRPr="00455585" w14:paraId="53E0BE0F"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144BC129" w14:textId="1E8F2DFE" w:rsidR="718A1B47" w:rsidRDefault="718A1B47" w:rsidP="718A1B47">
            <w:pPr>
              <w:rPr>
                <w:color w:val="000000" w:themeColor="text1"/>
                <w:szCs w:val="22"/>
              </w:rPr>
            </w:pPr>
            <w:r w:rsidRPr="718A1B47">
              <w:rPr>
                <w:color w:val="000000" w:themeColor="text1"/>
                <w:szCs w:val="22"/>
              </w:rPr>
              <w:t>Randolph</w:t>
            </w:r>
          </w:p>
        </w:tc>
        <w:tc>
          <w:tcPr>
            <w:tcW w:w="1590" w:type="dxa"/>
            <w:tcBorders>
              <w:top w:val="single" w:sz="6" w:space="0" w:color="auto"/>
              <w:left w:val="single" w:sz="6" w:space="0" w:color="auto"/>
              <w:bottom w:val="single" w:sz="6" w:space="0" w:color="auto"/>
              <w:right w:val="single" w:sz="6" w:space="0" w:color="auto"/>
            </w:tcBorders>
          </w:tcPr>
          <w:p w14:paraId="33AED5F2" w14:textId="74FEFFDA" w:rsidR="718A1B47" w:rsidRDefault="718A1B47" w:rsidP="718A1B47">
            <w:pPr>
              <w:rPr>
                <w:szCs w:val="22"/>
              </w:rPr>
            </w:pPr>
            <w:r w:rsidRPr="718A1B47">
              <w:rPr>
                <w:szCs w:val="22"/>
              </w:rPr>
              <w:t xml:space="preserve"> $5,225 </w:t>
            </w:r>
          </w:p>
        </w:tc>
      </w:tr>
      <w:tr w:rsidR="006B0A31" w:rsidRPr="00455585" w14:paraId="190DF574"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66E72190" w14:textId="3CE94200" w:rsidR="718A1B47" w:rsidRDefault="718A1B47" w:rsidP="718A1B47">
            <w:pPr>
              <w:rPr>
                <w:color w:val="000000" w:themeColor="text1"/>
                <w:szCs w:val="22"/>
              </w:rPr>
            </w:pPr>
            <w:r w:rsidRPr="718A1B47">
              <w:rPr>
                <w:color w:val="000000" w:themeColor="text1"/>
                <w:szCs w:val="22"/>
              </w:rPr>
              <w:t>Seekonk</w:t>
            </w:r>
          </w:p>
        </w:tc>
        <w:tc>
          <w:tcPr>
            <w:tcW w:w="1590" w:type="dxa"/>
            <w:tcBorders>
              <w:top w:val="single" w:sz="6" w:space="0" w:color="auto"/>
              <w:left w:val="single" w:sz="6" w:space="0" w:color="auto"/>
              <w:bottom w:val="single" w:sz="6" w:space="0" w:color="auto"/>
              <w:right w:val="single" w:sz="6" w:space="0" w:color="auto"/>
            </w:tcBorders>
          </w:tcPr>
          <w:p w14:paraId="561397B9" w14:textId="50558E04" w:rsidR="718A1B47" w:rsidRDefault="718A1B47" w:rsidP="718A1B47">
            <w:pPr>
              <w:rPr>
                <w:szCs w:val="22"/>
              </w:rPr>
            </w:pPr>
            <w:r w:rsidRPr="718A1B47">
              <w:rPr>
                <w:szCs w:val="22"/>
              </w:rPr>
              <w:t xml:space="preserve"> $8,225 </w:t>
            </w:r>
          </w:p>
        </w:tc>
      </w:tr>
      <w:tr w:rsidR="006B0A31" w:rsidRPr="00455585" w14:paraId="3ED11B3D"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07675295" w14:textId="1DE0DB0C" w:rsidR="718A1B47" w:rsidRDefault="718A1B47" w:rsidP="718A1B47">
            <w:pPr>
              <w:rPr>
                <w:color w:val="000000" w:themeColor="text1"/>
                <w:szCs w:val="22"/>
              </w:rPr>
            </w:pPr>
            <w:r w:rsidRPr="718A1B47">
              <w:rPr>
                <w:color w:val="000000" w:themeColor="text1"/>
                <w:szCs w:val="22"/>
              </w:rPr>
              <w:t>Southern Berkshire</w:t>
            </w:r>
          </w:p>
        </w:tc>
        <w:tc>
          <w:tcPr>
            <w:tcW w:w="1590" w:type="dxa"/>
            <w:tcBorders>
              <w:top w:val="single" w:sz="6" w:space="0" w:color="auto"/>
              <w:left w:val="single" w:sz="6" w:space="0" w:color="auto"/>
              <w:bottom w:val="single" w:sz="6" w:space="0" w:color="auto"/>
              <w:right w:val="single" w:sz="6" w:space="0" w:color="auto"/>
            </w:tcBorders>
          </w:tcPr>
          <w:p w14:paraId="30AF252C" w14:textId="25EA5081" w:rsidR="718A1B47" w:rsidRDefault="718A1B47" w:rsidP="718A1B47">
            <w:pPr>
              <w:rPr>
                <w:szCs w:val="22"/>
              </w:rPr>
            </w:pPr>
            <w:r w:rsidRPr="718A1B47">
              <w:rPr>
                <w:szCs w:val="22"/>
              </w:rPr>
              <w:t xml:space="preserve"> $8,000 </w:t>
            </w:r>
          </w:p>
        </w:tc>
      </w:tr>
      <w:tr w:rsidR="006B0A31" w:rsidRPr="00455585" w14:paraId="5BD2E51F"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56A0FB4C" w14:textId="37C55138" w:rsidR="718A1B47" w:rsidRDefault="718A1B47" w:rsidP="718A1B47">
            <w:pPr>
              <w:rPr>
                <w:color w:val="000000" w:themeColor="text1"/>
                <w:szCs w:val="22"/>
              </w:rPr>
            </w:pPr>
            <w:r w:rsidRPr="718A1B47">
              <w:rPr>
                <w:color w:val="000000" w:themeColor="text1"/>
                <w:szCs w:val="22"/>
              </w:rPr>
              <w:t>Wachusett</w:t>
            </w:r>
          </w:p>
        </w:tc>
        <w:tc>
          <w:tcPr>
            <w:tcW w:w="1590" w:type="dxa"/>
            <w:tcBorders>
              <w:top w:val="single" w:sz="6" w:space="0" w:color="auto"/>
              <w:left w:val="single" w:sz="6" w:space="0" w:color="auto"/>
              <w:bottom w:val="single" w:sz="6" w:space="0" w:color="auto"/>
              <w:right w:val="single" w:sz="6" w:space="0" w:color="auto"/>
            </w:tcBorders>
          </w:tcPr>
          <w:p w14:paraId="5E3C576A" w14:textId="0E9EE386" w:rsidR="718A1B47" w:rsidRDefault="718A1B47" w:rsidP="718A1B47">
            <w:pPr>
              <w:rPr>
                <w:szCs w:val="22"/>
              </w:rPr>
            </w:pPr>
            <w:r w:rsidRPr="718A1B47">
              <w:rPr>
                <w:szCs w:val="22"/>
              </w:rPr>
              <w:t xml:space="preserve"> $10,225 </w:t>
            </w:r>
          </w:p>
        </w:tc>
      </w:tr>
      <w:tr w:rsidR="006B0A31" w:rsidRPr="00455585" w14:paraId="3CED0B6F"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tcPr>
          <w:p w14:paraId="67896BF2" w14:textId="447A05AE" w:rsidR="718A1B47" w:rsidRDefault="718A1B47" w:rsidP="718A1B47">
            <w:pPr>
              <w:rPr>
                <w:color w:val="000000" w:themeColor="text1"/>
                <w:szCs w:val="22"/>
              </w:rPr>
            </w:pPr>
            <w:r w:rsidRPr="718A1B47">
              <w:rPr>
                <w:color w:val="000000" w:themeColor="text1"/>
                <w:szCs w:val="22"/>
              </w:rPr>
              <w:t>Worcester</w:t>
            </w:r>
          </w:p>
        </w:tc>
        <w:tc>
          <w:tcPr>
            <w:tcW w:w="1590" w:type="dxa"/>
            <w:tcBorders>
              <w:top w:val="single" w:sz="6" w:space="0" w:color="auto"/>
              <w:left w:val="single" w:sz="6" w:space="0" w:color="auto"/>
              <w:bottom w:val="single" w:sz="6" w:space="0" w:color="auto"/>
              <w:right w:val="single" w:sz="6" w:space="0" w:color="auto"/>
            </w:tcBorders>
          </w:tcPr>
          <w:p w14:paraId="0F8FF45B" w14:textId="4E352B46" w:rsidR="718A1B47" w:rsidRDefault="718A1B47" w:rsidP="718A1B47">
            <w:pPr>
              <w:rPr>
                <w:szCs w:val="22"/>
              </w:rPr>
            </w:pPr>
            <w:r w:rsidRPr="718A1B47">
              <w:rPr>
                <w:szCs w:val="22"/>
              </w:rPr>
              <w:t xml:space="preserve"> $10,225</w:t>
            </w:r>
          </w:p>
        </w:tc>
      </w:tr>
      <w:tr w:rsidR="000039F5" w:rsidRPr="00455585" w14:paraId="091B42D5" w14:textId="77777777" w:rsidTr="718A1B47">
        <w:trPr>
          <w:cantSplit/>
          <w:trHeight w:val="65"/>
        </w:trPr>
        <w:tc>
          <w:tcPr>
            <w:tcW w:w="9240" w:type="dxa"/>
            <w:tcBorders>
              <w:top w:val="single" w:sz="6" w:space="0" w:color="auto"/>
              <w:left w:val="single" w:sz="6" w:space="0" w:color="auto"/>
              <w:bottom w:val="single" w:sz="6" w:space="0" w:color="auto"/>
              <w:right w:val="single" w:sz="6" w:space="0" w:color="auto"/>
            </w:tcBorders>
            <w:vAlign w:val="bottom"/>
          </w:tcPr>
          <w:p w14:paraId="51A92A52" w14:textId="762BB704" w:rsidR="000039F5" w:rsidRPr="00455585" w:rsidRDefault="0096038A" w:rsidP="718A1B47">
            <w:pPr>
              <w:rPr>
                <w:b/>
                <w:bCs/>
                <w:color w:val="000000"/>
              </w:rPr>
            </w:pPr>
            <w:r w:rsidRPr="718A1B47">
              <w:rPr>
                <w:b/>
                <w:bCs/>
                <w:color w:val="000000" w:themeColor="text1"/>
              </w:rPr>
              <w:t>Total State</w:t>
            </w:r>
            <w:r w:rsidR="0B762B50" w:rsidRPr="718A1B47">
              <w:rPr>
                <w:b/>
                <w:bCs/>
                <w:color w:val="000000" w:themeColor="text1"/>
              </w:rPr>
              <w:t xml:space="preserve"> </w:t>
            </w:r>
            <w:r w:rsidRPr="718A1B47">
              <w:rPr>
                <w:b/>
                <w:bCs/>
                <w:color w:val="000000" w:themeColor="text1"/>
              </w:rPr>
              <w:t>Funds</w:t>
            </w:r>
          </w:p>
        </w:tc>
        <w:tc>
          <w:tcPr>
            <w:tcW w:w="1590" w:type="dxa"/>
            <w:tcBorders>
              <w:top w:val="single" w:sz="6" w:space="0" w:color="auto"/>
              <w:left w:val="single" w:sz="6" w:space="0" w:color="auto"/>
              <w:bottom w:val="single" w:sz="6" w:space="0" w:color="auto"/>
              <w:right w:val="single" w:sz="6" w:space="0" w:color="auto"/>
            </w:tcBorders>
            <w:vAlign w:val="bottom"/>
          </w:tcPr>
          <w:p w14:paraId="61C9785C" w14:textId="75CE85F1" w:rsidR="000039F5" w:rsidRPr="00455585" w:rsidRDefault="08AA5C12" w:rsidP="718A1B47">
            <w:pPr>
              <w:spacing w:before="20" w:after="20"/>
              <w:jc w:val="right"/>
              <w:rPr>
                <w:b/>
                <w:bCs/>
              </w:rPr>
            </w:pPr>
            <w:r w:rsidRPr="718A1B47">
              <w:rPr>
                <w:b/>
                <w:bCs/>
              </w:rPr>
              <w:t>$142,425</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54F31"/>
    <w:rsid w:val="00084DCE"/>
    <w:rsid w:val="000C6C68"/>
    <w:rsid w:val="001522C7"/>
    <w:rsid w:val="001A433F"/>
    <w:rsid w:val="001B5362"/>
    <w:rsid w:val="001B78A6"/>
    <w:rsid w:val="001C23C4"/>
    <w:rsid w:val="001C6572"/>
    <w:rsid w:val="001E2790"/>
    <w:rsid w:val="00224F8E"/>
    <w:rsid w:val="002A1FCC"/>
    <w:rsid w:val="002D5121"/>
    <w:rsid w:val="0031794D"/>
    <w:rsid w:val="003226AE"/>
    <w:rsid w:val="00330653"/>
    <w:rsid w:val="0033156A"/>
    <w:rsid w:val="00331788"/>
    <w:rsid w:val="00351281"/>
    <w:rsid w:val="00372996"/>
    <w:rsid w:val="003C64DD"/>
    <w:rsid w:val="00407430"/>
    <w:rsid w:val="00410797"/>
    <w:rsid w:val="004262B6"/>
    <w:rsid w:val="00427DA8"/>
    <w:rsid w:val="004545AE"/>
    <w:rsid w:val="00455585"/>
    <w:rsid w:val="00474C32"/>
    <w:rsid w:val="004A6E72"/>
    <w:rsid w:val="004F6A9F"/>
    <w:rsid w:val="00521A12"/>
    <w:rsid w:val="00534FE7"/>
    <w:rsid w:val="00542157"/>
    <w:rsid w:val="005736D2"/>
    <w:rsid w:val="006040C0"/>
    <w:rsid w:val="00634CDE"/>
    <w:rsid w:val="00652A79"/>
    <w:rsid w:val="00674217"/>
    <w:rsid w:val="006B0A31"/>
    <w:rsid w:val="006D71B2"/>
    <w:rsid w:val="00730E52"/>
    <w:rsid w:val="007506C8"/>
    <w:rsid w:val="007911BB"/>
    <w:rsid w:val="007B2582"/>
    <w:rsid w:val="007D0D4F"/>
    <w:rsid w:val="007E3905"/>
    <w:rsid w:val="00801616"/>
    <w:rsid w:val="008256FF"/>
    <w:rsid w:val="00830B58"/>
    <w:rsid w:val="00837F08"/>
    <w:rsid w:val="00842E20"/>
    <w:rsid w:val="008941CA"/>
    <w:rsid w:val="008A4C70"/>
    <w:rsid w:val="008B2255"/>
    <w:rsid w:val="008D0376"/>
    <w:rsid w:val="008D1631"/>
    <w:rsid w:val="008F2001"/>
    <w:rsid w:val="00920656"/>
    <w:rsid w:val="0096038A"/>
    <w:rsid w:val="00987F48"/>
    <w:rsid w:val="00AF1A04"/>
    <w:rsid w:val="00B23916"/>
    <w:rsid w:val="00B27179"/>
    <w:rsid w:val="00B329DA"/>
    <w:rsid w:val="00B65DD8"/>
    <w:rsid w:val="00BA484A"/>
    <w:rsid w:val="00C056D3"/>
    <w:rsid w:val="00C34967"/>
    <w:rsid w:val="00C44806"/>
    <w:rsid w:val="00C721A9"/>
    <w:rsid w:val="00C85062"/>
    <w:rsid w:val="00CF534A"/>
    <w:rsid w:val="00CF5517"/>
    <w:rsid w:val="00D77981"/>
    <w:rsid w:val="00D85054"/>
    <w:rsid w:val="00D96130"/>
    <w:rsid w:val="00D96621"/>
    <w:rsid w:val="00DA73E5"/>
    <w:rsid w:val="00DB56D5"/>
    <w:rsid w:val="00E11B38"/>
    <w:rsid w:val="00F11240"/>
    <w:rsid w:val="00F15C46"/>
    <w:rsid w:val="00F718E5"/>
    <w:rsid w:val="00FA17BE"/>
    <w:rsid w:val="00FB73C4"/>
    <w:rsid w:val="0113ADB5"/>
    <w:rsid w:val="02E43FF8"/>
    <w:rsid w:val="0378043D"/>
    <w:rsid w:val="03E12231"/>
    <w:rsid w:val="069D0B9B"/>
    <w:rsid w:val="08A0CBB5"/>
    <w:rsid w:val="08AA5C12"/>
    <w:rsid w:val="092C6B28"/>
    <w:rsid w:val="0AF01C68"/>
    <w:rsid w:val="0B762B50"/>
    <w:rsid w:val="0DAE0760"/>
    <w:rsid w:val="0DC38C05"/>
    <w:rsid w:val="11BB31B8"/>
    <w:rsid w:val="1376A5F6"/>
    <w:rsid w:val="1531AF18"/>
    <w:rsid w:val="1C1C179C"/>
    <w:rsid w:val="21FD35D8"/>
    <w:rsid w:val="2629714D"/>
    <w:rsid w:val="299FB5E9"/>
    <w:rsid w:val="29F45225"/>
    <w:rsid w:val="2BE39867"/>
    <w:rsid w:val="2EAFDD44"/>
    <w:rsid w:val="2FBD465D"/>
    <w:rsid w:val="323DA4B8"/>
    <w:rsid w:val="32AF6F70"/>
    <w:rsid w:val="3991279B"/>
    <w:rsid w:val="3F72B1E9"/>
    <w:rsid w:val="4104BA85"/>
    <w:rsid w:val="431B8AFD"/>
    <w:rsid w:val="4A49ACF5"/>
    <w:rsid w:val="4B65000B"/>
    <w:rsid w:val="4C56810E"/>
    <w:rsid w:val="4CC05CEA"/>
    <w:rsid w:val="4F497AAE"/>
    <w:rsid w:val="4F821421"/>
    <w:rsid w:val="533A298D"/>
    <w:rsid w:val="56022F52"/>
    <w:rsid w:val="56CD2AEF"/>
    <w:rsid w:val="5782AE14"/>
    <w:rsid w:val="57A0FCAF"/>
    <w:rsid w:val="586AEE7A"/>
    <w:rsid w:val="5EF1C38D"/>
    <w:rsid w:val="61737AFF"/>
    <w:rsid w:val="62434E2F"/>
    <w:rsid w:val="63B796CA"/>
    <w:rsid w:val="6564FBD0"/>
    <w:rsid w:val="66A0713A"/>
    <w:rsid w:val="6D24162F"/>
    <w:rsid w:val="6D8093EB"/>
    <w:rsid w:val="6F7BA76D"/>
    <w:rsid w:val="718A1B47"/>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D77981"/>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7981"/>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f6b0d6b2723b0d67a6a4fceb695d2a5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0a58e71f53db6d853f3859b102d0e6"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2.xml><?xml version="1.0" encoding="utf-8"?>
<ds:datastoreItem xmlns:ds="http://schemas.openxmlformats.org/officeDocument/2006/customXml" ds:itemID="{AAD1009D-080C-4BEA-A0DB-2D174117F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FY2026 FC 0589 Board Package</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0718 Board Package</dc:title>
  <dc:creator>DESE</dc:creator>
  <cp:lastModifiedBy>Zou, Dong (EOE)</cp:lastModifiedBy>
  <cp:revision>26</cp:revision>
  <cp:lastPrinted>2001-07-23T18:06:00Z</cp:lastPrinted>
  <dcterms:created xsi:type="dcterms:W3CDTF">2025-05-08T17:20:00Z</dcterms:created>
  <dcterms:modified xsi:type="dcterms:W3CDTF">2026-01-12T23:21:00Z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12 2026 12:00AM</vt:lpwstr>
  </property>
</Properties>
</file>