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86A46" w14:textId="77777777" w:rsidR="00941C28" w:rsidRDefault="00941C28" w:rsidP="002D3091">
      <w:pPr>
        <w:spacing w:after="0"/>
        <w:jc w:val="center"/>
        <w:rPr>
          <w:rFonts w:ascii="Arial Narrow" w:hAnsi="Arial Narrow"/>
          <w:color w:val="215E99" w:themeColor="text2" w:themeTint="BF"/>
          <w:sz w:val="72"/>
          <w:szCs w:val="72"/>
        </w:rPr>
      </w:pPr>
    </w:p>
    <w:p w14:paraId="16E169B5" w14:textId="05FBA512" w:rsidR="00171DDD" w:rsidRPr="003151B7" w:rsidRDefault="00AC21E9" w:rsidP="002D3091">
      <w:pPr>
        <w:spacing w:after="0"/>
        <w:jc w:val="center"/>
        <w:rPr>
          <w:rFonts w:ascii="Arial Narrow" w:hAnsi="Arial Narrow"/>
          <w:color w:val="215E99" w:themeColor="text2" w:themeTint="BF"/>
          <w:sz w:val="72"/>
          <w:szCs w:val="72"/>
        </w:rPr>
      </w:pPr>
      <w:r w:rsidRPr="003151B7">
        <w:rPr>
          <w:rFonts w:ascii="Arial Narrow" w:hAnsi="Arial Narrow"/>
          <w:color w:val="215E99" w:themeColor="text2" w:themeTint="BF"/>
          <w:sz w:val="72"/>
          <w:szCs w:val="72"/>
        </w:rPr>
        <w:t>FY27</w:t>
      </w:r>
      <w:r w:rsidR="00B32C93" w:rsidRPr="003151B7">
        <w:rPr>
          <w:rFonts w:ascii="Arial Narrow" w:hAnsi="Arial Narrow"/>
          <w:color w:val="215E99" w:themeColor="text2" w:themeTint="BF"/>
          <w:sz w:val="72"/>
          <w:szCs w:val="72"/>
        </w:rPr>
        <w:t>-FY28 Massachusetts</w:t>
      </w:r>
      <w:r w:rsidR="00056016" w:rsidRPr="003151B7">
        <w:rPr>
          <w:rFonts w:ascii="Arial Narrow" w:hAnsi="Arial Narrow"/>
          <w:color w:val="215E99" w:themeColor="text2" w:themeTint="BF"/>
          <w:sz w:val="72"/>
          <w:szCs w:val="72"/>
        </w:rPr>
        <w:t xml:space="preserve"> </w:t>
      </w:r>
      <w:r w:rsidR="00171DDD" w:rsidRPr="003151B7">
        <w:rPr>
          <w:rFonts w:ascii="Arial Narrow" w:hAnsi="Arial Narrow"/>
          <w:color w:val="215E99" w:themeColor="text2" w:themeTint="BF"/>
          <w:sz w:val="72"/>
          <w:szCs w:val="72"/>
        </w:rPr>
        <w:t>Fair Share Adult English for Speakers of Other Languages</w:t>
      </w:r>
    </w:p>
    <w:p w14:paraId="556259C7" w14:textId="0A7AFA00" w:rsidR="00AA68A3" w:rsidRPr="003151B7" w:rsidRDefault="00165EF5" w:rsidP="002D3091">
      <w:pPr>
        <w:spacing w:after="0"/>
        <w:jc w:val="center"/>
        <w:rPr>
          <w:rFonts w:ascii="Arial Narrow" w:hAnsi="Arial Narrow"/>
          <w:color w:val="215E99" w:themeColor="text2" w:themeTint="BF"/>
          <w:sz w:val="72"/>
          <w:szCs w:val="72"/>
        </w:rPr>
      </w:pPr>
      <w:r w:rsidRPr="003151B7">
        <w:rPr>
          <w:rFonts w:ascii="Arial Narrow" w:hAnsi="Arial Narrow"/>
          <w:color w:val="215E99" w:themeColor="text2" w:themeTint="BF"/>
          <w:sz w:val="72"/>
          <w:szCs w:val="72"/>
        </w:rPr>
        <w:t>(</w:t>
      </w:r>
      <w:r w:rsidR="00AA68A3" w:rsidRPr="003151B7">
        <w:rPr>
          <w:rFonts w:ascii="Arial Narrow" w:hAnsi="Arial Narrow"/>
          <w:color w:val="215E99" w:themeColor="text2" w:themeTint="BF"/>
          <w:sz w:val="72"/>
          <w:szCs w:val="72"/>
        </w:rPr>
        <w:t>ESOL</w:t>
      </w:r>
      <w:r w:rsidRPr="003151B7">
        <w:rPr>
          <w:rFonts w:ascii="Arial Narrow" w:hAnsi="Arial Narrow"/>
          <w:color w:val="215E99" w:themeColor="text2" w:themeTint="BF"/>
          <w:sz w:val="72"/>
          <w:szCs w:val="72"/>
        </w:rPr>
        <w:t>)</w:t>
      </w:r>
      <w:r w:rsidR="00F91238" w:rsidRPr="003151B7">
        <w:rPr>
          <w:rFonts w:ascii="Arial Narrow" w:hAnsi="Arial Narrow"/>
          <w:color w:val="215E99" w:themeColor="text2" w:themeTint="BF"/>
          <w:sz w:val="72"/>
          <w:szCs w:val="72"/>
        </w:rPr>
        <w:t xml:space="preserve"> Services</w:t>
      </w:r>
      <w:r w:rsidR="00F70FB9" w:rsidRPr="003151B7">
        <w:rPr>
          <w:rFonts w:ascii="Arial Narrow" w:hAnsi="Arial Narrow"/>
          <w:color w:val="215E99" w:themeColor="text2" w:themeTint="BF"/>
          <w:sz w:val="72"/>
          <w:szCs w:val="72"/>
        </w:rPr>
        <w:t xml:space="preserve"> Policies</w:t>
      </w:r>
    </w:p>
    <w:p w14:paraId="657D8E7C" w14:textId="1BDEA31D" w:rsidR="00B15FC2" w:rsidRPr="002D3091" w:rsidRDefault="000B60F2" w:rsidP="006B7AE3">
      <w:pPr>
        <w:pStyle w:val="Title"/>
        <w:jc w:val="center"/>
        <w:rPr>
          <w:rFonts w:ascii="Arial Narrow" w:hAnsi="Arial Narrow"/>
          <w:sz w:val="60"/>
          <w:szCs w:val="60"/>
        </w:rPr>
      </w:pPr>
      <w:r>
        <w:rPr>
          <w:rFonts w:ascii="Arial Narrow" w:hAnsi="Arial Narrow"/>
          <w:sz w:val="60"/>
          <w:szCs w:val="60"/>
        </w:rPr>
        <w:t xml:space="preserve"> </w:t>
      </w:r>
    </w:p>
    <w:p w14:paraId="4628F7AE" w14:textId="77777777" w:rsidR="002E1001" w:rsidRDefault="002E1001" w:rsidP="002E1001">
      <w:pPr>
        <w:jc w:val="center"/>
      </w:pPr>
    </w:p>
    <w:p w14:paraId="4E9B56EE" w14:textId="77777777" w:rsidR="000B60F2" w:rsidRDefault="000B60F2" w:rsidP="007F4A2B"/>
    <w:p w14:paraId="3A84E6AF" w14:textId="77777777" w:rsidR="00813FAC" w:rsidRDefault="00813FAC" w:rsidP="002D3091"/>
    <w:p w14:paraId="6C2DD4DF" w14:textId="230EA4A8" w:rsidR="00813FAC" w:rsidRDefault="00665E09" w:rsidP="002E1001">
      <w:pPr>
        <w:jc w:val="center"/>
      </w:pPr>
      <w:r>
        <w:rPr>
          <w:b/>
          <w:bCs/>
          <w:noProof/>
          <w:color w:val="000000"/>
          <w:sz w:val="28"/>
          <w:szCs w:val="28"/>
        </w:rPr>
        <w:drawing>
          <wp:inline distT="0" distB="0" distL="0" distR="0" wp14:anchorId="03CF7B08" wp14:editId="361DC925">
            <wp:extent cx="4736592" cy="1353312"/>
            <wp:effectExtent l="0" t="0" r="0" b="0"/>
            <wp:docPr id="1699963469" name="Picture 1" descr="To the left: Public Adult Education of MA: Live to Learn with green A-shaped logo&#10;To the right: Department of Elementary and Secondary Education blue and orange dese logo with name of Adult and Community Learning Services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63469" name="Picture 1" descr="To the left: Public Adult Education of MA: Live to Learn with green A-shaped logo&#10;To the right: Department of Elementary and Secondary Education blue and orange dese logo with name of Adult and Community Learning Services uni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36592" cy="1353312"/>
                    </a:xfrm>
                    <a:prstGeom prst="rect">
                      <a:avLst/>
                    </a:prstGeom>
                  </pic:spPr>
                </pic:pic>
              </a:graphicData>
            </a:graphic>
          </wp:inline>
        </w:drawing>
      </w:r>
    </w:p>
    <w:p w14:paraId="5FB74BEF" w14:textId="63F8FF61" w:rsidR="002E1001" w:rsidRDefault="002E1001" w:rsidP="002E1001">
      <w:pPr>
        <w:jc w:val="center"/>
      </w:pPr>
    </w:p>
    <w:p w14:paraId="1DA94267" w14:textId="77777777" w:rsidR="002E1001" w:rsidRPr="00941C28" w:rsidRDefault="002E1001" w:rsidP="002E1001">
      <w:pPr>
        <w:spacing w:before="240"/>
        <w:jc w:val="center"/>
        <w:rPr>
          <w:rStyle w:val="Hyperlink"/>
          <w:rFonts w:eastAsia="Batang"/>
          <w:b/>
        </w:rPr>
      </w:pPr>
      <w:r w:rsidRPr="00941C28">
        <w:rPr>
          <w:rFonts w:ascii="Arial Narrow" w:eastAsia="Batang" w:hAnsi="Arial Narrow" w:cs="Arial"/>
          <w:b/>
          <w:bCs/>
          <w:color w:val="003399"/>
        </w:rPr>
        <w:fldChar w:fldCharType="begin"/>
      </w:r>
      <w:r w:rsidRPr="00941C28">
        <w:rPr>
          <w:rFonts w:ascii="Arial Narrow" w:eastAsia="Batang" w:hAnsi="Arial Narrow" w:cs="Arial"/>
          <w:b/>
          <w:bCs/>
          <w:color w:val="003399"/>
        </w:rPr>
        <w:instrText>HYPERLINK "https://www.doe.mass.edu/acls"</w:instrText>
      </w:r>
      <w:r w:rsidRPr="00941C28">
        <w:rPr>
          <w:rFonts w:ascii="Arial Narrow" w:eastAsia="Batang" w:hAnsi="Arial Narrow" w:cs="Arial"/>
          <w:b/>
          <w:bCs/>
          <w:color w:val="003399"/>
        </w:rPr>
      </w:r>
      <w:r w:rsidRPr="00941C28">
        <w:rPr>
          <w:rFonts w:ascii="Arial Narrow" w:eastAsia="Batang" w:hAnsi="Arial Narrow" w:cs="Arial"/>
          <w:b/>
          <w:bCs/>
          <w:color w:val="003399"/>
        </w:rPr>
        <w:fldChar w:fldCharType="separate"/>
      </w:r>
      <w:r w:rsidRPr="00941C28">
        <w:rPr>
          <w:rStyle w:val="Hyperlink"/>
          <w:rFonts w:ascii="Arial Narrow" w:eastAsia="Batang" w:hAnsi="Arial Narrow" w:cs="Arial"/>
          <w:b/>
          <w:bCs/>
        </w:rPr>
        <w:t>Adult and Community Learning Services</w:t>
      </w:r>
    </w:p>
    <w:p w14:paraId="016537DF" w14:textId="77777777" w:rsidR="002E1001" w:rsidRPr="00941C28" w:rsidRDefault="002E1001" w:rsidP="002E1001">
      <w:pPr>
        <w:jc w:val="center"/>
        <w:rPr>
          <w:rFonts w:ascii="Arial Narrow" w:eastAsia="Batang" w:hAnsi="Arial Narrow" w:cs="Arial"/>
          <w:b/>
          <w:bCs/>
          <w:color w:val="003399"/>
        </w:rPr>
      </w:pPr>
      <w:r w:rsidRPr="00941C28">
        <w:rPr>
          <w:rFonts w:ascii="Arial Narrow" w:eastAsia="Batang" w:hAnsi="Arial Narrow" w:cs="Arial"/>
          <w:b/>
          <w:bCs/>
          <w:color w:val="003399"/>
        </w:rPr>
        <w:t>Department of Elementary and Secondary Education (DESE)</w:t>
      </w:r>
    </w:p>
    <w:p w14:paraId="231D204F" w14:textId="77777777" w:rsidR="002E1001" w:rsidRPr="00941C28" w:rsidRDefault="002E1001" w:rsidP="002E1001">
      <w:pPr>
        <w:jc w:val="center"/>
        <w:rPr>
          <w:rFonts w:ascii="Arial Narrow" w:eastAsia="Batang" w:hAnsi="Arial Narrow" w:cs="Arial"/>
          <w:b/>
          <w:bCs/>
          <w:color w:val="003399"/>
        </w:rPr>
      </w:pPr>
      <w:r w:rsidRPr="00941C28">
        <w:rPr>
          <w:rFonts w:ascii="Arial Narrow" w:eastAsia="Batang" w:hAnsi="Arial Narrow" w:cs="Arial"/>
          <w:b/>
          <w:color w:val="003399"/>
        </w:rPr>
        <w:fldChar w:fldCharType="end"/>
      </w:r>
      <w:r w:rsidRPr="00941C28">
        <w:rPr>
          <w:rFonts w:ascii="Arial Narrow" w:eastAsia="Batang" w:hAnsi="Arial Narrow" w:cs="Arial"/>
          <w:b/>
          <w:bCs/>
          <w:color w:val="003399"/>
        </w:rPr>
        <w:t>135 Santilli Highway</w:t>
      </w:r>
      <w:r w:rsidRPr="00941C28">
        <w:rPr>
          <w:rFonts w:ascii="Arial Narrow" w:eastAsia="Batang" w:hAnsi="Arial Narrow" w:cs="Arial"/>
          <w:b/>
          <w:bCs/>
          <w:color w:val="003399"/>
        </w:rPr>
        <w:br/>
        <w:t>Everett, MA 02149</w:t>
      </w:r>
    </w:p>
    <w:p w14:paraId="4D8921A4" w14:textId="77777777" w:rsidR="002E1001" w:rsidRPr="00941C28" w:rsidRDefault="002E1001" w:rsidP="002E1001">
      <w:pPr>
        <w:spacing w:line="259" w:lineRule="auto"/>
        <w:jc w:val="center"/>
        <w:rPr>
          <w:rFonts w:ascii="Arial Narrow" w:eastAsia="Batang" w:hAnsi="Arial Narrow" w:cs="Arial"/>
          <w:b/>
          <w:color w:val="003399"/>
        </w:rPr>
      </w:pPr>
    </w:p>
    <w:p w14:paraId="20DC758C" w14:textId="373A37B2" w:rsidR="00484527" w:rsidRPr="00941C28" w:rsidRDefault="002E1001" w:rsidP="002E1001">
      <w:pPr>
        <w:spacing w:line="259" w:lineRule="auto"/>
        <w:jc w:val="center"/>
        <w:rPr>
          <w:rFonts w:ascii="Arial Narrow" w:eastAsia="Batang" w:hAnsi="Arial Narrow" w:cs="Arial"/>
          <w:b/>
          <w:bCs/>
          <w:color w:val="003399"/>
        </w:rPr>
      </w:pPr>
      <w:r w:rsidRPr="00941C28">
        <w:rPr>
          <w:rFonts w:ascii="Arial Narrow" w:eastAsia="Batang" w:hAnsi="Arial Narrow" w:cs="Arial"/>
          <w:b/>
          <w:bCs/>
          <w:color w:val="003399"/>
        </w:rPr>
        <w:t>July 2027</w:t>
      </w:r>
    </w:p>
    <w:p w14:paraId="59AC0784" w14:textId="55B053D4" w:rsidR="002E1001" w:rsidRDefault="00484527" w:rsidP="00484527">
      <w:pPr>
        <w:rPr>
          <w:rFonts w:eastAsia="Batang"/>
        </w:rPr>
      </w:pPr>
      <w:r>
        <w:rPr>
          <w:rFonts w:ascii="Arial Narrow" w:eastAsia="Batang" w:hAnsi="Arial Narrow" w:cs="Arial"/>
          <w:b/>
          <w:bCs/>
          <w:color w:val="003399"/>
          <w:sz w:val="32"/>
          <w:szCs w:val="32"/>
        </w:rPr>
        <w:br w:type="page"/>
      </w:r>
      <w:r w:rsidR="002E1001">
        <w:rPr>
          <w:rFonts w:eastAsia="Batang"/>
        </w:rPr>
        <w:lastRenderedPageBreak/>
        <w:t>Overview</w:t>
      </w:r>
    </w:p>
    <w:p w14:paraId="35DB9D36" w14:textId="21D63503" w:rsidR="002E1001" w:rsidRPr="001900D6" w:rsidRDefault="002E1001" w:rsidP="002E1001">
      <w:pPr>
        <w:rPr>
          <w:rFonts w:ascii="Aptos" w:eastAsiaTheme="minorEastAsia" w:hAnsi="Aptos"/>
          <w:color w:val="222222"/>
          <w:sz w:val="22"/>
          <w:szCs w:val="22"/>
        </w:rPr>
      </w:pPr>
      <w:r w:rsidRPr="6028EA3C">
        <w:rPr>
          <w:rFonts w:ascii="Aptos" w:eastAsiaTheme="minorEastAsia" w:hAnsi="Aptos"/>
          <w:color w:val="222222"/>
          <w:sz w:val="22"/>
          <w:szCs w:val="22"/>
        </w:rPr>
        <w:t xml:space="preserve">The policies </w:t>
      </w:r>
      <w:r w:rsidR="00A3563C">
        <w:rPr>
          <w:rFonts w:ascii="Aptos" w:eastAsiaTheme="minorEastAsia" w:hAnsi="Aptos"/>
          <w:color w:val="222222"/>
          <w:sz w:val="22"/>
          <w:szCs w:val="22"/>
        </w:rPr>
        <w:t>that follow</w:t>
      </w:r>
      <w:r w:rsidRPr="6028EA3C">
        <w:rPr>
          <w:rFonts w:ascii="Aptos" w:eastAsiaTheme="minorEastAsia" w:hAnsi="Aptos"/>
          <w:color w:val="222222"/>
          <w:sz w:val="22"/>
          <w:szCs w:val="22"/>
        </w:rPr>
        <w:t xml:space="preserve"> are a subset of the </w:t>
      </w:r>
      <w:hyperlink r:id="rId12">
        <w:r w:rsidRPr="6028EA3C">
          <w:rPr>
            <w:rStyle w:val="Hyperlink"/>
            <w:rFonts w:ascii="Aptos" w:hAnsi="Aptos"/>
            <w:sz w:val="22"/>
            <w:szCs w:val="22"/>
          </w:rPr>
          <w:t>FY24-FY28 Massachusetts Policies for Effective Education in Community Adult Learning Centers (CALCs) and Correctional Institutions (AECIs)</w:t>
        </w:r>
      </w:hyperlink>
      <w:r w:rsidRPr="6028EA3C">
        <w:rPr>
          <w:rFonts w:ascii="Aptos" w:eastAsiaTheme="minorEastAsia" w:hAnsi="Aptos"/>
          <w:color w:val="222222"/>
          <w:sz w:val="22"/>
          <w:szCs w:val="22"/>
        </w:rPr>
        <w:t xml:space="preserve">. </w:t>
      </w:r>
    </w:p>
    <w:p w14:paraId="26B1B229" w14:textId="626A0C12" w:rsidR="00224FA4" w:rsidRPr="001900D6" w:rsidRDefault="000C69CF" w:rsidP="00224FA4">
      <w:pPr>
        <w:rPr>
          <w:rFonts w:ascii="Aptos" w:eastAsiaTheme="minorEastAsia" w:hAnsi="Aptos"/>
          <w:color w:val="222222"/>
          <w:sz w:val="22"/>
          <w:szCs w:val="22"/>
        </w:rPr>
      </w:pPr>
      <w:r>
        <w:rPr>
          <w:rFonts w:ascii="Aptos" w:eastAsiaTheme="minorEastAsia" w:hAnsi="Aptos"/>
          <w:color w:val="222222"/>
          <w:sz w:val="22"/>
          <w:szCs w:val="22"/>
        </w:rPr>
        <w:t xml:space="preserve">Applicants for </w:t>
      </w:r>
      <w:r w:rsidR="00224FA4" w:rsidRPr="001900D6">
        <w:rPr>
          <w:rFonts w:ascii="Aptos" w:eastAsiaTheme="minorEastAsia" w:hAnsi="Aptos"/>
          <w:color w:val="222222"/>
          <w:sz w:val="22"/>
          <w:szCs w:val="22"/>
        </w:rPr>
        <w:t xml:space="preserve">Fair Share </w:t>
      </w:r>
      <w:r>
        <w:rPr>
          <w:rFonts w:ascii="Aptos" w:eastAsiaTheme="minorEastAsia" w:hAnsi="Aptos"/>
          <w:color w:val="222222"/>
          <w:sz w:val="22"/>
          <w:szCs w:val="22"/>
        </w:rPr>
        <w:t>grants</w:t>
      </w:r>
      <w:r w:rsidR="00224FA4" w:rsidRPr="001900D6">
        <w:rPr>
          <w:rFonts w:ascii="Aptos" w:eastAsiaTheme="minorEastAsia" w:hAnsi="Aptos"/>
          <w:color w:val="222222"/>
          <w:sz w:val="22"/>
          <w:szCs w:val="22"/>
        </w:rPr>
        <w:t xml:space="preserve"> should propose services and budgets that include the staff and resources necessary to meet, or develop the capacity to meet, the following policies.</w:t>
      </w:r>
    </w:p>
    <w:p w14:paraId="1B0918F3" w14:textId="5C337FCF" w:rsidR="002E1001" w:rsidRPr="0001063D" w:rsidRDefault="002E1001" w:rsidP="002E1001">
      <w:pPr>
        <w:rPr>
          <w:rFonts w:ascii="Aptos" w:eastAsiaTheme="minorEastAsia" w:hAnsi="Aptos"/>
          <w:color w:val="222222"/>
          <w:sz w:val="22"/>
          <w:szCs w:val="22"/>
        </w:rPr>
      </w:pPr>
      <w:r w:rsidRPr="001900D6">
        <w:rPr>
          <w:rFonts w:ascii="Aptos" w:eastAsiaTheme="minorEastAsia" w:hAnsi="Aptos"/>
          <w:color w:val="222222"/>
          <w:sz w:val="22"/>
          <w:szCs w:val="22"/>
        </w:rPr>
        <w:t>Successful Fair Share grant applicants will be required to meet</w:t>
      </w:r>
      <w:r>
        <w:rPr>
          <w:rFonts w:ascii="Aptos" w:eastAsiaTheme="minorEastAsia" w:hAnsi="Aptos"/>
          <w:color w:val="222222"/>
          <w:sz w:val="22"/>
          <w:szCs w:val="22"/>
        </w:rPr>
        <w:t xml:space="preserve">, </w:t>
      </w:r>
      <w:r w:rsidRPr="001900D6">
        <w:rPr>
          <w:rFonts w:ascii="Aptos" w:eastAsiaTheme="minorEastAsia" w:hAnsi="Aptos"/>
          <w:color w:val="222222"/>
          <w:sz w:val="22"/>
          <w:szCs w:val="22"/>
        </w:rPr>
        <w:t xml:space="preserve">or make significant progress toward </w:t>
      </w:r>
      <w:r w:rsidRPr="0001063D">
        <w:rPr>
          <w:rFonts w:ascii="Aptos" w:eastAsiaTheme="minorEastAsia" w:hAnsi="Aptos"/>
          <w:color w:val="222222"/>
          <w:sz w:val="22"/>
          <w:szCs w:val="22"/>
        </w:rPr>
        <w:t>meeting, the policies below during the grant period.</w:t>
      </w:r>
    </w:p>
    <w:p w14:paraId="495476E1" w14:textId="6DD546D4" w:rsidR="00D90229" w:rsidRPr="00D90229" w:rsidRDefault="0001063D" w:rsidP="0001063D">
      <w:pPr>
        <w:rPr>
          <w:sz w:val="22"/>
          <w:szCs w:val="22"/>
        </w:rPr>
      </w:pPr>
      <w:hyperlink r:id="rId13">
        <w:r w:rsidRPr="00D90229">
          <w:rPr>
            <w:rStyle w:val="Hyperlink"/>
            <w:sz w:val="22"/>
            <w:szCs w:val="22"/>
          </w:rPr>
          <w:t>Public adult education of MA of MA</w:t>
        </w:r>
      </w:hyperlink>
      <w:r w:rsidRPr="00D90229">
        <w:rPr>
          <w:color w:val="000000" w:themeColor="text1"/>
          <w:sz w:val="22"/>
          <w:szCs w:val="22"/>
        </w:rPr>
        <w:t xml:space="preserve"> (PAE) is here to support enterprising adults looking to improve their lives through learning. For those striving for a better future, public adult education of MA is the bridge between living</w:t>
      </w:r>
      <w:r w:rsidRPr="00D90229">
        <w:rPr>
          <w:sz w:val="22"/>
          <w:szCs w:val="22"/>
        </w:rPr>
        <w:t xml:space="preserve"> and learning. Our programs provide students without high school degrees or with limited English proficiency with the skills, support, and credentials they need to further their education, seize opportunities, and build the lives they want to lead. As the steward of the public adult education system,</w:t>
      </w:r>
      <w:r w:rsidRPr="00D90229">
        <w:rPr>
          <w:color w:val="323130"/>
          <w:sz w:val="22"/>
          <w:szCs w:val="22"/>
        </w:rPr>
        <w:t xml:space="preserve"> </w:t>
      </w:r>
      <w:hyperlink r:id="rId14">
        <w:r w:rsidRPr="00D90229">
          <w:rPr>
            <w:rStyle w:val="Hyperlink"/>
            <w:sz w:val="22"/>
            <w:szCs w:val="22"/>
          </w:rPr>
          <w:t>Adult and Community Learning Services</w:t>
        </w:r>
      </w:hyperlink>
      <w:r w:rsidRPr="00D90229">
        <w:rPr>
          <w:rStyle w:val="FootnoteReference"/>
          <w:color w:val="323130"/>
          <w:sz w:val="22"/>
          <w:szCs w:val="22"/>
        </w:rPr>
        <w:footnoteReference w:id="1"/>
      </w:r>
      <w:r w:rsidRPr="00D90229">
        <w:rPr>
          <w:color w:val="323130"/>
          <w:sz w:val="22"/>
          <w:szCs w:val="22"/>
        </w:rPr>
        <w:t xml:space="preserve"> </w:t>
      </w:r>
      <w:r w:rsidRPr="00D90229">
        <w:rPr>
          <w:sz w:val="22"/>
          <w:szCs w:val="22"/>
        </w:rPr>
        <w:t>(ACLS) works to build partnerships, set professional standards, and direct state and federal funding, all to ensure that every adult who wants a great foundational education can get one.</w:t>
      </w:r>
    </w:p>
    <w:p w14:paraId="6063CEA6" w14:textId="77777777" w:rsidR="002E1001" w:rsidRPr="001900D6" w:rsidRDefault="002E1001" w:rsidP="002E1001">
      <w:pPr>
        <w:rPr>
          <w:rFonts w:ascii="Aptos" w:hAnsi="Aptos"/>
          <w:sz w:val="22"/>
          <w:szCs w:val="22"/>
        </w:rPr>
      </w:pPr>
      <w:r w:rsidRPr="001900D6">
        <w:rPr>
          <w:rFonts w:ascii="Aptos" w:eastAsia="Segoe UI" w:hAnsi="Aptos"/>
          <w:sz w:val="22"/>
          <w:szCs w:val="22"/>
        </w:rPr>
        <w:t xml:space="preserve">Our programs help students overcome systemic barriers and </w:t>
      </w:r>
      <w:r w:rsidRPr="001900D6">
        <w:rPr>
          <w:rFonts w:ascii="Aptos" w:hAnsi="Aptos"/>
          <w:sz w:val="22"/>
          <w:szCs w:val="22"/>
        </w:rPr>
        <w:t xml:space="preserve">open </w:t>
      </w:r>
      <w:r w:rsidRPr="001900D6">
        <w:rPr>
          <w:rFonts w:ascii="Aptos" w:eastAsia="Segoe UI" w:hAnsi="Aptos"/>
          <w:sz w:val="22"/>
          <w:szCs w:val="22"/>
        </w:rPr>
        <w:t xml:space="preserve">access </w:t>
      </w:r>
      <w:r w:rsidRPr="001900D6">
        <w:rPr>
          <w:rFonts w:ascii="Aptos" w:hAnsi="Aptos"/>
          <w:sz w:val="22"/>
          <w:szCs w:val="22"/>
        </w:rPr>
        <w:t xml:space="preserve">to </w:t>
      </w:r>
      <w:r w:rsidRPr="001900D6">
        <w:rPr>
          <w:rFonts w:ascii="Aptos" w:eastAsia="Segoe UI" w:hAnsi="Aptos"/>
          <w:sz w:val="22"/>
          <w:szCs w:val="22"/>
        </w:rPr>
        <w:t>college education, vocational careers, and higher earnings</w:t>
      </w:r>
      <w:r w:rsidRPr="001900D6">
        <w:rPr>
          <w:rFonts w:ascii="Aptos" w:hAnsi="Aptos"/>
          <w:sz w:val="22"/>
          <w:szCs w:val="22"/>
        </w:rPr>
        <w:t>.</w:t>
      </w:r>
    </w:p>
    <w:p w14:paraId="76BC032F" w14:textId="1300D5F1" w:rsidR="002E1001" w:rsidRDefault="002E1001" w:rsidP="002E1001">
      <w:pPr>
        <w:pStyle w:val="Heading2"/>
      </w:pPr>
      <w:r>
        <w:t>Vision</w:t>
      </w:r>
    </w:p>
    <w:p w14:paraId="38AA7DA0" w14:textId="177AD3F9" w:rsidR="002E1001" w:rsidRPr="001900D6" w:rsidRDefault="002E1001" w:rsidP="002E1001">
      <w:pPr>
        <w:rPr>
          <w:rFonts w:ascii="Aptos" w:hAnsi="Aptos"/>
          <w:sz w:val="22"/>
          <w:szCs w:val="22"/>
        </w:rPr>
      </w:pPr>
      <w:r w:rsidRPr="001900D6">
        <w:rPr>
          <w:rFonts w:ascii="Aptos" w:hAnsi="Aptos"/>
          <w:sz w:val="22"/>
          <w:szCs w:val="22"/>
        </w:rPr>
        <w:t>We envision a future where every adult in Massachusetts can gain the knowledge, skills, and support they need to build the life they aspire to live.</w:t>
      </w:r>
    </w:p>
    <w:p w14:paraId="7FA2322C" w14:textId="77777777" w:rsidR="002E1001" w:rsidRPr="001900D6" w:rsidRDefault="002E1001" w:rsidP="002E1001">
      <w:pPr>
        <w:jc w:val="right"/>
        <w:rPr>
          <w:rFonts w:ascii="Aptos" w:hAnsi="Aptos"/>
          <w:sz w:val="22"/>
          <w:szCs w:val="22"/>
        </w:rPr>
      </w:pPr>
      <w:r w:rsidRPr="001900D6">
        <w:rPr>
          <w:rFonts w:ascii="Aptos" w:hAnsi="Aptos"/>
          <w:sz w:val="22"/>
          <w:szCs w:val="22"/>
        </w:rPr>
        <w:t>Adopted 2023</w:t>
      </w:r>
    </w:p>
    <w:p w14:paraId="2D3119CE" w14:textId="3AE60DF3" w:rsidR="002E1001" w:rsidRDefault="002E1001" w:rsidP="002E1001">
      <w:pPr>
        <w:pStyle w:val="Heading2"/>
      </w:pPr>
      <w:r>
        <w:t>Mission</w:t>
      </w:r>
    </w:p>
    <w:p w14:paraId="297788BB" w14:textId="77777777" w:rsidR="002E1001" w:rsidRPr="001900D6" w:rsidRDefault="002E1001" w:rsidP="002E1001">
      <w:pPr>
        <w:rPr>
          <w:rFonts w:ascii="Aptos" w:hAnsi="Aptos"/>
          <w:color w:val="000000" w:themeColor="text1"/>
          <w:sz w:val="22"/>
          <w:szCs w:val="22"/>
        </w:rPr>
      </w:pPr>
      <w:r w:rsidRPr="001900D6">
        <w:rPr>
          <w:rFonts w:ascii="Aptos" w:eastAsia="Calibri" w:hAnsi="Aptos"/>
          <w:sz w:val="22"/>
          <w:szCs w:val="22"/>
        </w:rPr>
        <w:t>Working with providers and partners, ACLS stewards a public adult education system that puts no-cost quality instruction, advising, job training, and career pathways within reach of all adult students in Massachusetts.</w:t>
      </w:r>
    </w:p>
    <w:p w14:paraId="147942E2" w14:textId="69C54287" w:rsidR="002E1001" w:rsidRDefault="002E1001" w:rsidP="002E1001">
      <w:pPr>
        <w:jc w:val="right"/>
        <w:rPr>
          <w:rFonts w:ascii="Aptos" w:eastAsia="Times New Roman" w:hAnsi="Aptos" w:cs="Times New Roman"/>
          <w:sz w:val="22"/>
          <w:szCs w:val="22"/>
        </w:rPr>
      </w:pPr>
      <w:r w:rsidRPr="001900D6">
        <w:rPr>
          <w:rFonts w:ascii="Aptos" w:eastAsia="Times New Roman" w:hAnsi="Aptos" w:cs="Times New Roman"/>
          <w:sz w:val="22"/>
          <w:szCs w:val="22"/>
        </w:rPr>
        <w:t xml:space="preserve">     </w:t>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hAnsi="Aptos"/>
          <w:sz w:val="22"/>
          <w:szCs w:val="22"/>
        </w:rPr>
        <w:tab/>
      </w:r>
      <w:r w:rsidRPr="001900D6">
        <w:rPr>
          <w:rFonts w:ascii="Aptos" w:eastAsia="Times New Roman" w:hAnsi="Aptos" w:cs="Times New Roman"/>
          <w:sz w:val="22"/>
          <w:szCs w:val="22"/>
        </w:rPr>
        <w:t>Adopted 2023</w:t>
      </w:r>
    </w:p>
    <w:p w14:paraId="2C1E01F9" w14:textId="29503E12" w:rsidR="002E1001" w:rsidRDefault="002E1001" w:rsidP="002E1001">
      <w:pPr>
        <w:pStyle w:val="Heading2"/>
      </w:pPr>
      <w:r>
        <w:t>Core Principles</w:t>
      </w:r>
    </w:p>
    <w:p w14:paraId="124DD135" w14:textId="77777777" w:rsidR="002E1001" w:rsidRPr="001900D6" w:rsidRDefault="002E1001" w:rsidP="002E1001">
      <w:pPr>
        <w:numPr>
          <w:ilvl w:val="0"/>
          <w:numId w:val="1"/>
        </w:numPr>
        <w:spacing w:after="0" w:line="240" w:lineRule="auto"/>
        <w:textAlignment w:val="baseline"/>
        <w:rPr>
          <w:rFonts w:ascii="Aptos" w:hAnsi="Aptos"/>
          <w:sz w:val="22"/>
          <w:szCs w:val="22"/>
        </w:rPr>
      </w:pPr>
      <w:r w:rsidRPr="001900D6">
        <w:rPr>
          <w:rFonts w:ascii="Aptos" w:hAnsi="Aptos"/>
          <w:b/>
          <w:bCs/>
          <w:sz w:val="22"/>
          <w:szCs w:val="22"/>
        </w:rPr>
        <w:t>Learners first:</w:t>
      </w:r>
      <w:r w:rsidRPr="001900D6">
        <w:rPr>
          <w:rFonts w:ascii="Aptos" w:hAnsi="Aptos"/>
          <w:sz w:val="22"/>
          <w:szCs w:val="22"/>
        </w:rPr>
        <w:t xml:space="preserve"> Our public adult education system is defined by the grit and determination of the adult students we serve.</w:t>
      </w:r>
      <w:r w:rsidRPr="001900D6" w:rsidDel="007A39DE">
        <w:rPr>
          <w:rFonts w:ascii="Aptos" w:hAnsi="Aptos"/>
          <w:sz w:val="22"/>
          <w:szCs w:val="22"/>
        </w:rPr>
        <w:t xml:space="preserve"> </w:t>
      </w:r>
      <w:r w:rsidRPr="001900D6" w:rsidDel="00635355">
        <w:rPr>
          <w:rFonts w:ascii="Aptos" w:hAnsi="Aptos"/>
          <w:sz w:val="22"/>
          <w:szCs w:val="22"/>
        </w:rPr>
        <w:t xml:space="preserve">The programs and services are important, but it’s the learners who are our driving purpose – and </w:t>
      </w:r>
      <w:r w:rsidRPr="001900D6" w:rsidDel="007A39DE">
        <w:rPr>
          <w:rFonts w:ascii="Aptos" w:hAnsi="Aptos"/>
          <w:sz w:val="22"/>
          <w:szCs w:val="22"/>
        </w:rPr>
        <w:t xml:space="preserve">we </w:t>
      </w:r>
      <w:r w:rsidRPr="001900D6">
        <w:rPr>
          <w:rFonts w:ascii="Aptos" w:hAnsi="Aptos"/>
          <w:sz w:val="22"/>
          <w:szCs w:val="22"/>
        </w:rPr>
        <w:t>measure our success through theirs. </w:t>
      </w:r>
    </w:p>
    <w:p w14:paraId="4E5FA057" w14:textId="77777777" w:rsidR="002E1001" w:rsidRPr="001900D6" w:rsidRDefault="002E1001" w:rsidP="002E1001">
      <w:pPr>
        <w:numPr>
          <w:ilvl w:val="0"/>
          <w:numId w:val="2"/>
        </w:numPr>
        <w:spacing w:after="0" w:line="240" w:lineRule="auto"/>
        <w:textAlignment w:val="baseline"/>
        <w:rPr>
          <w:rFonts w:ascii="Aptos" w:hAnsi="Aptos"/>
          <w:sz w:val="22"/>
          <w:szCs w:val="22"/>
        </w:rPr>
      </w:pPr>
      <w:r w:rsidRPr="001900D6">
        <w:rPr>
          <w:rFonts w:ascii="Aptos" w:hAnsi="Aptos"/>
          <w:b/>
          <w:bCs/>
          <w:sz w:val="22"/>
          <w:szCs w:val="22"/>
        </w:rPr>
        <w:t>More than a job:</w:t>
      </w:r>
      <w:r w:rsidRPr="001900D6">
        <w:rPr>
          <w:rFonts w:ascii="Aptos" w:hAnsi="Aptos"/>
          <w:sz w:val="22"/>
          <w:szCs w:val="22"/>
        </w:rPr>
        <w:t xml:space="preserve"> For us, public adult education is more than just career development. It’s an opportunity for adult learners to develop interpersonal skills, build confidence, and </w:t>
      </w:r>
      <w:r w:rsidRPr="001900D6">
        <w:rPr>
          <w:rFonts w:ascii="Aptos" w:hAnsi="Aptos"/>
          <w:sz w:val="22"/>
          <w:szCs w:val="22"/>
        </w:rPr>
        <w:lastRenderedPageBreak/>
        <w:t>make the most of their life experience; paving a path for them to make a difference for themselves, their families, and their community. </w:t>
      </w:r>
    </w:p>
    <w:p w14:paraId="45970B63" w14:textId="77777777" w:rsidR="002E1001" w:rsidRPr="001900D6" w:rsidRDefault="002E1001" w:rsidP="002E1001">
      <w:pPr>
        <w:numPr>
          <w:ilvl w:val="0"/>
          <w:numId w:val="2"/>
        </w:numPr>
        <w:spacing w:after="0" w:line="240" w:lineRule="auto"/>
        <w:textAlignment w:val="baseline"/>
        <w:rPr>
          <w:rFonts w:ascii="Aptos" w:hAnsi="Aptos"/>
          <w:sz w:val="22"/>
          <w:szCs w:val="22"/>
        </w:rPr>
      </w:pPr>
      <w:r w:rsidRPr="001900D6">
        <w:rPr>
          <w:rFonts w:ascii="Aptos" w:hAnsi="Aptos"/>
          <w:b/>
          <w:bCs/>
          <w:sz w:val="22"/>
          <w:szCs w:val="22"/>
        </w:rPr>
        <w:t>For the real world:</w:t>
      </w:r>
      <w:r w:rsidRPr="001900D6">
        <w:rPr>
          <w:rFonts w:ascii="Aptos" w:hAnsi="Aptos"/>
          <w:sz w:val="22"/>
          <w:szCs w:val="22"/>
        </w:rPr>
        <w:t xml:space="preserve"> We know that adult learners lead complex lives. That’s why our public adult education system </w:t>
      </w:r>
      <w:r w:rsidRPr="001900D6" w:rsidDel="00F476C3">
        <w:rPr>
          <w:rFonts w:ascii="Aptos" w:hAnsi="Aptos"/>
          <w:sz w:val="22"/>
          <w:szCs w:val="22"/>
        </w:rPr>
        <w:t xml:space="preserve">needs </w:t>
      </w:r>
      <w:r w:rsidRPr="001900D6">
        <w:rPr>
          <w:rFonts w:ascii="Aptos" w:hAnsi="Aptos"/>
          <w:sz w:val="22"/>
          <w:szCs w:val="22"/>
        </w:rPr>
        <w:t xml:space="preserve">to be </w:t>
      </w:r>
      <w:r w:rsidRPr="001900D6" w:rsidDel="00F476C3">
        <w:rPr>
          <w:rFonts w:ascii="Aptos" w:hAnsi="Aptos"/>
          <w:sz w:val="22"/>
          <w:szCs w:val="22"/>
        </w:rPr>
        <w:t xml:space="preserve">the </w:t>
      </w:r>
      <w:r w:rsidRPr="001900D6">
        <w:rPr>
          <w:rFonts w:ascii="Aptos" w:hAnsi="Aptos"/>
          <w:sz w:val="22"/>
          <w:szCs w:val="22"/>
        </w:rPr>
        <w:t>bridge between living and learning. Designed for the real world, our no-cost programs and individualized services provide adults with the flexibility and support they need to succeed. </w:t>
      </w:r>
    </w:p>
    <w:p w14:paraId="4E9CB060" w14:textId="77777777" w:rsidR="002E1001" w:rsidRPr="001900D6" w:rsidRDefault="002E1001" w:rsidP="002E1001">
      <w:pPr>
        <w:numPr>
          <w:ilvl w:val="0"/>
          <w:numId w:val="2"/>
        </w:numPr>
        <w:spacing w:after="0" w:line="240" w:lineRule="auto"/>
        <w:textAlignment w:val="baseline"/>
        <w:rPr>
          <w:rFonts w:ascii="Aptos" w:hAnsi="Aptos"/>
          <w:sz w:val="22"/>
          <w:szCs w:val="22"/>
        </w:rPr>
      </w:pPr>
      <w:r w:rsidRPr="001900D6">
        <w:rPr>
          <w:rFonts w:ascii="Aptos" w:hAnsi="Aptos"/>
          <w:b/>
          <w:bCs/>
          <w:sz w:val="22"/>
          <w:szCs w:val="22"/>
        </w:rPr>
        <w:t>Working together:</w:t>
      </w:r>
      <w:r w:rsidRPr="001900D6">
        <w:rPr>
          <w:rFonts w:ascii="Aptos" w:hAnsi="Aptos"/>
          <w:sz w:val="22"/>
          <w:szCs w:val="22"/>
        </w:rPr>
        <w:t xml:space="preserve"> We cannot achieve our vision alone. Together with our partners, providers, and students, </w:t>
      </w:r>
      <w:r w:rsidRPr="001900D6" w:rsidDel="00933B90">
        <w:rPr>
          <w:rFonts w:ascii="Aptos" w:hAnsi="Aptos"/>
          <w:sz w:val="22"/>
          <w:szCs w:val="22"/>
        </w:rPr>
        <w:t xml:space="preserve">we comprise a </w:t>
      </w:r>
      <w:r w:rsidRPr="001900D6">
        <w:rPr>
          <w:rFonts w:ascii="Aptos" w:hAnsi="Aptos"/>
          <w:sz w:val="22"/>
          <w:szCs w:val="22"/>
        </w:rPr>
        <w:t xml:space="preserve">public adult education system </w:t>
      </w:r>
      <w:r w:rsidRPr="001900D6" w:rsidDel="00933B90">
        <w:rPr>
          <w:rFonts w:ascii="Aptos" w:hAnsi="Aptos"/>
          <w:sz w:val="22"/>
          <w:szCs w:val="22"/>
        </w:rPr>
        <w:t xml:space="preserve">that </w:t>
      </w:r>
      <w:r w:rsidRPr="001900D6">
        <w:rPr>
          <w:rFonts w:ascii="Aptos" w:hAnsi="Aptos"/>
          <w:sz w:val="22"/>
          <w:szCs w:val="22"/>
        </w:rPr>
        <w:t>works to address needs, opens doors, and strengthens cross-cultural relationships – making sure no adult who wants to learn gets left behind. </w:t>
      </w:r>
    </w:p>
    <w:p w14:paraId="6C2743CA" w14:textId="77777777" w:rsidR="002E1001" w:rsidRPr="001900D6" w:rsidRDefault="002E1001" w:rsidP="002E1001">
      <w:pPr>
        <w:numPr>
          <w:ilvl w:val="0"/>
          <w:numId w:val="2"/>
        </w:numPr>
        <w:spacing w:after="0" w:line="240" w:lineRule="auto"/>
        <w:textAlignment w:val="baseline"/>
        <w:rPr>
          <w:rFonts w:ascii="Aptos" w:hAnsi="Aptos"/>
          <w:sz w:val="22"/>
          <w:szCs w:val="22"/>
        </w:rPr>
      </w:pPr>
      <w:r w:rsidRPr="001900D6">
        <w:rPr>
          <w:rFonts w:ascii="Aptos" w:hAnsi="Aptos"/>
          <w:b/>
          <w:bCs/>
          <w:sz w:val="22"/>
          <w:szCs w:val="22"/>
        </w:rPr>
        <w:t>Driven by equity:</w:t>
      </w:r>
      <w:r w:rsidRPr="001900D6">
        <w:rPr>
          <w:rFonts w:ascii="Aptos" w:hAnsi="Aptos"/>
          <w:sz w:val="22"/>
          <w:szCs w:val="22"/>
        </w:rPr>
        <w:t xml:space="preserve"> Equity is at the heart of everything we do. We understand that many adults face barriers to opportunity and that, as a student-centered public adult education system, we are in a unique position to do our share to bring about positive change. To do that, we are building a network of partners and providers that truly represents the communities we serve.</w:t>
      </w:r>
    </w:p>
    <w:p w14:paraId="2BA9836F" w14:textId="3673A80D" w:rsidR="002E1001" w:rsidRPr="002E1001" w:rsidRDefault="002E1001" w:rsidP="002E1001">
      <w:pPr>
        <w:pStyle w:val="ListParagraph"/>
        <w:numPr>
          <w:ilvl w:val="0"/>
          <w:numId w:val="2"/>
        </w:numPr>
        <w:rPr>
          <w:rFonts w:ascii="Aptos" w:hAnsi="Aptos"/>
          <w:sz w:val="22"/>
          <w:szCs w:val="22"/>
        </w:rPr>
      </w:pPr>
      <w:r w:rsidRPr="002E1001">
        <w:rPr>
          <w:rFonts w:ascii="Aptos" w:hAnsi="Aptos"/>
          <w:b/>
          <w:bCs/>
          <w:sz w:val="22"/>
          <w:szCs w:val="22"/>
        </w:rPr>
        <w:t>Our role is essential:</w:t>
      </w:r>
      <w:r w:rsidRPr="002E1001">
        <w:rPr>
          <w:rFonts w:ascii="Aptos" w:hAnsi="Aptos"/>
          <w:sz w:val="22"/>
          <w:szCs w:val="22"/>
        </w:rPr>
        <w:t xml:space="preserve"> ACLS is the voice of the public adult education system in Massachusetts. Besides setting professional standards and providing funding, we are here to promote public adult education as a catalyst for individual achievement, social justice, and equitable economic development. </w:t>
      </w:r>
      <w:r w:rsidRPr="002E1001" w:rsidDel="0014150E">
        <w:rPr>
          <w:rFonts w:ascii="Aptos" w:hAnsi="Aptos"/>
          <w:sz w:val="22"/>
          <w:szCs w:val="22"/>
        </w:rPr>
        <w:t>Our role is essential not just because of what we do, but for what we stand for</w:t>
      </w:r>
      <w:r w:rsidR="3319F0CC" w:rsidRPr="4CF3DC41">
        <w:rPr>
          <w:rFonts w:ascii="Aptos" w:hAnsi="Aptos"/>
          <w:sz w:val="22"/>
          <w:szCs w:val="22"/>
        </w:rPr>
        <w:t>.</w:t>
      </w:r>
    </w:p>
    <w:p w14:paraId="497ED3B6" w14:textId="0CF8F2BA" w:rsidR="002E1001" w:rsidRDefault="003839D8" w:rsidP="0053717C">
      <w:pPr>
        <w:pStyle w:val="Heading1"/>
        <w:numPr>
          <w:ilvl w:val="0"/>
          <w:numId w:val="33"/>
        </w:numPr>
      </w:pPr>
      <w:r>
        <w:t>Program Design</w:t>
      </w:r>
    </w:p>
    <w:p w14:paraId="149F9752" w14:textId="77777777" w:rsidR="003839D8" w:rsidRPr="003839D8" w:rsidRDefault="003839D8" w:rsidP="003839D8">
      <w:pPr>
        <w:pStyle w:val="Heading1"/>
        <w:rPr>
          <w:rFonts w:ascii="Aptos" w:eastAsia="Calibri" w:hAnsi="Aptos" w:cstheme="minorBidi"/>
          <w:color w:val="auto"/>
          <w:sz w:val="22"/>
          <w:szCs w:val="22"/>
        </w:rPr>
      </w:pPr>
      <w:r w:rsidRPr="00E12822">
        <w:rPr>
          <w:rFonts w:ascii="Aptos" w:eastAsia="Calibri" w:hAnsi="Aptos" w:cstheme="minorBidi"/>
          <w:color w:val="auto"/>
          <w:sz w:val="22"/>
          <w:szCs w:val="22"/>
        </w:rPr>
        <w:t>ACLS supports outcome-driven program design and delivery that is inspired by new ideas about</w:t>
      </w:r>
      <w:r w:rsidRPr="003839D8">
        <w:rPr>
          <w:rFonts w:ascii="Aptos" w:eastAsia="Calibri" w:hAnsi="Aptos" w:cstheme="minorBidi"/>
          <w:color w:val="auto"/>
          <w:sz w:val="22"/>
          <w:szCs w:val="22"/>
        </w:rPr>
        <w:t xml:space="preserve"> teaching and learning and guided by research and evidence-based practices with the goal of advancing significant achievement and growth among students.</w:t>
      </w:r>
    </w:p>
    <w:p w14:paraId="1B807877" w14:textId="77777777" w:rsidR="00E12822" w:rsidRPr="00E12822" w:rsidRDefault="00E12822" w:rsidP="00E12822">
      <w:pPr>
        <w:pStyle w:val="Heading2"/>
      </w:pPr>
      <w:bookmarkStart w:id="0" w:name="_Toc181170253"/>
      <w:r w:rsidRPr="00E12822">
        <w:t>In-person Services</w:t>
      </w:r>
      <w:bookmarkEnd w:id="0"/>
    </w:p>
    <w:p w14:paraId="2A9A3011" w14:textId="77777777" w:rsidR="00E12822" w:rsidRDefault="00E12822" w:rsidP="00E12822">
      <w:pPr>
        <w:shd w:val="clear" w:color="auto" w:fill="FFFFFF" w:themeFill="background1"/>
        <w:rPr>
          <w:rFonts w:ascii="Aptos" w:eastAsia="Calibri" w:hAnsi="Aptos"/>
          <w:sz w:val="22"/>
          <w:szCs w:val="22"/>
        </w:rPr>
      </w:pPr>
      <w:r w:rsidRPr="00E12822">
        <w:rPr>
          <w:rFonts w:ascii="Aptos" w:eastAsia="Calibri" w:hAnsi="Aptos"/>
          <w:sz w:val="22"/>
          <w:szCs w:val="22"/>
        </w:rPr>
        <w:t xml:space="preserve">ACLS requires that all programs provide some in-person instruction. </w:t>
      </w:r>
    </w:p>
    <w:p w14:paraId="61D781A1" w14:textId="3EB0778A" w:rsidR="008F04A8" w:rsidRPr="00E12822" w:rsidRDefault="00A055B8" w:rsidP="00E12822">
      <w:pPr>
        <w:shd w:val="clear" w:color="auto" w:fill="FFFFFF" w:themeFill="background1"/>
        <w:rPr>
          <w:rFonts w:ascii="Aptos" w:eastAsia="Calibri" w:hAnsi="Aptos"/>
          <w:sz w:val="22"/>
          <w:szCs w:val="22"/>
        </w:rPr>
      </w:pPr>
      <w:r>
        <w:rPr>
          <w:rFonts w:ascii="Aptos" w:eastAsia="Calibri" w:hAnsi="Aptos"/>
          <w:sz w:val="22"/>
          <w:szCs w:val="22"/>
        </w:rPr>
        <w:t xml:space="preserve">ACLS requires that all classes be primarily synchronous. </w:t>
      </w:r>
      <w:r w:rsidR="00CA16B3">
        <w:rPr>
          <w:rFonts w:ascii="Aptos" w:eastAsia="Calibri" w:hAnsi="Aptos"/>
          <w:sz w:val="22"/>
          <w:szCs w:val="22"/>
        </w:rPr>
        <w:t>Online products (e.g</w:t>
      </w:r>
      <w:r w:rsidR="00CA16B3" w:rsidRPr="0D9DF269">
        <w:rPr>
          <w:rFonts w:ascii="Aptos" w:eastAsia="Calibri" w:hAnsi="Aptos"/>
          <w:sz w:val="22"/>
          <w:szCs w:val="22"/>
        </w:rPr>
        <w:t>.</w:t>
      </w:r>
      <w:r w:rsidR="68693E23" w:rsidRPr="0D9DF269">
        <w:rPr>
          <w:rFonts w:ascii="Aptos" w:eastAsia="Calibri" w:hAnsi="Aptos"/>
          <w:sz w:val="22"/>
          <w:szCs w:val="22"/>
        </w:rPr>
        <w:t>,</w:t>
      </w:r>
      <w:r w:rsidR="00CA16B3">
        <w:rPr>
          <w:rFonts w:ascii="Aptos" w:eastAsia="Calibri" w:hAnsi="Aptos"/>
          <w:sz w:val="22"/>
          <w:szCs w:val="22"/>
        </w:rPr>
        <w:t xml:space="preserve"> </w:t>
      </w:r>
      <w:r w:rsidR="00E142ED" w:rsidRPr="00DB63AF">
        <w:rPr>
          <w:sz w:val="22"/>
          <w:szCs w:val="22"/>
        </w:rPr>
        <w:t>EnGen, Burlington English, and Newsela</w:t>
      </w:r>
      <w:r w:rsidR="00CA16B3">
        <w:rPr>
          <w:rFonts w:ascii="Aptos" w:eastAsia="Calibri" w:hAnsi="Aptos"/>
          <w:sz w:val="22"/>
          <w:szCs w:val="22"/>
        </w:rPr>
        <w:t>) may</w:t>
      </w:r>
      <w:r w:rsidR="00AC7976">
        <w:rPr>
          <w:rFonts w:ascii="Aptos" w:eastAsia="Calibri" w:hAnsi="Aptos"/>
          <w:sz w:val="22"/>
          <w:szCs w:val="22"/>
        </w:rPr>
        <w:t xml:space="preserve"> supplement instruction.</w:t>
      </w:r>
    </w:p>
    <w:p w14:paraId="516BA793" w14:textId="77777777" w:rsidR="00E12822" w:rsidRPr="00E12822" w:rsidRDefault="00E12822" w:rsidP="00E12822">
      <w:pPr>
        <w:pStyle w:val="Heading2"/>
      </w:pPr>
      <w:bookmarkStart w:id="1" w:name="_Toc73090566"/>
      <w:bookmarkStart w:id="2" w:name="_Toc181170254"/>
      <w:bookmarkStart w:id="3" w:name="_Hlk68763348"/>
      <w:r w:rsidRPr="00E12822">
        <w:t>Enrollment</w:t>
      </w:r>
      <w:bookmarkEnd w:id="1"/>
      <w:bookmarkEnd w:id="2"/>
    </w:p>
    <w:p w14:paraId="2A0880DB" w14:textId="2E0B195E" w:rsidR="00E12822" w:rsidRPr="00E12822" w:rsidRDefault="00BB7C36" w:rsidP="00E12822">
      <w:pPr>
        <w:rPr>
          <w:rFonts w:ascii="Aptos" w:eastAsia="Calibri" w:hAnsi="Aptos"/>
          <w:sz w:val="22"/>
          <w:szCs w:val="22"/>
        </w:rPr>
      </w:pPr>
      <w:r>
        <w:rPr>
          <w:rFonts w:ascii="Aptos" w:eastAsia="Calibri" w:hAnsi="Aptos"/>
          <w:sz w:val="22"/>
          <w:szCs w:val="22"/>
        </w:rPr>
        <w:t>Fair Share ESOL</w:t>
      </w:r>
      <w:r w:rsidR="00E12822" w:rsidRPr="2B3FBAA5">
        <w:rPr>
          <w:rFonts w:ascii="Aptos" w:eastAsia="Calibri" w:hAnsi="Aptos"/>
          <w:sz w:val="22"/>
          <w:szCs w:val="22"/>
        </w:rPr>
        <w:t xml:space="preserve"> </w:t>
      </w:r>
      <w:r w:rsidR="00E12822" w:rsidRPr="00E12822">
        <w:rPr>
          <w:rFonts w:ascii="Aptos" w:eastAsia="Calibri" w:hAnsi="Aptos"/>
          <w:sz w:val="22"/>
          <w:szCs w:val="22"/>
        </w:rPr>
        <w:t xml:space="preserve">providers are funded to enroll and </w:t>
      </w:r>
      <w:r w:rsidR="00E12822" w:rsidRPr="17FFD0FF">
        <w:rPr>
          <w:rFonts w:ascii="Aptos" w:eastAsia="Calibri" w:hAnsi="Aptos"/>
          <w:sz w:val="22"/>
          <w:szCs w:val="22"/>
        </w:rPr>
        <w:t xml:space="preserve">retain a specific number of students each month </w:t>
      </w:r>
      <w:r w:rsidR="00E12822" w:rsidRPr="00E96E2C">
        <w:rPr>
          <w:rFonts w:eastAsia="Calibri"/>
          <w:vertAlign w:val="superscript"/>
        </w:rPr>
        <w:footnoteReference w:id="2"/>
      </w:r>
      <w:r w:rsidR="00E12822" w:rsidRPr="00E12822">
        <w:rPr>
          <w:rFonts w:ascii="Aptos" w:eastAsia="Calibri" w:hAnsi="Aptos"/>
          <w:sz w:val="22"/>
          <w:szCs w:val="22"/>
        </w:rPr>
        <w:t xml:space="preserve"> (i.e., keeping a specific number of seats filled during the period from Se</w:t>
      </w:r>
      <w:r w:rsidR="30313307" w:rsidRPr="17FFD0FF">
        <w:rPr>
          <w:rFonts w:ascii="Aptos" w:eastAsia="Calibri" w:hAnsi="Aptos"/>
          <w:sz w:val="22"/>
          <w:szCs w:val="22"/>
        </w:rPr>
        <w:t xml:space="preserve">ptember </w:t>
      </w:r>
      <w:r w:rsidR="00E12822" w:rsidRPr="17FFD0FF">
        <w:rPr>
          <w:rFonts w:ascii="Aptos" w:eastAsia="Calibri" w:hAnsi="Aptos"/>
          <w:sz w:val="22"/>
          <w:szCs w:val="22"/>
        </w:rPr>
        <w:t xml:space="preserve">to June) based on their grant awards (e.g., 100 ESOL seats). </w:t>
      </w:r>
      <w:r w:rsidR="00192D4C">
        <w:rPr>
          <w:rFonts w:ascii="Aptos" w:eastAsia="Calibri" w:hAnsi="Aptos"/>
          <w:sz w:val="22"/>
          <w:szCs w:val="22"/>
        </w:rPr>
        <w:t>ACLS</w:t>
      </w:r>
      <w:r w:rsidR="00192D4C" w:rsidRPr="17FFD0FF">
        <w:rPr>
          <w:rFonts w:ascii="Aptos" w:eastAsia="Calibri" w:hAnsi="Aptos"/>
          <w:sz w:val="22"/>
          <w:szCs w:val="22"/>
        </w:rPr>
        <w:t xml:space="preserve"> </w:t>
      </w:r>
      <w:r w:rsidR="00E12822" w:rsidRPr="17FFD0FF">
        <w:rPr>
          <w:rFonts w:ascii="Aptos" w:eastAsia="Calibri" w:hAnsi="Aptos"/>
          <w:sz w:val="22"/>
          <w:szCs w:val="22"/>
        </w:rPr>
        <w:t xml:space="preserve">refers to this as the provider’s enrollment target. </w:t>
      </w:r>
    </w:p>
    <w:p w14:paraId="68FBDF3A" w14:textId="6E1DA392" w:rsidR="00E12822" w:rsidRPr="00E12822" w:rsidRDefault="00E12822" w:rsidP="00E12822">
      <w:pPr>
        <w:rPr>
          <w:rFonts w:ascii="Aptos" w:eastAsia="Calibri" w:hAnsi="Aptos"/>
          <w:sz w:val="22"/>
          <w:szCs w:val="22"/>
        </w:rPr>
      </w:pPr>
      <w:r w:rsidRPr="00E12822">
        <w:rPr>
          <w:rFonts w:ascii="Aptos" w:eastAsia="Calibri" w:hAnsi="Aptos"/>
          <w:sz w:val="22"/>
          <w:szCs w:val="22"/>
        </w:rPr>
        <w:lastRenderedPageBreak/>
        <w:t xml:space="preserve">Providers must sustain enrollment levels by retaining students or enrolling new ones as students leave. </w:t>
      </w:r>
      <w:r>
        <w:rPr>
          <w:rFonts w:ascii="Aptos" w:eastAsia="Calibri" w:hAnsi="Aptos"/>
          <w:sz w:val="22"/>
          <w:szCs w:val="22"/>
        </w:rPr>
        <w:t xml:space="preserve"> </w:t>
      </w:r>
      <w:r w:rsidRPr="00E12822">
        <w:rPr>
          <w:rFonts w:ascii="Aptos" w:eastAsia="Calibri" w:hAnsi="Aptos"/>
          <w:sz w:val="22"/>
          <w:szCs w:val="22"/>
        </w:rPr>
        <w:t xml:space="preserve">Participants who attend at least one hour a month count toward monthly enrollment targets. Students are considered </w:t>
      </w:r>
      <w:r w:rsidR="00BB7C36">
        <w:rPr>
          <w:rFonts w:ascii="Aptos" w:eastAsia="Calibri" w:hAnsi="Aptos"/>
          <w:sz w:val="22"/>
          <w:szCs w:val="22"/>
        </w:rPr>
        <w:t>Fair Share</w:t>
      </w:r>
      <w:r w:rsidRPr="00E12822">
        <w:rPr>
          <w:rFonts w:ascii="Aptos" w:eastAsia="Calibri" w:hAnsi="Aptos"/>
          <w:sz w:val="22"/>
          <w:szCs w:val="22"/>
        </w:rPr>
        <w:t xml:space="preserve"> participants when their </w:t>
      </w:r>
      <w:hyperlink r:id="rId15">
        <w:r w:rsidR="7CB93793" w:rsidRPr="4CF3DC41">
          <w:rPr>
            <w:rFonts w:eastAsia="Calibri"/>
          </w:rPr>
          <w:t>LACES</w:t>
        </w:r>
      </w:hyperlink>
      <w:r w:rsidRPr="00E96E2C">
        <w:rPr>
          <w:rFonts w:eastAsia="Calibri"/>
          <w:vertAlign w:val="superscript"/>
        </w:rPr>
        <w:footnoteReference w:id="3"/>
      </w:r>
      <w:r w:rsidRPr="00E12822">
        <w:rPr>
          <w:rFonts w:ascii="Aptos" w:eastAsia="Calibri" w:hAnsi="Aptos"/>
          <w:sz w:val="22"/>
          <w:szCs w:val="22"/>
        </w:rPr>
        <w:t xml:space="preserve"> records have all the required intake information</w:t>
      </w:r>
      <w:r w:rsidR="00577748">
        <w:rPr>
          <w:rFonts w:ascii="Aptos" w:eastAsia="Calibri" w:hAnsi="Aptos"/>
          <w:sz w:val="22"/>
          <w:szCs w:val="22"/>
        </w:rPr>
        <w:t>,</w:t>
      </w:r>
      <w:r w:rsidRPr="00E12822">
        <w:rPr>
          <w:rFonts w:ascii="Aptos" w:eastAsia="Calibri" w:hAnsi="Aptos"/>
          <w:sz w:val="22"/>
          <w:szCs w:val="22"/>
        </w:rPr>
        <w:t xml:space="preserve"> including barriers to employment, </w:t>
      </w:r>
      <w:r w:rsidR="005241DD" w:rsidRPr="005241DD">
        <w:rPr>
          <w:rFonts w:ascii="Aptos" w:eastAsia="Calibri" w:hAnsi="Aptos"/>
          <w:sz w:val="22"/>
          <w:szCs w:val="22"/>
        </w:rPr>
        <w:t>the required English Test for Adults (ETA)</w:t>
      </w:r>
      <w:commentRangeStart w:id="4"/>
      <w:commentRangeStart w:id="5"/>
      <w:commentRangeStart w:id="6"/>
      <w:commentRangeStart w:id="7"/>
      <w:commentRangeStart w:id="8"/>
      <w:r w:rsidR="00B91A6E">
        <w:rPr>
          <w:rStyle w:val="FootnoteReference"/>
          <w:rFonts w:ascii="Aptos" w:eastAsia="Calibri" w:hAnsi="Aptos"/>
          <w:sz w:val="22"/>
          <w:szCs w:val="22"/>
        </w:rPr>
        <w:footnoteReference w:id="4"/>
      </w:r>
      <w:r w:rsidRPr="00E12822">
        <w:rPr>
          <w:rFonts w:ascii="Aptos" w:eastAsia="Calibri" w:hAnsi="Aptos"/>
          <w:sz w:val="22"/>
          <w:szCs w:val="22"/>
        </w:rPr>
        <w:t xml:space="preserve"> </w:t>
      </w:r>
      <w:commentRangeEnd w:id="4"/>
      <w:r w:rsidR="00D4134E" w:rsidRPr="00E12822">
        <w:rPr>
          <w:rStyle w:val="CommentReference"/>
          <w:rFonts w:ascii="Aptos" w:eastAsia="Calibri" w:hAnsi="Aptos"/>
          <w:sz w:val="22"/>
          <w:szCs w:val="22"/>
        </w:rPr>
        <w:commentReference w:id="4"/>
      </w:r>
      <w:commentRangeEnd w:id="5"/>
      <w:r w:rsidRPr="00E12822">
        <w:rPr>
          <w:rStyle w:val="CommentReference"/>
          <w:rFonts w:ascii="Aptos" w:eastAsia="Calibri" w:hAnsi="Aptos"/>
          <w:sz w:val="22"/>
          <w:szCs w:val="22"/>
        </w:rPr>
        <w:commentReference w:id="5"/>
      </w:r>
      <w:commentRangeEnd w:id="6"/>
      <w:r w:rsidRPr="00E12822">
        <w:rPr>
          <w:rStyle w:val="CommentReference"/>
          <w:rFonts w:ascii="Aptos" w:eastAsia="Calibri" w:hAnsi="Aptos"/>
          <w:sz w:val="22"/>
          <w:szCs w:val="22"/>
        </w:rPr>
        <w:commentReference w:id="6"/>
      </w:r>
      <w:commentRangeEnd w:id="7"/>
      <w:r w:rsidR="008F520F" w:rsidRPr="00E12822">
        <w:rPr>
          <w:rStyle w:val="CommentReference"/>
          <w:rFonts w:ascii="Aptos" w:eastAsia="Calibri" w:hAnsi="Aptos"/>
          <w:sz w:val="22"/>
          <w:szCs w:val="22"/>
        </w:rPr>
        <w:commentReference w:id="7"/>
      </w:r>
      <w:commentRangeEnd w:id="8"/>
      <w:r w:rsidRPr="00E12822">
        <w:rPr>
          <w:rStyle w:val="CommentReference"/>
          <w:rFonts w:ascii="Aptos" w:eastAsia="Calibri" w:hAnsi="Aptos"/>
          <w:sz w:val="22"/>
          <w:szCs w:val="22"/>
        </w:rPr>
        <w:commentReference w:id="8"/>
      </w:r>
      <w:r w:rsidRPr="00E12822">
        <w:rPr>
          <w:rFonts w:ascii="Aptos" w:eastAsia="Calibri" w:hAnsi="Aptos"/>
          <w:sz w:val="22"/>
          <w:szCs w:val="22"/>
        </w:rPr>
        <w:t>assessment, and twelve hours of instruction</w:t>
      </w:r>
      <w:r w:rsidR="6FE4DFDE" w:rsidRPr="4CF3DC41">
        <w:rPr>
          <w:rFonts w:ascii="Aptos" w:eastAsia="Calibri" w:hAnsi="Aptos"/>
          <w:sz w:val="22"/>
          <w:szCs w:val="22"/>
        </w:rPr>
        <w:t>.</w:t>
      </w:r>
    </w:p>
    <w:p w14:paraId="687F02D2" w14:textId="77777777" w:rsidR="00E12822" w:rsidRPr="00E12822" w:rsidRDefault="00E12822" w:rsidP="00E12822">
      <w:pPr>
        <w:pStyle w:val="Heading2"/>
        <w:rPr>
          <w:rFonts w:eastAsia="Calibri"/>
        </w:rPr>
      </w:pPr>
      <w:bookmarkStart w:id="10" w:name="_Toc181170257"/>
      <w:bookmarkEnd w:id="3"/>
      <w:r w:rsidRPr="00E12822">
        <w:rPr>
          <w:rFonts w:eastAsia="Calibri"/>
        </w:rPr>
        <w:t>No Charges to Students</w:t>
      </w:r>
      <w:bookmarkEnd w:id="10"/>
    </w:p>
    <w:p w14:paraId="6B9C242D" w14:textId="6BEBB39E" w:rsidR="00E12822" w:rsidRPr="00E12822" w:rsidRDefault="00E12822" w:rsidP="00E12822">
      <w:pPr>
        <w:rPr>
          <w:rFonts w:ascii="Aptos" w:eastAsia="Calibri" w:hAnsi="Aptos"/>
          <w:sz w:val="22"/>
          <w:szCs w:val="22"/>
        </w:rPr>
      </w:pPr>
      <w:r w:rsidRPr="00E12822">
        <w:rPr>
          <w:rFonts w:ascii="Aptos" w:eastAsia="Calibri" w:hAnsi="Aptos"/>
          <w:sz w:val="22"/>
          <w:szCs w:val="22"/>
        </w:rPr>
        <w:t xml:space="preserve">Adult education programs must ensure that enrolled students are not charged tuition, fees, or any other charges or </w:t>
      </w:r>
      <w:r w:rsidR="003F770A" w:rsidRPr="00E12822">
        <w:rPr>
          <w:rFonts w:ascii="Aptos" w:eastAsia="Calibri" w:hAnsi="Aptos"/>
          <w:sz w:val="22"/>
          <w:szCs w:val="22"/>
        </w:rPr>
        <w:t>are required</w:t>
      </w:r>
      <w:r w:rsidRPr="00E12822">
        <w:rPr>
          <w:rFonts w:ascii="Aptos" w:eastAsia="Calibri" w:hAnsi="Aptos"/>
          <w:sz w:val="22"/>
          <w:szCs w:val="22"/>
        </w:rPr>
        <w:t xml:space="preserve"> to purchase books or materials needed for participation.</w:t>
      </w:r>
    </w:p>
    <w:p w14:paraId="003836C4" w14:textId="77777777" w:rsidR="00E12822" w:rsidRPr="00E12822" w:rsidRDefault="00E12822" w:rsidP="00E12822">
      <w:pPr>
        <w:pStyle w:val="Heading2"/>
        <w:rPr>
          <w:rFonts w:eastAsia="Calibri"/>
        </w:rPr>
      </w:pPr>
      <w:bookmarkStart w:id="11" w:name="_Toc181170258"/>
      <w:r w:rsidRPr="00E12822">
        <w:rPr>
          <w:rFonts w:eastAsia="Calibri"/>
        </w:rPr>
        <w:t>Program Delivery Options</w:t>
      </w:r>
      <w:bookmarkEnd w:id="11"/>
    </w:p>
    <w:p w14:paraId="0799B135" w14:textId="307A863C" w:rsidR="00E12822" w:rsidRPr="00E12822" w:rsidRDefault="00E12822" w:rsidP="00E12822">
      <w:pPr>
        <w:pStyle w:val="Heading3"/>
        <w:rPr>
          <w:rFonts w:ascii="Aptos" w:eastAsia="Calibri" w:hAnsi="Aptos" w:cstheme="minorBidi"/>
          <w:color w:val="auto"/>
          <w:sz w:val="22"/>
          <w:szCs w:val="22"/>
        </w:rPr>
      </w:pPr>
      <w:r w:rsidRPr="00E12822">
        <w:rPr>
          <w:rFonts w:ascii="Aptos" w:eastAsia="Calibri" w:hAnsi="Aptos" w:cstheme="minorBidi"/>
          <w:color w:val="auto"/>
          <w:sz w:val="22"/>
          <w:szCs w:val="22"/>
        </w:rPr>
        <w:t>Fair Share providers are encouraged to incorporate a variety of class designs which meet the needs of learners in their program area including in-person face-to-face, online synchronous, and hybrid options.</w:t>
      </w:r>
    </w:p>
    <w:p w14:paraId="00AFAF1B" w14:textId="77777777" w:rsidR="00E12822" w:rsidRPr="001C4B7A" w:rsidRDefault="00E12822" w:rsidP="001C4B7A">
      <w:pPr>
        <w:pStyle w:val="Heading3"/>
      </w:pPr>
      <w:r w:rsidRPr="001C4B7A">
        <w:t>English for Speakers of Other Languages (ESOL) Services</w:t>
      </w:r>
    </w:p>
    <w:p w14:paraId="6EDD5B9C" w14:textId="77777777" w:rsidR="00E12822" w:rsidRPr="00E12822" w:rsidRDefault="00E12822" w:rsidP="00E12822">
      <w:pPr>
        <w:pStyle w:val="Heading3"/>
        <w:rPr>
          <w:rFonts w:ascii="Aptos" w:eastAsia="Calibri" w:hAnsi="Aptos" w:cstheme="minorBidi"/>
          <w:color w:val="auto"/>
          <w:sz w:val="22"/>
          <w:szCs w:val="22"/>
        </w:rPr>
      </w:pPr>
      <w:r w:rsidRPr="00E12822">
        <w:rPr>
          <w:rFonts w:ascii="Aptos" w:eastAsia="Calibri" w:hAnsi="Aptos" w:cstheme="minorBidi"/>
          <w:color w:val="auto"/>
          <w:sz w:val="22"/>
          <w:szCs w:val="22"/>
        </w:rPr>
        <w:t xml:space="preserve">The goal of ESOL services is to prepare adult English learners to speak, read, and write English. ESOL curriculum and instruction must be contextualized to students’ academic and career needs, aligned to the </w:t>
      </w:r>
      <w:hyperlink r:id="rId20">
        <w:r w:rsidRPr="00E12822">
          <w:rPr>
            <w:rFonts w:eastAsia="Calibri" w:cstheme="minorBidi"/>
            <w:color w:val="auto"/>
          </w:rPr>
          <w:t>MA ELPS</w:t>
        </w:r>
      </w:hyperlink>
      <w:r w:rsidRPr="00E12822">
        <w:rPr>
          <w:rFonts w:ascii="Aptos" w:eastAsia="Calibri" w:hAnsi="Aptos" w:cstheme="minorBidi"/>
          <w:color w:val="auto"/>
          <w:sz w:val="22"/>
          <w:szCs w:val="22"/>
        </w:rPr>
        <w:t xml:space="preserve"> and integrate civics education, workforce preparation activities, and digital literacy development at all levels. Services must be designed to reach all learners regardless of their level of readiness, previous schooling, or learning differences.</w:t>
      </w:r>
    </w:p>
    <w:p w14:paraId="034A1C6C" w14:textId="503BF1E0" w:rsidR="00E12822" w:rsidRPr="00E12822" w:rsidRDefault="00E12822" w:rsidP="002D3091">
      <w:pPr>
        <w:rPr>
          <w:rFonts w:ascii="Aptos" w:eastAsia="Calibri" w:hAnsi="Aptos"/>
          <w:sz w:val="22"/>
          <w:szCs w:val="22"/>
        </w:rPr>
      </w:pPr>
      <w:r w:rsidRPr="00E12822">
        <w:rPr>
          <w:rFonts w:ascii="Aptos" w:eastAsia="Calibri" w:hAnsi="Aptos"/>
          <w:sz w:val="22"/>
          <w:szCs w:val="22"/>
        </w:rPr>
        <w:t>Students with pre-test scores resulting in an entry level of Completed ESOL Level 6</w:t>
      </w:r>
      <w:r w:rsidR="00FE0C5E">
        <w:rPr>
          <w:rFonts w:ascii="Aptos" w:eastAsia="Calibri" w:hAnsi="Aptos"/>
          <w:sz w:val="22"/>
          <w:szCs w:val="22"/>
        </w:rPr>
        <w:t xml:space="preserve"> c</w:t>
      </w:r>
      <w:r w:rsidRPr="00E12822">
        <w:rPr>
          <w:rFonts w:ascii="Aptos" w:eastAsia="Calibri" w:hAnsi="Aptos"/>
          <w:sz w:val="22"/>
          <w:szCs w:val="22"/>
        </w:rPr>
        <w:t>annot be considered ESOL participants (i.e., cannot enroll in an ACLS-funded ESOL class).</w:t>
      </w:r>
    </w:p>
    <w:p w14:paraId="6F4A5F90" w14:textId="2D7D9A8C" w:rsidR="00E12822" w:rsidRPr="00E12822" w:rsidRDefault="00E12822" w:rsidP="00E12822">
      <w:pPr>
        <w:rPr>
          <w:rFonts w:ascii="Aptos" w:eastAsia="Calibri" w:hAnsi="Aptos"/>
          <w:sz w:val="22"/>
          <w:szCs w:val="22"/>
        </w:rPr>
      </w:pPr>
      <w:r w:rsidRPr="00E12822">
        <w:rPr>
          <w:rFonts w:ascii="Aptos" w:eastAsia="Calibri" w:hAnsi="Aptos"/>
          <w:sz w:val="22"/>
          <w:szCs w:val="22"/>
        </w:rPr>
        <w:t>Students with post-test scores resulting in a level of Completed ESOL Level 6 may finish the program year.</w:t>
      </w:r>
    </w:p>
    <w:p w14:paraId="41DFA3E8" w14:textId="77777777" w:rsidR="00E12822" w:rsidRPr="00E12822" w:rsidRDefault="00E12822" w:rsidP="00E12822">
      <w:pPr>
        <w:pStyle w:val="Heading3"/>
      </w:pPr>
      <w:bookmarkStart w:id="12" w:name="_Toc181170260"/>
      <w:r w:rsidRPr="00E12822">
        <w:t>Instruction in Students’ First Language</w:t>
      </w:r>
      <w:bookmarkEnd w:id="12"/>
    </w:p>
    <w:p w14:paraId="3B9FD20C" w14:textId="77777777" w:rsidR="00E12822" w:rsidRPr="00E12822" w:rsidRDefault="00E12822" w:rsidP="00E12822">
      <w:pPr>
        <w:pStyle w:val="Heading4"/>
        <w:rPr>
          <w:rFonts w:ascii="Aptos" w:eastAsia="Calibri" w:hAnsi="Aptos" w:cstheme="minorBidi"/>
          <w:i w:val="0"/>
          <w:iCs w:val="0"/>
          <w:color w:val="auto"/>
          <w:sz w:val="22"/>
          <w:szCs w:val="22"/>
        </w:rPr>
      </w:pPr>
      <w:r w:rsidRPr="00E12822">
        <w:rPr>
          <w:rFonts w:ascii="Aptos" w:eastAsia="Calibri" w:hAnsi="Aptos" w:cstheme="minorBidi"/>
          <w:i w:val="0"/>
          <w:iCs w:val="0"/>
          <w:color w:val="auto"/>
          <w:sz w:val="22"/>
          <w:szCs w:val="22"/>
        </w:rPr>
        <w:t>The goal of first language literacy instruction (FLL) is to support students who speak other languages to develop foundational literacy skills in their first language including reading, writing, speaking, and listening, and mathematics for students who need it.</w:t>
      </w:r>
    </w:p>
    <w:p w14:paraId="1A84CFB3" w14:textId="2638869E" w:rsidR="00E12822" w:rsidRPr="00E12822" w:rsidRDefault="00E12822" w:rsidP="00DA25CA">
      <w:pPr>
        <w:rPr>
          <w:rFonts w:ascii="Aptos" w:eastAsia="Calibri" w:hAnsi="Aptos"/>
          <w:sz w:val="22"/>
          <w:szCs w:val="22"/>
        </w:rPr>
      </w:pPr>
      <w:r w:rsidRPr="00E12822">
        <w:rPr>
          <w:rFonts w:ascii="Aptos" w:eastAsia="Calibri" w:hAnsi="Aptos"/>
          <w:sz w:val="22"/>
          <w:szCs w:val="22"/>
        </w:rPr>
        <w:t xml:space="preserve">Programs providing FLL services must ensure that FLL students are available for ESOL instruction in addition to first language instruction, receive instruction in English language acquisition, and </w:t>
      </w:r>
      <w:r w:rsidR="006B0BF3">
        <w:rPr>
          <w:rFonts w:ascii="Aptos" w:eastAsia="Calibri" w:hAnsi="Aptos"/>
          <w:sz w:val="22"/>
          <w:szCs w:val="22"/>
        </w:rPr>
        <w:t xml:space="preserve">are encouraged to </w:t>
      </w:r>
      <w:r w:rsidRPr="00E12822">
        <w:rPr>
          <w:rFonts w:ascii="Aptos" w:eastAsia="Calibri" w:hAnsi="Aptos"/>
          <w:sz w:val="22"/>
          <w:szCs w:val="22"/>
        </w:rPr>
        <w:t xml:space="preserve">provide ESOL curriculum and instruction aligned to the </w:t>
      </w:r>
      <w:hyperlink r:id="rId21">
        <w:r w:rsidRPr="00DA25CA">
          <w:rPr>
            <w:rFonts w:ascii="Aptos" w:eastAsia="Calibri" w:hAnsi="Aptos"/>
            <w:sz w:val="22"/>
            <w:szCs w:val="22"/>
          </w:rPr>
          <w:t>Massachusetts English Language Proficiency Standards for Adult Education (MA ELPS</w:t>
        </w:r>
      </w:hyperlink>
      <w:r w:rsidRPr="00DA25CA">
        <w:rPr>
          <w:rFonts w:ascii="Aptos" w:eastAsia="Calibri" w:hAnsi="Aptos"/>
          <w:sz w:val="22"/>
          <w:szCs w:val="22"/>
        </w:rPr>
        <w:t>)</w:t>
      </w:r>
      <w:r w:rsidRPr="00E12822">
        <w:rPr>
          <w:rFonts w:ascii="Aptos" w:eastAsia="Calibri" w:hAnsi="Aptos"/>
          <w:sz w:val="22"/>
          <w:szCs w:val="22"/>
        </w:rPr>
        <w:t>. This will help students acquire the basic skills needed to be prepared for further education and training and improve their English language skills</w:t>
      </w:r>
      <w:r w:rsidR="00A311EE">
        <w:rPr>
          <w:rFonts w:ascii="Aptos" w:eastAsia="Calibri" w:hAnsi="Aptos"/>
          <w:sz w:val="22"/>
          <w:szCs w:val="22"/>
        </w:rPr>
        <w:t>.</w:t>
      </w:r>
      <w:r w:rsidRPr="00E12822">
        <w:rPr>
          <w:rFonts w:ascii="Aptos" w:eastAsia="Calibri" w:hAnsi="Aptos"/>
          <w:sz w:val="22"/>
          <w:szCs w:val="22"/>
        </w:rPr>
        <w:t xml:space="preserve"> </w:t>
      </w:r>
    </w:p>
    <w:p w14:paraId="57E8EF19" w14:textId="69382534" w:rsidR="00E12822" w:rsidRPr="00E12822" w:rsidRDefault="00E12822" w:rsidP="0053717C">
      <w:pPr>
        <w:pStyle w:val="Heading1"/>
        <w:numPr>
          <w:ilvl w:val="0"/>
          <w:numId w:val="33"/>
        </w:numPr>
      </w:pPr>
      <w:r w:rsidRPr="00E12822">
        <w:lastRenderedPageBreak/>
        <w:t>Equitable Access</w:t>
      </w:r>
    </w:p>
    <w:p w14:paraId="1E297BF5" w14:textId="4F56016E" w:rsidR="00E12822" w:rsidRPr="001900D6" w:rsidRDefault="00E12822" w:rsidP="00E12822">
      <w:pPr>
        <w:rPr>
          <w:rFonts w:ascii="Aptos" w:eastAsiaTheme="minorEastAsia" w:hAnsi="Aptos"/>
          <w:sz w:val="22"/>
          <w:szCs w:val="22"/>
        </w:rPr>
      </w:pPr>
      <w:r w:rsidRPr="001900D6">
        <w:rPr>
          <w:rFonts w:ascii="Aptos" w:eastAsiaTheme="minorEastAsia" w:hAnsi="Aptos"/>
          <w:sz w:val="22"/>
          <w:szCs w:val="22"/>
        </w:rPr>
        <w:t xml:space="preserve">Equitable access refers to the guiding principle that every adult in Massachusetts must have an opportunity to access </w:t>
      </w:r>
      <w:r w:rsidR="009621F6">
        <w:rPr>
          <w:rFonts w:ascii="Aptos" w:eastAsiaTheme="minorEastAsia" w:hAnsi="Aptos"/>
          <w:sz w:val="22"/>
          <w:szCs w:val="22"/>
        </w:rPr>
        <w:t xml:space="preserve">adult education </w:t>
      </w:r>
      <w:r w:rsidRPr="001900D6">
        <w:rPr>
          <w:rFonts w:ascii="Aptos" w:eastAsiaTheme="minorEastAsia" w:hAnsi="Aptos"/>
          <w:sz w:val="22"/>
          <w:szCs w:val="22"/>
        </w:rPr>
        <w:t>services for the purpose of gaining the knowledge, skills, and support they need to build the life they aspire to live.</w:t>
      </w:r>
    </w:p>
    <w:p w14:paraId="68F809C5" w14:textId="77777777" w:rsidR="00E12822" w:rsidRPr="001C065D" w:rsidRDefault="00E12822" w:rsidP="00E12822">
      <w:pPr>
        <w:pStyle w:val="Heading2"/>
      </w:pPr>
      <w:bookmarkStart w:id="13" w:name="_Toc181170264"/>
      <w:r w:rsidRPr="001C065D">
        <w:t>Eligibility (State Requirement)</w:t>
      </w:r>
      <w:bookmarkEnd w:id="13"/>
    </w:p>
    <w:p w14:paraId="0E9BC29B" w14:textId="77777777" w:rsidR="00E12822" w:rsidRPr="00E12822" w:rsidRDefault="00E12822" w:rsidP="00E12822">
      <w:pPr>
        <w:rPr>
          <w:sz w:val="22"/>
          <w:szCs w:val="22"/>
        </w:rPr>
      </w:pPr>
      <w:bookmarkStart w:id="14" w:name="_Hlk5255927"/>
      <w:r w:rsidRPr="00E12822">
        <w:rPr>
          <w:sz w:val="22"/>
          <w:szCs w:val="22"/>
        </w:rPr>
        <w:t>ACLS requires that enrolled students:</w:t>
      </w:r>
    </w:p>
    <w:p w14:paraId="08856757" w14:textId="77777777" w:rsidR="00E12822" w:rsidRPr="00E12822" w:rsidRDefault="00E12822" w:rsidP="00E12822">
      <w:pPr>
        <w:pStyle w:val="ListParagraph"/>
        <w:numPr>
          <w:ilvl w:val="0"/>
          <w:numId w:val="6"/>
        </w:numPr>
        <w:rPr>
          <w:rFonts w:cs="Times New Roman"/>
          <w:sz w:val="22"/>
          <w:szCs w:val="22"/>
        </w:rPr>
      </w:pPr>
      <w:r w:rsidRPr="00E12822">
        <w:rPr>
          <w:rFonts w:cs="Times New Roman"/>
          <w:sz w:val="22"/>
          <w:szCs w:val="22"/>
        </w:rPr>
        <w:t>Are at least 16 years of age;</w:t>
      </w:r>
    </w:p>
    <w:p w14:paraId="00DA1C79" w14:textId="77777777" w:rsidR="00E12822" w:rsidRPr="00E12822" w:rsidRDefault="00E12822" w:rsidP="00E12822">
      <w:pPr>
        <w:pStyle w:val="ListParagraph"/>
        <w:numPr>
          <w:ilvl w:val="0"/>
          <w:numId w:val="6"/>
        </w:numPr>
        <w:rPr>
          <w:rFonts w:cs="Times New Roman"/>
          <w:sz w:val="22"/>
          <w:szCs w:val="22"/>
        </w:rPr>
      </w:pPr>
      <w:r w:rsidRPr="00E12822">
        <w:rPr>
          <w:rFonts w:cs="Times New Roman"/>
          <w:sz w:val="22"/>
          <w:szCs w:val="22"/>
        </w:rPr>
        <w:t>Are not enrolled or required to be enrolled in secondary school under state law; and</w:t>
      </w:r>
    </w:p>
    <w:p w14:paraId="4A82F359" w14:textId="77777777" w:rsidR="00E12822" w:rsidRPr="00E12822" w:rsidRDefault="00E12822" w:rsidP="00E12822">
      <w:pPr>
        <w:pStyle w:val="ListParagraph"/>
        <w:numPr>
          <w:ilvl w:val="0"/>
          <w:numId w:val="6"/>
        </w:numPr>
        <w:rPr>
          <w:rFonts w:cs="Times New Roman"/>
          <w:sz w:val="22"/>
          <w:szCs w:val="22"/>
        </w:rPr>
      </w:pPr>
      <w:r w:rsidRPr="00E12822">
        <w:rPr>
          <w:rFonts w:cs="Times New Roman"/>
          <w:sz w:val="22"/>
          <w:szCs w:val="22"/>
        </w:rPr>
        <w:t>Do not have a secondary school diploma or its recognized equivalent and have not achieved an equivalent level of education; or are basic skills deficient; or are English language learners.</w:t>
      </w:r>
      <w:bookmarkEnd w:id="14"/>
    </w:p>
    <w:p w14:paraId="4FDAE80B" w14:textId="77777777" w:rsidR="00E12822" w:rsidRPr="00E12822" w:rsidRDefault="00E12822" w:rsidP="00E12822">
      <w:pPr>
        <w:rPr>
          <w:sz w:val="22"/>
          <w:szCs w:val="22"/>
        </w:rPr>
      </w:pPr>
      <w:r w:rsidRPr="00E12822">
        <w:rPr>
          <w:sz w:val="22"/>
          <w:szCs w:val="22"/>
        </w:rPr>
        <w:t>Students under 18 must provide a letter of withdrawal from the local school district in order to enroll in the program. Students who are home schooled must provide a letter from the local school district stating that they are not enrolled.</w:t>
      </w:r>
    </w:p>
    <w:p w14:paraId="083BA2A7" w14:textId="765FC82A" w:rsidR="00E12822" w:rsidRPr="001C065D" w:rsidRDefault="00E12822" w:rsidP="00E12822">
      <w:pPr>
        <w:pStyle w:val="Heading3"/>
      </w:pPr>
      <w:bookmarkStart w:id="15" w:name="_Toc181170266"/>
      <w:r w:rsidRPr="001C065D">
        <w:t>Waitlist</w:t>
      </w:r>
      <w:bookmarkEnd w:id="15"/>
    </w:p>
    <w:p w14:paraId="72DB8531" w14:textId="24C11E82" w:rsidR="00E12822" w:rsidRPr="001900D6" w:rsidRDefault="00E12822" w:rsidP="00E12822">
      <w:pPr>
        <w:rPr>
          <w:rFonts w:ascii="Aptos" w:hAnsi="Aptos"/>
          <w:sz w:val="22"/>
          <w:szCs w:val="22"/>
        </w:rPr>
      </w:pPr>
      <w:r w:rsidRPr="001900D6">
        <w:rPr>
          <w:rFonts w:ascii="Aptos" w:hAnsi="Aptos"/>
          <w:color w:val="000000" w:themeColor="text1"/>
          <w:sz w:val="22"/>
          <w:szCs w:val="22"/>
        </w:rPr>
        <w:t>A</w:t>
      </w:r>
      <w:r w:rsidRPr="001900D6">
        <w:rPr>
          <w:rFonts w:ascii="Aptos" w:hAnsi="Aptos"/>
          <w:sz w:val="22"/>
          <w:szCs w:val="22"/>
        </w:rPr>
        <w:t xml:space="preserve">CLS requires that programs maintain an active waitlist for applicants who are unable to enroll in instructional classes due to capacity constraints. For more information on waitlist policy, see </w:t>
      </w:r>
      <w:r w:rsidR="00CA4AAC">
        <w:rPr>
          <w:rFonts w:ascii="Aptos" w:hAnsi="Aptos"/>
          <w:sz w:val="22"/>
          <w:szCs w:val="22"/>
        </w:rPr>
        <w:t>Section 8</w:t>
      </w:r>
      <w:r w:rsidRPr="001900D6">
        <w:rPr>
          <w:rFonts w:ascii="Aptos" w:hAnsi="Aptos"/>
          <w:sz w:val="22"/>
          <w:szCs w:val="22"/>
        </w:rPr>
        <w:t>.</w:t>
      </w:r>
    </w:p>
    <w:p w14:paraId="7156A9D9" w14:textId="77777777" w:rsidR="00E12822" w:rsidRPr="001C065D" w:rsidRDefault="00E12822" w:rsidP="00DB63AF">
      <w:pPr>
        <w:pStyle w:val="Heading2"/>
        <w:rPr>
          <w:rFonts w:eastAsia="Arial"/>
        </w:rPr>
      </w:pPr>
      <w:bookmarkStart w:id="16" w:name="_Toc181170267"/>
      <w:r w:rsidRPr="001C065D">
        <w:t>Intake and Orientation</w:t>
      </w:r>
      <w:bookmarkEnd w:id="16"/>
    </w:p>
    <w:p w14:paraId="24BED7AE" w14:textId="0AAE2EFE" w:rsidR="00E12822" w:rsidRPr="001900D6" w:rsidRDefault="00AC6182" w:rsidP="00E12822">
      <w:pPr>
        <w:rPr>
          <w:rFonts w:ascii="Aptos" w:eastAsiaTheme="minorEastAsia" w:hAnsi="Aptos"/>
          <w:sz w:val="22"/>
          <w:szCs w:val="22"/>
        </w:rPr>
      </w:pPr>
      <w:r>
        <w:rPr>
          <w:rFonts w:ascii="Aptos" w:eastAsiaTheme="minorEastAsia" w:hAnsi="Aptos"/>
          <w:sz w:val="22"/>
          <w:szCs w:val="22"/>
        </w:rPr>
        <w:t>ACLS</w:t>
      </w:r>
      <w:r w:rsidRPr="001900D6">
        <w:rPr>
          <w:rFonts w:ascii="Aptos" w:eastAsiaTheme="minorEastAsia" w:hAnsi="Aptos"/>
          <w:sz w:val="22"/>
          <w:szCs w:val="22"/>
        </w:rPr>
        <w:t xml:space="preserve"> </w:t>
      </w:r>
      <w:r w:rsidR="00E12822" w:rsidRPr="001900D6">
        <w:rPr>
          <w:rFonts w:ascii="Aptos" w:eastAsiaTheme="minorEastAsia" w:hAnsi="Aptos"/>
          <w:sz w:val="22"/>
          <w:szCs w:val="22"/>
        </w:rPr>
        <w:t>requires that programs identify those adults who, in addition to being eligible for services, face one or more barriers to employment</w:t>
      </w:r>
      <w:r w:rsidR="00E12822" w:rsidRPr="001900D6">
        <w:rPr>
          <w:rStyle w:val="FootnoteReference"/>
          <w:rFonts w:ascii="Aptos" w:eastAsiaTheme="minorEastAsia" w:hAnsi="Aptos"/>
          <w:sz w:val="22"/>
          <w:szCs w:val="22"/>
        </w:rPr>
        <w:footnoteReference w:id="5"/>
      </w:r>
      <w:r w:rsidR="00E12822" w:rsidRPr="001900D6">
        <w:rPr>
          <w:rFonts w:ascii="Aptos" w:eastAsiaTheme="minorEastAsia" w:hAnsi="Aptos"/>
          <w:sz w:val="22"/>
          <w:szCs w:val="22"/>
        </w:rPr>
        <w:t xml:space="preserve">. This requirement is intended to shed light on how well students with barriers are being served by the workforce system. Programs may use whatever intake forms they wish as long as the forms solicit and collect all the information needed to do data entry in </w:t>
      </w:r>
      <w:hyperlink r:id="rId22">
        <w:r w:rsidR="00E12822" w:rsidRPr="001900D6">
          <w:rPr>
            <w:rStyle w:val="Hyperlink"/>
            <w:rFonts w:ascii="Aptos" w:eastAsiaTheme="minorEastAsia" w:hAnsi="Aptos"/>
            <w:sz w:val="22"/>
            <w:szCs w:val="22"/>
          </w:rPr>
          <w:t>LACES</w:t>
        </w:r>
      </w:hyperlink>
      <w:r w:rsidR="00E12822" w:rsidRPr="001900D6">
        <w:rPr>
          <w:rFonts w:ascii="Aptos" w:eastAsiaTheme="minorEastAsia" w:hAnsi="Aptos"/>
          <w:sz w:val="22"/>
          <w:szCs w:val="22"/>
        </w:rPr>
        <w:t>.</w:t>
      </w:r>
    </w:p>
    <w:p w14:paraId="62DC5B78" w14:textId="3B314195" w:rsidR="00E12822" w:rsidRPr="001900D6" w:rsidRDefault="00E12822" w:rsidP="00E12822">
      <w:pPr>
        <w:rPr>
          <w:rFonts w:ascii="Aptos" w:eastAsiaTheme="minorEastAsia" w:hAnsi="Aptos"/>
          <w:sz w:val="22"/>
          <w:szCs w:val="22"/>
        </w:rPr>
      </w:pPr>
      <w:r w:rsidRPr="001900D6">
        <w:rPr>
          <w:rFonts w:ascii="Aptos" w:eastAsiaTheme="minorEastAsia" w:hAnsi="Aptos"/>
          <w:sz w:val="22"/>
          <w:szCs w:val="22"/>
        </w:rPr>
        <w:t xml:space="preserve">At the beginning of each fiscal year, programs must complete intakes for new students, verify the accuracy of data in returning students’ intakes, and update data as needed. Programs are encouraged to give students program information, including program completion requirements, so that they can make an informed decision about whether they are able to pursue participation in the program. For the student intake form, see </w:t>
      </w:r>
      <w:hyperlink r:id="rId23">
        <w:r w:rsidRPr="001900D6">
          <w:rPr>
            <w:rStyle w:val="Hyperlink"/>
            <w:rFonts w:ascii="Aptos" w:eastAsiaTheme="minorEastAsia" w:hAnsi="Aptos"/>
            <w:sz w:val="22"/>
            <w:szCs w:val="22"/>
          </w:rPr>
          <w:t>FY202</w:t>
        </w:r>
        <w:r w:rsidR="0076479F">
          <w:rPr>
            <w:rStyle w:val="Hyperlink"/>
            <w:rFonts w:ascii="Aptos" w:eastAsiaTheme="minorEastAsia" w:hAnsi="Aptos"/>
            <w:sz w:val="22"/>
            <w:szCs w:val="22"/>
          </w:rPr>
          <w:t>7</w:t>
        </w:r>
        <w:r w:rsidRPr="001900D6">
          <w:rPr>
            <w:rStyle w:val="Hyperlink"/>
            <w:rFonts w:ascii="Aptos" w:eastAsiaTheme="minorEastAsia" w:hAnsi="Aptos"/>
            <w:sz w:val="22"/>
            <w:szCs w:val="22"/>
          </w:rPr>
          <w:t xml:space="preserve"> Student Intake Form - Adult and Community Learning Services (ACLS) (mass.edu)</w:t>
        </w:r>
      </w:hyperlink>
      <w:r w:rsidRPr="001900D6">
        <w:rPr>
          <w:rFonts w:ascii="Aptos" w:eastAsiaTheme="minorEastAsia" w:hAnsi="Aptos"/>
          <w:sz w:val="22"/>
          <w:szCs w:val="22"/>
        </w:rPr>
        <w:t>.</w:t>
      </w:r>
    </w:p>
    <w:p w14:paraId="6FCE0E30" w14:textId="77777777" w:rsidR="00E12822" w:rsidRPr="001C065D" w:rsidRDefault="00E12822" w:rsidP="00DB63AF">
      <w:pPr>
        <w:pStyle w:val="Heading2"/>
      </w:pPr>
      <w:bookmarkStart w:id="17" w:name="_Toc181170269"/>
      <w:r w:rsidRPr="001C065D">
        <w:lastRenderedPageBreak/>
        <w:t>The Americans with Disabilities Act (ADA)</w:t>
      </w:r>
      <w:bookmarkEnd w:id="17"/>
    </w:p>
    <w:p w14:paraId="4F033DF9" w14:textId="77777777" w:rsidR="00E12822" w:rsidRPr="001900D6" w:rsidRDefault="00E12822" w:rsidP="00DB63AF">
      <w:pPr>
        <w:rPr>
          <w:rFonts w:ascii="Aptos" w:hAnsi="Aptos"/>
          <w:sz w:val="22"/>
          <w:szCs w:val="22"/>
        </w:rPr>
      </w:pPr>
      <w:r w:rsidRPr="001900D6">
        <w:rPr>
          <w:rFonts w:ascii="Aptos" w:hAnsi="Aptos"/>
          <w:sz w:val="22"/>
          <w:szCs w:val="22"/>
        </w:rPr>
        <w:t>The federal ADA places affirmative duties on public and private organizations to ensure that individuals with disabilities can access and have equal opportunities to participate in public services. Programs signing the Statement of Assurances (SOA) as part of their grant applications are assuring ACLS that they are aware of and in compliance with their ADA-related obligations.</w:t>
      </w:r>
    </w:p>
    <w:p w14:paraId="6132447C" w14:textId="77777777" w:rsidR="00E12822" w:rsidRPr="001900D6" w:rsidRDefault="00E12822" w:rsidP="00DB63AF">
      <w:pPr>
        <w:rPr>
          <w:rFonts w:ascii="Aptos" w:hAnsi="Aptos"/>
          <w:sz w:val="22"/>
          <w:szCs w:val="22"/>
        </w:rPr>
      </w:pPr>
      <w:r w:rsidRPr="001900D6">
        <w:rPr>
          <w:rFonts w:ascii="Aptos" w:hAnsi="Aptos"/>
          <w:sz w:val="22"/>
          <w:szCs w:val="22"/>
        </w:rPr>
        <w:t xml:space="preserve">The ADA requires that programs make reasonable accommodations for students. To ensure that programs are responsive to learners with disabilities, the </w:t>
      </w:r>
      <w:r w:rsidRPr="001900D6">
        <w:rPr>
          <w:rFonts w:ascii="Aptos" w:eastAsia="Batang" w:hAnsi="Aptos"/>
          <w:sz w:val="22"/>
          <w:szCs w:val="22"/>
        </w:rPr>
        <w:t>ADA</w:t>
      </w:r>
      <w:r w:rsidRPr="001900D6">
        <w:rPr>
          <w:rFonts w:ascii="Aptos" w:hAnsi="Aptos"/>
          <w:color w:val="FF0000"/>
          <w:sz w:val="22"/>
          <w:szCs w:val="22"/>
        </w:rPr>
        <w:t xml:space="preserve"> </w:t>
      </w:r>
      <w:r w:rsidRPr="001900D6">
        <w:rPr>
          <w:rFonts w:ascii="Aptos" w:hAnsi="Aptos"/>
          <w:sz w:val="22"/>
          <w:szCs w:val="22"/>
        </w:rPr>
        <w:t>requires, among other things, that programs designate an ADA Coordinator whose primary role is to ensure that the program is accessible and in compliance with the ADA. ACLS does not provide additional funding to individual programs to meet specific, individual student needs upon request.</w:t>
      </w:r>
    </w:p>
    <w:p w14:paraId="49E0E165" w14:textId="77777777" w:rsidR="00E12822" w:rsidRPr="001900D6" w:rsidRDefault="00E12822" w:rsidP="00DB63AF">
      <w:pPr>
        <w:rPr>
          <w:rFonts w:ascii="Aptos" w:hAnsi="Aptos"/>
          <w:sz w:val="22"/>
          <w:szCs w:val="22"/>
        </w:rPr>
      </w:pPr>
      <w:r w:rsidRPr="001900D6">
        <w:rPr>
          <w:rFonts w:ascii="Aptos" w:hAnsi="Aptos"/>
          <w:sz w:val="22"/>
          <w:szCs w:val="22"/>
        </w:rPr>
        <w:t xml:space="preserve">For more information on accommodations, see </w:t>
      </w:r>
      <w:hyperlink r:id="rId24" w:history="1">
        <w:r w:rsidRPr="001900D6">
          <w:rPr>
            <w:rStyle w:val="Hyperlink"/>
            <w:rFonts w:ascii="Aptos" w:hAnsi="Aptos"/>
            <w:sz w:val="22"/>
            <w:szCs w:val="22"/>
          </w:rPr>
          <w:t>Assessment - Adult and Community Learning Services (ACLS) (mass.edu)</w:t>
        </w:r>
      </w:hyperlink>
      <w:r w:rsidRPr="001900D6">
        <w:rPr>
          <w:rFonts w:ascii="Aptos" w:hAnsi="Aptos"/>
          <w:sz w:val="22"/>
          <w:szCs w:val="22"/>
        </w:rPr>
        <w:t xml:space="preserve">. For more information on the ADA, see </w:t>
      </w:r>
      <w:hyperlink r:id="rId25" w:history="1">
        <w:r w:rsidRPr="001900D6">
          <w:rPr>
            <w:rStyle w:val="Hyperlink"/>
            <w:rFonts w:ascii="Aptos" w:hAnsi="Aptos"/>
            <w:sz w:val="22"/>
            <w:szCs w:val="22"/>
          </w:rPr>
          <w:t>Office for Civil Rights | U.S. Department of Education</w:t>
        </w:r>
      </w:hyperlink>
      <w:r w:rsidRPr="001900D6">
        <w:rPr>
          <w:rFonts w:ascii="Aptos" w:hAnsi="Aptos"/>
          <w:sz w:val="22"/>
          <w:szCs w:val="22"/>
        </w:rPr>
        <w:t xml:space="preserve">, </w:t>
      </w:r>
      <w:hyperlink r:id="rId26" w:history="1">
        <w:r w:rsidRPr="001900D6">
          <w:rPr>
            <w:rStyle w:val="Hyperlink"/>
            <w:rFonts w:ascii="Aptos" w:hAnsi="Aptos"/>
            <w:sz w:val="22"/>
            <w:szCs w:val="22"/>
          </w:rPr>
          <w:t>ADA.gov</w:t>
        </w:r>
      </w:hyperlink>
      <w:r w:rsidRPr="001900D6">
        <w:rPr>
          <w:rFonts w:ascii="Aptos" w:hAnsi="Aptos"/>
          <w:sz w:val="22"/>
          <w:szCs w:val="22"/>
        </w:rPr>
        <w:t xml:space="preserve"> and </w:t>
      </w:r>
      <w:hyperlink r:id="rId27" w:history="1">
        <w:r w:rsidRPr="001900D6">
          <w:rPr>
            <w:rStyle w:val="Hyperlink"/>
            <w:rFonts w:ascii="Aptos" w:hAnsi="Aptos"/>
            <w:sz w:val="22"/>
            <w:szCs w:val="22"/>
          </w:rPr>
          <w:t>SABES</w:t>
        </w:r>
      </w:hyperlink>
      <w:r w:rsidRPr="001900D6">
        <w:rPr>
          <w:rFonts w:ascii="Aptos" w:hAnsi="Aptos"/>
          <w:sz w:val="22"/>
          <w:szCs w:val="22"/>
        </w:rPr>
        <w:t>.</w:t>
      </w:r>
    </w:p>
    <w:p w14:paraId="00E5F927" w14:textId="7A3EF3A1" w:rsidR="00E12822" w:rsidRPr="001C065D" w:rsidRDefault="00E12822" w:rsidP="00DB63AF">
      <w:pPr>
        <w:pStyle w:val="Heading2"/>
      </w:pPr>
      <w:bookmarkStart w:id="18" w:name="_Toc181170271"/>
      <w:r w:rsidRPr="001C065D">
        <w:t>Mandated Reporting</w:t>
      </w:r>
      <w:bookmarkEnd w:id="18"/>
    </w:p>
    <w:p w14:paraId="11940717" w14:textId="77777777" w:rsidR="00E12822" w:rsidRPr="00DB63AF" w:rsidRDefault="00E12822" w:rsidP="00DB63AF">
      <w:pPr>
        <w:rPr>
          <w:sz w:val="22"/>
          <w:szCs w:val="22"/>
        </w:rPr>
      </w:pPr>
      <w:r w:rsidRPr="00DB63AF">
        <w:rPr>
          <w:sz w:val="22"/>
          <w:szCs w:val="22"/>
        </w:rPr>
        <w:t>Adult education staff are considered mandated reporters and are required by law to report cases of suspected abuse. Mandated reporters:</w:t>
      </w:r>
    </w:p>
    <w:p w14:paraId="76E0C07D" w14:textId="77777777" w:rsidR="00E12822" w:rsidRPr="00813FAC" w:rsidRDefault="00E12822" w:rsidP="00813FAC">
      <w:pPr>
        <w:pStyle w:val="ListParagraph"/>
        <w:numPr>
          <w:ilvl w:val="0"/>
          <w:numId w:val="32"/>
        </w:numPr>
        <w:rPr>
          <w:sz w:val="22"/>
          <w:szCs w:val="22"/>
        </w:rPr>
      </w:pPr>
      <w:r w:rsidRPr="00813FAC">
        <w:rPr>
          <w:sz w:val="22"/>
          <w:szCs w:val="22"/>
        </w:rPr>
        <w:t>Include public and private school teachers, educational administrators, guidance or adjustment counselors, psychologists, attendance officers, social workers, day care providers, health care professionals, and court and public safety officials;</w:t>
      </w:r>
    </w:p>
    <w:p w14:paraId="27457D86" w14:textId="77777777" w:rsidR="00E12822" w:rsidRPr="00813FAC" w:rsidRDefault="00E12822" w:rsidP="00813FAC">
      <w:pPr>
        <w:pStyle w:val="ListParagraph"/>
        <w:numPr>
          <w:ilvl w:val="0"/>
          <w:numId w:val="32"/>
        </w:numPr>
        <w:rPr>
          <w:sz w:val="22"/>
          <w:szCs w:val="22"/>
        </w:rPr>
      </w:pPr>
      <w:r w:rsidRPr="00813FAC">
        <w:rPr>
          <w:sz w:val="22"/>
          <w:szCs w:val="22"/>
        </w:rPr>
        <w:t>Are immune from civil or criminal liability as a result of making a report; non-mandated reporters are also protected providing the report was made in good faith;</w:t>
      </w:r>
    </w:p>
    <w:p w14:paraId="2FED5486" w14:textId="77777777" w:rsidR="00E12822" w:rsidRPr="00813FAC" w:rsidRDefault="00E12822" w:rsidP="00813FAC">
      <w:pPr>
        <w:pStyle w:val="ListParagraph"/>
        <w:numPr>
          <w:ilvl w:val="0"/>
          <w:numId w:val="32"/>
        </w:numPr>
        <w:rPr>
          <w:sz w:val="22"/>
          <w:szCs w:val="22"/>
        </w:rPr>
      </w:pPr>
      <w:r w:rsidRPr="00813FAC">
        <w:rPr>
          <w:sz w:val="22"/>
          <w:szCs w:val="22"/>
        </w:rPr>
        <w:t>Are protected from retaliation, and identities will be kept confidential; and</w:t>
      </w:r>
    </w:p>
    <w:p w14:paraId="3ED06029" w14:textId="77777777" w:rsidR="00E12822" w:rsidRPr="00813FAC" w:rsidRDefault="00E12822" w:rsidP="00813FAC">
      <w:pPr>
        <w:pStyle w:val="ListParagraph"/>
        <w:numPr>
          <w:ilvl w:val="0"/>
          <w:numId w:val="32"/>
        </w:numPr>
        <w:rPr>
          <w:sz w:val="22"/>
          <w:szCs w:val="22"/>
        </w:rPr>
      </w:pPr>
      <w:r w:rsidRPr="00813FAC">
        <w:rPr>
          <w:sz w:val="22"/>
          <w:szCs w:val="22"/>
        </w:rPr>
        <w:t>Who fail to file a report are subject to a fine of up to $1,000.</w:t>
      </w:r>
    </w:p>
    <w:p w14:paraId="0CE25117" w14:textId="77777777" w:rsidR="00E12822" w:rsidRPr="00DB63AF" w:rsidRDefault="00E12822" w:rsidP="00DB63AF">
      <w:pPr>
        <w:rPr>
          <w:sz w:val="22"/>
          <w:szCs w:val="22"/>
        </w:rPr>
      </w:pPr>
      <w:r w:rsidRPr="00DB63AF">
        <w:rPr>
          <w:sz w:val="22"/>
          <w:szCs w:val="22"/>
        </w:rPr>
        <w:t>For more information on mandated reporting, see the following chart.</w:t>
      </w:r>
    </w:p>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Caption w:val="Mandated Reprting Responsibilities"/>
        <w:tblDescription w:val="This table lists staff mandated reporting of suspected abuse responsibilities. Reporting of abuse of individuas 0-18 years old (i.e., children) must be made to the Department of Children and Families under statute 51A. Reporting of abuse of individuals 18-59 years old (i.e., disabled adults) must be made to the Disabled Persons Protection Commisison under statute 19C. Reporting of ause of individuals 60+ years old (i.e., elderly) must be made to the Executive Office of Elder Affairs under statute 19A."/>
      </w:tblPr>
      <w:tblGrid>
        <w:gridCol w:w="2157"/>
        <w:gridCol w:w="2158"/>
        <w:gridCol w:w="2157"/>
        <w:gridCol w:w="2158"/>
      </w:tblGrid>
      <w:tr w:rsidR="00E12822" w:rsidRPr="00DB63AF" w14:paraId="585E7F7E" w14:textId="77777777" w:rsidTr="001E1581">
        <w:trPr>
          <w:cantSplit/>
          <w:trHeight w:val="288"/>
        </w:trPr>
        <w:tc>
          <w:tcPr>
            <w:tcW w:w="2157" w:type="dxa"/>
            <w:tcBorders>
              <w:top w:val="single" w:sz="8" w:space="0" w:color="auto"/>
              <w:bottom w:val="single" w:sz="6" w:space="0" w:color="auto"/>
            </w:tcBorders>
            <w:shd w:val="clear" w:color="auto" w:fill="D9F2D0" w:themeFill="accent6" w:themeFillTint="33"/>
            <w:vAlign w:val="center"/>
            <w:hideMark/>
          </w:tcPr>
          <w:p w14:paraId="79C732DF" w14:textId="77777777" w:rsidR="00E12822" w:rsidRPr="00DB63AF" w:rsidRDefault="00E12822" w:rsidP="00DB63AF">
            <w:pPr>
              <w:rPr>
                <w:rFonts w:asciiTheme="minorHAnsi" w:hAnsiTheme="minorHAnsi"/>
                <w:b/>
                <w:sz w:val="22"/>
                <w:szCs w:val="22"/>
              </w:rPr>
            </w:pPr>
            <w:r w:rsidRPr="00DB63AF">
              <w:rPr>
                <w:rFonts w:asciiTheme="minorHAnsi" w:hAnsiTheme="minorHAnsi"/>
                <w:b/>
                <w:sz w:val="22"/>
                <w:szCs w:val="22"/>
              </w:rPr>
              <w:t>Age</w:t>
            </w:r>
          </w:p>
        </w:tc>
        <w:tc>
          <w:tcPr>
            <w:tcW w:w="2158" w:type="dxa"/>
            <w:tcBorders>
              <w:top w:val="single" w:sz="8" w:space="0" w:color="auto"/>
              <w:bottom w:val="single" w:sz="6" w:space="0" w:color="auto"/>
            </w:tcBorders>
            <w:shd w:val="clear" w:color="auto" w:fill="D9F2D0" w:themeFill="accent6" w:themeFillTint="33"/>
            <w:vAlign w:val="center"/>
          </w:tcPr>
          <w:p w14:paraId="69F79E0E"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0-18 years old</w:t>
            </w:r>
          </w:p>
        </w:tc>
        <w:tc>
          <w:tcPr>
            <w:tcW w:w="2157" w:type="dxa"/>
            <w:tcBorders>
              <w:top w:val="single" w:sz="8" w:space="0" w:color="auto"/>
              <w:bottom w:val="single" w:sz="6" w:space="0" w:color="auto"/>
            </w:tcBorders>
            <w:shd w:val="clear" w:color="auto" w:fill="D9F2D0" w:themeFill="accent6" w:themeFillTint="33"/>
            <w:vAlign w:val="center"/>
            <w:hideMark/>
          </w:tcPr>
          <w:p w14:paraId="5B776177"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18-59 years old</w:t>
            </w:r>
          </w:p>
        </w:tc>
        <w:tc>
          <w:tcPr>
            <w:tcW w:w="2158" w:type="dxa"/>
            <w:tcBorders>
              <w:top w:val="single" w:sz="8" w:space="0" w:color="auto"/>
              <w:bottom w:val="single" w:sz="6" w:space="0" w:color="auto"/>
            </w:tcBorders>
            <w:shd w:val="clear" w:color="auto" w:fill="D9F2D0" w:themeFill="accent6" w:themeFillTint="33"/>
            <w:vAlign w:val="center"/>
            <w:hideMark/>
          </w:tcPr>
          <w:p w14:paraId="0DE2FF08"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60+ years old</w:t>
            </w:r>
          </w:p>
        </w:tc>
      </w:tr>
      <w:tr w:rsidR="00E12822" w:rsidRPr="00DB63AF" w14:paraId="07A69D16" w14:textId="77777777" w:rsidTr="001E1581">
        <w:trPr>
          <w:trHeight w:val="288"/>
        </w:trPr>
        <w:tc>
          <w:tcPr>
            <w:tcW w:w="2157" w:type="dxa"/>
            <w:tcBorders>
              <w:top w:val="single" w:sz="6" w:space="0" w:color="auto"/>
            </w:tcBorders>
            <w:vAlign w:val="center"/>
          </w:tcPr>
          <w:p w14:paraId="3C4DD758" w14:textId="77777777" w:rsidR="00E12822" w:rsidRPr="00DB63AF" w:rsidRDefault="00E12822" w:rsidP="00DB63AF">
            <w:pPr>
              <w:rPr>
                <w:rFonts w:asciiTheme="minorHAnsi" w:hAnsiTheme="minorHAnsi"/>
                <w:b/>
                <w:sz w:val="22"/>
                <w:szCs w:val="22"/>
              </w:rPr>
            </w:pPr>
            <w:r w:rsidRPr="00DB63AF">
              <w:rPr>
                <w:rFonts w:asciiTheme="minorHAnsi" w:hAnsiTheme="minorHAnsi"/>
                <w:b/>
                <w:sz w:val="22"/>
                <w:szCs w:val="22"/>
              </w:rPr>
              <w:t>Population</w:t>
            </w:r>
          </w:p>
        </w:tc>
        <w:tc>
          <w:tcPr>
            <w:tcW w:w="2158" w:type="dxa"/>
            <w:tcBorders>
              <w:top w:val="single" w:sz="6" w:space="0" w:color="auto"/>
            </w:tcBorders>
            <w:vAlign w:val="center"/>
          </w:tcPr>
          <w:p w14:paraId="114B2B41"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Children</w:t>
            </w:r>
          </w:p>
        </w:tc>
        <w:tc>
          <w:tcPr>
            <w:tcW w:w="2157" w:type="dxa"/>
            <w:tcBorders>
              <w:top w:val="single" w:sz="6" w:space="0" w:color="auto"/>
            </w:tcBorders>
            <w:hideMark/>
          </w:tcPr>
          <w:p w14:paraId="0BC71FC1"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Disabled Adults</w:t>
            </w:r>
          </w:p>
        </w:tc>
        <w:tc>
          <w:tcPr>
            <w:tcW w:w="2158" w:type="dxa"/>
            <w:tcBorders>
              <w:top w:val="single" w:sz="6" w:space="0" w:color="auto"/>
            </w:tcBorders>
            <w:hideMark/>
          </w:tcPr>
          <w:p w14:paraId="7119D8FF"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Elderly</w:t>
            </w:r>
          </w:p>
        </w:tc>
      </w:tr>
      <w:tr w:rsidR="00E12822" w:rsidRPr="00DB63AF" w14:paraId="4ECC53D4" w14:textId="77777777" w:rsidTr="001E1581">
        <w:trPr>
          <w:trHeight w:val="288"/>
        </w:trPr>
        <w:tc>
          <w:tcPr>
            <w:tcW w:w="2157" w:type="dxa"/>
            <w:shd w:val="clear" w:color="auto" w:fill="D9F2D0" w:themeFill="accent6" w:themeFillTint="33"/>
          </w:tcPr>
          <w:p w14:paraId="1DE4FE94" w14:textId="77777777" w:rsidR="00E12822" w:rsidRPr="00DB63AF" w:rsidRDefault="00E12822" w:rsidP="00DB63AF">
            <w:pPr>
              <w:rPr>
                <w:rFonts w:asciiTheme="minorHAnsi" w:hAnsiTheme="minorHAnsi"/>
                <w:b/>
                <w:sz w:val="22"/>
                <w:szCs w:val="22"/>
              </w:rPr>
            </w:pPr>
            <w:r w:rsidRPr="00DB63AF">
              <w:rPr>
                <w:rFonts w:asciiTheme="minorHAnsi" w:hAnsiTheme="minorHAnsi"/>
                <w:b/>
                <w:sz w:val="22"/>
                <w:szCs w:val="22"/>
              </w:rPr>
              <w:t>Reporting Agency</w:t>
            </w:r>
          </w:p>
        </w:tc>
        <w:tc>
          <w:tcPr>
            <w:tcW w:w="2158" w:type="dxa"/>
            <w:shd w:val="clear" w:color="auto" w:fill="D9F2D0" w:themeFill="accent6" w:themeFillTint="33"/>
          </w:tcPr>
          <w:p w14:paraId="75074655" w14:textId="77777777" w:rsidR="00E12822" w:rsidRPr="00DB63AF" w:rsidRDefault="00E12822" w:rsidP="00DB63AF">
            <w:pPr>
              <w:rPr>
                <w:rFonts w:asciiTheme="minorHAnsi" w:hAnsiTheme="minorHAnsi"/>
                <w:sz w:val="22"/>
                <w:szCs w:val="22"/>
              </w:rPr>
            </w:pPr>
            <w:hyperlink r:id="rId28" w:history="1">
              <w:r w:rsidRPr="00DB63AF">
                <w:rPr>
                  <w:rStyle w:val="Hyperlink"/>
                  <w:rFonts w:asciiTheme="minorHAnsi" w:eastAsia="Batang" w:hAnsiTheme="minorHAnsi"/>
                  <w:sz w:val="22"/>
                  <w:szCs w:val="22"/>
                </w:rPr>
                <w:t>Department of Children and Families</w:t>
              </w:r>
            </w:hyperlink>
          </w:p>
        </w:tc>
        <w:tc>
          <w:tcPr>
            <w:tcW w:w="2157" w:type="dxa"/>
            <w:shd w:val="clear" w:color="auto" w:fill="D9F2D0" w:themeFill="accent6" w:themeFillTint="33"/>
            <w:hideMark/>
          </w:tcPr>
          <w:p w14:paraId="33223187" w14:textId="77777777" w:rsidR="00E12822" w:rsidRPr="00DB63AF" w:rsidRDefault="00E12822" w:rsidP="00DB63AF">
            <w:pPr>
              <w:rPr>
                <w:rFonts w:asciiTheme="minorHAnsi" w:hAnsiTheme="minorHAnsi"/>
                <w:sz w:val="22"/>
                <w:szCs w:val="22"/>
              </w:rPr>
            </w:pPr>
            <w:hyperlink r:id="rId29" w:history="1">
              <w:r w:rsidRPr="00DB63AF">
                <w:rPr>
                  <w:rStyle w:val="Hyperlink"/>
                  <w:rFonts w:asciiTheme="minorHAnsi" w:eastAsia="Batang" w:hAnsiTheme="minorHAnsi"/>
                  <w:sz w:val="22"/>
                  <w:szCs w:val="22"/>
                </w:rPr>
                <w:t>Disabled Persons Protection Commission</w:t>
              </w:r>
            </w:hyperlink>
          </w:p>
        </w:tc>
        <w:tc>
          <w:tcPr>
            <w:tcW w:w="2158" w:type="dxa"/>
            <w:shd w:val="clear" w:color="auto" w:fill="D9F2D0" w:themeFill="accent6" w:themeFillTint="33"/>
            <w:hideMark/>
          </w:tcPr>
          <w:p w14:paraId="41D2CB41" w14:textId="77777777" w:rsidR="00E12822" w:rsidRPr="00DB63AF" w:rsidRDefault="00E12822" w:rsidP="00DB63AF">
            <w:pPr>
              <w:rPr>
                <w:rFonts w:asciiTheme="minorHAnsi" w:hAnsiTheme="minorHAnsi"/>
                <w:sz w:val="22"/>
                <w:szCs w:val="22"/>
              </w:rPr>
            </w:pPr>
            <w:hyperlink r:id="rId30" w:history="1">
              <w:r w:rsidRPr="00DB63AF">
                <w:rPr>
                  <w:rStyle w:val="Hyperlink"/>
                  <w:rFonts w:asciiTheme="minorHAnsi" w:eastAsia="Batang" w:hAnsiTheme="minorHAnsi"/>
                  <w:sz w:val="22"/>
                  <w:szCs w:val="22"/>
                </w:rPr>
                <w:t>Executive Office of Elder Affairs</w:t>
              </w:r>
            </w:hyperlink>
          </w:p>
        </w:tc>
      </w:tr>
      <w:tr w:rsidR="00E12822" w:rsidRPr="00DB63AF" w14:paraId="30E208AC" w14:textId="77777777" w:rsidTr="001E1581">
        <w:trPr>
          <w:trHeight w:val="288"/>
        </w:trPr>
        <w:tc>
          <w:tcPr>
            <w:tcW w:w="2157" w:type="dxa"/>
          </w:tcPr>
          <w:p w14:paraId="0FB8D658" w14:textId="77777777" w:rsidR="00E12822" w:rsidRPr="00DB63AF" w:rsidRDefault="00E12822" w:rsidP="00DB63AF">
            <w:pPr>
              <w:rPr>
                <w:rFonts w:asciiTheme="minorHAnsi" w:hAnsiTheme="minorHAnsi"/>
                <w:b/>
                <w:sz w:val="22"/>
                <w:szCs w:val="22"/>
              </w:rPr>
            </w:pPr>
            <w:r w:rsidRPr="00DB63AF">
              <w:rPr>
                <w:rFonts w:asciiTheme="minorHAnsi" w:hAnsiTheme="minorHAnsi"/>
                <w:b/>
                <w:sz w:val="22"/>
                <w:szCs w:val="22"/>
              </w:rPr>
              <w:t>Statute</w:t>
            </w:r>
          </w:p>
        </w:tc>
        <w:tc>
          <w:tcPr>
            <w:tcW w:w="2158" w:type="dxa"/>
          </w:tcPr>
          <w:p w14:paraId="410397C7"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51A</w:t>
            </w:r>
          </w:p>
        </w:tc>
        <w:tc>
          <w:tcPr>
            <w:tcW w:w="2157" w:type="dxa"/>
            <w:hideMark/>
          </w:tcPr>
          <w:p w14:paraId="41E294C5"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19C</w:t>
            </w:r>
          </w:p>
        </w:tc>
        <w:tc>
          <w:tcPr>
            <w:tcW w:w="2158" w:type="dxa"/>
            <w:hideMark/>
          </w:tcPr>
          <w:p w14:paraId="2C721D7D" w14:textId="77777777" w:rsidR="00E12822" w:rsidRPr="00DB63AF" w:rsidRDefault="00E12822" w:rsidP="00DB63AF">
            <w:pPr>
              <w:rPr>
                <w:rFonts w:asciiTheme="minorHAnsi" w:hAnsiTheme="minorHAnsi"/>
                <w:sz w:val="22"/>
                <w:szCs w:val="22"/>
              </w:rPr>
            </w:pPr>
            <w:r w:rsidRPr="00DB63AF">
              <w:rPr>
                <w:rFonts w:asciiTheme="minorHAnsi" w:hAnsiTheme="minorHAnsi"/>
                <w:sz w:val="22"/>
                <w:szCs w:val="22"/>
              </w:rPr>
              <w:t>19A</w:t>
            </w:r>
          </w:p>
        </w:tc>
      </w:tr>
    </w:tbl>
    <w:p w14:paraId="6E49723C" w14:textId="77777777" w:rsidR="00DB63AF" w:rsidRDefault="00DB63AF" w:rsidP="00E12822">
      <w:pPr>
        <w:rPr>
          <w:rStyle w:val="Hyperlink"/>
          <w:rFonts w:ascii="Aptos" w:eastAsia="Batang" w:hAnsi="Aptos"/>
          <w:color w:val="3A7C22" w:themeColor="accent6" w:themeShade="BF"/>
          <w:sz w:val="22"/>
          <w:szCs w:val="22"/>
          <w:u w:val="none"/>
        </w:rPr>
      </w:pPr>
    </w:p>
    <w:p w14:paraId="273C5E27" w14:textId="656AEC03" w:rsidR="003839D8" w:rsidRPr="00DB63AF" w:rsidRDefault="00E12822" w:rsidP="0053717C">
      <w:pPr>
        <w:pStyle w:val="Heading1"/>
        <w:numPr>
          <w:ilvl w:val="0"/>
          <w:numId w:val="33"/>
        </w:numPr>
      </w:pPr>
      <w:r w:rsidRPr="00DB63AF">
        <w:t>Curriculum</w:t>
      </w:r>
    </w:p>
    <w:p w14:paraId="36077B71" w14:textId="77777777" w:rsidR="00DB63AF" w:rsidRDefault="00DB63AF" w:rsidP="00DB63AF">
      <w:pPr>
        <w:rPr>
          <w:color w:val="000000" w:themeColor="text1"/>
          <w:sz w:val="22"/>
          <w:szCs w:val="22"/>
        </w:rPr>
      </w:pPr>
      <w:r w:rsidRPr="00DB63AF">
        <w:rPr>
          <w:sz w:val="22"/>
          <w:szCs w:val="22"/>
        </w:rPr>
        <w:t xml:space="preserve">Curriculum refers to the knowledge and skills students are expected to learn, which includes the learning standards they are expected to meet; the units and lessons teachers teach; the assignments and projects given to students; the books, materials, videos, presentations, and </w:t>
      </w:r>
      <w:r w:rsidRPr="00DB63AF">
        <w:rPr>
          <w:sz w:val="22"/>
          <w:szCs w:val="22"/>
        </w:rPr>
        <w:lastRenderedPageBreak/>
        <w:t>readings used in a course; and the tests, assessments, and other methods used to evaluate student learning.</w:t>
      </w:r>
      <w:r w:rsidRPr="00DB63AF">
        <w:rPr>
          <w:rStyle w:val="FootnoteReference"/>
          <w:rFonts w:ascii="Aptos" w:eastAsiaTheme="minorEastAsia" w:hAnsi="Aptos"/>
          <w:sz w:val="22"/>
          <w:szCs w:val="22"/>
        </w:rPr>
        <w:footnoteReference w:id="6"/>
      </w:r>
      <w:r w:rsidRPr="00DB63AF">
        <w:rPr>
          <w:sz w:val="22"/>
          <w:szCs w:val="22"/>
        </w:rPr>
        <w:t xml:space="preserve"> </w:t>
      </w:r>
    </w:p>
    <w:p w14:paraId="279C0230" w14:textId="45E8D1F2" w:rsidR="00DB63AF" w:rsidRPr="00DB63AF" w:rsidRDefault="001C51DD" w:rsidP="00DB63AF">
      <w:pPr>
        <w:rPr>
          <w:color w:val="000000" w:themeColor="text1"/>
          <w:sz w:val="22"/>
          <w:szCs w:val="22"/>
        </w:rPr>
      </w:pPr>
      <w:r>
        <w:rPr>
          <w:color w:val="000000" w:themeColor="text1"/>
          <w:sz w:val="22"/>
          <w:szCs w:val="22"/>
        </w:rPr>
        <w:t>ACLS</w:t>
      </w:r>
      <w:r w:rsidR="00DB63AF" w:rsidRPr="17FFD0FF">
        <w:rPr>
          <w:color w:val="000000" w:themeColor="text1"/>
          <w:sz w:val="22"/>
          <w:szCs w:val="22"/>
        </w:rPr>
        <w:t xml:space="preserve"> encourages Fair Share providers to review the</w:t>
      </w:r>
      <w:r w:rsidR="00DB63AF" w:rsidRPr="17FFD0FF">
        <w:rPr>
          <w:sz w:val="22"/>
          <w:szCs w:val="22"/>
        </w:rPr>
        <w:t xml:space="preserve"> </w:t>
      </w:r>
      <w:hyperlink r:id="rId31">
        <w:r w:rsidR="00DB63AF" w:rsidRPr="17FFD0FF">
          <w:rPr>
            <w:rStyle w:val="Hyperlink"/>
            <w:rFonts w:ascii="Aptos" w:hAnsi="Aptos"/>
            <w:sz w:val="22"/>
            <w:szCs w:val="22"/>
          </w:rPr>
          <w:t>Massachusetts English Language Proficiency Standards (MA ELPS)</w:t>
        </w:r>
      </w:hyperlink>
      <w:r w:rsidR="00DB63AF" w:rsidRPr="17FFD0FF">
        <w:rPr>
          <w:sz w:val="22"/>
          <w:szCs w:val="22"/>
        </w:rPr>
        <w:t xml:space="preserve">. The </w:t>
      </w:r>
      <w:hyperlink r:id="rId32">
        <w:r w:rsidR="00DB63AF" w:rsidRPr="17FFD0FF">
          <w:rPr>
            <w:rStyle w:val="Hyperlink"/>
            <w:rFonts w:ascii="Aptos" w:eastAsiaTheme="minorEastAsia" w:hAnsi="Aptos"/>
            <w:sz w:val="22"/>
            <w:szCs w:val="22"/>
          </w:rPr>
          <w:t>MA ELPS</w:t>
        </w:r>
      </w:hyperlink>
      <w:r w:rsidR="00DB63AF" w:rsidRPr="17FFD0FF">
        <w:rPr>
          <w:sz w:val="22"/>
          <w:szCs w:val="22"/>
        </w:rPr>
        <w:t xml:space="preserve"> combine college and career readiness skills and language skills into a single set of standards for English learners.</w:t>
      </w:r>
      <w:r w:rsidR="001E4C67">
        <w:rPr>
          <w:sz w:val="22"/>
          <w:szCs w:val="22"/>
        </w:rPr>
        <w:t xml:space="preserve"> </w:t>
      </w:r>
      <w:r w:rsidR="00A01E6C">
        <w:rPr>
          <w:sz w:val="22"/>
          <w:szCs w:val="22"/>
        </w:rPr>
        <w:t xml:space="preserve">Fair Share grantees </w:t>
      </w:r>
      <w:r w:rsidR="007C4DA9">
        <w:rPr>
          <w:sz w:val="22"/>
          <w:szCs w:val="22"/>
        </w:rPr>
        <w:t xml:space="preserve">that </w:t>
      </w:r>
      <w:r w:rsidR="00AB72F7">
        <w:rPr>
          <w:sz w:val="22"/>
          <w:szCs w:val="22"/>
        </w:rPr>
        <w:t xml:space="preserve">start working on curriculum alignment </w:t>
      </w:r>
      <w:r w:rsidR="00FC3405">
        <w:rPr>
          <w:sz w:val="22"/>
          <w:szCs w:val="22"/>
        </w:rPr>
        <w:t xml:space="preserve">will be better prepared </w:t>
      </w:r>
      <w:r w:rsidR="009551AC">
        <w:rPr>
          <w:sz w:val="22"/>
          <w:szCs w:val="22"/>
        </w:rPr>
        <w:t xml:space="preserve">to compete </w:t>
      </w:r>
      <w:r w:rsidR="00FC3405">
        <w:rPr>
          <w:sz w:val="22"/>
          <w:szCs w:val="22"/>
        </w:rPr>
        <w:t>for future funding op</w:t>
      </w:r>
      <w:r w:rsidR="009551AC">
        <w:rPr>
          <w:sz w:val="22"/>
          <w:szCs w:val="22"/>
        </w:rPr>
        <w:t xml:space="preserve">portunities. </w:t>
      </w:r>
      <w:r w:rsidR="00EC33BE">
        <w:rPr>
          <w:sz w:val="22"/>
          <w:szCs w:val="22"/>
        </w:rPr>
        <w:t xml:space="preserve">Providers can access </w:t>
      </w:r>
      <w:hyperlink r:id="rId33" w:history="1">
        <w:r w:rsidR="00ED6B2C" w:rsidRPr="00DE35EC">
          <w:rPr>
            <w:rStyle w:val="Hyperlink"/>
            <w:sz w:val="22"/>
            <w:szCs w:val="22"/>
          </w:rPr>
          <w:t>SABES</w:t>
        </w:r>
      </w:hyperlink>
      <w:r w:rsidR="00ED6B2C">
        <w:rPr>
          <w:sz w:val="22"/>
          <w:szCs w:val="22"/>
        </w:rPr>
        <w:t xml:space="preserve">, the Massachusetts Public Adult Education Professional </w:t>
      </w:r>
      <w:r w:rsidR="009E3E6C">
        <w:rPr>
          <w:sz w:val="22"/>
          <w:szCs w:val="22"/>
        </w:rPr>
        <w:t xml:space="preserve">Development Systems </w:t>
      </w:r>
      <w:r w:rsidR="00D61B59">
        <w:rPr>
          <w:sz w:val="22"/>
          <w:szCs w:val="22"/>
        </w:rPr>
        <w:t>for</w:t>
      </w:r>
      <w:r w:rsidR="009E3E6C">
        <w:rPr>
          <w:sz w:val="22"/>
          <w:szCs w:val="22"/>
        </w:rPr>
        <w:t xml:space="preserve"> </w:t>
      </w:r>
      <w:r w:rsidR="00B438FD">
        <w:rPr>
          <w:sz w:val="22"/>
          <w:szCs w:val="22"/>
        </w:rPr>
        <w:t>high-quality</w:t>
      </w:r>
      <w:r w:rsidR="00B52699">
        <w:rPr>
          <w:sz w:val="22"/>
          <w:szCs w:val="22"/>
        </w:rPr>
        <w:t xml:space="preserve"> curriculum</w:t>
      </w:r>
      <w:r w:rsidR="009E3E6C">
        <w:rPr>
          <w:sz w:val="22"/>
          <w:szCs w:val="22"/>
        </w:rPr>
        <w:t xml:space="preserve"> </w:t>
      </w:r>
      <w:r w:rsidR="008619EA">
        <w:rPr>
          <w:sz w:val="22"/>
          <w:szCs w:val="22"/>
        </w:rPr>
        <w:t>PD</w:t>
      </w:r>
      <w:r w:rsidR="009E3E6C">
        <w:rPr>
          <w:sz w:val="22"/>
          <w:szCs w:val="22"/>
        </w:rPr>
        <w:t>.</w:t>
      </w:r>
      <w:r w:rsidR="009466C5">
        <w:rPr>
          <w:sz w:val="22"/>
          <w:szCs w:val="22"/>
        </w:rPr>
        <w:t xml:space="preserve"> </w:t>
      </w:r>
    </w:p>
    <w:p w14:paraId="12C2F42A" w14:textId="0FCB0DD4" w:rsidR="00E142ED" w:rsidRPr="00E12822" w:rsidRDefault="00DB63AF" w:rsidP="00E142ED">
      <w:pPr>
        <w:shd w:val="clear" w:color="auto" w:fill="FFFFFF" w:themeFill="background1"/>
        <w:rPr>
          <w:rFonts w:ascii="Aptos" w:eastAsia="Calibri" w:hAnsi="Aptos"/>
          <w:sz w:val="22"/>
          <w:szCs w:val="22"/>
        </w:rPr>
      </w:pPr>
      <w:r w:rsidRPr="17FFD0FF">
        <w:rPr>
          <w:sz w:val="22"/>
          <w:szCs w:val="22"/>
        </w:rPr>
        <w:t xml:space="preserve">Programs offering remote </w:t>
      </w:r>
      <w:r w:rsidR="00B353A6" w:rsidRPr="17FFD0FF">
        <w:rPr>
          <w:sz w:val="22"/>
          <w:szCs w:val="22"/>
        </w:rPr>
        <w:t>class</w:t>
      </w:r>
      <w:r w:rsidR="008619EA">
        <w:rPr>
          <w:sz w:val="22"/>
          <w:szCs w:val="22"/>
        </w:rPr>
        <w:t>es</w:t>
      </w:r>
      <w:r w:rsidRPr="17FFD0FF">
        <w:rPr>
          <w:sz w:val="22"/>
          <w:szCs w:val="22"/>
        </w:rPr>
        <w:t xml:space="preserve"> may </w:t>
      </w:r>
      <w:r w:rsidR="00B353A6" w:rsidRPr="17FFD0FF">
        <w:rPr>
          <w:sz w:val="22"/>
          <w:szCs w:val="22"/>
        </w:rPr>
        <w:t xml:space="preserve">supplement instruction </w:t>
      </w:r>
      <w:r w:rsidRPr="17FFD0FF">
        <w:rPr>
          <w:sz w:val="22"/>
          <w:szCs w:val="22"/>
        </w:rPr>
        <w:t>us</w:t>
      </w:r>
      <w:r w:rsidR="00384805">
        <w:rPr>
          <w:sz w:val="22"/>
          <w:szCs w:val="22"/>
        </w:rPr>
        <w:t>ing</w:t>
      </w:r>
      <w:r w:rsidRPr="17FFD0FF">
        <w:rPr>
          <w:sz w:val="22"/>
          <w:szCs w:val="22"/>
        </w:rPr>
        <w:t xml:space="preserve"> a variety of resources (including online products such as EnGen, Burlington English, and Newsela) that enable students to access high quality, rigorous instruction and that best fit their academic needs. </w:t>
      </w:r>
      <w:r w:rsidR="00192D4C">
        <w:rPr>
          <w:sz w:val="22"/>
          <w:szCs w:val="22"/>
        </w:rPr>
        <w:t>ACLS</w:t>
      </w:r>
      <w:r w:rsidR="00192D4C" w:rsidRPr="17FFD0FF">
        <w:rPr>
          <w:sz w:val="22"/>
          <w:szCs w:val="22"/>
        </w:rPr>
        <w:t xml:space="preserve"> </w:t>
      </w:r>
      <w:r w:rsidRPr="17FFD0FF">
        <w:rPr>
          <w:sz w:val="22"/>
          <w:szCs w:val="22"/>
        </w:rPr>
        <w:t>does not mandate or approve use of individual online products. The choice of all instructional products is left to the discretion of local providers.</w:t>
      </w:r>
      <w:r w:rsidR="00E142ED" w:rsidRPr="17FFD0FF">
        <w:rPr>
          <w:sz w:val="22"/>
          <w:szCs w:val="22"/>
        </w:rPr>
        <w:t xml:space="preserve"> </w:t>
      </w:r>
      <w:r w:rsidR="00E142ED" w:rsidRPr="17FFD0FF">
        <w:rPr>
          <w:rFonts w:ascii="Aptos" w:eastAsia="Calibri" w:hAnsi="Aptos"/>
          <w:sz w:val="22"/>
          <w:szCs w:val="22"/>
        </w:rPr>
        <w:t>ACLS requires that all classes be primarily synchronous. Online products may supplement instruction.</w:t>
      </w:r>
    </w:p>
    <w:p w14:paraId="126F4BE5" w14:textId="184C9477" w:rsidR="00DB63AF" w:rsidRPr="00DB63AF" w:rsidRDefault="00DB63AF" w:rsidP="00DB63AF">
      <w:pPr>
        <w:rPr>
          <w:color w:val="000000" w:themeColor="text1"/>
          <w:sz w:val="22"/>
          <w:szCs w:val="22"/>
        </w:rPr>
      </w:pPr>
      <w:r w:rsidRPr="00DB63AF">
        <w:rPr>
          <w:color w:val="000000" w:themeColor="text1"/>
          <w:sz w:val="22"/>
          <w:szCs w:val="22"/>
        </w:rPr>
        <w:t xml:space="preserve">For more information on English language acquisition, see </w:t>
      </w:r>
      <w:hyperlink r:id="rId34">
        <w:r w:rsidRPr="00DB63AF">
          <w:rPr>
            <w:rStyle w:val="Hyperlink"/>
            <w:rFonts w:ascii="Aptos" w:eastAsiaTheme="minorEastAsia" w:hAnsi="Aptos"/>
            <w:sz w:val="22"/>
            <w:szCs w:val="22"/>
          </w:rPr>
          <w:t>ESOL | SABES</w:t>
        </w:r>
      </w:hyperlink>
      <w:r w:rsidRPr="00DB63AF">
        <w:rPr>
          <w:color w:val="000000" w:themeColor="text1"/>
          <w:sz w:val="22"/>
          <w:szCs w:val="22"/>
        </w:rPr>
        <w:t xml:space="preserve"> and </w:t>
      </w:r>
      <w:hyperlink r:id="rId35">
        <w:r w:rsidRPr="00DB63AF">
          <w:rPr>
            <w:rStyle w:val="Hyperlink"/>
            <w:rFonts w:ascii="Aptos" w:eastAsiaTheme="minorEastAsia" w:hAnsi="Aptos"/>
            <w:sz w:val="22"/>
            <w:szCs w:val="22"/>
          </w:rPr>
          <w:t>Adult Education and Family Literacy Act: English Language Acquisition -- March 2015 (PDF)</w:t>
        </w:r>
      </w:hyperlink>
      <w:r w:rsidRPr="00DB63AF">
        <w:rPr>
          <w:color w:val="000000" w:themeColor="text1"/>
          <w:sz w:val="22"/>
          <w:szCs w:val="22"/>
        </w:rPr>
        <w:t>.</w:t>
      </w:r>
    </w:p>
    <w:p w14:paraId="54CCC801" w14:textId="04DF6E41" w:rsidR="00DB63AF" w:rsidRPr="00DB63AF" w:rsidRDefault="00DB63AF" w:rsidP="00DB63AF">
      <w:pPr>
        <w:pStyle w:val="Heading2"/>
      </w:pPr>
      <w:bookmarkStart w:id="19" w:name="_Toc474234609"/>
      <w:bookmarkStart w:id="20" w:name="_Toc181170284"/>
      <w:bookmarkEnd w:id="19"/>
      <w:r w:rsidRPr="00DB63AF">
        <w:t>Integration of Workforce Preparation and Digital Literacy in ESOL Instruction</w:t>
      </w:r>
      <w:bookmarkEnd w:id="20"/>
    </w:p>
    <w:p w14:paraId="4F21B04B" w14:textId="484D5D31" w:rsidR="00DB63AF" w:rsidRPr="00DB63AF" w:rsidRDefault="00DB63AF" w:rsidP="00DB63AF">
      <w:pPr>
        <w:rPr>
          <w:sz w:val="22"/>
          <w:szCs w:val="22"/>
        </w:rPr>
      </w:pPr>
      <w:r w:rsidRPr="00DB63AF">
        <w:rPr>
          <w:sz w:val="22"/>
          <w:szCs w:val="22"/>
        </w:rPr>
        <w:t xml:space="preserve">Fair Share providers are required to integrate workforce preparation activities and digital literacy development at all levels of ESOL instruction so that students obtain the skills necessary for transitioning to college and careers and obtaining employment that leads to family-sustaining wages. </w:t>
      </w:r>
    </w:p>
    <w:p w14:paraId="58F0ADE4" w14:textId="77777777" w:rsidR="00DB63AF" w:rsidRPr="00DB63AF" w:rsidRDefault="00DB63AF" w:rsidP="00DB63AF">
      <w:pPr>
        <w:rPr>
          <w:color w:val="000000" w:themeColor="text1"/>
          <w:sz w:val="22"/>
          <w:szCs w:val="22"/>
        </w:rPr>
      </w:pPr>
      <w:r w:rsidRPr="00DB63AF">
        <w:rPr>
          <w:sz w:val="22"/>
          <w:szCs w:val="22"/>
        </w:rPr>
        <w:t xml:space="preserve">Workforce preparation is defined as </w:t>
      </w:r>
      <w:r w:rsidRPr="00DB63AF">
        <w:rPr>
          <w:color w:val="000000" w:themeColor="text1"/>
          <w:sz w:val="22"/>
          <w:szCs w:val="22"/>
        </w:rPr>
        <w:t>activities, programs, or services designed to help an individual acquire a combination of basic academic skills, critical thinking skills, digital literacy skills, and self-management skills, including competencies in utilizing resources, using information, working with others, understanding systems, and obtaining skills necessary for successful transition into and completion of postsecondary education.</w:t>
      </w:r>
    </w:p>
    <w:p w14:paraId="11D66901" w14:textId="46C32FE7" w:rsidR="00DB63AF" w:rsidRPr="00DB63AF" w:rsidRDefault="00DB63AF" w:rsidP="00DB63AF">
      <w:pPr>
        <w:rPr>
          <w:sz w:val="22"/>
          <w:szCs w:val="22"/>
        </w:rPr>
      </w:pPr>
      <w:r w:rsidRPr="00DB63AF">
        <w:rPr>
          <w:sz w:val="22"/>
          <w:szCs w:val="22"/>
        </w:rPr>
        <w:t xml:space="preserve">Digital literacy is defined as the skills associated with using technology to enable users to find, evaluate, organize, create, and communicate information. Digital literacy </w:t>
      </w:r>
      <w:r w:rsidRPr="00DB63AF">
        <w:rPr>
          <w:rStyle w:val="FootnoteReference"/>
          <w:rFonts w:ascii="Aptos" w:hAnsi="Aptos"/>
          <w:sz w:val="22"/>
          <w:szCs w:val="22"/>
        </w:rPr>
        <w:footnoteReference w:id="7"/>
      </w:r>
      <w:r w:rsidRPr="00DB63AF">
        <w:rPr>
          <w:color w:val="000000" w:themeColor="text1"/>
          <w:sz w:val="22"/>
          <w:szCs w:val="22"/>
        </w:rPr>
        <w:t xml:space="preserve"> means having the skills you need to live, learn, and work in a society where communication and access to information is increasingly </w:t>
      </w:r>
      <w:r w:rsidR="00731175">
        <w:rPr>
          <w:color w:val="000000" w:themeColor="text1"/>
          <w:sz w:val="22"/>
          <w:szCs w:val="22"/>
        </w:rPr>
        <w:t xml:space="preserve">done </w:t>
      </w:r>
      <w:r w:rsidRPr="00DB63AF">
        <w:rPr>
          <w:color w:val="000000" w:themeColor="text1"/>
          <w:sz w:val="22"/>
          <w:szCs w:val="22"/>
        </w:rPr>
        <w:t>through digital technologies like internet platforms, social media, and mobile devices.</w:t>
      </w:r>
      <w:r w:rsidRPr="00DB63AF">
        <w:rPr>
          <w:rStyle w:val="FootnoteReference"/>
          <w:rFonts w:ascii="Aptos" w:hAnsi="Aptos"/>
          <w:sz w:val="22"/>
          <w:szCs w:val="22"/>
        </w:rPr>
        <w:footnoteReference w:id="8"/>
      </w:r>
    </w:p>
    <w:p w14:paraId="7E8BC600" w14:textId="0E201A1F" w:rsidR="00DB63AF" w:rsidRPr="00DB63AF" w:rsidRDefault="00DB63AF" w:rsidP="00DB63AF">
      <w:pPr>
        <w:rPr>
          <w:sz w:val="22"/>
          <w:szCs w:val="22"/>
        </w:rPr>
      </w:pPr>
      <w:r w:rsidRPr="00DB63AF">
        <w:rPr>
          <w:sz w:val="22"/>
          <w:szCs w:val="22"/>
        </w:rPr>
        <w:lastRenderedPageBreak/>
        <w:t>The integration of digital literacy into curriculum and instruction is required in order to provide opportunities for students to explore, experiment, and develop expertise using real world applications for digital literacy while building their academic skills. Programs are expected to incorporate a variety of tools and technologies into the classroom to support learning.</w:t>
      </w:r>
    </w:p>
    <w:p w14:paraId="5337F95E" w14:textId="77777777" w:rsidR="00DB63AF" w:rsidRPr="00DB63AF" w:rsidRDefault="00DB63AF" w:rsidP="00DB63AF">
      <w:pPr>
        <w:rPr>
          <w:color w:val="000000" w:themeColor="text1"/>
          <w:sz w:val="22"/>
          <w:szCs w:val="22"/>
        </w:rPr>
      </w:pPr>
    </w:p>
    <w:p w14:paraId="25665F4B" w14:textId="2C0BD84A" w:rsidR="00DB63AF" w:rsidRPr="00DB63AF" w:rsidRDefault="00DB63AF" w:rsidP="0053717C">
      <w:pPr>
        <w:pStyle w:val="Heading1"/>
        <w:numPr>
          <w:ilvl w:val="0"/>
          <w:numId w:val="33"/>
        </w:numPr>
      </w:pPr>
      <w:r w:rsidRPr="00DB63AF">
        <w:t>Student Progress and Outcomes</w:t>
      </w:r>
    </w:p>
    <w:p w14:paraId="63629969" w14:textId="177670EE" w:rsidR="00DB63AF" w:rsidRPr="00DB63AF" w:rsidRDefault="00746AD2" w:rsidP="00DB63AF">
      <w:pPr>
        <w:rPr>
          <w:rFonts w:cs="Arial"/>
          <w:sz w:val="22"/>
          <w:szCs w:val="22"/>
        </w:rPr>
      </w:pPr>
      <w:r>
        <w:rPr>
          <w:rStyle w:val="cf01"/>
          <w:rFonts w:ascii="Aptos" w:eastAsiaTheme="majorEastAsia" w:hAnsi="Aptos"/>
          <w:sz w:val="22"/>
          <w:szCs w:val="22"/>
        </w:rPr>
        <w:t>A</w:t>
      </w:r>
      <w:r w:rsidR="00DB63AF" w:rsidRPr="00DB63AF">
        <w:rPr>
          <w:rStyle w:val="cf01"/>
          <w:rFonts w:ascii="Aptos" w:eastAsiaTheme="majorEastAsia" w:hAnsi="Aptos"/>
          <w:sz w:val="22"/>
          <w:szCs w:val="22"/>
        </w:rPr>
        <w:t xml:space="preserve">ll public adult education providers </w:t>
      </w:r>
      <w:r>
        <w:rPr>
          <w:rStyle w:val="cf01"/>
          <w:rFonts w:ascii="Aptos" w:eastAsiaTheme="majorEastAsia" w:hAnsi="Aptos"/>
          <w:sz w:val="22"/>
          <w:szCs w:val="22"/>
        </w:rPr>
        <w:t xml:space="preserve">are required to </w:t>
      </w:r>
      <w:r w:rsidR="00DB63AF" w:rsidRPr="00DB63AF">
        <w:rPr>
          <w:rStyle w:val="cf01"/>
          <w:rFonts w:ascii="Aptos" w:eastAsiaTheme="majorEastAsia" w:hAnsi="Aptos"/>
          <w:sz w:val="22"/>
          <w:szCs w:val="22"/>
        </w:rPr>
        <w:t>use standardized assessments to demonstrate students</w:t>
      </w:r>
      <w:r w:rsidR="00DB63AF" w:rsidRPr="00DB63AF">
        <w:rPr>
          <w:rStyle w:val="cf11"/>
          <w:rFonts w:ascii="Aptos" w:eastAsiaTheme="majorEastAsia" w:hAnsi="Aptos"/>
          <w:sz w:val="22"/>
          <w:szCs w:val="22"/>
        </w:rPr>
        <w:t>’</w:t>
      </w:r>
      <w:r w:rsidR="00DB63AF" w:rsidRPr="00DB63AF">
        <w:rPr>
          <w:rStyle w:val="cf01"/>
          <w:rFonts w:ascii="Aptos" w:eastAsiaTheme="majorEastAsia" w:hAnsi="Aptos"/>
          <w:sz w:val="22"/>
          <w:szCs w:val="22"/>
        </w:rPr>
        <w:t xml:space="preserve"> progress.</w:t>
      </w:r>
    </w:p>
    <w:p w14:paraId="58A430D4" w14:textId="16D3FB23" w:rsidR="00DB63AF" w:rsidRPr="00DB63AF" w:rsidRDefault="00746AD2" w:rsidP="00DB63AF">
      <w:pPr>
        <w:rPr>
          <w:rFonts w:cs="Arial"/>
          <w:sz w:val="22"/>
          <w:szCs w:val="22"/>
        </w:rPr>
      </w:pPr>
      <w:r>
        <w:rPr>
          <w:rStyle w:val="cf01"/>
          <w:rFonts w:ascii="Aptos" w:eastAsiaTheme="majorEastAsia" w:hAnsi="Aptos"/>
          <w:sz w:val="22"/>
          <w:szCs w:val="22"/>
        </w:rPr>
        <w:t>ACLS</w:t>
      </w:r>
      <w:r w:rsidRPr="17FFD0FF">
        <w:rPr>
          <w:rStyle w:val="cf01"/>
          <w:rFonts w:ascii="Aptos" w:eastAsiaTheme="majorEastAsia" w:hAnsi="Aptos"/>
          <w:sz w:val="22"/>
          <w:szCs w:val="22"/>
        </w:rPr>
        <w:t xml:space="preserve"> </w:t>
      </w:r>
      <w:r w:rsidR="00DB63AF" w:rsidRPr="17FFD0FF">
        <w:rPr>
          <w:rStyle w:val="cf01"/>
          <w:rFonts w:ascii="Aptos" w:eastAsiaTheme="majorEastAsia" w:hAnsi="Aptos"/>
          <w:sz w:val="22"/>
          <w:szCs w:val="22"/>
        </w:rPr>
        <w:t>has selected the English Test for Adults (ETA) as the standardized assessment for Fair Share students. ETA is a computer-based</w:t>
      </w:r>
      <w:r w:rsidR="00D03633">
        <w:rPr>
          <w:rStyle w:val="cf01"/>
          <w:rFonts w:ascii="Aptos" w:eastAsiaTheme="majorEastAsia" w:hAnsi="Aptos"/>
          <w:sz w:val="22"/>
          <w:szCs w:val="22"/>
        </w:rPr>
        <w:t xml:space="preserve"> adaptive</w:t>
      </w:r>
      <w:r w:rsidR="00DB63AF" w:rsidRPr="17FFD0FF">
        <w:rPr>
          <w:rStyle w:val="cf01"/>
          <w:rFonts w:ascii="Aptos" w:eastAsiaTheme="majorEastAsia" w:hAnsi="Aptos"/>
          <w:sz w:val="22"/>
          <w:szCs w:val="22"/>
        </w:rPr>
        <w:t xml:space="preserve"> </w:t>
      </w:r>
      <w:r w:rsidR="006C25CD" w:rsidRPr="17FFD0FF">
        <w:rPr>
          <w:rStyle w:val="cf01"/>
          <w:rFonts w:ascii="Aptos" w:eastAsiaTheme="majorEastAsia" w:hAnsi="Aptos"/>
          <w:sz w:val="22"/>
          <w:szCs w:val="22"/>
        </w:rPr>
        <w:t xml:space="preserve">reading </w:t>
      </w:r>
      <w:r w:rsidR="00DB63AF" w:rsidRPr="17FFD0FF">
        <w:rPr>
          <w:rStyle w:val="cf01"/>
          <w:rFonts w:ascii="Aptos" w:eastAsiaTheme="majorEastAsia" w:hAnsi="Aptos"/>
          <w:sz w:val="22"/>
          <w:szCs w:val="22"/>
        </w:rPr>
        <w:t xml:space="preserve">test being developed by the Center for Educational Assessment at the University of Massachusetts, Amherst for </w:t>
      </w:r>
      <w:r w:rsidR="00192D4C">
        <w:rPr>
          <w:rStyle w:val="cf01"/>
          <w:rFonts w:ascii="Aptos" w:eastAsiaTheme="majorEastAsia" w:hAnsi="Aptos"/>
          <w:sz w:val="22"/>
          <w:szCs w:val="22"/>
        </w:rPr>
        <w:t>ACLS</w:t>
      </w:r>
      <w:r w:rsidR="00DB63AF" w:rsidRPr="17FFD0FF">
        <w:rPr>
          <w:rStyle w:val="cf01"/>
          <w:rFonts w:ascii="Aptos" w:eastAsiaTheme="majorEastAsia" w:hAnsi="Aptos"/>
          <w:sz w:val="22"/>
          <w:szCs w:val="22"/>
        </w:rPr>
        <w:t xml:space="preserve">. </w:t>
      </w:r>
      <w:r w:rsidR="00C640FE" w:rsidRPr="17FFD0FF">
        <w:rPr>
          <w:rStyle w:val="cf01"/>
          <w:rFonts w:ascii="Aptos" w:eastAsiaTheme="majorEastAsia" w:hAnsi="Aptos"/>
          <w:sz w:val="22"/>
          <w:szCs w:val="22"/>
        </w:rPr>
        <w:t>ETA will be linked to LACES and student score</w:t>
      </w:r>
      <w:r w:rsidR="002414DF" w:rsidRPr="17FFD0FF">
        <w:rPr>
          <w:rStyle w:val="cf01"/>
          <w:rFonts w:ascii="Aptos" w:eastAsiaTheme="majorEastAsia" w:hAnsi="Aptos"/>
          <w:sz w:val="22"/>
          <w:szCs w:val="22"/>
        </w:rPr>
        <w:t xml:space="preserve">s will be automatically added to the students’ records within hours of the test administration. </w:t>
      </w:r>
      <w:r w:rsidR="00DB63AF" w:rsidRPr="17FFD0FF">
        <w:rPr>
          <w:rStyle w:val="cf01"/>
          <w:rFonts w:ascii="Aptos" w:eastAsiaTheme="majorEastAsia" w:hAnsi="Aptos"/>
          <w:sz w:val="22"/>
          <w:szCs w:val="22"/>
        </w:rPr>
        <w:t>The test and resources will be available to Fair Share programs at no cost by the start of the program year.</w:t>
      </w:r>
    </w:p>
    <w:p w14:paraId="11EB6257" w14:textId="77777777" w:rsidR="00DB63AF" w:rsidRPr="00DB63AF" w:rsidRDefault="00DB63AF" w:rsidP="00DB63AF">
      <w:pPr>
        <w:pStyle w:val="Heading2"/>
      </w:pPr>
      <w:r w:rsidRPr="00DB63AF">
        <w:t>Pre-Testing</w:t>
      </w:r>
    </w:p>
    <w:p w14:paraId="0E286938" w14:textId="5D5630A0" w:rsidR="00DB63AF" w:rsidRPr="00DB63AF" w:rsidRDefault="00DB63AF" w:rsidP="00DB63AF">
      <w:pPr>
        <w:rPr>
          <w:rStyle w:val="cf01"/>
          <w:rFonts w:ascii="Aptos" w:eastAsiaTheme="majorEastAsia" w:hAnsi="Aptos"/>
          <w:sz w:val="22"/>
          <w:szCs w:val="22"/>
        </w:rPr>
      </w:pPr>
      <w:r w:rsidRPr="00DB63AF">
        <w:rPr>
          <w:rStyle w:val="cf01"/>
          <w:rFonts w:ascii="Aptos" w:eastAsiaTheme="majorEastAsia" w:hAnsi="Aptos"/>
          <w:kern w:val="0"/>
          <w:sz w:val="22"/>
          <w:szCs w:val="22"/>
          <w14:ligatures w14:val="none"/>
        </w:rPr>
        <w:t xml:space="preserve">Students must be pre-tested within the first 12 hours of instruction. </w:t>
      </w:r>
      <w:r w:rsidR="00192D4C">
        <w:rPr>
          <w:rStyle w:val="cf01"/>
          <w:rFonts w:ascii="Aptos" w:eastAsiaTheme="majorEastAsia" w:hAnsi="Aptos"/>
          <w:kern w:val="0"/>
          <w:sz w:val="22"/>
          <w:szCs w:val="22"/>
          <w14:ligatures w14:val="none"/>
        </w:rPr>
        <w:t>ACLS</w:t>
      </w:r>
      <w:r w:rsidRPr="00DB63AF">
        <w:rPr>
          <w:rStyle w:val="cf01"/>
          <w:rFonts w:ascii="Aptos" w:eastAsiaTheme="majorEastAsia" w:hAnsi="Aptos"/>
          <w:kern w:val="0"/>
          <w:sz w:val="22"/>
          <w:szCs w:val="22"/>
          <w14:ligatures w14:val="none"/>
        </w:rPr>
        <w:t xml:space="preserve"> strongly recommends that</w:t>
      </w:r>
      <w:r w:rsidRPr="00DB63AF">
        <w:rPr>
          <w:rStyle w:val="cf01"/>
          <w:rFonts w:ascii="Aptos" w:eastAsiaTheme="majorEastAsia" w:hAnsi="Aptos"/>
          <w:sz w:val="22"/>
          <w:szCs w:val="22"/>
        </w:rPr>
        <w:t xml:space="preserve"> providers</w:t>
      </w:r>
      <w:r w:rsidRPr="00DB63AF">
        <w:rPr>
          <w:rStyle w:val="cf01"/>
          <w:rFonts w:ascii="Aptos" w:eastAsiaTheme="majorEastAsia" w:hAnsi="Aptos"/>
          <w:kern w:val="0"/>
          <w:sz w:val="22"/>
          <w:szCs w:val="22"/>
          <w14:ligatures w14:val="none"/>
        </w:rPr>
        <w:t xml:space="preserve"> pre-test students as soon as they are enrolled in the program or even prior to enrollment. </w:t>
      </w:r>
    </w:p>
    <w:p w14:paraId="5C0686E7" w14:textId="77777777" w:rsidR="00DB63AF" w:rsidRPr="00DB63AF" w:rsidRDefault="00DB63AF" w:rsidP="00DB63AF">
      <w:pPr>
        <w:pStyle w:val="Heading2"/>
      </w:pPr>
      <w:r w:rsidRPr="00DB63AF">
        <w:t>Post-Testing</w:t>
      </w:r>
    </w:p>
    <w:p w14:paraId="01722815" w14:textId="77777777" w:rsidR="00DB63AF" w:rsidRPr="00DB63AF" w:rsidRDefault="00DB63AF" w:rsidP="00DB63AF">
      <w:pPr>
        <w:rPr>
          <w:sz w:val="22"/>
          <w:szCs w:val="22"/>
        </w:rPr>
      </w:pPr>
      <w:r w:rsidRPr="00DB63AF">
        <w:rPr>
          <w:sz w:val="22"/>
          <w:szCs w:val="22"/>
        </w:rPr>
        <w:t xml:space="preserve">Students must have at least 65 hours of instruction before they are administered a post-test. Programs are required to post-test students at least once, but students must not be tested more than three times during the program year. </w:t>
      </w:r>
    </w:p>
    <w:p w14:paraId="0E993ECF" w14:textId="77777777" w:rsidR="00DB63AF" w:rsidRPr="00DB63AF" w:rsidRDefault="00DB63AF" w:rsidP="00DB63AF">
      <w:pPr>
        <w:rPr>
          <w:sz w:val="22"/>
          <w:szCs w:val="22"/>
        </w:rPr>
      </w:pPr>
      <w:r w:rsidRPr="00DB63AF">
        <w:rPr>
          <w:sz w:val="22"/>
          <w:szCs w:val="22"/>
        </w:rPr>
        <w:t xml:space="preserve">Programs have the option of administering a mid-year test if this aligns with the instructional and assessment needs of the student. </w:t>
      </w:r>
    </w:p>
    <w:p w14:paraId="542980AB" w14:textId="4E944BD5" w:rsidR="00DB63AF" w:rsidRPr="00DB63AF" w:rsidRDefault="00192D4C" w:rsidP="00DB63AF">
      <w:pPr>
        <w:rPr>
          <w:sz w:val="22"/>
          <w:szCs w:val="22"/>
        </w:rPr>
      </w:pPr>
      <w:r>
        <w:rPr>
          <w:sz w:val="22"/>
          <w:szCs w:val="22"/>
        </w:rPr>
        <w:t>ACLS</w:t>
      </w:r>
      <w:r w:rsidR="00DB63AF" w:rsidRPr="00DB63AF">
        <w:rPr>
          <w:sz w:val="22"/>
          <w:szCs w:val="22"/>
        </w:rPr>
        <w:t xml:space="preserve"> understands that there are valid reasons for occasionally post-testing earlier than the policy allows.</w:t>
      </w:r>
    </w:p>
    <w:p w14:paraId="6635B424" w14:textId="77777777" w:rsidR="00DB63AF" w:rsidRPr="002D3091" w:rsidRDefault="00DB63AF" w:rsidP="00DB63AF">
      <w:pPr>
        <w:pStyle w:val="Heading2"/>
      </w:pPr>
      <w:r w:rsidRPr="002D3091">
        <w:rPr>
          <w:rFonts w:hint="eastAsia"/>
        </w:rPr>
        <w:t>Post Exit Follow-up</w:t>
      </w:r>
    </w:p>
    <w:p w14:paraId="325116F4" w14:textId="2DE4EA12" w:rsidR="00DB63AF" w:rsidRPr="008F512E" w:rsidRDefault="008F512E" w:rsidP="00DB63AF">
      <w:pPr>
        <w:rPr>
          <w:color w:val="000000" w:themeColor="text1"/>
          <w:sz w:val="22"/>
          <w:szCs w:val="22"/>
        </w:rPr>
      </w:pPr>
      <w:r w:rsidRPr="002D3091">
        <w:rPr>
          <w:rFonts w:cs="Segoe UI"/>
          <w:sz w:val="22"/>
          <w:szCs w:val="22"/>
        </w:rPr>
        <w:t xml:space="preserve">ACLS encourages Fair Share providers to contact former students to assess the long-term impact of their adult education program. Post-exit follow-up regarding employment status, credential attainment, and enrollment in postsecondary education and training will be a requirement of future funding. Providers that develop this capacity during this grant will be better positioned to compete for </w:t>
      </w:r>
      <w:r w:rsidR="00B77338" w:rsidRPr="001D3487">
        <w:rPr>
          <w:rFonts w:cs="Segoe UI"/>
          <w:sz w:val="22"/>
          <w:szCs w:val="22"/>
        </w:rPr>
        <w:t>f</w:t>
      </w:r>
      <w:r w:rsidR="00154919" w:rsidRPr="001D3487">
        <w:rPr>
          <w:rFonts w:cs="Segoe UI"/>
          <w:sz w:val="22"/>
          <w:szCs w:val="22"/>
        </w:rPr>
        <w:t>unding</w:t>
      </w:r>
      <w:r w:rsidR="00DB63AF" w:rsidRPr="002D3091">
        <w:rPr>
          <w:color w:val="000000" w:themeColor="text1"/>
          <w:sz w:val="22"/>
          <w:szCs w:val="22"/>
        </w:rPr>
        <w:t>.</w:t>
      </w:r>
    </w:p>
    <w:p w14:paraId="132F9AC9" w14:textId="20D014DB" w:rsidR="00DB63AF" w:rsidRPr="00DB63AF" w:rsidRDefault="00DB63AF" w:rsidP="0053717C">
      <w:pPr>
        <w:pStyle w:val="Heading1"/>
        <w:numPr>
          <w:ilvl w:val="0"/>
          <w:numId w:val="33"/>
        </w:numPr>
      </w:pPr>
      <w:r w:rsidRPr="00DB63AF">
        <w:lastRenderedPageBreak/>
        <w:t>Advising and Student Support Services</w:t>
      </w:r>
      <w:r w:rsidRPr="00DB63AF" w:rsidDel="000C26FD">
        <w:t xml:space="preserve"> </w:t>
      </w:r>
      <w:bookmarkStart w:id="21" w:name="_Hlk2773251"/>
    </w:p>
    <w:bookmarkEnd w:id="21"/>
    <w:p w14:paraId="2451BB95" w14:textId="77777777" w:rsidR="00DB63AF" w:rsidRPr="00DB63AF" w:rsidRDefault="00DB63AF" w:rsidP="00DB63AF">
      <w:pPr>
        <w:rPr>
          <w:rFonts w:eastAsiaTheme="minorEastAsia"/>
          <w:b/>
          <w:bCs/>
          <w:i/>
          <w:iCs/>
          <w:sz w:val="22"/>
          <w:szCs w:val="22"/>
        </w:rPr>
      </w:pPr>
      <w:r w:rsidRPr="00DB63AF">
        <w:rPr>
          <w:sz w:val="22"/>
          <w:szCs w:val="22"/>
        </w:rPr>
        <w:t>The importance of advising should not be underestimated. DeSouza states that “Academic advisors can play an integral role in promoting student success by assisting students in ways that encourage them to engage in the right kinds of activities, inside and outside the classroom.”</w:t>
      </w:r>
      <w:r w:rsidRPr="00DB63AF">
        <w:rPr>
          <w:rStyle w:val="FootnoteReference"/>
          <w:rFonts w:ascii="Aptos" w:hAnsi="Aptos"/>
          <w:sz w:val="22"/>
          <w:szCs w:val="22"/>
        </w:rPr>
        <w:footnoteReference w:id="9"/>
      </w:r>
      <w:r w:rsidRPr="00DB63AF">
        <w:rPr>
          <w:sz w:val="22"/>
          <w:szCs w:val="22"/>
        </w:rPr>
        <w:t xml:space="preserve">  Light supports that notion, noting further that “Good advising may be the single most underestimated characteristic of a successful college experience.”</w:t>
      </w:r>
      <w:r w:rsidRPr="00DB63AF">
        <w:rPr>
          <w:rStyle w:val="FootnoteReference"/>
          <w:rFonts w:ascii="Aptos" w:hAnsi="Aptos"/>
          <w:sz w:val="22"/>
          <w:szCs w:val="22"/>
        </w:rPr>
        <w:footnoteReference w:id="10"/>
      </w:r>
    </w:p>
    <w:p w14:paraId="0B1F5E9A" w14:textId="68D2B2C2" w:rsidR="00DB63AF" w:rsidRPr="00DB63AF" w:rsidRDefault="00DB63AF" w:rsidP="00DB63AF">
      <w:pPr>
        <w:pStyle w:val="Heading2"/>
      </w:pPr>
      <w:bookmarkStart w:id="22" w:name="_Toc181170293"/>
      <w:r w:rsidRPr="00DB63AF">
        <w:t>Advising</w:t>
      </w:r>
      <w:bookmarkEnd w:id="22"/>
    </w:p>
    <w:p w14:paraId="4D7D021A" w14:textId="77777777" w:rsidR="00DB63AF" w:rsidRPr="00DB63AF" w:rsidRDefault="00DB63AF" w:rsidP="00DB63AF">
      <w:pPr>
        <w:rPr>
          <w:sz w:val="22"/>
          <w:szCs w:val="22"/>
        </w:rPr>
      </w:pPr>
      <w:r w:rsidRPr="00DB63AF">
        <w:rPr>
          <w:sz w:val="22"/>
          <w:szCs w:val="22"/>
        </w:rPr>
        <w:t xml:space="preserve">ACLS requires that advising be available to all students. At a minimum, advising services must address: </w:t>
      </w:r>
    </w:p>
    <w:p w14:paraId="4FC67636" w14:textId="77777777" w:rsidR="00DB63AF" w:rsidRPr="00DB63AF" w:rsidRDefault="00DB63AF" w:rsidP="00DB63AF">
      <w:pPr>
        <w:rPr>
          <w:rFonts w:cs="Times New Roman"/>
          <w:sz w:val="22"/>
          <w:szCs w:val="22"/>
        </w:rPr>
      </w:pPr>
      <w:r w:rsidRPr="00DB63AF">
        <w:rPr>
          <w:rFonts w:eastAsia="Times New Roman" w:cs="Times New Roman"/>
          <w:sz w:val="22"/>
          <w:szCs w:val="22"/>
        </w:rPr>
        <w:t>Development of career pathways that allow students to make informed decisions regarding postsecondary education, training, and/or employment;</w:t>
      </w:r>
    </w:p>
    <w:p w14:paraId="0BB1DC7F" w14:textId="77777777" w:rsidR="00DB63AF" w:rsidRPr="00DB63AF" w:rsidRDefault="00DB63AF" w:rsidP="00DB63AF">
      <w:pPr>
        <w:rPr>
          <w:rFonts w:cs="Times New Roman"/>
          <w:sz w:val="22"/>
          <w:szCs w:val="22"/>
        </w:rPr>
      </w:pPr>
      <w:r w:rsidRPr="00DB63AF">
        <w:rPr>
          <w:rFonts w:cs="Times New Roman"/>
          <w:sz w:val="22"/>
          <w:szCs w:val="22"/>
        </w:rPr>
        <w:t>Barriers to participation by referring students to outside social service agencies; and</w:t>
      </w:r>
    </w:p>
    <w:p w14:paraId="4164B6AC" w14:textId="77777777" w:rsidR="00DB63AF" w:rsidRPr="00DB63AF" w:rsidRDefault="00DB63AF" w:rsidP="00DB63AF">
      <w:pPr>
        <w:rPr>
          <w:rFonts w:cs="Times New Roman"/>
          <w:sz w:val="22"/>
          <w:szCs w:val="22"/>
        </w:rPr>
      </w:pPr>
      <w:r w:rsidRPr="00DB63AF">
        <w:rPr>
          <w:rFonts w:cs="Times New Roman"/>
          <w:sz w:val="22"/>
          <w:szCs w:val="22"/>
        </w:rPr>
        <w:t>Collaboration among advisors and instructors to create a culture of student self-efficacy and persistence.</w:t>
      </w:r>
    </w:p>
    <w:p w14:paraId="3207342B" w14:textId="3A90E100" w:rsidR="00DB63AF" w:rsidRPr="00DB63AF" w:rsidRDefault="00DB63AF" w:rsidP="00DB63AF">
      <w:pPr>
        <w:rPr>
          <w:color w:val="222222"/>
          <w:sz w:val="22"/>
          <w:szCs w:val="22"/>
        </w:rPr>
      </w:pPr>
      <w:r w:rsidRPr="00DB63AF">
        <w:rPr>
          <w:sz w:val="22"/>
          <w:szCs w:val="22"/>
        </w:rPr>
        <w:t xml:space="preserve">For more information on advising, see </w:t>
      </w:r>
      <w:r w:rsidRPr="00DB63AF">
        <w:rPr>
          <w:color w:val="222222"/>
          <w:sz w:val="22"/>
          <w:szCs w:val="22"/>
        </w:rPr>
        <w:t xml:space="preserve">Indicator #7 of the </w:t>
      </w:r>
      <w:hyperlink r:id="rId36" w:history="1">
        <w:r w:rsidRPr="00DB63AF">
          <w:rPr>
            <w:rStyle w:val="Hyperlink"/>
            <w:rFonts w:ascii="Aptos" w:hAnsi="Aptos"/>
            <w:sz w:val="22"/>
            <w:szCs w:val="22"/>
          </w:rPr>
          <w:t>Indicators of Program Quality</w:t>
        </w:r>
      </w:hyperlink>
      <w:r w:rsidRPr="00DB63AF">
        <w:rPr>
          <w:color w:val="222222"/>
          <w:sz w:val="22"/>
          <w:szCs w:val="22"/>
        </w:rPr>
        <w:t xml:space="preserve"> (IPQs) and </w:t>
      </w:r>
      <w:hyperlink r:id="rId37">
        <w:hyperlink r:id="rId38" w:history="1">
          <w:r w:rsidRPr="00DB63AF">
            <w:rPr>
              <w:rStyle w:val="Hyperlink"/>
              <w:rFonts w:ascii="Aptos" w:hAnsi="Aptos"/>
              <w:sz w:val="22"/>
              <w:szCs w:val="22"/>
            </w:rPr>
            <w:t>Advising and Student Support Services - Adult and Community Learning Services (ACLS)</w:t>
          </w:r>
        </w:hyperlink>
        <w:r w:rsidRPr="00DB63AF">
          <w:rPr>
            <w:rStyle w:val="Hyperlink"/>
            <w:rFonts w:ascii="Aptos" w:hAnsi="Aptos"/>
            <w:color w:val="auto"/>
            <w:sz w:val="22"/>
            <w:szCs w:val="22"/>
            <w:u w:val="none"/>
          </w:rPr>
          <w:t>.</w:t>
        </w:r>
      </w:hyperlink>
    </w:p>
    <w:p w14:paraId="5969226C" w14:textId="77777777" w:rsidR="00DB63AF" w:rsidRPr="00DB63AF" w:rsidRDefault="00DB63AF" w:rsidP="00DB63AF">
      <w:pPr>
        <w:rPr>
          <w:i/>
          <w:iCs/>
          <w:sz w:val="22"/>
          <w:szCs w:val="22"/>
        </w:rPr>
      </w:pPr>
    </w:p>
    <w:p w14:paraId="315A6A0B" w14:textId="7EB46F3E" w:rsidR="00DB63AF" w:rsidRPr="00DB63AF" w:rsidRDefault="00DB63AF" w:rsidP="0053717C">
      <w:pPr>
        <w:pStyle w:val="Heading1"/>
        <w:numPr>
          <w:ilvl w:val="0"/>
          <w:numId w:val="33"/>
        </w:numPr>
      </w:pPr>
      <w:bookmarkStart w:id="23" w:name="_Toc181170295"/>
      <w:r w:rsidRPr="00DB63AF">
        <w:t>Organizational Support</w:t>
      </w:r>
      <w:r w:rsidRPr="00DB63AF" w:rsidDel="00266D18">
        <w:t xml:space="preserve"> </w:t>
      </w:r>
      <w:bookmarkEnd w:id="23"/>
    </w:p>
    <w:p w14:paraId="2AB2D5A0" w14:textId="720676CD" w:rsidR="00DB63AF" w:rsidRPr="00DB63AF" w:rsidRDefault="00DB63AF" w:rsidP="00DB63AF">
      <w:pPr>
        <w:rPr>
          <w:sz w:val="22"/>
          <w:szCs w:val="22"/>
        </w:rPr>
      </w:pPr>
      <w:r w:rsidRPr="00DB63AF">
        <w:rPr>
          <w:sz w:val="22"/>
          <w:szCs w:val="22"/>
        </w:rPr>
        <w:t>The success of an AE program rests on the effective implementation of policy requirements derived from multiple sources (e.g., federal legislation, state regulations, research, data). Grantees, including sites and subgrantees, are required to abide by federal and state policies. Consequences for failing to abide by these policies may include</w:t>
      </w:r>
      <w:r w:rsidR="00336FDE">
        <w:rPr>
          <w:sz w:val="22"/>
          <w:szCs w:val="22"/>
        </w:rPr>
        <w:t>,</w:t>
      </w:r>
      <w:r w:rsidRPr="00DB63AF">
        <w:rPr>
          <w:sz w:val="22"/>
          <w:szCs w:val="22"/>
        </w:rPr>
        <w:t xml:space="preserve"> but are not limited to</w:t>
      </w:r>
      <w:r w:rsidR="00336FDE">
        <w:rPr>
          <w:sz w:val="22"/>
          <w:szCs w:val="22"/>
        </w:rPr>
        <w:t>,</w:t>
      </w:r>
      <w:r w:rsidRPr="00DB63AF">
        <w:rPr>
          <w:sz w:val="22"/>
          <w:szCs w:val="22"/>
        </w:rPr>
        <w:t xml:space="preserve"> conditional funding, corrective action, withholding of funds, grant reduction, or grant termination.</w:t>
      </w:r>
    </w:p>
    <w:p w14:paraId="29BA25FB" w14:textId="3B39400A" w:rsidR="00DB63AF" w:rsidRPr="00DB63AF" w:rsidRDefault="00DB63AF" w:rsidP="00DB63AF">
      <w:pPr>
        <w:pStyle w:val="Heading2"/>
      </w:pPr>
      <w:bookmarkStart w:id="24" w:name="_Toc181170296"/>
      <w:r w:rsidRPr="00DB63AF">
        <w:t>Program Governance</w:t>
      </w:r>
      <w:bookmarkEnd w:id="24"/>
    </w:p>
    <w:p w14:paraId="654FD344" w14:textId="77777777" w:rsidR="00DB63AF" w:rsidRPr="00DB63AF" w:rsidRDefault="00DB63AF" w:rsidP="00DB63AF">
      <w:pPr>
        <w:rPr>
          <w:sz w:val="22"/>
          <w:szCs w:val="22"/>
        </w:rPr>
      </w:pPr>
      <w:r w:rsidRPr="00DB63AF">
        <w:rPr>
          <w:sz w:val="22"/>
          <w:szCs w:val="22"/>
        </w:rPr>
        <w:t>ACLS requires that programs provide accountability to an active governing board which has decision making authority, including fiduciary responsibility, whose membership is different from the program’s operating staff.</w:t>
      </w:r>
    </w:p>
    <w:p w14:paraId="482793DF" w14:textId="77777777" w:rsidR="00DB63AF" w:rsidRPr="00DB63AF" w:rsidRDefault="00DB63AF" w:rsidP="00DB63AF">
      <w:pPr>
        <w:rPr>
          <w:sz w:val="22"/>
          <w:szCs w:val="22"/>
        </w:rPr>
      </w:pPr>
      <w:r w:rsidRPr="00DB63AF">
        <w:rPr>
          <w:sz w:val="22"/>
          <w:szCs w:val="22"/>
        </w:rPr>
        <w:t xml:space="preserve">In the case of public agencies, the board and related protocol requirements are fulfilled by public oversight bodies (e.g., school committees). In the case of private, non-profit organizations, the </w:t>
      </w:r>
      <w:r w:rsidRPr="00DB63AF">
        <w:rPr>
          <w:sz w:val="22"/>
          <w:szCs w:val="22"/>
        </w:rPr>
        <w:lastRenderedPageBreak/>
        <w:t>board must be significantly independent of the program director and ensure proper review and approval of the program’s expenditures. The board must have documented protocols for hiring and evaluating the program director and for checks and balances on the director’s policy and decision-making authority (e.g., procedures must specify the amount at which checks must be co-signed by a member of the board).</w:t>
      </w:r>
    </w:p>
    <w:p w14:paraId="05A9AA3F" w14:textId="13388F0A" w:rsidR="00DB63AF" w:rsidRDefault="00DB63AF" w:rsidP="0053717C">
      <w:pPr>
        <w:pStyle w:val="Heading1"/>
        <w:numPr>
          <w:ilvl w:val="0"/>
          <w:numId w:val="33"/>
        </w:numPr>
      </w:pPr>
      <w:r w:rsidRPr="00DB63AF">
        <w:t>Fiscal and Data Accountability</w:t>
      </w:r>
    </w:p>
    <w:p w14:paraId="17DBC222" w14:textId="496E0FF8" w:rsidR="00DB63AF" w:rsidRPr="00DB63AF" w:rsidRDefault="00DB63AF" w:rsidP="00DB63AF">
      <w:pPr>
        <w:rPr>
          <w:sz w:val="22"/>
          <w:szCs w:val="22"/>
        </w:rPr>
      </w:pPr>
      <w:bookmarkStart w:id="25" w:name="_Toc478457036"/>
      <w:bookmarkStart w:id="26" w:name="_Toc478457035"/>
      <w:r w:rsidRPr="00DB63AF">
        <w:rPr>
          <w:sz w:val="22"/>
          <w:szCs w:val="22"/>
        </w:rPr>
        <w:t xml:space="preserve">The success of an AE program rests on the effective implementation of policy requirements derived from multiple sources (e.g., federal legislation, state regulations, research, data). Organizations that accept funds (i.e., a contract, a grant) from </w:t>
      </w:r>
      <w:r w:rsidR="00D91964">
        <w:rPr>
          <w:sz w:val="22"/>
          <w:szCs w:val="22"/>
        </w:rPr>
        <w:t>ACLS</w:t>
      </w:r>
      <w:r w:rsidRPr="00DB63AF">
        <w:rPr>
          <w:sz w:val="22"/>
          <w:szCs w:val="22"/>
        </w:rPr>
        <w:t xml:space="preserve"> are accountable for spending public funds appropriately, maintaining sound, stable financial conditions, and operating in a financially responsible and transparent manner </w:t>
      </w:r>
      <w:r w:rsidRPr="00DB63AF">
        <w:rPr>
          <w:color w:val="000000" w:themeColor="text1"/>
          <w:sz w:val="22"/>
          <w:szCs w:val="22"/>
        </w:rPr>
        <w:t xml:space="preserve">with </w:t>
      </w:r>
      <w:r w:rsidRPr="00DB63AF">
        <w:rPr>
          <w:sz w:val="22"/>
          <w:szCs w:val="22"/>
        </w:rPr>
        <w:t>data integrity. Grantees, including sites and subgrantees, that fail to abide by federal and state policies will face consequences including but not limited to conditional funding, corrective action, withholding of funds, grant reduction, or grant termination.</w:t>
      </w:r>
    </w:p>
    <w:p w14:paraId="50DA7607" w14:textId="77777777" w:rsidR="00DB63AF" w:rsidRPr="00DB63AF" w:rsidRDefault="00DB63AF" w:rsidP="00813FAC">
      <w:pPr>
        <w:pStyle w:val="Heading2"/>
      </w:pPr>
      <w:bookmarkStart w:id="27" w:name="_Hlk36460181"/>
      <w:bookmarkStart w:id="28" w:name="_Toc181170310"/>
      <w:r w:rsidRPr="00DB63AF">
        <w:t>Fiscal Responsibilities and Grant Administration</w:t>
      </w:r>
      <w:bookmarkEnd w:id="27"/>
      <w:bookmarkEnd w:id="28"/>
    </w:p>
    <w:p w14:paraId="67EEBA57" w14:textId="0447499C" w:rsidR="00DB63AF" w:rsidRPr="00DB63AF" w:rsidRDefault="00DB63AF" w:rsidP="00DB63AF">
      <w:pPr>
        <w:rPr>
          <w:color w:val="000000" w:themeColor="text1"/>
          <w:sz w:val="22"/>
          <w:szCs w:val="22"/>
        </w:rPr>
      </w:pPr>
      <w:r w:rsidRPr="17FFD0FF">
        <w:rPr>
          <w:color w:val="000000" w:themeColor="text1"/>
          <w:sz w:val="22"/>
          <w:szCs w:val="22"/>
        </w:rPr>
        <w:t>Grantees must comply with the terms, conditions, and regulations accompanying the grant award, accept full legal responsibility for the administration of the project, and meet all stated performance requirements</w:t>
      </w:r>
      <w:r w:rsidRPr="17FFD0FF">
        <w:rPr>
          <w:rFonts w:cs="Arial"/>
          <w:color w:val="000000" w:themeColor="text1"/>
          <w:sz w:val="22"/>
          <w:szCs w:val="22"/>
        </w:rPr>
        <w:t xml:space="preserve">. </w:t>
      </w:r>
      <w:r w:rsidRPr="17FFD0FF">
        <w:rPr>
          <w:color w:val="000000" w:themeColor="text1"/>
          <w:sz w:val="22"/>
          <w:szCs w:val="22"/>
        </w:rPr>
        <w:t xml:space="preserve">Therefore, it is essential that grantees make every effort to follow sound management practices and policies throughout the entire grant cycle. Grantees must ensure that </w:t>
      </w:r>
      <w:r w:rsidR="00D91964">
        <w:rPr>
          <w:color w:val="000000" w:themeColor="text1"/>
          <w:sz w:val="22"/>
          <w:szCs w:val="22"/>
        </w:rPr>
        <w:t>ACLS</w:t>
      </w:r>
      <w:r w:rsidRPr="17FFD0FF">
        <w:rPr>
          <w:color w:val="000000" w:themeColor="text1"/>
          <w:sz w:val="22"/>
          <w:szCs w:val="22"/>
        </w:rPr>
        <w:t xml:space="preserve"> grants are managed with sound, stable fiscal practices documented in a comprehensive system of written internal policies and procedures (i.e., controls) that meet state and federal requirements and support the reporting of financial results annually. See </w:t>
      </w:r>
      <w:hyperlink r:id="rId39">
        <w:r w:rsidRPr="17FFD0FF">
          <w:rPr>
            <w:rStyle w:val="Hyperlink"/>
            <w:sz w:val="22"/>
            <w:szCs w:val="22"/>
          </w:rPr>
          <w:t>2 CFR Part 200.302</w:t>
        </w:r>
      </w:hyperlink>
      <w:r w:rsidRPr="17FFD0FF">
        <w:rPr>
          <w:color w:val="000000" w:themeColor="text1"/>
          <w:sz w:val="22"/>
          <w:szCs w:val="22"/>
        </w:rPr>
        <w:t xml:space="preserve"> for more information. (Note: All requirements that apply to </w:t>
      </w:r>
      <w:r w:rsidR="00192D4C">
        <w:rPr>
          <w:color w:val="000000" w:themeColor="text1"/>
          <w:sz w:val="22"/>
          <w:szCs w:val="22"/>
        </w:rPr>
        <w:t>ACLS</w:t>
      </w:r>
      <w:r w:rsidRPr="17FFD0FF">
        <w:rPr>
          <w:color w:val="000000" w:themeColor="text1"/>
          <w:sz w:val="22"/>
          <w:szCs w:val="22"/>
        </w:rPr>
        <w:t xml:space="preserve"> grant funds also apply to match funds.)</w:t>
      </w:r>
    </w:p>
    <w:p w14:paraId="6D8BAA78" w14:textId="12A2D6B6" w:rsidR="00DB63AF" w:rsidRPr="00DB63AF" w:rsidRDefault="00DB63AF" w:rsidP="00DB63AF">
      <w:pPr>
        <w:rPr>
          <w:color w:val="000000" w:themeColor="text1"/>
          <w:sz w:val="22"/>
          <w:szCs w:val="22"/>
        </w:rPr>
      </w:pPr>
      <w:r w:rsidRPr="00DB63AF">
        <w:rPr>
          <w:sz w:val="22"/>
          <w:szCs w:val="22"/>
        </w:rPr>
        <w:t>Grantees must have an accounting system that maintains separate and auditable records for each award receive</w:t>
      </w:r>
      <w:r w:rsidR="00C32A7A">
        <w:rPr>
          <w:sz w:val="22"/>
          <w:szCs w:val="22"/>
        </w:rPr>
        <w:t>d</w:t>
      </w:r>
      <w:r w:rsidRPr="00DB63AF">
        <w:rPr>
          <w:sz w:val="22"/>
          <w:szCs w:val="22"/>
        </w:rPr>
        <w:t xml:space="preserve">. An effective accounting system tracks revenue and expenditures to demonstrate that funds were used appropriately and according to the approved budget. Specifically, the accounting system must be able to provide data to prepare federal, state, and </w:t>
      </w:r>
      <w:r w:rsidR="00D91964">
        <w:rPr>
          <w:sz w:val="22"/>
          <w:szCs w:val="22"/>
        </w:rPr>
        <w:t>ACLS</w:t>
      </w:r>
      <w:r w:rsidRPr="00DB63AF">
        <w:rPr>
          <w:sz w:val="22"/>
          <w:szCs w:val="22"/>
        </w:rPr>
        <w:t xml:space="preserve"> reports. These reports include budget versus actual, time and effort, and final financial reports</w:t>
      </w:r>
      <w:r w:rsidRPr="00DB63AF">
        <w:rPr>
          <w:color w:val="000000" w:themeColor="text1"/>
          <w:sz w:val="22"/>
          <w:szCs w:val="22"/>
        </w:rPr>
        <w:t xml:space="preserve">. Grantees must have effective control and accountability over all funds, property, and assets and written procedures in place that can be used to determine allowable costs under the cost principles in </w:t>
      </w:r>
      <w:hyperlink r:id="rId40">
        <w:r w:rsidRPr="00DB63AF">
          <w:rPr>
            <w:rStyle w:val="Hyperlink"/>
            <w:sz w:val="22"/>
            <w:szCs w:val="22"/>
          </w:rPr>
          <w:t>2 CFR Part 200 Subpart E</w:t>
        </w:r>
      </w:hyperlink>
      <w:r w:rsidRPr="00DB63AF">
        <w:rPr>
          <w:color w:val="000000" w:themeColor="text1"/>
          <w:sz w:val="22"/>
          <w:szCs w:val="22"/>
        </w:rPr>
        <w:t>. By maintaining such an accounting system, grantees ensure that all grant funds are expended according to applicable regulations.</w:t>
      </w:r>
    </w:p>
    <w:p w14:paraId="0055556A" w14:textId="6A773F66" w:rsidR="00DB63AF" w:rsidRPr="00DB63AF" w:rsidRDefault="00DB63AF" w:rsidP="00DB63AF">
      <w:pPr>
        <w:rPr>
          <w:sz w:val="22"/>
          <w:szCs w:val="22"/>
        </w:rPr>
      </w:pPr>
      <w:r w:rsidRPr="00DB63AF">
        <w:rPr>
          <w:sz w:val="22"/>
          <w:szCs w:val="22"/>
        </w:rPr>
        <w:t>Grantees may budget for subawards</w:t>
      </w:r>
      <w:r w:rsidRPr="00DB63AF">
        <w:rPr>
          <w:rStyle w:val="FootnoteReference"/>
          <w:sz w:val="22"/>
          <w:szCs w:val="22"/>
        </w:rPr>
        <w:footnoteReference w:id="11"/>
      </w:r>
      <w:r w:rsidRPr="00DB63AF">
        <w:rPr>
          <w:sz w:val="22"/>
          <w:szCs w:val="22"/>
        </w:rPr>
        <w:t xml:space="preserve"> including subgrants and subcontracts. A subaward is for the purpose of carrying out a portion of a federal award and it creates a relationship with the grantee. </w:t>
      </w:r>
      <w:r w:rsidRPr="17FFD0FF">
        <w:rPr>
          <w:sz w:val="22"/>
          <w:szCs w:val="22"/>
        </w:rPr>
        <w:lastRenderedPageBreak/>
        <w:t xml:space="preserve">Major subawards do not incur indirect costs to the same degree as other activities. The definition of a major subaward is one that exceeds $25,000 in expenditures per year. Generally, only the passthrough agency (i.e., </w:t>
      </w:r>
      <w:r w:rsidR="00192D4C">
        <w:rPr>
          <w:sz w:val="22"/>
          <w:szCs w:val="22"/>
        </w:rPr>
        <w:t>ACLS</w:t>
      </w:r>
      <w:r w:rsidRPr="17FFD0FF">
        <w:rPr>
          <w:sz w:val="22"/>
          <w:szCs w:val="22"/>
        </w:rPr>
        <w:t xml:space="preserve">) may subaward grant funds, however, in special circumstances </w:t>
      </w:r>
      <w:r w:rsidR="00192D4C">
        <w:rPr>
          <w:sz w:val="22"/>
          <w:szCs w:val="22"/>
        </w:rPr>
        <w:t>ACLS</w:t>
      </w:r>
      <w:r w:rsidRPr="17FFD0FF">
        <w:rPr>
          <w:sz w:val="22"/>
          <w:szCs w:val="22"/>
        </w:rPr>
        <w:t xml:space="preserve"> may approve the grantee to subaward grant funds.</w:t>
      </w:r>
    </w:p>
    <w:p w14:paraId="604E14E6" w14:textId="77777777" w:rsidR="00DB63AF" w:rsidRPr="00DB63AF" w:rsidRDefault="00DB63AF" w:rsidP="00813FAC">
      <w:pPr>
        <w:pStyle w:val="Heading2"/>
      </w:pPr>
      <w:bookmarkStart w:id="29" w:name="_Toc181170311"/>
      <w:r w:rsidRPr="00DB63AF">
        <w:t>Record Keeping</w:t>
      </w:r>
      <w:bookmarkEnd w:id="29"/>
    </w:p>
    <w:p w14:paraId="2E84B28B" w14:textId="77777777" w:rsidR="00DB63AF" w:rsidRPr="00DB63AF" w:rsidRDefault="00DB63AF" w:rsidP="00DB63AF">
      <w:pPr>
        <w:rPr>
          <w:sz w:val="22"/>
          <w:szCs w:val="22"/>
        </w:rPr>
      </w:pPr>
      <w:r w:rsidRPr="00DB63AF">
        <w:rPr>
          <w:sz w:val="22"/>
          <w:szCs w:val="22"/>
        </w:rPr>
        <w:t>Grantees’ financial management, accounting, and reporting systems must be able to maintain records that identify the source and application of funds for each grant and accompanying matching funds separately. The financial management, accounting, and reporting systems must be able to maintain records to identify the source and application of funds for federal and state sponsored activities in DESE grants. Specifically, the accounting system must:</w:t>
      </w:r>
    </w:p>
    <w:p w14:paraId="33C2430E" w14:textId="7BC81AF2" w:rsidR="00DB63AF" w:rsidRPr="00813FAC" w:rsidRDefault="00DB63AF" w:rsidP="00813FAC">
      <w:pPr>
        <w:pStyle w:val="ListParagraph"/>
        <w:numPr>
          <w:ilvl w:val="0"/>
          <w:numId w:val="20"/>
        </w:numPr>
        <w:rPr>
          <w:rFonts w:cs="Times New Roman"/>
          <w:sz w:val="22"/>
          <w:szCs w:val="22"/>
        </w:rPr>
      </w:pPr>
      <w:r w:rsidRPr="00813FAC">
        <w:rPr>
          <w:rFonts w:cs="Times New Roman"/>
          <w:sz w:val="22"/>
          <w:szCs w:val="22"/>
        </w:rPr>
        <w:t xml:space="preserve">Have a chart of accounts that identifies </w:t>
      </w:r>
      <w:r w:rsidR="00D91964">
        <w:rPr>
          <w:rFonts w:cs="Times New Roman"/>
          <w:sz w:val="22"/>
          <w:szCs w:val="22"/>
        </w:rPr>
        <w:t>ACLS</w:t>
      </w:r>
      <w:r w:rsidRPr="00813FAC">
        <w:rPr>
          <w:rFonts w:cs="Times New Roman"/>
          <w:sz w:val="22"/>
          <w:szCs w:val="22"/>
        </w:rPr>
        <w:t xml:space="preserve"> grants and matching funds applicable to each grant.</w:t>
      </w:r>
    </w:p>
    <w:p w14:paraId="3E9351A5" w14:textId="77777777" w:rsidR="00DB63AF" w:rsidRPr="00813FAC" w:rsidRDefault="00DB63AF" w:rsidP="00813FAC">
      <w:pPr>
        <w:pStyle w:val="ListParagraph"/>
        <w:numPr>
          <w:ilvl w:val="0"/>
          <w:numId w:val="20"/>
        </w:numPr>
        <w:rPr>
          <w:rFonts w:cs="Times New Roman"/>
          <w:sz w:val="22"/>
          <w:szCs w:val="22"/>
        </w:rPr>
      </w:pPr>
      <w:r w:rsidRPr="00813FAC">
        <w:rPr>
          <w:rFonts w:cs="Times New Roman"/>
          <w:sz w:val="22"/>
          <w:szCs w:val="22"/>
        </w:rPr>
        <w:t xml:space="preserve">Be able to produce budget versus actual reports. These reports compare the approved budget versus actual spending and provide a useful tool because they help grantees maintain compliance with approved grant budgets. Using them, programs can forecast needed changes in individual object classes, if necessary (i.e., over 10% or $10,000), and obtain approval from ACLS in a timely manner. </w:t>
      </w:r>
      <w:hyperlink r:id="rId41">
        <w:r w:rsidRPr="00813FAC">
          <w:rPr>
            <w:rFonts w:cs="Times New Roman"/>
            <w:color w:val="0000FF"/>
            <w:sz w:val="22"/>
            <w:szCs w:val="22"/>
            <w:u w:val="single"/>
          </w:rPr>
          <w:t>GEM$</w:t>
        </w:r>
      </w:hyperlink>
      <w:r w:rsidRPr="00813FAC">
        <w:rPr>
          <w:rFonts w:cs="Times New Roman"/>
          <w:sz w:val="22"/>
          <w:szCs w:val="22"/>
        </w:rPr>
        <w:t>, the DESE grants management system,</w:t>
      </w:r>
      <w:r w:rsidRPr="00813FAC">
        <w:rPr>
          <w:rStyle w:val="Hyperlink"/>
          <w:rFonts w:cs="Times New Roman"/>
          <w:color w:val="auto"/>
          <w:sz w:val="22"/>
          <w:szCs w:val="22"/>
          <w:u w:val="none"/>
        </w:rPr>
        <w:t xml:space="preserve"> does not allow overruns, only expenses incurred in the object class up to the total amount allotted can be requested for reimbursement. </w:t>
      </w:r>
    </w:p>
    <w:p w14:paraId="34AFED73" w14:textId="77777777" w:rsidR="00DB63AF" w:rsidRPr="00813FAC" w:rsidRDefault="00DB63AF" w:rsidP="00813FAC">
      <w:pPr>
        <w:pStyle w:val="ListParagraph"/>
        <w:numPr>
          <w:ilvl w:val="0"/>
          <w:numId w:val="20"/>
        </w:numPr>
        <w:rPr>
          <w:rFonts w:cs="Times New Roman"/>
          <w:sz w:val="22"/>
          <w:szCs w:val="22"/>
        </w:rPr>
      </w:pPr>
      <w:r w:rsidRPr="00813FAC">
        <w:rPr>
          <w:rFonts w:cs="Times New Roman"/>
          <w:sz w:val="22"/>
          <w:szCs w:val="22"/>
        </w:rPr>
        <w:t>Record grant funds and required matching funds separately in the grantee’s accounting system. Comingling of funds is not an accepted practice.</w:t>
      </w:r>
    </w:p>
    <w:p w14:paraId="5C352BB1" w14:textId="77777777" w:rsidR="00DB63AF" w:rsidRPr="00813FAC" w:rsidRDefault="00DB63AF" w:rsidP="00813FAC">
      <w:pPr>
        <w:pStyle w:val="ListParagraph"/>
        <w:numPr>
          <w:ilvl w:val="0"/>
          <w:numId w:val="20"/>
        </w:numPr>
        <w:rPr>
          <w:rFonts w:cs="Times New Roman"/>
          <w:sz w:val="22"/>
          <w:szCs w:val="22"/>
        </w:rPr>
      </w:pPr>
      <w:r w:rsidRPr="00813FAC">
        <w:rPr>
          <w:rFonts w:cs="Times New Roman"/>
          <w:sz w:val="22"/>
          <w:szCs w:val="22"/>
        </w:rPr>
        <w:t>As required by federal and state grant regulations, include authorizations; obligations and unobligated balances; expenditures; assets; and income and interest.</w:t>
      </w:r>
    </w:p>
    <w:p w14:paraId="1028AB32" w14:textId="77777777" w:rsidR="00DB63AF" w:rsidRPr="00DB63AF" w:rsidRDefault="00DB63AF" w:rsidP="00DB63AF">
      <w:pPr>
        <w:rPr>
          <w:color w:val="000000" w:themeColor="text1"/>
          <w:sz w:val="22"/>
          <w:szCs w:val="22"/>
        </w:rPr>
      </w:pPr>
      <w:r w:rsidRPr="00DB63AF">
        <w:rPr>
          <w:color w:val="000000" w:themeColor="text1"/>
          <w:sz w:val="22"/>
          <w:szCs w:val="22"/>
        </w:rPr>
        <w:t>Grantees must become familiar with basic terms for financial management of funds such as:</w:t>
      </w:r>
    </w:p>
    <w:p w14:paraId="033C5CEF"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t>Cost accounting: The method by which costs incurred are allocated to grant programs by classification (i.e., type of expenditure)</w:t>
      </w:r>
    </w:p>
    <w:p w14:paraId="3DC5E00A"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t>Allowability: Costs are necessary, reasonable, and allocable to the grant</w:t>
      </w:r>
    </w:p>
    <w:p w14:paraId="6B30C7B5"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t>Allocability: The degree to which goods or services can be charged to a particular cost objective in accordance with the relative benefits received (Note: Grantees should create allocation schedules.)</w:t>
      </w:r>
    </w:p>
    <w:p w14:paraId="496A670F"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t>Applicable credits: Receipts or reductions in expenditures that offset or reduce direct or indirect cost items (i.e., program income, and/or discounts)</w:t>
      </w:r>
    </w:p>
    <w:p w14:paraId="1200917B"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t>Direct cost: A cost that is identified with and benefits a specific grant such as grant staff and grant supplies</w:t>
      </w:r>
    </w:p>
    <w:p w14:paraId="3AD9C5CB"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lastRenderedPageBreak/>
        <w:t>Indirect cost: A cost incurred for common or organization wide activities or services that benefit more than one grant program or project, such as rent and utilities</w:t>
      </w:r>
      <w:r w:rsidRPr="00813FAC">
        <w:rPr>
          <w:rFonts w:cs="Times New Roman"/>
          <w:color w:val="FF0000"/>
          <w:sz w:val="22"/>
          <w:szCs w:val="22"/>
        </w:rPr>
        <w:t xml:space="preserve"> </w:t>
      </w:r>
      <w:r w:rsidRPr="00813FAC">
        <w:rPr>
          <w:rFonts w:cs="Times New Roman"/>
          <w:color w:val="000000" w:themeColor="text1"/>
          <w:sz w:val="22"/>
          <w:szCs w:val="22"/>
        </w:rPr>
        <w:t xml:space="preserve">(Note: See </w:t>
      </w:r>
      <w:hyperlink r:id="rId42">
        <w:r w:rsidRPr="00813FAC">
          <w:rPr>
            <w:rStyle w:val="Hyperlink"/>
            <w:rFonts w:cs="Times New Roman"/>
            <w:sz w:val="22"/>
            <w:szCs w:val="22"/>
          </w:rPr>
          <w:t>34 CFR Part 76.563-569</w:t>
        </w:r>
      </w:hyperlink>
      <w:r w:rsidRPr="00813FAC">
        <w:rPr>
          <w:rFonts w:cs="Times New Roman"/>
          <w:color w:val="000000" w:themeColor="text1"/>
          <w:sz w:val="22"/>
          <w:szCs w:val="22"/>
        </w:rPr>
        <w:t xml:space="preserve"> for AE grants restrictions due to the statutory requirement to supplement not supplant.)</w:t>
      </w:r>
    </w:p>
    <w:p w14:paraId="4F85D9BB" w14:textId="77777777" w:rsidR="00DB63AF" w:rsidRPr="00813FAC" w:rsidRDefault="00DB63AF" w:rsidP="00813FAC">
      <w:pPr>
        <w:pStyle w:val="ListParagraph"/>
        <w:numPr>
          <w:ilvl w:val="0"/>
          <w:numId w:val="21"/>
        </w:numPr>
        <w:rPr>
          <w:rFonts w:cs="Times New Roman"/>
          <w:color w:val="000000" w:themeColor="text1"/>
          <w:sz w:val="22"/>
          <w:szCs w:val="22"/>
        </w:rPr>
      </w:pPr>
      <w:r w:rsidRPr="00813FAC">
        <w:rPr>
          <w:rFonts w:cs="Times New Roman"/>
          <w:color w:val="000000" w:themeColor="text1"/>
          <w:sz w:val="22"/>
          <w:szCs w:val="22"/>
        </w:rPr>
        <w:t>Audit trail: Documentation that supports all grant related transactions</w:t>
      </w:r>
    </w:p>
    <w:p w14:paraId="34CE260E" w14:textId="77777777" w:rsidR="00DB63AF" w:rsidRPr="00DB63AF" w:rsidRDefault="00DB63AF" w:rsidP="00DB63AF">
      <w:pPr>
        <w:rPr>
          <w:color w:val="000000" w:themeColor="text1"/>
          <w:sz w:val="22"/>
          <w:szCs w:val="22"/>
        </w:rPr>
      </w:pPr>
      <w:r w:rsidRPr="00DB63AF">
        <w:rPr>
          <w:color w:val="000000" w:themeColor="text1"/>
          <w:sz w:val="22"/>
          <w:szCs w:val="22"/>
        </w:rPr>
        <w:t xml:space="preserve">As required under </w:t>
      </w:r>
      <w:hyperlink r:id="rId43">
        <w:r w:rsidRPr="00DB63AF">
          <w:rPr>
            <w:rStyle w:val="Hyperlink"/>
            <w:sz w:val="22"/>
            <w:szCs w:val="22"/>
          </w:rPr>
          <w:t>2 CFR Part 200.62</w:t>
        </w:r>
      </w:hyperlink>
      <w:r w:rsidRPr="00DB63AF">
        <w:rPr>
          <w:color w:val="000000" w:themeColor="text1"/>
          <w:sz w:val="22"/>
          <w:szCs w:val="22"/>
        </w:rPr>
        <w:t>, grantees must have written financial management procedures in place that show sound internal controls over federal and state grant funds; assurance procedures for payment requests and payments; and federal and state award expenditures that can be compared to the award budget. The specific written procedures grantees must have in writing are:</w:t>
      </w:r>
    </w:p>
    <w:p w14:paraId="6396C50B"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Allowable costs policy: How the grantee determines the costs charged to the grant are allowable and who is responsible for expenditures charged to the grant.</w:t>
      </w:r>
    </w:p>
    <w:p w14:paraId="2A122EA9"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Cash management: Drawdown process ensures funds maintained and funds drawn down by the grantee are for expenditures that have been incurred. Funds are only drawn down by authorized staff.</w:t>
      </w:r>
    </w:p>
    <w:p w14:paraId="1694BFF2"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Procurement: Federal procurement guidelines for community-based organizations, state regulations for state agencies, and federal and local regulations for towns, cities, and school districts.</w:t>
      </w:r>
    </w:p>
    <w:p w14:paraId="63946361"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Travel</w:t>
      </w:r>
    </w:p>
    <w:p w14:paraId="4EB5707B"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Personnel policies: Policies applied to the grant should be consistently applied for all employees of the grantee.</w:t>
      </w:r>
    </w:p>
    <w:p w14:paraId="21A8FC45" w14:textId="2E1D72C4" w:rsidR="00DB63AF" w:rsidRPr="00813FAC" w:rsidRDefault="00DB63AF" w:rsidP="00813FAC">
      <w:pPr>
        <w:pStyle w:val="ListParagraph"/>
        <w:numPr>
          <w:ilvl w:val="0"/>
          <w:numId w:val="22"/>
        </w:numPr>
        <w:rPr>
          <w:rFonts w:cs="Times New Roman"/>
          <w:color w:val="000000" w:themeColor="text1"/>
          <w:sz w:val="22"/>
          <w:szCs w:val="22"/>
        </w:rPr>
      </w:pPr>
      <w:r w:rsidRPr="17FFD0FF">
        <w:rPr>
          <w:rFonts w:cs="Times New Roman"/>
          <w:color w:val="000000" w:themeColor="text1"/>
          <w:sz w:val="22"/>
          <w:szCs w:val="22"/>
        </w:rPr>
        <w:t>Inventory of assets and technology</w:t>
      </w:r>
      <w:r w:rsidR="0A3F65A4" w:rsidRPr="17FFD0FF">
        <w:rPr>
          <w:rFonts w:cs="Times New Roman"/>
          <w:color w:val="000000" w:themeColor="text1"/>
          <w:sz w:val="22"/>
          <w:szCs w:val="22"/>
        </w:rPr>
        <w:t xml:space="preserve">: </w:t>
      </w:r>
      <w:r w:rsidRPr="17FFD0FF">
        <w:rPr>
          <w:rFonts w:cs="Times New Roman"/>
          <w:color w:val="000000" w:themeColor="text1"/>
          <w:sz w:val="22"/>
          <w:szCs w:val="22"/>
        </w:rPr>
        <w:t>Programs need to maintain a detailed list of all technology purchased with grant funds. Additionally, they need to inform ACLS when they have usable technology that they no longer need that could be used by other AE programs.</w:t>
      </w:r>
    </w:p>
    <w:p w14:paraId="6AE2B7E2" w14:textId="17169526" w:rsidR="00DB63AF" w:rsidRPr="00813FAC" w:rsidRDefault="00DB63AF" w:rsidP="00813FAC">
      <w:pPr>
        <w:pStyle w:val="ListParagraph"/>
        <w:numPr>
          <w:ilvl w:val="0"/>
          <w:numId w:val="22"/>
        </w:numPr>
        <w:rPr>
          <w:rFonts w:cs="Times New Roman"/>
          <w:color w:val="000000" w:themeColor="text1"/>
          <w:sz w:val="22"/>
          <w:szCs w:val="22"/>
        </w:rPr>
      </w:pPr>
      <w:r w:rsidRPr="17FFD0FF">
        <w:rPr>
          <w:rFonts w:cs="Times New Roman"/>
          <w:color w:val="000000" w:themeColor="text1"/>
          <w:sz w:val="22"/>
          <w:szCs w:val="22"/>
        </w:rPr>
        <w:t xml:space="preserve">Time and effort reporting: Time and effort for each employee charged to the grant for both full and split funded employees through timesheets, monthly and </w:t>
      </w:r>
      <w:commentRangeStart w:id="30"/>
      <w:commentRangeStart w:id="31"/>
      <w:commentRangeStart w:id="32"/>
      <w:commentRangeStart w:id="33"/>
      <w:r w:rsidRPr="17FFD0FF">
        <w:rPr>
          <w:rFonts w:cs="Times New Roman"/>
          <w:color w:val="000000" w:themeColor="text1"/>
          <w:sz w:val="22"/>
          <w:szCs w:val="22"/>
        </w:rPr>
        <w:t>semi-certifications</w:t>
      </w:r>
      <w:commentRangeEnd w:id="30"/>
      <w:r w:rsidR="00D4134E" w:rsidRPr="17FFD0FF">
        <w:rPr>
          <w:rStyle w:val="CommentReference"/>
          <w:rFonts w:cs="Times New Roman"/>
          <w:color w:val="000000" w:themeColor="text1"/>
          <w:sz w:val="22"/>
          <w:szCs w:val="22"/>
        </w:rPr>
        <w:commentReference w:id="30"/>
      </w:r>
      <w:commentRangeEnd w:id="31"/>
      <w:r w:rsidR="001618E3" w:rsidRPr="17FFD0FF">
        <w:rPr>
          <w:rStyle w:val="CommentReference"/>
          <w:rFonts w:cs="Times New Roman"/>
          <w:color w:val="000000" w:themeColor="text1"/>
          <w:sz w:val="22"/>
          <w:szCs w:val="22"/>
        </w:rPr>
        <w:commentReference w:id="31"/>
      </w:r>
      <w:commentRangeEnd w:id="32"/>
      <w:r w:rsidR="001618E3" w:rsidRPr="17FFD0FF">
        <w:rPr>
          <w:rStyle w:val="CommentReference"/>
          <w:rFonts w:cs="Times New Roman"/>
          <w:color w:val="000000" w:themeColor="text1"/>
          <w:sz w:val="22"/>
          <w:szCs w:val="22"/>
        </w:rPr>
        <w:commentReference w:id="32"/>
      </w:r>
      <w:commentRangeEnd w:id="33"/>
      <w:r w:rsidR="00F948A1" w:rsidRPr="17FFD0FF">
        <w:rPr>
          <w:rStyle w:val="CommentReference"/>
          <w:rFonts w:cs="Times New Roman"/>
          <w:color w:val="000000" w:themeColor="text1"/>
          <w:sz w:val="22"/>
          <w:szCs w:val="22"/>
        </w:rPr>
        <w:commentReference w:id="33"/>
      </w:r>
      <w:r w:rsidRPr="17FFD0FF">
        <w:rPr>
          <w:rFonts w:cs="Times New Roman"/>
          <w:color w:val="000000" w:themeColor="text1"/>
          <w:sz w:val="22"/>
          <w:szCs w:val="22"/>
        </w:rPr>
        <w:t>, and allocation schedules.</w:t>
      </w:r>
    </w:p>
    <w:p w14:paraId="16B54A9F"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Conflict of interest</w:t>
      </w:r>
    </w:p>
    <w:p w14:paraId="43FC706E"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Budget process</w:t>
      </w:r>
    </w:p>
    <w:p w14:paraId="46720E6B" w14:textId="77777777" w:rsidR="00DB63AF" w:rsidRPr="00813FAC" w:rsidRDefault="00DB63AF" w:rsidP="00813FAC">
      <w:pPr>
        <w:pStyle w:val="ListParagraph"/>
        <w:numPr>
          <w:ilvl w:val="0"/>
          <w:numId w:val="22"/>
        </w:numPr>
        <w:rPr>
          <w:rFonts w:cs="Times New Roman"/>
          <w:color w:val="000000" w:themeColor="text1"/>
          <w:sz w:val="22"/>
          <w:szCs w:val="22"/>
        </w:rPr>
      </w:pPr>
      <w:r w:rsidRPr="00813FAC">
        <w:rPr>
          <w:rFonts w:cs="Times New Roman"/>
          <w:color w:val="000000" w:themeColor="text1"/>
          <w:sz w:val="22"/>
          <w:szCs w:val="22"/>
        </w:rPr>
        <w:t>Records retention</w:t>
      </w:r>
    </w:p>
    <w:p w14:paraId="32380542" w14:textId="77777777" w:rsidR="00DB63AF" w:rsidRPr="00DB63AF" w:rsidRDefault="00DB63AF" w:rsidP="00813FAC">
      <w:pPr>
        <w:pStyle w:val="Heading2"/>
        <w:rPr>
          <w:color w:val="3A7C22" w:themeColor="accent6" w:themeShade="BF"/>
        </w:rPr>
      </w:pPr>
      <w:r w:rsidRPr="00DB63AF">
        <w:t>Records Retention</w:t>
      </w:r>
    </w:p>
    <w:p w14:paraId="2A2E87ED" w14:textId="04F3123D" w:rsidR="00DB63AF" w:rsidRPr="00DB63AF" w:rsidRDefault="00DB63AF" w:rsidP="00DB63AF">
      <w:pPr>
        <w:rPr>
          <w:color w:val="000000" w:themeColor="text1"/>
          <w:sz w:val="22"/>
          <w:szCs w:val="22"/>
        </w:rPr>
      </w:pPr>
      <w:r w:rsidRPr="00DB63AF">
        <w:rPr>
          <w:color w:val="000000" w:themeColor="text1"/>
          <w:sz w:val="22"/>
          <w:szCs w:val="22"/>
        </w:rPr>
        <w:t xml:space="preserve">Grantees and subcontractors of </w:t>
      </w:r>
      <w:r w:rsidR="00D91964">
        <w:rPr>
          <w:color w:val="000000" w:themeColor="text1"/>
          <w:sz w:val="22"/>
          <w:szCs w:val="22"/>
        </w:rPr>
        <w:t>ACLS</w:t>
      </w:r>
      <w:r w:rsidRPr="00DB63AF">
        <w:rPr>
          <w:color w:val="000000" w:themeColor="text1"/>
          <w:sz w:val="22"/>
          <w:szCs w:val="22"/>
        </w:rPr>
        <w:t xml:space="preserve"> must abide by the </w:t>
      </w:r>
      <w:hyperlink r:id="rId44">
        <w:r w:rsidRPr="00DB63AF">
          <w:rPr>
            <w:rStyle w:val="Hyperlink"/>
            <w:sz w:val="22"/>
            <w:szCs w:val="22"/>
          </w:rPr>
          <w:t>815 CMR 2.00: State grants, federal grant awards, federal subgrants and subsidies | Mass.gov</w:t>
        </w:r>
      </w:hyperlink>
      <w:r w:rsidRPr="00DB63AF">
        <w:rPr>
          <w:color w:val="000000" w:themeColor="text1"/>
          <w:sz w:val="22"/>
          <w:szCs w:val="22"/>
        </w:rPr>
        <w:t xml:space="preserve">. This regulation requires that all </w:t>
      </w:r>
      <w:r w:rsidR="00D91964">
        <w:rPr>
          <w:color w:val="000000" w:themeColor="text1"/>
          <w:sz w:val="22"/>
          <w:szCs w:val="22"/>
        </w:rPr>
        <w:t>ACLS</w:t>
      </w:r>
      <w:r w:rsidRPr="00DB63AF">
        <w:rPr>
          <w:color w:val="000000" w:themeColor="text1"/>
          <w:sz w:val="22"/>
          <w:szCs w:val="22"/>
        </w:rPr>
        <w:t xml:space="preserve"> grant and subsidy recipients maintain all files, records, and documents related to the program. This includes all financial, program, and data records for seven years beginning on the first day of the final payment of the grant or such longer period as is necessary for resolution to any claims, litigation, negotiation, and or audit. Financial and data records must be made available for review by DESE upon request. Falsification of required documentation may trigger a data and/or fiscal monitoring review from DESE, conditions placed on current funding, or result in termination of the grant. </w:t>
      </w:r>
      <w:r w:rsidRPr="00DB63AF">
        <w:rPr>
          <w:color w:val="000000" w:themeColor="text1"/>
          <w:sz w:val="22"/>
          <w:szCs w:val="22"/>
        </w:rPr>
        <w:lastRenderedPageBreak/>
        <w:t>Records may be retained in electronic format. However, the grantee is expected to establish formal procedures that address records management requirements, including recordkeeping requirements and disposition.</w:t>
      </w:r>
    </w:p>
    <w:p w14:paraId="5573EE08" w14:textId="77777777" w:rsidR="00DB63AF" w:rsidRPr="00DB63AF" w:rsidRDefault="00DB63AF" w:rsidP="00DB63AF">
      <w:pPr>
        <w:rPr>
          <w:color w:val="000000"/>
          <w:sz w:val="22"/>
          <w:szCs w:val="22"/>
        </w:rPr>
      </w:pPr>
      <w:r w:rsidRPr="00DB63AF">
        <w:rPr>
          <w:color w:val="000000" w:themeColor="text1"/>
          <w:sz w:val="22"/>
          <w:szCs w:val="22"/>
        </w:rPr>
        <w:t xml:space="preserve">For guidance on establishing administrative controls, see </w:t>
      </w:r>
      <w:hyperlink r:id="rId45">
        <w:r w:rsidRPr="00DB63AF">
          <w:rPr>
            <w:rStyle w:val="Hyperlink"/>
            <w:sz w:val="22"/>
            <w:szCs w:val="22"/>
          </w:rPr>
          <w:t>Electronic Records Management Guidelines (state.ma.us)</w:t>
        </w:r>
      </w:hyperlink>
      <w:r w:rsidRPr="00DB63AF">
        <w:rPr>
          <w:color w:val="000000" w:themeColor="text1"/>
          <w:sz w:val="22"/>
          <w:szCs w:val="22"/>
        </w:rPr>
        <w:t>.</w:t>
      </w:r>
    </w:p>
    <w:p w14:paraId="449F9861" w14:textId="77777777" w:rsidR="00DB63AF" w:rsidRPr="00DB63AF" w:rsidRDefault="00DB63AF" w:rsidP="00813FAC">
      <w:pPr>
        <w:pStyle w:val="Heading2"/>
      </w:pPr>
      <w:bookmarkStart w:id="34" w:name="_Toc181170312"/>
      <w:r w:rsidRPr="00DB63AF">
        <w:t>Grants Accounting and Information System</w:t>
      </w:r>
      <w:bookmarkEnd w:id="34"/>
    </w:p>
    <w:p w14:paraId="39A59D1A" w14:textId="33F909E5" w:rsidR="00DB63AF" w:rsidRPr="00DB63AF" w:rsidRDefault="00DB63AF" w:rsidP="00DB63AF">
      <w:pPr>
        <w:rPr>
          <w:sz w:val="22"/>
          <w:szCs w:val="22"/>
        </w:rPr>
      </w:pPr>
      <w:bookmarkStart w:id="35" w:name="_Toc37075459"/>
      <w:r w:rsidRPr="00DB63AF">
        <w:rPr>
          <w:sz w:val="22"/>
          <w:szCs w:val="22"/>
        </w:rPr>
        <w:t xml:space="preserve">Grantees must have an accounting system that enables them to develop and submit an annual budget that supports the services approved in the grant. The budget process must be in writing and reflect the requirements of the grant. Authorized personnel must submit grant budgets in </w:t>
      </w:r>
      <w:hyperlink r:id="rId46">
        <w:r w:rsidR="535AC0D3" w:rsidRPr="718F10E1">
          <w:rPr>
            <w:rFonts w:cs="Times New Roman"/>
            <w:color w:val="0000FF"/>
            <w:sz w:val="22"/>
            <w:szCs w:val="22"/>
            <w:u w:val="single"/>
          </w:rPr>
          <w:t>GEM$</w:t>
        </w:r>
      </w:hyperlink>
      <w:r w:rsidR="535AC0D3" w:rsidRPr="718F10E1">
        <w:rPr>
          <w:rFonts w:cs="Times New Roman"/>
          <w:sz w:val="22"/>
          <w:szCs w:val="22"/>
        </w:rPr>
        <w:t>,</w:t>
      </w:r>
      <w:r w:rsidRPr="718F10E1">
        <w:rPr>
          <w:rFonts w:cs="Times New Roman"/>
          <w:sz w:val="22"/>
          <w:szCs w:val="22"/>
        </w:rPr>
        <w:t xml:space="preserve"> t</w:t>
      </w:r>
      <w:r w:rsidRPr="00DB63AF">
        <w:rPr>
          <w:sz w:val="22"/>
          <w:szCs w:val="22"/>
        </w:rPr>
        <w:t xml:space="preserve">he DESE </w:t>
      </w:r>
      <w:hyperlink r:id="rId47">
        <w:r w:rsidRPr="00DB63AF">
          <w:rPr>
            <w:rStyle w:val="Hyperlink"/>
            <w:sz w:val="22"/>
            <w:szCs w:val="22"/>
          </w:rPr>
          <w:t>grants management system</w:t>
        </w:r>
      </w:hyperlink>
      <w:r w:rsidRPr="00DB63AF">
        <w:rPr>
          <w:sz w:val="22"/>
          <w:szCs w:val="22"/>
        </w:rPr>
        <w:t>, by the required deadlines. Failure to meet the specified deadlines may delay grant approvals.</w:t>
      </w:r>
      <w:bookmarkEnd w:id="35"/>
    </w:p>
    <w:p w14:paraId="15B23EA1" w14:textId="77777777" w:rsidR="00DB63AF" w:rsidRPr="00DB63AF" w:rsidRDefault="00DB63AF" w:rsidP="00813FAC">
      <w:pPr>
        <w:pStyle w:val="Heading2"/>
      </w:pPr>
      <w:bookmarkStart w:id="36" w:name="_Toc181170313"/>
      <w:r w:rsidRPr="00DB63AF">
        <w:t>Supplement not Supplant</w:t>
      </w:r>
      <w:bookmarkEnd w:id="36"/>
    </w:p>
    <w:p w14:paraId="5163ACFD" w14:textId="1FC74148" w:rsidR="00DB63AF" w:rsidRPr="0013094A" w:rsidRDefault="00DB63AF" w:rsidP="00DB63AF">
      <w:pPr>
        <w:rPr>
          <w:color w:val="000000" w:themeColor="text1"/>
          <w:sz w:val="22"/>
          <w:szCs w:val="22"/>
        </w:rPr>
      </w:pPr>
      <w:r w:rsidRPr="00DB63AF">
        <w:rPr>
          <w:sz w:val="22"/>
          <w:szCs w:val="22"/>
        </w:rPr>
        <w:t xml:space="preserve">AE grants are NOT intended to support 100% of programs costs. Technically classified as restricted rate grants because they have the statutory requirement to supplement and not supplant (SNS) other federal, state, local, or private funding, AE funds </w:t>
      </w:r>
      <w:r w:rsidRPr="00DB63AF">
        <w:rPr>
          <w:color w:val="000000" w:themeColor="text1"/>
          <w:sz w:val="22"/>
          <w:szCs w:val="22"/>
        </w:rPr>
        <w:t xml:space="preserve">cannot be used for costs that are assumed to be part of the agreement of the grant nor can they be used for costs previously funded with other funds available to the grantee. </w:t>
      </w:r>
      <w:r w:rsidRPr="00DB63AF">
        <w:rPr>
          <w:sz w:val="22"/>
          <w:szCs w:val="22"/>
        </w:rPr>
        <w:t xml:space="preserve">In other words, AE grant funds may not be used to pay for expenses that have been paid for by other federal, state, local, or private awards in the prior year or for costs assumed to be part of the determination of awarding funds to the grantee. </w:t>
      </w:r>
      <w:r w:rsidRPr="00DB63AF">
        <w:rPr>
          <w:color w:val="000000" w:themeColor="text1"/>
          <w:sz w:val="22"/>
          <w:szCs w:val="22"/>
        </w:rPr>
        <w:t>The funds must be used as a supplement to an existing program.</w:t>
      </w:r>
    </w:p>
    <w:p w14:paraId="77F04524" w14:textId="77777777" w:rsidR="00DB63AF" w:rsidRPr="00DB63AF" w:rsidRDefault="00DB63AF" w:rsidP="00DB63AF">
      <w:pPr>
        <w:rPr>
          <w:color w:val="000000" w:themeColor="text1"/>
          <w:sz w:val="22"/>
          <w:szCs w:val="22"/>
        </w:rPr>
      </w:pPr>
      <w:r w:rsidRPr="00DB63AF">
        <w:rPr>
          <w:color w:val="000000" w:themeColor="text1"/>
          <w:sz w:val="22"/>
          <w:szCs w:val="22"/>
        </w:rPr>
        <w:t xml:space="preserve">This explains why grantees are expected to use existing resources to ensure the fiscal health of AE programs. For example, costs for rental of space including maintenance are assumed to be provided by the grantee when awarding the grant and therefore cannot be charged to the grant. Space attributed to the general administrative units of the grantee may be included as part of the indirect costs rate. However, the grantee must maintain records in determining indirect costs on file and have an approved indirect cost rate agreement from a federal cognizant agency or negotiate a rate with DESE. Please refer to </w:t>
      </w:r>
      <w:hyperlink r:id="rId48">
        <w:r w:rsidRPr="00DB63AF">
          <w:rPr>
            <w:rStyle w:val="Hyperlink"/>
            <w:sz w:val="22"/>
            <w:szCs w:val="22"/>
          </w:rPr>
          <w:t>34 CFR Part 76.563-569</w:t>
        </w:r>
      </w:hyperlink>
      <w:r w:rsidRPr="00DB63AF">
        <w:rPr>
          <w:color w:val="000000" w:themeColor="text1"/>
          <w:sz w:val="22"/>
          <w:szCs w:val="22"/>
        </w:rPr>
        <w:t xml:space="preserve"> for further guidance.</w:t>
      </w:r>
    </w:p>
    <w:p w14:paraId="349522E7" w14:textId="3EA08D9A" w:rsidR="00DB63AF" w:rsidRPr="00DB63AF" w:rsidRDefault="00DB63AF" w:rsidP="00813FAC">
      <w:pPr>
        <w:pStyle w:val="Heading2"/>
      </w:pPr>
      <w:bookmarkStart w:id="37" w:name="_Toc181170314"/>
      <w:r w:rsidRPr="00DB63AF">
        <w:t xml:space="preserve">Match and Maintenance of Effort </w:t>
      </w:r>
      <w:bookmarkEnd w:id="37"/>
      <w:r w:rsidR="00707DFC">
        <w:tab/>
      </w:r>
    </w:p>
    <w:p w14:paraId="11EAE592" w14:textId="438A6761" w:rsidR="00A111A1" w:rsidRPr="00DB63AF" w:rsidRDefault="00DB63AF" w:rsidP="00A111A1">
      <w:pPr>
        <w:rPr>
          <w:color w:val="000000" w:themeColor="text1"/>
          <w:sz w:val="22"/>
          <w:szCs w:val="22"/>
        </w:rPr>
      </w:pPr>
      <w:r w:rsidRPr="00DB63AF">
        <w:rPr>
          <w:sz w:val="22"/>
          <w:szCs w:val="22"/>
        </w:rPr>
        <w:t xml:space="preserve">As per </w:t>
      </w:r>
      <w:hyperlink r:id="rId49">
        <w:r w:rsidRPr="00DB63AF">
          <w:rPr>
            <w:rStyle w:val="Hyperlink"/>
            <w:sz w:val="22"/>
            <w:szCs w:val="22"/>
          </w:rPr>
          <w:t>2 CFR Part 200.306</w:t>
        </w:r>
      </w:hyperlink>
      <w:r w:rsidRPr="00DB63AF">
        <w:rPr>
          <w:sz w:val="22"/>
          <w:szCs w:val="22"/>
        </w:rPr>
        <w:t xml:space="preserve">, ACLS requires that grantees provide a minimum of 20% of the total grant award as match or the amount contributed in the previous year, whichever is greater (i.e., the matching share committed in year one of a multi-year grant cycle cannot be reduced without written </w:t>
      </w:r>
      <w:r w:rsidR="00192D4C">
        <w:rPr>
          <w:sz w:val="22"/>
          <w:szCs w:val="22"/>
        </w:rPr>
        <w:t>ACLS</w:t>
      </w:r>
      <w:r w:rsidRPr="00DB63AF">
        <w:rPr>
          <w:sz w:val="22"/>
          <w:szCs w:val="22"/>
        </w:rPr>
        <w:t xml:space="preserve"> approval).</w:t>
      </w:r>
      <w:r w:rsidR="00A111A1" w:rsidRPr="00A111A1">
        <w:rPr>
          <w:color w:val="000000" w:themeColor="text1"/>
          <w:sz w:val="22"/>
          <w:szCs w:val="22"/>
        </w:rPr>
        <w:t xml:space="preserve"> </w:t>
      </w:r>
      <w:r w:rsidR="00A111A1" w:rsidRPr="17FFD0FF">
        <w:rPr>
          <w:color w:val="000000" w:themeColor="text1"/>
          <w:sz w:val="22"/>
          <w:szCs w:val="22"/>
        </w:rPr>
        <w:t xml:space="preserve">All requirements that apply to </w:t>
      </w:r>
      <w:r w:rsidR="00192D4C">
        <w:rPr>
          <w:color w:val="000000" w:themeColor="text1"/>
          <w:sz w:val="22"/>
          <w:szCs w:val="22"/>
        </w:rPr>
        <w:t>ACLS</w:t>
      </w:r>
      <w:r w:rsidR="00A111A1" w:rsidRPr="17FFD0FF">
        <w:rPr>
          <w:color w:val="000000" w:themeColor="text1"/>
          <w:sz w:val="22"/>
          <w:szCs w:val="22"/>
        </w:rPr>
        <w:t xml:space="preserve"> grant funds also apply to match funds.</w:t>
      </w:r>
    </w:p>
    <w:p w14:paraId="4D736B6C" w14:textId="77777777" w:rsidR="00DB63AF" w:rsidRPr="00DB63AF" w:rsidRDefault="00DB63AF" w:rsidP="00DB63AF">
      <w:pPr>
        <w:rPr>
          <w:sz w:val="22"/>
          <w:szCs w:val="22"/>
        </w:rPr>
      </w:pPr>
      <w:r w:rsidRPr="00DB63AF">
        <w:rPr>
          <w:sz w:val="22"/>
          <w:szCs w:val="22"/>
        </w:rPr>
        <w:t xml:space="preserve">This is referred to as maintenance of effort (MOE) and it applies to the full range of commitments grantees make in the first year of a funding cycle (e.g., director qualifications, space, technology). </w:t>
      </w:r>
      <w:r w:rsidRPr="00DB63AF">
        <w:rPr>
          <w:color w:val="000000" w:themeColor="text1"/>
          <w:sz w:val="22"/>
          <w:szCs w:val="22"/>
        </w:rPr>
        <w:t>Specifically, the grantee is expected to provide some funding toward the direct services to the program for their match.</w:t>
      </w:r>
    </w:p>
    <w:p w14:paraId="212C507A" w14:textId="2FACD2A6" w:rsidR="000C57E1" w:rsidRPr="00DB63AF" w:rsidRDefault="00DB63AF" w:rsidP="000C57E1">
      <w:pPr>
        <w:rPr>
          <w:color w:val="000000" w:themeColor="text1"/>
          <w:sz w:val="22"/>
          <w:szCs w:val="22"/>
        </w:rPr>
      </w:pPr>
      <w:r w:rsidRPr="00DB63AF">
        <w:rPr>
          <w:sz w:val="22"/>
          <w:szCs w:val="22"/>
        </w:rPr>
        <w:lastRenderedPageBreak/>
        <w:t>Only allowable program costs can be charged to match. As a result, indirect costs in excess of 8% cannot be recovered. (Note: Programs that have a DESE approved IDC rate of 8%, can claim a portion of that rate on the direct budget and a portion of that rate on match (e.g., 4% IDC on the direct budget and 4% IDC on the match budget). Programs that have a federally approved indirect cost (IDC) rate that exceeds the DESE approved IDC rate may not claim the difference between the 8% and the federally approved rate as match.</w:t>
      </w:r>
      <w:r w:rsidR="000C57E1" w:rsidRPr="000C57E1">
        <w:rPr>
          <w:color w:val="000000" w:themeColor="text1"/>
          <w:sz w:val="22"/>
          <w:szCs w:val="22"/>
        </w:rPr>
        <w:t xml:space="preserve"> </w:t>
      </w:r>
      <w:r w:rsidR="000C57E1" w:rsidRPr="17FFD0FF">
        <w:rPr>
          <w:color w:val="000000" w:themeColor="text1"/>
          <w:sz w:val="22"/>
          <w:szCs w:val="22"/>
        </w:rPr>
        <w:t xml:space="preserve">(Note: All requirements that apply to </w:t>
      </w:r>
      <w:r w:rsidR="00192D4C">
        <w:rPr>
          <w:color w:val="000000" w:themeColor="text1"/>
          <w:sz w:val="22"/>
          <w:szCs w:val="22"/>
        </w:rPr>
        <w:t>ACLS</w:t>
      </w:r>
      <w:r w:rsidR="000C57E1" w:rsidRPr="17FFD0FF">
        <w:rPr>
          <w:color w:val="000000" w:themeColor="text1"/>
          <w:sz w:val="22"/>
          <w:szCs w:val="22"/>
        </w:rPr>
        <w:t xml:space="preserve"> grant funds also apply to match funds.)</w:t>
      </w:r>
    </w:p>
    <w:p w14:paraId="5D785180" w14:textId="77777777" w:rsidR="00DB63AF" w:rsidRPr="00DB63AF" w:rsidRDefault="00DB63AF" w:rsidP="00DB63AF">
      <w:pPr>
        <w:rPr>
          <w:sz w:val="22"/>
          <w:szCs w:val="22"/>
        </w:rPr>
      </w:pPr>
      <w:r w:rsidRPr="00DB63AF">
        <w:rPr>
          <w:sz w:val="22"/>
          <w:szCs w:val="22"/>
        </w:rPr>
        <w:t>All matching funds and contributions must be directly related to the grant program. This includes cash and third-party in-kind contributions. These contributions must adhere to the requirements detailed in this chapter. Specifically, they must be verifiable, adequately supported with documentation, and approved in the program budget. Time and effort reporting for volunteers’ matching expenditures must adhere to the same reporting policies and procedures used for the grantees’ employees. The expenditures used as matching funds may not be included as contributions for or funded by any other federal award.</w:t>
      </w:r>
    </w:p>
    <w:p w14:paraId="5F7BC1E5" w14:textId="77777777" w:rsidR="00DB63AF" w:rsidRPr="00DB63AF" w:rsidRDefault="00DB63AF" w:rsidP="00DB63AF">
      <w:pPr>
        <w:rPr>
          <w:sz w:val="22"/>
          <w:szCs w:val="22"/>
        </w:rPr>
      </w:pPr>
      <w:r w:rsidRPr="00DB63AF">
        <w:rPr>
          <w:sz w:val="22"/>
          <w:szCs w:val="22"/>
        </w:rPr>
        <w:t>Examples of allowable matching or cost-sharing requirement criteria are:</w:t>
      </w:r>
    </w:p>
    <w:p w14:paraId="29CA4B07" w14:textId="77777777" w:rsidR="00DB63AF" w:rsidRPr="00813FAC" w:rsidRDefault="00DB63AF" w:rsidP="00813FAC">
      <w:pPr>
        <w:pStyle w:val="ListParagraph"/>
        <w:numPr>
          <w:ilvl w:val="0"/>
          <w:numId w:val="23"/>
        </w:numPr>
        <w:rPr>
          <w:rFonts w:cs="Times New Roman"/>
          <w:sz w:val="22"/>
          <w:szCs w:val="22"/>
        </w:rPr>
      </w:pPr>
      <w:r w:rsidRPr="00813FAC">
        <w:rPr>
          <w:rFonts w:cs="Times New Roman"/>
          <w:sz w:val="22"/>
          <w:szCs w:val="22"/>
        </w:rPr>
        <w:t>The value of the third-party in-kind contributions is applicable to the period to which the cost sharing or matching requirements apply.</w:t>
      </w:r>
    </w:p>
    <w:p w14:paraId="50AD2768" w14:textId="77777777" w:rsidR="00DB63AF" w:rsidRPr="00813FAC" w:rsidRDefault="00DB63AF" w:rsidP="00813FAC">
      <w:pPr>
        <w:pStyle w:val="ListParagraph"/>
        <w:numPr>
          <w:ilvl w:val="0"/>
          <w:numId w:val="23"/>
        </w:numPr>
        <w:rPr>
          <w:rFonts w:cs="Times New Roman"/>
          <w:sz w:val="22"/>
          <w:szCs w:val="22"/>
        </w:rPr>
      </w:pPr>
      <w:r w:rsidRPr="00813FAC">
        <w:rPr>
          <w:rFonts w:cs="Times New Roman"/>
          <w:sz w:val="22"/>
          <w:szCs w:val="22"/>
        </w:rPr>
        <w:t>Valuation of donated services provided to a grantee or subgrantee by individuals must be valued at rates consistent with those ordinarily paid for similar work, in the grantee's or subgrantee's organization.</w:t>
      </w:r>
    </w:p>
    <w:p w14:paraId="71EB6BDD" w14:textId="114C8CE8" w:rsidR="00DB63AF" w:rsidRPr="0013094A" w:rsidRDefault="00DB63AF" w:rsidP="00DB63AF">
      <w:pPr>
        <w:pStyle w:val="ListParagraph"/>
        <w:numPr>
          <w:ilvl w:val="0"/>
          <w:numId w:val="23"/>
        </w:numPr>
        <w:rPr>
          <w:rFonts w:cs="Times New Roman"/>
          <w:sz w:val="22"/>
          <w:szCs w:val="22"/>
        </w:rPr>
      </w:pPr>
      <w:r w:rsidRPr="00813FAC">
        <w:rPr>
          <w:rFonts w:cs="Times New Roman"/>
          <w:sz w:val="22"/>
          <w:szCs w:val="22"/>
        </w:rPr>
        <w:t>Valuation of third party donated supplies and loaned equipment or space must be valued at rates consistent with those common in the area where the grantee provides services.</w:t>
      </w:r>
    </w:p>
    <w:p w14:paraId="6F95FBFC" w14:textId="77777777" w:rsidR="00DB63AF" w:rsidRPr="00DB63AF" w:rsidRDefault="00DB63AF" w:rsidP="00DB63AF">
      <w:pPr>
        <w:rPr>
          <w:sz w:val="22"/>
          <w:szCs w:val="22"/>
        </w:rPr>
      </w:pPr>
      <w:r w:rsidRPr="00DB63AF">
        <w:rPr>
          <w:sz w:val="22"/>
          <w:szCs w:val="22"/>
        </w:rPr>
        <w:t xml:space="preserve">The source(s) of match funding must be documented, and the match funds must be an integral part of the approved program, </w:t>
      </w:r>
      <w:r w:rsidRPr="00DB63AF">
        <w:rPr>
          <w:color w:val="000000" w:themeColor="text1"/>
          <w:sz w:val="22"/>
          <w:szCs w:val="22"/>
        </w:rPr>
        <w:t xml:space="preserve">recorded in the grantee’s financial management system for each </w:t>
      </w:r>
      <w:r w:rsidRPr="00DB63AF">
        <w:rPr>
          <w:sz w:val="22"/>
          <w:szCs w:val="22"/>
        </w:rPr>
        <w:t>grant, fully auditable, and demonstrative of the grantee’s capacity to provide self-sustaining fiscal and program operations. Examples of acceptable match requirements include but are not limited to:</w:t>
      </w:r>
    </w:p>
    <w:p w14:paraId="67F0F8BE" w14:textId="5425EA89" w:rsidR="00DB63AF" w:rsidRPr="00813FAC" w:rsidRDefault="00DB63AF" w:rsidP="00813FAC">
      <w:pPr>
        <w:pStyle w:val="ListParagraph"/>
        <w:numPr>
          <w:ilvl w:val="0"/>
          <w:numId w:val="24"/>
        </w:numPr>
        <w:rPr>
          <w:rFonts w:eastAsiaTheme="minorEastAsia"/>
          <w:sz w:val="22"/>
          <w:szCs w:val="22"/>
        </w:rPr>
      </w:pPr>
      <w:r w:rsidRPr="00813FAC">
        <w:rPr>
          <w:rFonts w:cs="Times New Roman"/>
          <w:sz w:val="22"/>
          <w:szCs w:val="22"/>
        </w:rPr>
        <w:t xml:space="preserve">Classes supported by match funds. If a program meets the match requirement with classes, these classes and students must be entered into </w:t>
      </w:r>
      <w:hyperlink r:id="rId50">
        <w:r w:rsidRPr="00813FAC">
          <w:rPr>
            <w:rStyle w:val="Hyperlink"/>
            <w:rFonts w:cs="Times New Roman"/>
            <w:sz w:val="22"/>
            <w:szCs w:val="22"/>
          </w:rPr>
          <w:t>LACES</w:t>
        </w:r>
      </w:hyperlink>
      <w:r w:rsidRPr="00813FAC">
        <w:rPr>
          <w:rFonts w:cs="Times New Roman"/>
          <w:sz w:val="22"/>
          <w:szCs w:val="22"/>
        </w:rPr>
        <w:t xml:space="preserve">. (Note: The number of enrollments the program will be required to maintain will be the sum of seats in the </w:t>
      </w:r>
      <w:r w:rsidR="00192D4C">
        <w:rPr>
          <w:rFonts w:cs="Times New Roman"/>
          <w:sz w:val="22"/>
          <w:szCs w:val="22"/>
        </w:rPr>
        <w:t>ACLS</w:t>
      </w:r>
      <w:r w:rsidRPr="00813FAC">
        <w:rPr>
          <w:rFonts w:cs="Times New Roman"/>
          <w:sz w:val="22"/>
          <w:szCs w:val="22"/>
        </w:rPr>
        <w:t xml:space="preserve"> funded classes and the seats in the match funded classes. For example, if </w:t>
      </w:r>
      <w:r w:rsidR="00192D4C">
        <w:rPr>
          <w:rFonts w:cs="Times New Roman"/>
          <w:sz w:val="22"/>
          <w:szCs w:val="22"/>
        </w:rPr>
        <w:t>ACLS</w:t>
      </w:r>
      <w:r w:rsidRPr="00813FAC">
        <w:rPr>
          <w:rFonts w:cs="Times New Roman"/>
          <w:sz w:val="22"/>
          <w:szCs w:val="22"/>
        </w:rPr>
        <w:t xml:space="preserve"> funds 50 seats and match funds another 50 seats, the program will need to enroll and maintain 100 enrolled students during the period from September to June.</w:t>
      </w:r>
    </w:p>
    <w:p w14:paraId="22837727" w14:textId="77777777" w:rsidR="00DB63AF" w:rsidRPr="00813FAC" w:rsidRDefault="00DB63AF" w:rsidP="00813FAC">
      <w:pPr>
        <w:pStyle w:val="ListParagraph"/>
        <w:numPr>
          <w:ilvl w:val="0"/>
          <w:numId w:val="24"/>
        </w:numPr>
        <w:rPr>
          <w:rFonts w:cs="Times New Roman"/>
          <w:sz w:val="22"/>
          <w:szCs w:val="22"/>
        </w:rPr>
      </w:pPr>
      <w:r w:rsidRPr="00813FAC">
        <w:rPr>
          <w:rFonts w:cs="Times New Roman"/>
          <w:sz w:val="22"/>
          <w:szCs w:val="22"/>
        </w:rPr>
        <w:t>Allowable costs incurred by the grantee, subgrantee, or a cost-type contractor under the assistance agreement.</w:t>
      </w:r>
    </w:p>
    <w:p w14:paraId="287EDCC0" w14:textId="4DA35ED0" w:rsidR="00DB63AF" w:rsidRPr="00813FAC" w:rsidRDefault="00DB63AF" w:rsidP="00813FAC">
      <w:pPr>
        <w:pStyle w:val="ListParagraph"/>
        <w:numPr>
          <w:ilvl w:val="0"/>
          <w:numId w:val="24"/>
        </w:numPr>
        <w:rPr>
          <w:rFonts w:cs="Times New Roman"/>
          <w:sz w:val="22"/>
          <w:szCs w:val="22"/>
        </w:rPr>
      </w:pPr>
      <w:r w:rsidRPr="00813FAC">
        <w:rPr>
          <w:rFonts w:cs="Times New Roman"/>
          <w:sz w:val="22"/>
          <w:szCs w:val="22"/>
        </w:rPr>
        <w:t xml:space="preserve">Personnel who provide volunteer instructional services (e.g., in class, one on one tutoring). Rates for volunteer services must be consistent with rates for similar work paid by the grantee. If required skills are not paid for by the grantee, rates must be consistent with those paid for similar work in the labor market. Fringe benefits that are reasonable, necessary, allocable, and allowable may be included in the valuation but only to the extent that they </w:t>
      </w:r>
      <w:r w:rsidRPr="00813FAC">
        <w:rPr>
          <w:rFonts w:cs="Times New Roman"/>
          <w:sz w:val="22"/>
          <w:szCs w:val="22"/>
        </w:rPr>
        <w:lastRenderedPageBreak/>
        <w:t xml:space="preserve">are included in the grantee’s personnel policies. Time of the volunteer services must be documented using the same time and effort reporting system used for employees of the grantee. </w:t>
      </w:r>
      <w:r w:rsidR="00192D4C">
        <w:rPr>
          <w:rFonts w:cs="Times New Roman"/>
          <w:sz w:val="22"/>
          <w:szCs w:val="22"/>
        </w:rPr>
        <w:t>ACLS</w:t>
      </w:r>
      <w:r w:rsidRPr="00813FAC">
        <w:rPr>
          <w:rFonts w:cs="Times New Roman"/>
          <w:sz w:val="22"/>
          <w:szCs w:val="22"/>
        </w:rPr>
        <w:t xml:space="preserve"> limits </w:t>
      </w:r>
      <w:r w:rsidR="00E3409A">
        <w:rPr>
          <w:rFonts w:cs="Times New Roman"/>
          <w:sz w:val="22"/>
          <w:szCs w:val="22"/>
        </w:rPr>
        <w:t>Fair Share</w:t>
      </w:r>
      <w:r w:rsidRPr="00813FAC">
        <w:rPr>
          <w:rFonts w:cs="Times New Roman"/>
          <w:sz w:val="22"/>
          <w:szCs w:val="22"/>
        </w:rPr>
        <w:t xml:space="preserve"> matching contributions for volunteer time to 5% of the total grant award, not to exceed $24,000.</w:t>
      </w:r>
    </w:p>
    <w:p w14:paraId="25E77377" w14:textId="77777777" w:rsidR="00DB63AF" w:rsidRPr="00813FAC" w:rsidRDefault="00DB63AF" w:rsidP="00813FAC">
      <w:pPr>
        <w:pStyle w:val="ListParagraph"/>
        <w:numPr>
          <w:ilvl w:val="0"/>
          <w:numId w:val="24"/>
        </w:numPr>
        <w:rPr>
          <w:rFonts w:cs="Times New Roman"/>
          <w:sz w:val="22"/>
          <w:szCs w:val="22"/>
        </w:rPr>
      </w:pPr>
      <w:r w:rsidRPr="00813FAC">
        <w:rPr>
          <w:rFonts w:cs="Times New Roman"/>
          <w:sz w:val="22"/>
          <w:szCs w:val="22"/>
        </w:rPr>
        <w:t>Employees of other organizations.</w:t>
      </w:r>
    </w:p>
    <w:p w14:paraId="6EC770A3" w14:textId="3A6B80A5" w:rsidR="00DB63AF" w:rsidRPr="0013094A" w:rsidRDefault="00DB63AF" w:rsidP="00DB63AF">
      <w:pPr>
        <w:pStyle w:val="ListParagraph"/>
        <w:numPr>
          <w:ilvl w:val="0"/>
          <w:numId w:val="24"/>
        </w:numPr>
        <w:rPr>
          <w:rFonts w:cs="Times New Roman"/>
          <w:color w:val="000000" w:themeColor="text1"/>
          <w:sz w:val="22"/>
          <w:szCs w:val="22"/>
        </w:rPr>
      </w:pPr>
      <w:r w:rsidRPr="00813FAC">
        <w:rPr>
          <w:rFonts w:cs="Times New Roman"/>
          <w:sz w:val="22"/>
          <w:szCs w:val="22"/>
        </w:rPr>
        <w:t xml:space="preserve">Space. Direct grant charges are only for rental space for approved satellite sites. All other space charges may only be considered as match (up to 10%). The amount charged to the grant must be limited to actual usage of the space by the </w:t>
      </w:r>
      <w:r w:rsidR="00E3409A">
        <w:rPr>
          <w:rFonts w:cs="Times New Roman"/>
          <w:sz w:val="22"/>
          <w:szCs w:val="22"/>
        </w:rPr>
        <w:t xml:space="preserve">Fair Share </w:t>
      </w:r>
      <w:r w:rsidRPr="00813FAC">
        <w:rPr>
          <w:rFonts w:cs="Times New Roman"/>
          <w:sz w:val="22"/>
          <w:szCs w:val="22"/>
        </w:rPr>
        <w:t>program. The formula for determining match is the cost per sq. ft. used by the program (e.g., classrooms, office space) multiplied by the percentage of time the space is used by the program</w:t>
      </w:r>
      <w:r w:rsidRPr="00813FAC">
        <w:rPr>
          <w:rFonts w:cs="Times New Roman"/>
          <w:color w:val="0E2841" w:themeColor="text2"/>
          <w:sz w:val="22"/>
          <w:szCs w:val="22"/>
        </w:rPr>
        <w:t xml:space="preserve">. </w:t>
      </w:r>
      <w:r w:rsidRPr="00813FAC">
        <w:rPr>
          <w:rFonts w:cs="Times New Roman"/>
          <w:color w:val="000000" w:themeColor="text1"/>
          <w:sz w:val="22"/>
          <w:szCs w:val="22"/>
        </w:rPr>
        <w:t>If office space for general administrative organization wide services is included in the indirect cost calculation, it cannot be used as a match expense. Programs must request approval the of state administrator for any space cost charged directly to the grant before grant approval.</w:t>
      </w:r>
    </w:p>
    <w:p w14:paraId="74390C41" w14:textId="6A1AB372" w:rsidR="00DB63AF" w:rsidRPr="00DB63AF" w:rsidRDefault="00DB63AF" w:rsidP="00813FAC">
      <w:pPr>
        <w:pStyle w:val="Heading2"/>
      </w:pPr>
      <w:bookmarkStart w:id="38" w:name="_Toc181170315"/>
      <w:r w:rsidRPr="00DB63AF">
        <w:t>General Grant Requirements</w:t>
      </w:r>
      <w:bookmarkEnd w:id="38"/>
    </w:p>
    <w:p w14:paraId="4B98214F" w14:textId="0F7931A0" w:rsidR="00DB63AF" w:rsidRPr="00DB63AF" w:rsidRDefault="00DB63AF" w:rsidP="00DB63AF">
      <w:pPr>
        <w:rPr>
          <w:sz w:val="22"/>
          <w:szCs w:val="22"/>
        </w:rPr>
      </w:pPr>
      <w:r w:rsidRPr="00DB63AF">
        <w:rPr>
          <w:sz w:val="22"/>
          <w:szCs w:val="22"/>
        </w:rPr>
        <w:t xml:space="preserve">As the entity responsible for distributing AE grant funds and monitoring their use, </w:t>
      </w:r>
      <w:r w:rsidR="00192D4C">
        <w:rPr>
          <w:sz w:val="22"/>
          <w:szCs w:val="22"/>
        </w:rPr>
        <w:t>ACLS</w:t>
      </w:r>
      <w:r w:rsidRPr="00DB63AF">
        <w:rPr>
          <w:sz w:val="22"/>
          <w:szCs w:val="22"/>
        </w:rPr>
        <w:t xml:space="preserve"> monitors grantee adherence to applicable state and federal requirements. Documentation and information collected for this purpose includes but is not limited to:</w:t>
      </w:r>
    </w:p>
    <w:p w14:paraId="2642ABBE" w14:textId="16B000AC" w:rsidR="00DB63AF" w:rsidRPr="00813FAC" w:rsidRDefault="00DB63AF" w:rsidP="00813FAC">
      <w:pPr>
        <w:pStyle w:val="ListParagraph"/>
        <w:numPr>
          <w:ilvl w:val="0"/>
          <w:numId w:val="25"/>
        </w:numPr>
        <w:rPr>
          <w:rFonts w:cs="Times New Roman"/>
          <w:sz w:val="22"/>
          <w:szCs w:val="22"/>
        </w:rPr>
      </w:pPr>
      <w:r w:rsidRPr="00813FAC">
        <w:rPr>
          <w:rFonts w:cs="Times New Roman"/>
          <w:sz w:val="22"/>
          <w:szCs w:val="22"/>
        </w:rPr>
        <w:t xml:space="preserve">Statement of Assurances (SOA): Each year an authorized signatory of the grantee must submit a signed SOA that assures compliance to </w:t>
      </w:r>
      <w:r w:rsidR="00192D4C">
        <w:rPr>
          <w:rFonts w:cs="Times New Roman"/>
          <w:sz w:val="22"/>
          <w:szCs w:val="22"/>
        </w:rPr>
        <w:t>ACLS</w:t>
      </w:r>
      <w:r w:rsidRPr="00813FAC">
        <w:rPr>
          <w:rFonts w:cs="Times New Roman"/>
          <w:sz w:val="22"/>
          <w:szCs w:val="22"/>
        </w:rPr>
        <w:t xml:space="preserve"> policies. The failure of a grantee to demonstrate compliance with the policy requirements in the </w:t>
      </w:r>
      <w:r w:rsidR="00E3409A">
        <w:rPr>
          <w:rFonts w:cs="Times New Roman"/>
          <w:sz w:val="22"/>
          <w:szCs w:val="22"/>
        </w:rPr>
        <w:t>these policies</w:t>
      </w:r>
      <w:r w:rsidRPr="00813FAC">
        <w:rPr>
          <w:rFonts w:cs="Times New Roman"/>
          <w:color w:val="0000FF"/>
          <w:sz w:val="22"/>
          <w:szCs w:val="22"/>
        </w:rPr>
        <w:t xml:space="preserve"> </w:t>
      </w:r>
      <w:r w:rsidRPr="00813FAC">
        <w:rPr>
          <w:rFonts w:cs="Times New Roman"/>
          <w:sz w:val="22"/>
          <w:szCs w:val="22"/>
        </w:rPr>
        <w:t xml:space="preserve">and in subsequent policy updates throughout the year will have consequences, including but not limited to corrective action, withholding of funds, grant reduction, or grant termination. By signing the SOA, the signatory is assuring </w:t>
      </w:r>
      <w:r w:rsidR="00192D4C">
        <w:rPr>
          <w:rFonts w:cs="Times New Roman"/>
          <w:sz w:val="22"/>
          <w:szCs w:val="22"/>
        </w:rPr>
        <w:t>ACLS</w:t>
      </w:r>
      <w:r w:rsidRPr="00813FAC">
        <w:rPr>
          <w:rFonts w:cs="Times New Roman"/>
          <w:sz w:val="22"/>
          <w:szCs w:val="22"/>
        </w:rPr>
        <w:t xml:space="preserve"> that the organization is aware of and will comply with all grant requirements and governing fiscal and data regulations.</w:t>
      </w:r>
    </w:p>
    <w:p w14:paraId="66C35BE8" w14:textId="79168D70" w:rsidR="00DB63AF" w:rsidRPr="00813FAC" w:rsidRDefault="00DB63AF" w:rsidP="00813FAC">
      <w:pPr>
        <w:pStyle w:val="ListParagraph"/>
        <w:numPr>
          <w:ilvl w:val="0"/>
          <w:numId w:val="25"/>
        </w:numPr>
        <w:rPr>
          <w:rFonts w:cs="Times New Roman"/>
          <w:sz w:val="22"/>
          <w:szCs w:val="22"/>
        </w:rPr>
      </w:pPr>
      <w:r w:rsidRPr="00813FAC">
        <w:rPr>
          <w:rFonts w:cs="Times New Roman"/>
          <w:sz w:val="22"/>
          <w:szCs w:val="22"/>
        </w:rPr>
        <w:t xml:space="preserve">Risk Management: </w:t>
      </w:r>
      <w:hyperlink r:id="rId51">
        <w:r w:rsidRPr="00813FAC">
          <w:rPr>
            <w:rStyle w:val="Hyperlink"/>
            <w:rFonts w:cs="Times New Roman"/>
            <w:sz w:val="22"/>
            <w:szCs w:val="22"/>
          </w:rPr>
          <w:t>2 CFR Part 200.205</w:t>
        </w:r>
      </w:hyperlink>
      <w:r w:rsidRPr="00813FAC">
        <w:rPr>
          <w:rFonts w:cs="Times New Roman"/>
          <w:sz w:val="22"/>
          <w:szCs w:val="22"/>
        </w:rPr>
        <w:t xml:space="preserve"> requires that </w:t>
      </w:r>
      <w:r w:rsidR="00192D4C">
        <w:rPr>
          <w:rFonts w:cs="Times New Roman"/>
          <w:sz w:val="22"/>
          <w:szCs w:val="22"/>
        </w:rPr>
        <w:t>ACLS</w:t>
      </w:r>
      <w:r w:rsidRPr="00813FAC">
        <w:rPr>
          <w:rFonts w:cs="Times New Roman"/>
          <w:sz w:val="22"/>
          <w:szCs w:val="22"/>
        </w:rPr>
        <w:t xml:space="preserve"> assess the risk of grant recipients in order to identify fiscal and programmatic conditions that could put federal and state funds at risk and, based on the results of the risk assessment, develop monitoring plans</w:t>
      </w:r>
      <w:r w:rsidRPr="00813FAC">
        <w:rPr>
          <w:rStyle w:val="CommentReference"/>
          <w:rFonts w:cs="Times New Roman"/>
          <w:b/>
          <w:bCs/>
          <w:sz w:val="22"/>
          <w:szCs w:val="22"/>
        </w:rPr>
        <w:t>.</w:t>
      </w:r>
      <w:r w:rsidRPr="00813FAC">
        <w:rPr>
          <w:rFonts w:cs="Times New Roman"/>
          <w:sz w:val="22"/>
          <w:szCs w:val="22"/>
        </w:rPr>
        <w:t xml:space="preserve"> ACLS will continually assess program risk using a risk analysis rubric that incorporates a range of fiscal and data indicators including single audit findings, fiscal monitoring review findings, unspent funds, grant to agency budget ratio, MSG, timeliness of data entry, data accuracy, and post-test rates. Mitigation could involve training and technical assistance, additional site reviews including fiscal and data audits, stops on grant payments, and grant reduction or termination.</w:t>
      </w:r>
    </w:p>
    <w:p w14:paraId="6FA9C2D9" w14:textId="77777777" w:rsidR="00DB63AF" w:rsidRPr="00813FAC" w:rsidRDefault="00DB63AF" w:rsidP="00813FAC">
      <w:pPr>
        <w:pStyle w:val="ListParagraph"/>
        <w:numPr>
          <w:ilvl w:val="0"/>
          <w:numId w:val="25"/>
        </w:numPr>
        <w:rPr>
          <w:rFonts w:cs="Times New Roman"/>
          <w:sz w:val="22"/>
          <w:szCs w:val="22"/>
        </w:rPr>
      </w:pPr>
      <w:r w:rsidRPr="00813FAC">
        <w:rPr>
          <w:rFonts w:cs="Times New Roman"/>
          <w:sz w:val="22"/>
          <w:szCs w:val="22"/>
        </w:rPr>
        <w:t xml:space="preserve">Financial Audit Requirement: All grantees that are community-based organizations (CBOs) are required to annually submit to ACLS an electronic copy of their organization’s latest non-single audit report issued by an independent CPA. The audit should be sent to </w:t>
      </w:r>
      <w:hyperlink r:id="rId52" w:history="1">
        <w:r w:rsidRPr="00813FAC">
          <w:rPr>
            <w:rStyle w:val="Hyperlink"/>
            <w:rFonts w:cs="Times New Roman"/>
            <w:sz w:val="22"/>
            <w:szCs w:val="22"/>
          </w:rPr>
          <w:t>ACLSFinancialAudit@mass.gov</w:t>
        </w:r>
      </w:hyperlink>
      <w:r w:rsidRPr="00813FAC">
        <w:rPr>
          <w:rFonts w:cs="Times New Roman"/>
          <w:sz w:val="22"/>
          <w:szCs w:val="22"/>
        </w:rPr>
        <w:t xml:space="preserve"> and submitted no later than nine months after the program’s fiscal year ends with a Cc to the program’s assigned Program Specialist. The report should include financial statements and a Management Letter. The costs of the non-single audits are not an allowable expense to the grant as per </w:t>
      </w:r>
      <w:hyperlink r:id="rId53" w:history="1">
        <w:r w:rsidRPr="00813FAC">
          <w:rPr>
            <w:rStyle w:val="Hyperlink"/>
            <w:rFonts w:cs="Times New Roman"/>
            <w:sz w:val="22"/>
            <w:szCs w:val="22"/>
          </w:rPr>
          <w:t>2 CFR Part 200.425</w:t>
        </w:r>
      </w:hyperlink>
      <w:r w:rsidRPr="00813FAC">
        <w:rPr>
          <w:rFonts w:cs="Times New Roman"/>
          <w:sz w:val="22"/>
          <w:szCs w:val="22"/>
        </w:rPr>
        <w:t>.</w:t>
      </w:r>
    </w:p>
    <w:p w14:paraId="5EA4EA6D" w14:textId="564C494A" w:rsidR="00DB63AF" w:rsidRPr="00813FAC" w:rsidRDefault="00DB63AF" w:rsidP="00813FAC">
      <w:pPr>
        <w:pStyle w:val="ListParagraph"/>
        <w:numPr>
          <w:ilvl w:val="0"/>
          <w:numId w:val="25"/>
        </w:numPr>
        <w:rPr>
          <w:rFonts w:cs="Times New Roman"/>
          <w:color w:val="000000" w:themeColor="text1"/>
          <w:sz w:val="22"/>
          <w:szCs w:val="22"/>
        </w:rPr>
      </w:pPr>
      <w:r w:rsidRPr="00813FAC">
        <w:rPr>
          <w:rFonts w:cs="Times New Roman"/>
          <w:color w:val="000000" w:themeColor="text1"/>
          <w:sz w:val="22"/>
          <w:szCs w:val="22"/>
        </w:rPr>
        <w:lastRenderedPageBreak/>
        <w:t xml:space="preserve">As per </w:t>
      </w:r>
      <w:hyperlink r:id="rId54" w:history="1">
        <w:r w:rsidRPr="00813FAC">
          <w:rPr>
            <w:rStyle w:val="Hyperlink"/>
            <w:rFonts w:cs="Times New Roman"/>
            <w:sz w:val="22"/>
            <w:szCs w:val="22"/>
          </w:rPr>
          <w:t>2 CFR 200.501</w:t>
        </w:r>
      </w:hyperlink>
      <w:r w:rsidRPr="00813FAC">
        <w:rPr>
          <w:rFonts w:cs="Times New Roman"/>
          <w:color w:val="000000" w:themeColor="text1"/>
          <w:sz w:val="22"/>
          <w:szCs w:val="22"/>
        </w:rPr>
        <w:t>, entities that aggregately expend $</w:t>
      </w:r>
      <w:r w:rsidR="00753AE8">
        <w:rPr>
          <w:rFonts w:cs="Times New Roman"/>
          <w:color w:val="000000" w:themeColor="text1"/>
          <w:sz w:val="22"/>
          <w:szCs w:val="22"/>
        </w:rPr>
        <w:t>1,000</w:t>
      </w:r>
      <w:r w:rsidRPr="00813FAC">
        <w:rPr>
          <w:rFonts w:cs="Times New Roman"/>
          <w:color w:val="000000" w:themeColor="text1"/>
          <w:sz w:val="22"/>
          <w:szCs w:val="22"/>
        </w:rPr>
        <w:t>,000 or more in federal funding are required to have a Single Audit (SA) that reviews internal controls and compliance to grant requirements. These audits must be submitted by the program’s CPA into the Federal Clearing House nine months after the program’s fiscal year ends. The cost of an audit is an allowable cost; however, it must be allocated proportionately to all funding sources. The Audit &amp; Compliance Unit (A&amp;C) of DESE will follow up on any SA that results in findings. A corrective action plan will be required along with supporting documentation on the corrective measures taken by the organization.</w:t>
      </w:r>
    </w:p>
    <w:p w14:paraId="77C25181" w14:textId="77777777" w:rsidR="00DB63AF" w:rsidRPr="00813FAC" w:rsidRDefault="00DB63AF" w:rsidP="00813FAC">
      <w:pPr>
        <w:pStyle w:val="ListParagraph"/>
        <w:numPr>
          <w:ilvl w:val="0"/>
          <w:numId w:val="25"/>
        </w:numPr>
        <w:rPr>
          <w:rFonts w:cs="Times New Roman"/>
          <w:noProof/>
          <w:sz w:val="22"/>
          <w:szCs w:val="22"/>
        </w:rPr>
      </w:pPr>
      <w:r w:rsidRPr="00813FAC">
        <w:rPr>
          <w:rFonts w:cs="Times New Roman"/>
          <w:sz w:val="22"/>
          <w:szCs w:val="22"/>
        </w:rPr>
        <w:t xml:space="preserve">Time and effort records must support payrolls and time distribution records must support </w:t>
      </w:r>
      <w:r w:rsidRPr="00813FAC">
        <w:rPr>
          <w:rFonts w:cs="Times New Roman"/>
          <w:color w:val="000000" w:themeColor="text1"/>
          <w:sz w:val="22"/>
          <w:szCs w:val="22"/>
        </w:rPr>
        <w:t>salaries and wages of employees for both full time staff and/or staff working on more than one grant or cost center. Grantees must have written policies and procedures on how the account for staff is charged to the grant including salaries and in-kind services used as matching funds. Grantees should become familiar with</w:t>
      </w:r>
      <w:r w:rsidRPr="00813FAC">
        <w:rPr>
          <w:rFonts w:cs="Times New Roman"/>
          <w:color w:val="FF0000"/>
          <w:sz w:val="22"/>
          <w:szCs w:val="22"/>
        </w:rPr>
        <w:t xml:space="preserve"> </w:t>
      </w:r>
      <w:hyperlink r:id="rId55">
        <w:r w:rsidRPr="00813FAC">
          <w:rPr>
            <w:rStyle w:val="Hyperlink"/>
            <w:rFonts w:cs="Times New Roman"/>
            <w:sz w:val="22"/>
            <w:szCs w:val="22"/>
          </w:rPr>
          <w:t>2 CFR Part 200.318</w:t>
        </w:r>
      </w:hyperlink>
      <w:r w:rsidRPr="00813FAC">
        <w:rPr>
          <w:rFonts w:cs="Times New Roman"/>
          <w:color w:val="000000" w:themeColor="text1"/>
          <w:sz w:val="22"/>
          <w:szCs w:val="22"/>
        </w:rPr>
        <w:t>, document time and effort in payroll records, ensure that they comply with the approved budget, and keep supporting documentation for time and effort reporting. This requirement also pertains to matching funds.</w:t>
      </w:r>
    </w:p>
    <w:p w14:paraId="74BDB001" w14:textId="77777777" w:rsidR="00DB63AF" w:rsidRPr="00813FAC" w:rsidRDefault="00DB63AF" w:rsidP="00813FAC">
      <w:pPr>
        <w:pStyle w:val="ListParagraph"/>
        <w:numPr>
          <w:ilvl w:val="0"/>
          <w:numId w:val="25"/>
        </w:numPr>
        <w:rPr>
          <w:rFonts w:cs="Times New Roman"/>
          <w:color w:val="000000" w:themeColor="text1"/>
          <w:sz w:val="22"/>
          <w:szCs w:val="22"/>
        </w:rPr>
      </w:pPr>
      <w:r w:rsidRPr="00813FAC">
        <w:rPr>
          <w:rFonts w:cs="Times New Roman"/>
          <w:color w:val="000000" w:themeColor="text1"/>
          <w:sz w:val="22"/>
          <w:szCs w:val="22"/>
        </w:rPr>
        <w:t xml:space="preserve">Time and effort documentation is important and a requirement as per </w:t>
      </w:r>
      <w:hyperlink r:id="rId56">
        <w:r w:rsidRPr="00813FAC">
          <w:rPr>
            <w:rStyle w:val="Hyperlink"/>
            <w:rFonts w:cs="Times New Roman"/>
            <w:sz w:val="22"/>
            <w:szCs w:val="22"/>
          </w:rPr>
          <w:t>2 CFR Part 200.430</w:t>
        </w:r>
      </w:hyperlink>
      <w:r w:rsidRPr="00813FAC">
        <w:rPr>
          <w:rFonts w:cs="Times New Roman"/>
          <w:color w:val="000000" w:themeColor="text1"/>
          <w:sz w:val="22"/>
          <w:szCs w:val="22"/>
        </w:rPr>
        <w:t>. The grantee must have written time and effort reporting procedures that reflect the grantee’s written personnel policies. Payroll systems must be based on records that accurately reflect the work performed and supported by a system of internal controls that provides reasonable assurances that charges are accurate, allowable, reasonable, and properly allocated. Payroll distribution records must be incorporated into the grantee’s official records and reasonably reflect employees’ total activity. Additionally, records need to support the distribution of salary or wages across specific activities or cost objectives if an employee works on more than one grant or activity. Time and effort reporting documentation requirements also apply to salaries counted as match.</w:t>
      </w:r>
    </w:p>
    <w:p w14:paraId="66838963" w14:textId="713D0269" w:rsidR="00DB63AF" w:rsidRPr="0013094A" w:rsidRDefault="00DB63AF" w:rsidP="00DB63AF">
      <w:pPr>
        <w:pStyle w:val="ListParagraph"/>
        <w:numPr>
          <w:ilvl w:val="0"/>
          <w:numId w:val="25"/>
        </w:numPr>
        <w:rPr>
          <w:rFonts w:cs="Times New Roman"/>
          <w:color w:val="000000"/>
          <w:sz w:val="22"/>
          <w:szCs w:val="22"/>
        </w:rPr>
      </w:pPr>
      <w:r w:rsidRPr="00813FAC">
        <w:rPr>
          <w:rFonts w:cs="Times New Roman"/>
          <w:color w:val="000000" w:themeColor="text1"/>
          <w:sz w:val="22"/>
          <w:szCs w:val="22"/>
        </w:rPr>
        <w:t xml:space="preserve">A reasonable method of tracking time and effort must be employed. Estimates may be used, however, reconciliation to actual time worked and charged (i.e., planned versus actual) must occur on a regular basis. Time worked, level of effort, and dollars charged are not independent of each other. They are linked and methodologies for tracking, reporting, and the internal controls in place need to be part of the documentation associated with personnel charges to </w:t>
      </w:r>
      <w:r w:rsidR="00D91964">
        <w:rPr>
          <w:rFonts w:cs="Times New Roman"/>
          <w:color w:val="000000" w:themeColor="text1"/>
          <w:sz w:val="22"/>
          <w:szCs w:val="22"/>
        </w:rPr>
        <w:t>ACLS</w:t>
      </w:r>
      <w:r w:rsidRPr="00813FAC">
        <w:rPr>
          <w:rFonts w:cs="Times New Roman"/>
          <w:color w:val="000000" w:themeColor="text1"/>
          <w:sz w:val="22"/>
          <w:szCs w:val="22"/>
        </w:rPr>
        <w:t xml:space="preserve"> grants.</w:t>
      </w:r>
    </w:p>
    <w:p w14:paraId="5F3A80B7" w14:textId="77777777" w:rsidR="00DB63AF" w:rsidRPr="00DB63AF" w:rsidRDefault="00DB63AF" w:rsidP="00813FAC">
      <w:pPr>
        <w:pStyle w:val="Heading2"/>
      </w:pPr>
      <w:bookmarkStart w:id="39" w:name="_Toc181170316"/>
      <w:r w:rsidRPr="00DB63AF">
        <w:t>Essential Budget Information</w:t>
      </w:r>
      <w:bookmarkEnd w:id="39"/>
    </w:p>
    <w:p w14:paraId="6268DFF1" w14:textId="4C9278BE" w:rsidR="00DB63AF" w:rsidRPr="00DB63AF" w:rsidRDefault="00DB63AF" w:rsidP="00DB63AF">
      <w:pPr>
        <w:rPr>
          <w:sz w:val="22"/>
          <w:szCs w:val="22"/>
        </w:rPr>
      </w:pPr>
      <w:r w:rsidRPr="00DB63AF">
        <w:rPr>
          <w:sz w:val="22"/>
          <w:szCs w:val="22"/>
        </w:rPr>
        <w:t xml:space="preserve">Adult education grantees must be familiar with GEM$, the DESE </w:t>
      </w:r>
      <w:hyperlink r:id="rId57">
        <w:r w:rsidRPr="00DB63AF">
          <w:rPr>
            <w:rStyle w:val="Hyperlink"/>
            <w:sz w:val="22"/>
            <w:szCs w:val="22"/>
          </w:rPr>
          <w:t>grants management system</w:t>
        </w:r>
      </w:hyperlink>
      <w:r w:rsidRPr="00DB63AF">
        <w:rPr>
          <w:rStyle w:val="Hyperlink"/>
          <w:color w:val="auto"/>
          <w:sz w:val="22"/>
          <w:szCs w:val="22"/>
          <w:u w:val="none"/>
        </w:rPr>
        <w:t>,</w:t>
      </w:r>
      <w:r w:rsidRPr="00DB63AF">
        <w:rPr>
          <w:sz w:val="22"/>
          <w:szCs w:val="22"/>
        </w:rPr>
        <w:t xml:space="preserve"> and use official grants management forms and/or ACLS required forms as identified in individual Requests for Proposals (RFPs). They must also meet submission deadlines and abide by rules related to administrative costs including the rule that all fiscal </w:t>
      </w:r>
      <w:r w:rsidRPr="00DB63AF">
        <w:rPr>
          <w:color w:val="000000" w:themeColor="text1"/>
          <w:sz w:val="22"/>
          <w:szCs w:val="22"/>
        </w:rPr>
        <w:t xml:space="preserve">requirements that apply to </w:t>
      </w:r>
      <w:r w:rsidR="00D91964">
        <w:rPr>
          <w:color w:val="000000" w:themeColor="text1"/>
          <w:sz w:val="22"/>
          <w:szCs w:val="22"/>
        </w:rPr>
        <w:t>ACLS</w:t>
      </w:r>
      <w:r w:rsidRPr="00DB63AF">
        <w:rPr>
          <w:color w:val="000000" w:themeColor="text1"/>
          <w:sz w:val="22"/>
          <w:szCs w:val="22"/>
        </w:rPr>
        <w:t xml:space="preserve"> grant funds apply to match funds.</w:t>
      </w:r>
    </w:p>
    <w:p w14:paraId="57C243DD" w14:textId="50AA83B8" w:rsidR="00DB63AF" w:rsidRPr="00DB63AF" w:rsidRDefault="00DB63AF" w:rsidP="00DB63AF">
      <w:pPr>
        <w:rPr>
          <w:sz w:val="22"/>
          <w:szCs w:val="22"/>
        </w:rPr>
      </w:pPr>
      <w:r w:rsidRPr="00DB63AF">
        <w:rPr>
          <w:sz w:val="22"/>
          <w:szCs w:val="22"/>
        </w:rPr>
        <w:t xml:space="preserve">As defined by AEFLA and </w:t>
      </w:r>
      <w:hyperlink r:id="rId58">
        <w:r w:rsidRPr="00DB63AF">
          <w:rPr>
            <w:rStyle w:val="Hyperlink"/>
            <w:sz w:val="22"/>
            <w:szCs w:val="22"/>
          </w:rPr>
          <w:t>34 CFR Part 463, Subpart C (463.25, and 463.26),</w:t>
        </w:r>
      </w:hyperlink>
      <w:r w:rsidRPr="00DB63AF">
        <w:rPr>
          <w:sz w:val="22"/>
          <w:szCs w:val="22"/>
        </w:rPr>
        <w:t xml:space="preserve"> not less than 95 percent of funds must be spent on AE direct services and literacy activities. As a result, not more than five </w:t>
      </w:r>
      <w:r w:rsidRPr="00DB63AF">
        <w:rPr>
          <w:sz w:val="22"/>
          <w:szCs w:val="22"/>
        </w:rPr>
        <w:lastRenderedPageBreak/>
        <w:t xml:space="preserve">percent of the funds may be spent on administrative costs. Grantees may negotiate with </w:t>
      </w:r>
      <w:r w:rsidR="00192D4C">
        <w:rPr>
          <w:sz w:val="22"/>
          <w:szCs w:val="22"/>
        </w:rPr>
        <w:t>ACLS</w:t>
      </w:r>
      <w:r w:rsidRPr="00DB63AF">
        <w:rPr>
          <w:sz w:val="22"/>
          <w:szCs w:val="22"/>
        </w:rPr>
        <w:t xml:space="preserve"> on an individual basis to determine an adequate level of funds for non-instructional purposes</w:t>
      </w:r>
      <w:r w:rsidR="00651029">
        <w:rPr>
          <w:sz w:val="22"/>
          <w:szCs w:val="22"/>
        </w:rPr>
        <w:t>, up to 25%,</w:t>
      </w:r>
      <w:r w:rsidRPr="00DB63AF">
        <w:rPr>
          <w:sz w:val="22"/>
          <w:szCs w:val="22"/>
        </w:rPr>
        <w:t xml:space="preserve"> by submitting a written request and rationale with their </w:t>
      </w:r>
      <w:r w:rsidR="00651029">
        <w:rPr>
          <w:sz w:val="22"/>
          <w:szCs w:val="22"/>
        </w:rPr>
        <w:t>grant</w:t>
      </w:r>
      <w:r w:rsidRPr="00DB63AF">
        <w:rPr>
          <w:sz w:val="22"/>
          <w:szCs w:val="22"/>
        </w:rPr>
        <w:t xml:space="preserve"> applications. Administrative costs must be reasonable, necessary, and allocable.</w:t>
      </w:r>
    </w:p>
    <w:p w14:paraId="1DCBCDB6" w14:textId="77777777" w:rsidR="00DB63AF" w:rsidRPr="00DB63AF" w:rsidRDefault="00DB63AF" w:rsidP="00DB63AF">
      <w:pPr>
        <w:rPr>
          <w:sz w:val="22"/>
          <w:szCs w:val="22"/>
        </w:rPr>
      </w:pPr>
      <w:r w:rsidRPr="00DB63AF">
        <w:rPr>
          <w:sz w:val="22"/>
          <w:szCs w:val="22"/>
        </w:rPr>
        <w:t>AEFLA defines administrative costs as allowable costs related to planning, administration (including carrying out performance accountability requirements), professional development, providing AE and literacy services in alignment with local workforce plans, carrying out one-stop partner responsibilities, and state approved IDC charged to the grant. (Note: Approved IDC is part of the grantee’s administrative cost.)</w:t>
      </w:r>
    </w:p>
    <w:p w14:paraId="3AD00B48" w14:textId="6CC415C6" w:rsidR="00DB63AF" w:rsidRPr="00DB63AF" w:rsidRDefault="00DB63AF" w:rsidP="00DB63AF">
      <w:pPr>
        <w:rPr>
          <w:sz w:val="22"/>
          <w:szCs w:val="22"/>
        </w:rPr>
      </w:pPr>
      <w:hyperlink r:id="rId59">
        <w:r w:rsidRPr="00DB63AF">
          <w:rPr>
            <w:rStyle w:val="Hyperlink"/>
            <w:sz w:val="22"/>
            <w:szCs w:val="22"/>
          </w:rPr>
          <w:t>AEFLA Sec. 233</w:t>
        </w:r>
      </w:hyperlink>
      <w:r w:rsidRPr="00DB63AF">
        <w:rPr>
          <w:sz w:val="22"/>
          <w:szCs w:val="22"/>
        </w:rPr>
        <w:t xml:space="preserve"> states that professional development expenses are administrative expenses and part of the five percent limit. </w:t>
      </w:r>
      <w:r w:rsidR="00192D4C">
        <w:rPr>
          <w:sz w:val="22"/>
          <w:szCs w:val="22"/>
        </w:rPr>
        <w:t>ACLS</w:t>
      </w:r>
      <w:r w:rsidRPr="00DB63AF">
        <w:rPr>
          <w:sz w:val="22"/>
          <w:szCs w:val="22"/>
        </w:rPr>
        <w:t xml:space="preserve"> has further defined administrative professional development expenses to include non-SABES registration fees and travel expenses including out of state travel. SABES trainings and the annual MCAE Network conference are defined by </w:t>
      </w:r>
      <w:r w:rsidR="00192D4C">
        <w:rPr>
          <w:sz w:val="22"/>
          <w:szCs w:val="22"/>
        </w:rPr>
        <w:t>ACLS</w:t>
      </w:r>
      <w:r w:rsidRPr="00DB63AF">
        <w:rPr>
          <w:sz w:val="22"/>
          <w:szCs w:val="22"/>
        </w:rPr>
        <w:t xml:space="preserve"> as instructional expenses.</w:t>
      </w:r>
    </w:p>
    <w:p w14:paraId="6E47EFC2" w14:textId="77777777" w:rsidR="00DB63AF" w:rsidRPr="00DB63AF" w:rsidRDefault="00DB63AF" w:rsidP="00813FAC">
      <w:pPr>
        <w:pStyle w:val="Heading3"/>
        <w:rPr>
          <w:color w:val="3A7C22" w:themeColor="accent6" w:themeShade="BF"/>
        </w:rPr>
      </w:pPr>
      <w:r w:rsidRPr="00DB63AF">
        <w:t xml:space="preserve">Budget Information </w:t>
      </w:r>
    </w:p>
    <w:p w14:paraId="58C5C575" w14:textId="77777777" w:rsidR="00DB63AF" w:rsidRPr="00DB63AF" w:rsidRDefault="00DB63AF" w:rsidP="00DB63AF">
      <w:pPr>
        <w:rPr>
          <w:color w:val="000000" w:themeColor="text1"/>
          <w:sz w:val="22"/>
          <w:szCs w:val="22"/>
        </w:rPr>
      </w:pPr>
      <w:r w:rsidRPr="00DB63AF">
        <w:rPr>
          <w:sz w:val="22"/>
          <w:szCs w:val="22"/>
        </w:rPr>
        <w:t>Allowable costs must be directly attributable to the project and documented. For example, j</w:t>
      </w:r>
      <w:r w:rsidRPr="00DB63AF">
        <w:rPr>
          <w:color w:val="000000" w:themeColor="text1"/>
          <w:sz w:val="22"/>
          <w:szCs w:val="22"/>
        </w:rPr>
        <w:t xml:space="preserve">ob descriptions and organization charts must be maintained for all employees charged to the grant for both direct and indirect costs. The job descriptions and organizational charts should be in line with the duties performed on the grant and through the grantee’s organization. Job descriptions should also be maintained for services performed as match (e.g., volunteer and other salaries included as match for the grant). </w:t>
      </w:r>
      <w:r w:rsidRPr="00DB63AF">
        <w:rPr>
          <w:sz w:val="22"/>
          <w:szCs w:val="22"/>
        </w:rPr>
        <w:t>Grantees should contact their assigned PS if they need assistance with budgets.</w:t>
      </w:r>
    </w:p>
    <w:bookmarkEnd w:id="25"/>
    <w:bookmarkEnd w:id="26"/>
    <w:p w14:paraId="2C565B61" w14:textId="77777777" w:rsidR="00DB63AF" w:rsidRPr="00DB63AF" w:rsidRDefault="00DB63AF" w:rsidP="00813FAC">
      <w:pPr>
        <w:pStyle w:val="Heading3"/>
      </w:pPr>
      <w:r w:rsidRPr="00DB63AF">
        <w:t>Student Stipends</w:t>
      </w:r>
    </w:p>
    <w:p w14:paraId="07FC5AB4" w14:textId="77777777" w:rsidR="00DB63AF" w:rsidRPr="00DB63AF" w:rsidRDefault="00DB63AF" w:rsidP="00DB63AF">
      <w:pPr>
        <w:rPr>
          <w:sz w:val="22"/>
          <w:szCs w:val="22"/>
        </w:rPr>
      </w:pPr>
      <w:r w:rsidRPr="00DB63AF">
        <w:rPr>
          <w:sz w:val="22"/>
          <w:szCs w:val="22"/>
        </w:rPr>
        <w:t xml:space="preserve">Student stipends are an allowable expense but may not be used to pay students to participate in programming. As this work is not instructional, it is administrative and will be included in administrative costs. Programs that pay stipends to students must: </w:t>
      </w:r>
    </w:p>
    <w:p w14:paraId="77306349" w14:textId="77777777" w:rsidR="00DB63AF" w:rsidRPr="00813FAC" w:rsidRDefault="00DB63AF" w:rsidP="00813FAC">
      <w:pPr>
        <w:pStyle w:val="ListParagraph"/>
        <w:numPr>
          <w:ilvl w:val="0"/>
          <w:numId w:val="26"/>
        </w:numPr>
        <w:rPr>
          <w:rFonts w:eastAsia="Times New Roman" w:cs="Times New Roman"/>
          <w:sz w:val="22"/>
          <w:szCs w:val="22"/>
        </w:rPr>
      </w:pPr>
      <w:r w:rsidRPr="00813FAC">
        <w:rPr>
          <w:rFonts w:eastAsia="Times New Roman" w:cs="Times New Roman"/>
          <w:sz w:val="22"/>
          <w:szCs w:val="22"/>
        </w:rPr>
        <w:t xml:space="preserve">Maintain job descriptions for all jobs for which students are paid; </w:t>
      </w:r>
    </w:p>
    <w:p w14:paraId="165DD4B1" w14:textId="77777777" w:rsidR="00DB63AF" w:rsidRPr="00813FAC" w:rsidRDefault="00DB63AF" w:rsidP="00813FAC">
      <w:pPr>
        <w:pStyle w:val="ListParagraph"/>
        <w:numPr>
          <w:ilvl w:val="0"/>
          <w:numId w:val="26"/>
        </w:numPr>
        <w:rPr>
          <w:rFonts w:eastAsia="Times New Roman" w:cs="Times New Roman"/>
          <w:sz w:val="22"/>
          <w:szCs w:val="22"/>
        </w:rPr>
      </w:pPr>
      <w:r w:rsidRPr="00813FAC">
        <w:rPr>
          <w:rFonts w:eastAsia="Times New Roman" w:cs="Times New Roman"/>
          <w:sz w:val="22"/>
          <w:szCs w:val="22"/>
        </w:rPr>
        <w:t xml:space="preserve">Enter into contracts with the students and renew them annually; and </w:t>
      </w:r>
    </w:p>
    <w:p w14:paraId="28B556CE" w14:textId="77777777" w:rsidR="00DB63AF" w:rsidRPr="00813FAC" w:rsidRDefault="00DB63AF" w:rsidP="00813FAC">
      <w:pPr>
        <w:pStyle w:val="ListParagraph"/>
        <w:numPr>
          <w:ilvl w:val="0"/>
          <w:numId w:val="26"/>
        </w:numPr>
        <w:rPr>
          <w:sz w:val="22"/>
          <w:szCs w:val="22"/>
        </w:rPr>
      </w:pPr>
      <w:r w:rsidRPr="00813FAC">
        <w:rPr>
          <w:rFonts w:eastAsia="Times New Roman" w:cs="Times New Roman"/>
          <w:sz w:val="22"/>
          <w:szCs w:val="22"/>
        </w:rPr>
        <w:t>Document the time and effort of these students.</w:t>
      </w:r>
    </w:p>
    <w:p w14:paraId="75152099" w14:textId="77777777" w:rsidR="00DB63AF" w:rsidRPr="00DB63AF" w:rsidRDefault="00DB63AF" w:rsidP="00813FAC">
      <w:pPr>
        <w:pStyle w:val="Heading3"/>
        <w:rPr>
          <w:color w:val="3A7C22" w:themeColor="accent6" w:themeShade="BF"/>
        </w:rPr>
      </w:pPr>
      <w:commentRangeStart w:id="40"/>
      <w:commentRangeStart w:id="41"/>
      <w:commentRangeStart w:id="42"/>
      <w:r w:rsidRPr="00DB63AF">
        <w:t>Requests for Funds</w:t>
      </w:r>
      <w:commentRangeEnd w:id="40"/>
      <w:r w:rsidR="00D4134E" w:rsidRPr="00DB63AF">
        <w:rPr>
          <w:rStyle w:val="CommentReference"/>
          <w:color w:val="3A7C22" w:themeColor="accent6" w:themeShade="BF"/>
          <w:sz w:val="28"/>
          <w:szCs w:val="28"/>
        </w:rPr>
        <w:commentReference w:id="40"/>
      </w:r>
      <w:commentRangeEnd w:id="41"/>
      <w:r w:rsidR="0083409A" w:rsidRPr="00DB63AF">
        <w:rPr>
          <w:rStyle w:val="CommentReference"/>
          <w:color w:val="3A7C22" w:themeColor="accent6" w:themeShade="BF"/>
          <w:sz w:val="28"/>
          <w:szCs w:val="28"/>
        </w:rPr>
        <w:commentReference w:id="41"/>
      </w:r>
      <w:commentRangeEnd w:id="42"/>
      <w:r w:rsidRPr="00DB63AF">
        <w:rPr>
          <w:rStyle w:val="CommentReference"/>
          <w:color w:val="3A7C22" w:themeColor="accent6" w:themeShade="BF"/>
          <w:sz w:val="28"/>
          <w:szCs w:val="28"/>
        </w:rPr>
        <w:commentReference w:id="42"/>
      </w:r>
    </w:p>
    <w:p w14:paraId="46908C36" w14:textId="2EC984CE" w:rsidR="00DB63AF" w:rsidRPr="00DB63AF" w:rsidRDefault="00B16A00" w:rsidP="00DB63AF">
      <w:pPr>
        <w:rPr>
          <w:color w:val="000000" w:themeColor="text1"/>
          <w:sz w:val="22"/>
          <w:szCs w:val="22"/>
        </w:rPr>
      </w:pPr>
      <w:r w:rsidRPr="00B16A00">
        <w:rPr>
          <w:color w:val="000000" w:themeColor="text1"/>
          <w:sz w:val="22"/>
          <w:szCs w:val="22"/>
        </w:rPr>
        <w:t>Grantees must monitor monthly expenditures carefully and regularly request reimbursement of actual expenses (i.e., draw down) to ensure state and federal funds are expended on a consistent, timely basis, and in full by the close of each fiscal year.</w:t>
      </w:r>
      <w:r w:rsidR="00DB63AF" w:rsidRPr="00DB63AF">
        <w:rPr>
          <w:color w:val="000000" w:themeColor="text1"/>
          <w:sz w:val="22"/>
          <w:szCs w:val="22"/>
        </w:rPr>
        <w:t xml:space="preserve"> </w:t>
      </w:r>
    </w:p>
    <w:p w14:paraId="203754BB" w14:textId="77777777" w:rsidR="00DB63AF" w:rsidRPr="00DB63AF" w:rsidRDefault="00DB63AF" w:rsidP="00DB63AF">
      <w:pPr>
        <w:rPr>
          <w:color w:val="000000" w:themeColor="text1"/>
          <w:sz w:val="22"/>
          <w:szCs w:val="22"/>
        </w:rPr>
      </w:pPr>
      <w:r w:rsidRPr="00DB63AF">
        <w:rPr>
          <w:color w:val="000000" w:themeColor="text1"/>
          <w:sz w:val="22"/>
          <w:szCs w:val="22"/>
        </w:rPr>
        <w:t xml:space="preserve">It is important to develop cash management policies and procedures that include monitoring budget versus actual expenditures, and cash on hand. Communication between program staff and fiscal staff on a monthly basis will allow the grantee to apply for amendments if needed and avoid </w:t>
      </w:r>
      <w:r w:rsidRPr="00DB63AF">
        <w:rPr>
          <w:color w:val="000000" w:themeColor="text1"/>
          <w:sz w:val="22"/>
          <w:szCs w:val="22"/>
        </w:rPr>
        <w:lastRenderedPageBreak/>
        <w:t>disallowance of expenditures. Costs incurred and charged must only be for allowable costs as approved in the budget.</w:t>
      </w:r>
    </w:p>
    <w:p w14:paraId="566AE473" w14:textId="37880827" w:rsidR="00DB63AF" w:rsidRPr="00DB63AF" w:rsidRDefault="00813FAC" w:rsidP="00813FAC">
      <w:pPr>
        <w:pStyle w:val="Heading3"/>
      </w:pPr>
      <w:r>
        <w:t>Revisions (amendments)</w:t>
      </w:r>
    </w:p>
    <w:p w14:paraId="5DCB05CA" w14:textId="6A778725" w:rsidR="00DB63AF" w:rsidRPr="00DB63AF" w:rsidRDefault="00DB63AF" w:rsidP="00DB63AF">
      <w:pPr>
        <w:rPr>
          <w:sz w:val="22"/>
          <w:szCs w:val="22"/>
        </w:rPr>
      </w:pPr>
      <w:r w:rsidRPr="00DB63AF">
        <w:rPr>
          <w:sz w:val="22"/>
          <w:szCs w:val="22"/>
        </w:rPr>
        <w:t xml:space="preserve">Grant </w:t>
      </w:r>
      <w:r w:rsidR="00885F57">
        <w:rPr>
          <w:sz w:val="22"/>
          <w:szCs w:val="22"/>
        </w:rPr>
        <w:t>revisions (</w:t>
      </w:r>
      <w:r w:rsidRPr="00DB63AF">
        <w:rPr>
          <w:sz w:val="22"/>
          <w:szCs w:val="22"/>
        </w:rPr>
        <w:t>amendments</w:t>
      </w:r>
      <w:r w:rsidR="00885F57">
        <w:rPr>
          <w:sz w:val="22"/>
          <w:szCs w:val="22"/>
        </w:rPr>
        <w:t>)</w:t>
      </w:r>
      <w:r w:rsidRPr="00DB63AF">
        <w:rPr>
          <w:sz w:val="22"/>
          <w:szCs w:val="22"/>
        </w:rPr>
        <w:t xml:space="preserve"> are required when there is:</w:t>
      </w:r>
    </w:p>
    <w:p w14:paraId="50A9F371" w14:textId="77777777" w:rsidR="00DB63AF" w:rsidRPr="00813FAC" w:rsidRDefault="00DB63AF" w:rsidP="00813FAC">
      <w:pPr>
        <w:pStyle w:val="ListParagraph"/>
        <w:numPr>
          <w:ilvl w:val="0"/>
          <w:numId w:val="27"/>
        </w:numPr>
        <w:rPr>
          <w:rFonts w:cs="Times New Roman"/>
          <w:sz w:val="22"/>
          <w:szCs w:val="22"/>
        </w:rPr>
      </w:pPr>
      <w:r w:rsidRPr="00813FAC">
        <w:rPr>
          <w:rFonts w:cs="Times New Roman"/>
          <w:sz w:val="22"/>
          <w:szCs w:val="22"/>
        </w:rPr>
        <w:t>A significant change in program objectives, personnel and/or scope of services for the grant;</w:t>
      </w:r>
    </w:p>
    <w:p w14:paraId="22ED26D2" w14:textId="77777777" w:rsidR="00DB63AF" w:rsidRPr="00813FAC" w:rsidRDefault="00DB63AF" w:rsidP="00813FAC">
      <w:pPr>
        <w:pStyle w:val="ListParagraph"/>
        <w:numPr>
          <w:ilvl w:val="0"/>
          <w:numId w:val="27"/>
        </w:numPr>
        <w:rPr>
          <w:rFonts w:cs="Times New Roman"/>
          <w:sz w:val="22"/>
          <w:szCs w:val="22"/>
        </w:rPr>
      </w:pPr>
      <w:r w:rsidRPr="00813FAC">
        <w:rPr>
          <w:rFonts w:cs="Times New Roman"/>
          <w:sz w:val="22"/>
          <w:szCs w:val="22"/>
        </w:rPr>
        <w:t>An increase or decrease in the total amount of the grant; or</w:t>
      </w:r>
    </w:p>
    <w:p w14:paraId="7EF707EC" w14:textId="39842EC9" w:rsidR="00DB63AF" w:rsidRPr="00813FAC" w:rsidRDefault="00DB63AF" w:rsidP="00813FAC">
      <w:pPr>
        <w:pStyle w:val="ListParagraph"/>
        <w:numPr>
          <w:ilvl w:val="0"/>
          <w:numId w:val="27"/>
        </w:numPr>
        <w:rPr>
          <w:rFonts w:cs="Times New Roman"/>
          <w:sz w:val="22"/>
          <w:szCs w:val="22"/>
        </w:rPr>
      </w:pPr>
      <w:r w:rsidRPr="00813FAC">
        <w:rPr>
          <w:rFonts w:cs="Times New Roman"/>
          <w:sz w:val="22"/>
          <w:szCs w:val="22"/>
        </w:rPr>
        <w:t xml:space="preserve">A line item change that exceeds $100 or 10% of the line, whichever is greater, or exceeds $10,000 must be approved by </w:t>
      </w:r>
      <w:r w:rsidR="00192D4C">
        <w:rPr>
          <w:rFonts w:cs="Times New Roman"/>
          <w:sz w:val="22"/>
          <w:szCs w:val="22"/>
        </w:rPr>
        <w:t>ACLS</w:t>
      </w:r>
      <w:r w:rsidRPr="00813FAC">
        <w:rPr>
          <w:rFonts w:cs="Times New Roman"/>
          <w:sz w:val="22"/>
          <w:szCs w:val="22"/>
        </w:rPr>
        <w:t xml:space="preserve"> program staff.</w:t>
      </w:r>
    </w:p>
    <w:p w14:paraId="735C892C" w14:textId="628B7AF8" w:rsidR="00DB63AF" w:rsidRPr="00DB63AF" w:rsidRDefault="00DB63AF" w:rsidP="00DB63AF">
      <w:pPr>
        <w:rPr>
          <w:sz w:val="22"/>
          <w:szCs w:val="22"/>
        </w:rPr>
      </w:pPr>
      <w:r w:rsidRPr="00DB63AF">
        <w:rPr>
          <w:sz w:val="22"/>
          <w:szCs w:val="22"/>
        </w:rPr>
        <w:t>When a</w:t>
      </w:r>
      <w:r w:rsidR="00813FAC">
        <w:rPr>
          <w:sz w:val="22"/>
          <w:szCs w:val="22"/>
        </w:rPr>
        <w:t xml:space="preserve"> revision</w:t>
      </w:r>
      <w:r w:rsidRPr="00DB63AF">
        <w:rPr>
          <w:sz w:val="22"/>
          <w:szCs w:val="22"/>
        </w:rPr>
        <w:t xml:space="preserve"> is required, the program must consult with its assigned PS for preapproval of the proposed change.</w:t>
      </w:r>
    </w:p>
    <w:p w14:paraId="73F97E7E" w14:textId="6CA57097" w:rsidR="00DB63AF" w:rsidRPr="00DB63AF" w:rsidRDefault="00DB63AF" w:rsidP="00DB63AF">
      <w:pPr>
        <w:rPr>
          <w:color w:val="FF0000"/>
          <w:sz w:val="22"/>
          <w:szCs w:val="22"/>
        </w:rPr>
      </w:pPr>
      <w:r w:rsidRPr="00DB63AF">
        <w:rPr>
          <w:sz w:val="22"/>
          <w:szCs w:val="22"/>
        </w:rPr>
        <w:t xml:space="preserve">To allow time for </w:t>
      </w:r>
      <w:r w:rsidR="007E4782">
        <w:rPr>
          <w:sz w:val="22"/>
          <w:szCs w:val="22"/>
        </w:rPr>
        <w:t xml:space="preserve">revisions </w:t>
      </w:r>
      <w:r w:rsidRPr="00DB63AF">
        <w:rPr>
          <w:sz w:val="22"/>
          <w:szCs w:val="22"/>
        </w:rPr>
        <w:t xml:space="preserve">to be processed, programs must submit </w:t>
      </w:r>
      <w:r w:rsidR="00885F57">
        <w:rPr>
          <w:sz w:val="22"/>
          <w:szCs w:val="22"/>
        </w:rPr>
        <w:t>revisio</w:t>
      </w:r>
      <w:r w:rsidR="00885F57" w:rsidRPr="00DB63AF">
        <w:rPr>
          <w:sz w:val="22"/>
          <w:szCs w:val="22"/>
        </w:rPr>
        <w:t>ns</w:t>
      </w:r>
      <w:r w:rsidRPr="00DB63AF">
        <w:rPr>
          <w:sz w:val="22"/>
          <w:szCs w:val="22"/>
        </w:rPr>
        <w:t xml:space="preserve"> at least 30 days prior to the desired change and/or 30 days before the end of the fiscal year. Communication between program and fiscal staff on a consistent basis and the use of budget versus actual reports to monitor the grant will prevent any disallowance of expenditures by DESE.</w:t>
      </w:r>
    </w:p>
    <w:p w14:paraId="713434E0" w14:textId="77777777" w:rsidR="00DB63AF" w:rsidRPr="00DB63AF" w:rsidRDefault="00DB63AF" w:rsidP="00813FAC">
      <w:pPr>
        <w:pStyle w:val="Heading3"/>
      </w:pPr>
      <w:bookmarkStart w:id="43" w:name="_Toc181170318"/>
      <w:r w:rsidRPr="00DB63AF">
        <w:t>Unexpended Funds</w:t>
      </w:r>
      <w:bookmarkEnd w:id="43"/>
    </w:p>
    <w:p w14:paraId="7ADD7400" w14:textId="77777777" w:rsidR="00DB63AF" w:rsidRPr="00813FAC" w:rsidRDefault="00DB63AF" w:rsidP="00813FAC">
      <w:pPr>
        <w:pStyle w:val="ListParagraph"/>
        <w:numPr>
          <w:ilvl w:val="0"/>
          <w:numId w:val="28"/>
        </w:numPr>
        <w:rPr>
          <w:sz w:val="22"/>
          <w:szCs w:val="22"/>
        </w:rPr>
      </w:pPr>
      <w:r w:rsidRPr="00813FAC">
        <w:rPr>
          <w:color w:val="000000" w:themeColor="text1"/>
          <w:sz w:val="22"/>
          <w:szCs w:val="22"/>
        </w:rPr>
        <w:t xml:space="preserve">Grantees </w:t>
      </w:r>
      <w:r w:rsidRPr="00813FAC">
        <w:rPr>
          <w:sz w:val="22"/>
          <w:szCs w:val="22"/>
        </w:rPr>
        <w:t>must monitor expenses on all grants to ensure that funds are used within the approved project period of the grant.</w:t>
      </w:r>
    </w:p>
    <w:p w14:paraId="1CB8234E" w14:textId="77777777" w:rsidR="00DB63AF" w:rsidRPr="00813FAC" w:rsidRDefault="00DB63AF" w:rsidP="00813FAC">
      <w:pPr>
        <w:pStyle w:val="ListParagraph"/>
        <w:numPr>
          <w:ilvl w:val="0"/>
          <w:numId w:val="28"/>
        </w:numPr>
        <w:rPr>
          <w:rFonts w:cs="Times New Roman"/>
          <w:sz w:val="22"/>
          <w:szCs w:val="22"/>
        </w:rPr>
      </w:pPr>
      <w:r w:rsidRPr="00813FAC">
        <w:rPr>
          <w:rFonts w:cs="Times New Roman"/>
          <w:sz w:val="22"/>
          <w:szCs w:val="22"/>
        </w:rPr>
        <w:t>Grant funds MUST be obligated by the grant end date.</w:t>
      </w:r>
    </w:p>
    <w:p w14:paraId="5F2F3230" w14:textId="77777777" w:rsidR="00DB63AF" w:rsidRPr="00813FAC" w:rsidRDefault="00DB63AF" w:rsidP="00813FAC">
      <w:pPr>
        <w:pStyle w:val="ListParagraph"/>
        <w:numPr>
          <w:ilvl w:val="0"/>
          <w:numId w:val="28"/>
        </w:numPr>
        <w:rPr>
          <w:rFonts w:cs="Times New Roman"/>
          <w:sz w:val="22"/>
          <w:szCs w:val="22"/>
        </w:rPr>
      </w:pPr>
      <w:r w:rsidRPr="00813FAC">
        <w:rPr>
          <w:rFonts w:cs="Times New Roman"/>
          <w:sz w:val="22"/>
          <w:szCs w:val="22"/>
        </w:rPr>
        <w:t>Goods/services MUST be received by the grant end date.</w:t>
      </w:r>
    </w:p>
    <w:p w14:paraId="30A546E3" w14:textId="77777777" w:rsidR="00DB63AF" w:rsidRPr="00DB63AF" w:rsidRDefault="00DB63AF" w:rsidP="00DB63AF">
      <w:pPr>
        <w:rPr>
          <w:rFonts w:cs="Times New Roman"/>
          <w:sz w:val="22"/>
          <w:szCs w:val="22"/>
        </w:rPr>
      </w:pPr>
      <w:r w:rsidRPr="00DB63AF">
        <w:rPr>
          <w:rFonts w:cs="Times New Roman"/>
          <w:sz w:val="22"/>
          <w:szCs w:val="22"/>
        </w:rPr>
        <w:t>Applicants have 60 days to finalize/pay invoices for obligations incurred by the grant end date.</w:t>
      </w:r>
    </w:p>
    <w:p w14:paraId="5D7D00ED" w14:textId="21DD3EED" w:rsidR="00DB63AF" w:rsidRPr="00DB63AF" w:rsidRDefault="00D9001A" w:rsidP="00DB63AF">
      <w:pPr>
        <w:rPr>
          <w:sz w:val="22"/>
          <w:szCs w:val="22"/>
        </w:rPr>
      </w:pPr>
      <w:r>
        <w:rPr>
          <w:sz w:val="22"/>
          <w:szCs w:val="22"/>
        </w:rPr>
        <w:t>Grantees must file a</w:t>
      </w:r>
      <w:r w:rsidR="00DB63AF" w:rsidRPr="00DB63AF">
        <w:rPr>
          <w:sz w:val="22"/>
          <w:szCs w:val="22"/>
        </w:rPr>
        <w:t xml:space="preserve"> final financial report each year. The financial report must be filed 60 days after the close of the grant. Expenditures reported on the final report must be supported in the grantees’ accounting records. The accounting system accounts should mirror the grant budget lines, or the grantee must maintain a crosswalk that links the accounts on the accounting system to the grant budget lines. DESE recommends that grantees maintain supporting documentation to support all final reports submitted.</w:t>
      </w:r>
    </w:p>
    <w:p w14:paraId="59AA1260" w14:textId="1F8590B8" w:rsidR="00DB63AF" w:rsidRPr="00DB63AF" w:rsidRDefault="00DB63AF" w:rsidP="00DB63AF">
      <w:pPr>
        <w:rPr>
          <w:color w:val="000000" w:themeColor="text1"/>
          <w:sz w:val="22"/>
          <w:szCs w:val="22"/>
        </w:rPr>
      </w:pPr>
      <w:r w:rsidRPr="00DB63AF">
        <w:rPr>
          <w:sz w:val="22"/>
          <w:szCs w:val="22"/>
        </w:rPr>
        <w:t xml:space="preserve">Grantees must notify their program specialist (PS) by April 15 annually if funds may be unspent, including funds assigned to subcontractors, so that grant funds can be reallocated. </w:t>
      </w:r>
      <w:r w:rsidR="003B7069">
        <w:rPr>
          <w:sz w:val="22"/>
          <w:szCs w:val="22"/>
        </w:rPr>
        <w:t>U</w:t>
      </w:r>
      <w:r w:rsidRPr="00DB63AF">
        <w:rPr>
          <w:sz w:val="22"/>
          <w:szCs w:val="22"/>
        </w:rPr>
        <w:t>nspent funds are indicators of risk and will be recorded in the risk analysis</w:t>
      </w:r>
    </w:p>
    <w:p w14:paraId="652E507A" w14:textId="77777777" w:rsidR="00DB63AF" w:rsidRPr="00DB63AF" w:rsidRDefault="00DB63AF" w:rsidP="00813FAC">
      <w:pPr>
        <w:pStyle w:val="Heading3"/>
      </w:pPr>
      <w:r w:rsidRPr="00DB63AF">
        <w:t>Condition of Funding</w:t>
      </w:r>
    </w:p>
    <w:p w14:paraId="3CD23229" w14:textId="4BDFC03D" w:rsidR="00DB63AF" w:rsidRDefault="00DB63AF" w:rsidP="00DB63AF">
      <w:pPr>
        <w:rPr>
          <w:sz w:val="22"/>
          <w:szCs w:val="22"/>
        </w:rPr>
      </w:pPr>
      <w:r w:rsidRPr="00DB63AF">
        <w:rPr>
          <w:sz w:val="22"/>
          <w:szCs w:val="22"/>
        </w:rPr>
        <w:t xml:space="preserve">As a condition of accepting </w:t>
      </w:r>
      <w:r w:rsidR="005D7D89">
        <w:rPr>
          <w:sz w:val="22"/>
          <w:szCs w:val="22"/>
        </w:rPr>
        <w:t>Fair Share</w:t>
      </w:r>
      <w:r w:rsidRPr="00DB63AF">
        <w:rPr>
          <w:sz w:val="22"/>
          <w:szCs w:val="22"/>
        </w:rPr>
        <w:t xml:space="preserve"> funding, grantees commit to identifying ACLS as the entity supporting the delivery of AE services at the program in official correspondence. Grantees additionally agree that </w:t>
      </w:r>
      <w:r w:rsidR="005D7D89">
        <w:rPr>
          <w:sz w:val="22"/>
          <w:szCs w:val="22"/>
        </w:rPr>
        <w:t>ACLS</w:t>
      </w:r>
      <w:r w:rsidR="005D7D89" w:rsidRPr="00DB63AF">
        <w:rPr>
          <w:sz w:val="22"/>
          <w:szCs w:val="22"/>
        </w:rPr>
        <w:t xml:space="preserve"> </w:t>
      </w:r>
      <w:r w:rsidRPr="00DB63AF">
        <w:rPr>
          <w:sz w:val="22"/>
          <w:szCs w:val="22"/>
        </w:rPr>
        <w:t>will have the right to publish and distribute any materials developed with grant funds.</w:t>
      </w:r>
    </w:p>
    <w:p w14:paraId="7F7D3410" w14:textId="77777777" w:rsidR="00DB63AF" w:rsidRPr="00DB63AF" w:rsidRDefault="00DB63AF" w:rsidP="002D3091">
      <w:pPr>
        <w:pStyle w:val="Heading2"/>
      </w:pPr>
      <w:bookmarkStart w:id="44" w:name="_Toc37075460"/>
      <w:bookmarkStart w:id="45" w:name="_Toc181170319"/>
      <w:r w:rsidRPr="00DB63AF">
        <w:lastRenderedPageBreak/>
        <w:t>Data Quality and Integrity</w:t>
      </w:r>
      <w:bookmarkStart w:id="46" w:name="_Hlk536008682"/>
      <w:bookmarkEnd w:id="44"/>
      <w:bookmarkEnd w:id="45"/>
    </w:p>
    <w:bookmarkEnd w:id="46"/>
    <w:p w14:paraId="01433E68" w14:textId="77777777" w:rsidR="00DB63AF" w:rsidRDefault="00DB63AF" w:rsidP="00DB63AF">
      <w:pPr>
        <w:rPr>
          <w:color w:val="000000" w:themeColor="text1"/>
          <w:sz w:val="22"/>
          <w:szCs w:val="22"/>
        </w:rPr>
      </w:pPr>
      <w:r w:rsidRPr="00DB63AF">
        <w:rPr>
          <w:color w:val="000000" w:themeColor="text1"/>
          <w:sz w:val="22"/>
          <w:szCs w:val="22"/>
        </w:rPr>
        <w:t>When grantees submit a Statement of Assurances signed by the authorized signatory of the grantee, they are assuring ACLS of the accuracy of the information in their grant applications (i.e., competitive and continuation) and all grant related documentation. Grantees will be required to provide financial and data records as requested with the understanding that falsification of required documentation may trigger a data audit and/or fiscal audit or result in termination of the grant. In addition to submitting accurate data, grantees must meet deadlines for data submission.</w:t>
      </w:r>
    </w:p>
    <w:p w14:paraId="750C7868" w14:textId="77777777" w:rsidR="009D344F" w:rsidRPr="00DB63AF" w:rsidRDefault="009D344F" w:rsidP="009D344F">
      <w:pPr>
        <w:pStyle w:val="Heading3"/>
        <w:rPr>
          <w:color w:val="3A7C22" w:themeColor="accent6" w:themeShade="BF"/>
        </w:rPr>
      </w:pPr>
      <w:r w:rsidRPr="00DB63AF">
        <w:t>Confidentiality</w:t>
      </w:r>
    </w:p>
    <w:p w14:paraId="7A741777" w14:textId="77777777" w:rsidR="009D344F" w:rsidRPr="00DB63AF" w:rsidRDefault="009D344F" w:rsidP="009D344F">
      <w:pPr>
        <w:rPr>
          <w:sz w:val="22"/>
          <w:szCs w:val="22"/>
        </w:rPr>
      </w:pPr>
      <w:r w:rsidRPr="00DB63AF">
        <w:rPr>
          <w:sz w:val="22"/>
          <w:szCs w:val="22"/>
        </w:rPr>
        <w:t xml:space="preserve">ACLS requires that confidential student records be kept in locked files and/or in password protected databases. Students’ education records, including student data in </w:t>
      </w:r>
      <w:r w:rsidRPr="00251629">
        <w:t>LACES</w:t>
      </w:r>
      <w:r w:rsidRPr="00DB63AF">
        <w:rPr>
          <w:sz w:val="22"/>
          <w:szCs w:val="22"/>
        </w:rPr>
        <w:t xml:space="preserve"> and records regarding students’ disabilities, are to be treated with the same confidentiality as medical records. ACLS requires that programs protect the privacy of students’ education records and seek consent for any disclosure of personally identifiable information (PII) in students’ education records. (Note: Students entrust programs with PII. Toward protecting it, ACLS requires that all users of the state information management system (</w:t>
      </w:r>
      <w:r w:rsidRPr="00251629">
        <w:t>LACES</w:t>
      </w:r>
      <w:r w:rsidRPr="00DB63AF">
        <w:rPr>
          <w:sz w:val="22"/>
          <w:szCs w:val="22"/>
        </w:rPr>
        <w:t xml:space="preserve">) have unique logon credentials. Programs must immediately deactivate </w:t>
      </w:r>
      <w:r w:rsidRPr="00251629">
        <w:t>LACES</w:t>
      </w:r>
      <w:r w:rsidRPr="00DB63AF">
        <w:rPr>
          <w:sz w:val="22"/>
          <w:szCs w:val="22"/>
        </w:rPr>
        <w:t xml:space="preserve"> accounts for users who leave the program.)</w:t>
      </w:r>
    </w:p>
    <w:p w14:paraId="504E41DB" w14:textId="77777777" w:rsidR="00DB63AF" w:rsidRPr="00DB63AF" w:rsidRDefault="00DB63AF" w:rsidP="00813FAC">
      <w:pPr>
        <w:pStyle w:val="Heading3"/>
      </w:pPr>
      <w:bookmarkStart w:id="47" w:name="_Toc181170320"/>
      <w:r w:rsidRPr="00DB63AF">
        <w:t>Data Entry</w:t>
      </w:r>
      <w:bookmarkEnd w:id="47"/>
    </w:p>
    <w:p w14:paraId="65415BBA" w14:textId="6018BF3E" w:rsidR="00DB63AF" w:rsidRPr="00DB63AF" w:rsidRDefault="00DB63AF" w:rsidP="00DB63AF">
      <w:pPr>
        <w:rPr>
          <w:color w:val="000000" w:themeColor="text1"/>
          <w:sz w:val="22"/>
          <w:szCs w:val="22"/>
        </w:rPr>
      </w:pPr>
      <w:r w:rsidRPr="00DB63AF">
        <w:rPr>
          <w:color w:val="000000" w:themeColor="text1"/>
          <w:sz w:val="22"/>
          <w:szCs w:val="22"/>
        </w:rPr>
        <w:t xml:space="preserve">All data, including intakes, assessment, student attendance, and other required information must be entered into </w:t>
      </w:r>
      <w:hyperlink r:id="rId60">
        <w:r w:rsidRPr="00DB63AF">
          <w:rPr>
            <w:rStyle w:val="Hyperlink"/>
            <w:sz w:val="22"/>
            <w:szCs w:val="22"/>
          </w:rPr>
          <w:t>LACES</w:t>
        </w:r>
      </w:hyperlink>
      <w:r w:rsidRPr="00DB63AF">
        <w:rPr>
          <w:color w:val="000000" w:themeColor="text1"/>
          <w:sz w:val="22"/>
          <w:szCs w:val="22"/>
        </w:rPr>
        <w:t xml:space="preserve"> in a timely manner on a fixed, regular schedule. Grantees must be able to corroborate </w:t>
      </w:r>
      <w:r w:rsidRPr="00702A13">
        <w:rPr>
          <w:sz w:val="22"/>
          <w:szCs w:val="22"/>
        </w:rPr>
        <w:t>LACES</w:t>
      </w:r>
      <w:r w:rsidRPr="00DB63AF">
        <w:rPr>
          <w:color w:val="000000" w:themeColor="text1"/>
          <w:sz w:val="22"/>
          <w:szCs w:val="22"/>
        </w:rPr>
        <w:t xml:space="preserve"> data with program records in their files. Grantees that routinely lag in data entry will not have an accurate picture of their current performance. Routine lags in data entry may trigger a data and/or fiscal audit. ACLS requires grantees to:</w:t>
      </w:r>
    </w:p>
    <w:p w14:paraId="1768E15D" w14:textId="7F0B5863"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 xml:space="preserve">Ensure that all </w:t>
      </w:r>
      <w:r w:rsidRPr="00702A13">
        <w:rPr>
          <w:sz w:val="22"/>
          <w:szCs w:val="22"/>
        </w:rPr>
        <w:t>LACES</w:t>
      </w:r>
      <w:r w:rsidRPr="00813FAC">
        <w:rPr>
          <w:color w:val="000000" w:themeColor="text1"/>
          <w:sz w:val="22"/>
          <w:szCs w:val="22"/>
        </w:rPr>
        <w:t xml:space="preserve"> users, including teachers, have unique logon credentials.</w:t>
      </w:r>
    </w:p>
    <w:p w14:paraId="2D9A6AC1" w14:textId="77777777"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Have written data collection and entry policies and procedures, including identification of the person or persons responsible for data collection, entry, and quality review.</w:t>
      </w:r>
    </w:p>
    <w:p w14:paraId="17FE29E9" w14:textId="48C02746"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 xml:space="preserve">Enroll all students in </w:t>
      </w:r>
      <w:r w:rsidRPr="00702A13">
        <w:rPr>
          <w:sz w:val="22"/>
          <w:szCs w:val="22"/>
        </w:rPr>
        <w:t>LACES</w:t>
      </w:r>
      <w:r w:rsidRPr="00813FAC">
        <w:rPr>
          <w:color w:val="000000" w:themeColor="text1"/>
          <w:sz w:val="22"/>
          <w:szCs w:val="22"/>
        </w:rPr>
        <w:t xml:space="preserve"> even if they do not attend 12 hours.</w:t>
      </w:r>
    </w:p>
    <w:p w14:paraId="0C9A812D" w14:textId="77777777"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Enter attendance at the daily level. That is, attendance must be recorded for each day that a student attends.</w:t>
      </w:r>
    </w:p>
    <w:p w14:paraId="1E5A514C" w14:textId="6FAFDBE4"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 xml:space="preserve">Enter attendance within one week and recommends the best practice of entering attendance </w:t>
      </w:r>
      <w:r w:rsidR="00702A13">
        <w:rPr>
          <w:color w:val="000000" w:themeColor="text1"/>
          <w:sz w:val="22"/>
          <w:szCs w:val="22"/>
        </w:rPr>
        <w:t xml:space="preserve">in LACES </w:t>
      </w:r>
      <w:r w:rsidRPr="00813FAC">
        <w:rPr>
          <w:color w:val="000000" w:themeColor="text1"/>
          <w:sz w:val="22"/>
          <w:szCs w:val="22"/>
        </w:rPr>
        <w:t>every day during class.</w:t>
      </w:r>
    </w:p>
    <w:p w14:paraId="09EDA20F" w14:textId="5F70DDBF"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 xml:space="preserve">Enroll students in class in </w:t>
      </w:r>
      <w:r w:rsidRPr="00702A13">
        <w:rPr>
          <w:sz w:val="22"/>
          <w:szCs w:val="22"/>
        </w:rPr>
        <w:t>LACES</w:t>
      </w:r>
      <w:r w:rsidRPr="00813FAC">
        <w:rPr>
          <w:color w:val="000000" w:themeColor="text1"/>
          <w:sz w:val="22"/>
          <w:szCs w:val="22"/>
        </w:rPr>
        <w:t xml:space="preserve"> within one week of starting and recommends enrolling students before they start to ensure that teachers have up-to-date rosters and can enter attendance on the first day.</w:t>
      </w:r>
    </w:p>
    <w:p w14:paraId="4444F46A" w14:textId="49EA2EA9" w:rsidR="00DB63AF" w:rsidRPr="00813FAC" w:rsidRDefault="00DB63AF" w:rsidP="00813FAC">
      <w:pPr>
        <w:pStyle w:val="ListParagraph"/>
        <w:numPr>
          <w:ilvl w:val="0"/>
          <w:numId w:val="29"/>
        </w:numPr>
        <w:rPr>
          <w:color w:val="000000" w:themeColor="text1"/>
          <w:sz w:val="22"/>
          <w:szCs w:val="22"/>
        </w:rPr>
      </w:pPr>
      <w:r w:rsidRPr="00813FAC">
        <w:rPr>
          <w:color w:val="000000" w:themeColor="text1"/>
          <w:sz w:val="22"/>
          <w:szCs w:val="22"/>
        </w:rPr>
        <w:t xml:space="preserve">Maintain supporting documentation for all </w:t>
      </w:r>
      <w:r w:rsidRPr="00702A13">
        <w:rPr>
          <w:sz w:val="22"/>
          <w:szCs w:val="22"/>
        </w:rPr>
        <w:t>LACES</w:t>
      </w:r>
      <w:r w:rsidRPr="00813FAC">
        <w:rPr>
          <w:color w:val="000000" w:themeColor="text1"/>
          <w:sz w:val="22"/>
          <w:szCs w:val="22"/>
        </w:rPr>
        <w:t xml:space="preserve"> data, including attendance except when teachers enter attendance during class.</w:t>
      </w:r>
    </w:p>
    <w:p w14:paraId="44756221" w14:textId="77777777" w:rsidR="00DB63AF" w:rsidRPr="00DB63AF" w:rsidRDefault="00DB63AF" w:rsidP="00813FAC">
      <w:pPr>
        <w:pStyle w:val="Heading3"/>
      </w:pPr>
      <w:r w:rsidRPr="00DB63AF">
        <w:t>Attendance</w:t>
      </w:r>
    </w:p>
    <w:p w14:paraId="664259D6" w14:textId="77777777" w:rsidR="00DB63AF" w:rsidRPr="00DB63AF" w:rsidRDefault="00DB63AF" w:rsidP="00DB63AF">
      <w:pPr>
        <w:rPr>
          <w:color w:val="000000" w:themeColor="text1"/>
          <w:sz w:val="22"/>
          <w:szCs w:val="22"/>
        </w:rPr>
      </w:pPr>
      <w:r w:rsidRPr="00DB63AF">
        <w:rPr>
          <w:color w:val="000000" w:themeColor="text1"/>
          <w:sz w:val="22"/>
          <w:szCs w:val="22"/>
        </w:rPr>
        <w:t>For reporting purposes, ACLS counts the following as attendance:</w:t>
      </w:r>
    </w:p>
    <w:p w14:paraId="1A7D5C62" w14:textId="77777777" w:rsidR="00DB63AF" w:rsidRPr="00813FAC" w:rsidRDefault="00DB63AF" w:rsidP="00813FAC">
      <w:pPr>
        <w:pStyle w:val="ListParagraph"/>
        <w:numPr>
          <w:ilvl w:val="0"/>
          <w:numId w:val="30"/>
        </w:numPr>
        <w:rPr>
          <w:rFonts w:eastAsia="Times New Roman" w:cs="Times New Roman"/>
          <w:color w:val="000000" w:themeColor="text1"/>
          <w:sz w:val="22"/>
          <w:szCs w:val="22"/>
        </w:rPr>
      </w:pPr>
      <w:r w:rsidRPr="00813FAC">
        <w:rPr>
          <w:rFonts w:eastAsia="Times New Roman" w:cs="Times New Roman"/>
          <w:color w:val="000000" w:themeColor="text1"/>
          <w:sz w:val="22"/>
          <w:szCs w:val="22"/>
        </w:rPr>
        <w:lastRenderedPageBreak/>
        <w:t>The time that a student is physically present in class on the date and at the time of scheduled classes (i.e., F2F classroom attendance);</w:t>
      </w:r>
    </w:p>
    <w:p w14:paraId="564DD5D2" w14:textId="77777777" w:rsidR="00DB63AF" w:rsidRPr="00813FAC" w:rsidRDefault="00DB63AF" w:rsidP="00813FAC">
      <w:pPr>
        <w:pStyle w:val="ListParagraph"/>
        <w:numPr>
          <w:ilvl w:val="0"/>
          <w:numId w:val="30"/>
        </w:numPr>
        <w:rPr>
          <w:rFonts w:eastAsia="Times New Roman" w:cs="Times New Roman"/>
          <w:color w:val="000000" w:themeColor="text1"/>
          <w:sz w:val="22"/>
          <w:szCs w:val="22"/>
        </w:rPr>
      </w:pPr>
      <w:r w:rsidRPr="00813FAC">
        <w:rPr>
          <w:rFonts w:eastAsia="Times New Roman" w:cs="Times New Roman"/>
          <w:color w:val="000000" w:themeColor="text1"/>
          <w:sz w:val="22"/>
          <w:szCs w:val="22"/>
        </w:rPr>
        <w:t>The time that a student is present virtually in class on the date and at the time of scheduled classes (i.e., virtual F2F classroom attendance);</w:t>
      </w:r>
    </w:p>
    <w:p w14:paraId="0310B84D" w14:textId="77777777" w:rsidR="00DB63AF" w:rsidRPr="00813FAC" w:rsidRDefault="00DB63AF" w:rsidP="00813FAC">
      <w:pPr>
        <w:pStyle w:val="ListParagraph"/>
        <w:numPr>
          <w:ilvl w:val="0"/>
          <w:numId w:val="30"/>
        </w:numPr>
        <w:rPr>
          <w:rFonts w:eastAsia="Times New Roman" w:cs="Times New Roman"/>
          <w:color w:val="000000" w:themeColor="text1"/>
          <w:sz w:val="22"/>
          <w:szCs w:val="22"/>
        </w:rPr>
      </w:pPr>
      <w:r w:rsidRPr="00813FAC">
        <w:rPr>
          <w:rFonts w:eastAsia="Times New Roman" w:cs="Times New Roman"/>
          <w:color w:val="000000" w:themeColor="text1"/>
          <w:sz w:val="22"/>
          <w:szCs w:val="22"/>
        </w:rPr>
        <w:t>One on one volunteer tutoring time outside of scheduled classes; and</w:t>
      </w:r>
    </w:p>
    <w:p w14:paraId="337B21BD" w14:textId="77777777" w:rsidR="00DB63AF" w:rsidRPr="00813FAC" w:rsidRDefault="00DB63AF" w:rsidP="00813FAC">
      <w:pPr>
        <w:pStyle w:val="ListParagraph"/>
        <w:numPr>
          <w:ilvl w:val="0"/>
          <w:numId w:val="30"/>
        </w:numPr>
        <w:rPr>
          <w:rFonts w:eastAsia="Times New Roman" w:cs="Times New Roman"/>
          <w:color w:val="000000" w:themeColor="text1"/>
          <w:sz w:val="22"/>
          <w:szCs w:val="22"/>
        </w:rPr>
      </w:pPr>
      <w:commentRangeStart w:id="48"/>
      <w:commentRangeStart w:id="49"/>
      <w:commentRangeStart w:id="50"/>
      <w:commentRangeStart w:id="51"/>
      <w:r w:rsidRPr="00813FAC">
        <w:rPr>
          <w:rFonts w:eastAsia="Times New Roman" w:cs="Times New Roman"/>
          <w:color w:val="000000" w:themeColor="text1"/>
          <w:sz w:val="22"/>
          <w:szCs w:val="22"/>
        </w:rPr>
        <w:t>Proxy seat time (i.e., clock time model); and teacher verification model</w:t>
      </w:r>
      <w:commentRangeEnd w:id="48"/>
      <w:r w:rsidR="00D4134E" w:rsidRPr="00813FAC">
        <w:rPr>
          <w:rStyle w:val="CommentReference"/>
          <w:rFonts w:eastAsia="Times New Roman" w:cs="Times New Roman"/>
          <w:color w:val="000000" w:themeColor="text1"/>
          <w:sz w:val="22"/>
          <w:szCs w:val="22"/>
        </w:rPr>
        <w:commentReference w:id="48"/>
      </w:r>
      <w:commentRangeEnd w:id="49"/>
      <w:r w:rsidR="006256BB" w:rsidRPr="00813FAC">
        <w:rPr>
          <w:rStyle w:val="CommentReference"/>
          <w:rFonts w:eastAsia="Times New Roman" w:cs="Times New Roman"/>
          <w:color w:val="000000" w:themeColor="text1"/>
          <w:sz w:val="22"/>
          <w:szCs w:val="22"/>
        </w:rPr>
        <w:commentReference w:id="49"/>
      </w:r>
      <w:commentRangeEnd w:id="50"/>
      <w:r w:rsidRPr="00813FAC">
        <w:rPr>
          <w:rStyle w:val="CommentReference"/>
          <w:rFonts w:eastAsia="Times New Roman" w:cs="Times New Roman"/>
          <w:color w:val="000000" w:themeColor="text1"/>
          <w:sz w:val="22"/>
          <w:szCs w:val="22"/>
        </w:rPr>
        <w:commentReference w:id="50"/>
      </w:r>
      <w:commentRangeEnd w:id="51"/>
      <w:r w:rsidR="00ED0081" w:rsidRPr="00813FAC">
        <w:rPr>
          <w:rStyle w:val="CommentReference"/>
          <w:rFonts w:eastAsia="Times New Roman" w:cs="Times New Roman"/>
          <w:color w:val="000000" w:themeColor="text1"/>
          <w:sz w:val="22"/>
          <w:szCs w:val="22"/>
        </w:rPr>
        <w:commentReference w:id="51"/>
      </w:r>
      <w:r w:rsidRPr="00813FAC">
        <w:rPr>
          <w:rFonts w:eastAsia="Times New Roman" w:cs="Times New Roman"/>
          <w:color w:val="000000" w:themeColor="text1"/>
          <w:sz w:val="22"/>
          <w:szCs w:val="22"/>
        </w:rPr>
        <w:t>.</w:t>
      </w:r>
    </w:p>
    <w:p w14:paraId="0537383E" w14:textId="77777777" w:rsidR="00DB63AF" w:rsidRPr="00DB63AF" w:rsidRDefault="00DB63AF" w:rsidP="00813FAC">
      <w:pPr>
        <w:pStyle w:val="Heading3"/>
      </w:pPr>
      <w:r w:rsidRPr="00DB63AF">
        <w:t>Desk Reviews</w:t>
      </w:r>
    </w:p>
    <w:p w14:paraId="32755866" w14:textId="3ACFC45E" w:rsidR="00DB63AF" w:rsidRPr="00DB63AF" w:rsidRDefault="00192D4C" w:rsidP="00DB63AF">
      <w:pPr>
        <w:rPr>
          <w:color w:val="000000" w:themeColor="text1"/>
          <w:sz w:val="22"/>
          <w:szCs w:val="22"/>
        </w:rPr>
      </w:pPr>
      <w:r>
        <w:rPr>
          <w:color w:val="000000" w:themeColor="text1"/>
          <w:sz w:val="22"/>
          <w:szCs w:val="22"/>
        </w:rPr>
        <w:t>ACLS</w:t>
      </w:r>
      <w:r w:rsidR="00DB63AF" w:rsidRPr="00DB63AF">
        <w:rPr>
          <w:color w:val="000000" w:themeColor="text1"/>
          <w:sz w:val="22"/>
          <w:szCs w:val="22"/>
        </w:rPr>
        <w:t xml:space="preserve"> collects grantee performance data and uses it to monitor grantee performance, thus ensuring that students receive the best services possible. ACLS uses desk reviews to ensure and improve the quality of data collection in </w:t>
      </w:r>
      <w:r w:rsidR="0075760F" w:rsidRPr="002D3091">
        <w:t>LACES</w:t>
      </w:r>
      <w:r w:rsidR="00DB63AF" w:rsidRPr="00DB63AF">
        <w:rPr>
          <w:color w:val="000000" w:themeColor="text1"/>
          <w:sz w:val="22"/>
          <w:szCs w:val="22"/>
        </w:rPr>
        <w:t>.</w:t>
      </w:r>
    </w:p>
    <w:p w14:paraId="07404F61" w14:textId="4FAD1A3F" w:rsidR="00DB63AF" w:rsidRPr="00DB63AF" w:rsidRDefault="00DB63AF" w:rsidP="00DB63AF">
      <w:pPr>
        <w:rPr>
          <w:color w:val="000000" w:themeColor="text1"/>
          <w:sz w:val="22"/>
          <w:szCs w:val="22"/>
        </w:rPr>
      </w:pPr>
      <w:r w:rsidRPr="00DB63AF">
        <w:rPr>
          <w:color w:val="000000" w:themeColor="text1"/>
          <w:sz w:val="22"/>
          <w:szCs w:val="22"/>
        </w:rPr>
        <w:t xml:space="preserve">On a schedule announced by ACLS annually, programs are required to schedule desk review meetings of their </w:t>
      </w:r>
      <w:r w:rsidR="0075760F" w:rsidRPr="002D3091">
        <w:t>LACES</w:t>
      </w:r>
      <w:r w:rsidRPr="00DB63AF">
        <w:rPr>
          <w:color w:val="000000" w:themeColor="text1"/>
          <w:sz w:val="22"/>
          <w:szCs w:val="22"/>
        </w:rPr>
        <w:t xml:space="preserve"> data with their assigned program specialist. The purpose of those meetings is to discuss the data, identify program strengths, and map out steps to correct any areas of concern. Programs are strongly encouraged to use these searches throughout the program year to assess their performance.</w:t>
      </w:r>
    </w:p>
    <w:p w14:paraId="1BD47082" w14:textId="77777777" w:rsidR="00DB63AF" w:rsidRPr="00DB63AF" w:rsidRDefault="00DB63AF" w:rsidP="00DB63AF">
      <w:pPr>
        <w:rPr>
          <w:color w:val="000000" w:themeColor="text1"/>
          <w:sz w:val="22"/>
          <w:szCs w:val="22"/>
        </w:rPr>
      </w:pPr>
      <w:r w:rsidRPr="00DB63AF">
        <w:rPr>
          <w:color w:val="000000" w:themeColor="text1"/>
          <w:sz w:val="22"/>
          <w:szCs w:val="22"/>
        </w:rPr>
        <w:t xml:space="preserve">For more information on desk reviews, see </w:t>
      </w:r>
      <w:hyperlink r:id="rId61">
        <w:r w:rsidRPr="00DB63AF">
          <w:rPr>
            <w:rStyle w:val="Hyperlink"/>
            <w:sz w:val="22"/>
            <w:szCs w:val="22"/>
          </w:rPr>
          <w:t>https://www.doe.mass.edu/acls/accountability/compliance/tools/desk-review.html</w:t>
        </w:r>
      </w:hyperlink>
    </w:p>
    <w:p w14:paraId="150FD8F3" w14:textId="40E1E698" w:rsidR="00DB63AF" w:rsidRPr="00DB63AF" w:rsidRDefault="00DB63AF" w:rsidP="00813FAC">
      <w:pPr>
        <w:pStyle w:val="Heading3"/>
      </w:pPr>
      <w:r w:rsidRPr="00DB63AF">
        <w:t>Waitlist</w:t>
      </w:r>
    </w:p>
    <w:p w14:paraId="1C0293F5" w14:textId="77777777" w:rsidR="00DB63AF" w:rsidRPr="00DB63AF" w:rsidRDefault="00DB63AF" w:rsidP="00DB63AF">
      <w:pPr>
        <w:rPr>
          <w:color w:val="000000" w:themeColor="text1"/>
          <w:sz w:val="22"/>
          <w:szCs w:val="22"/>
        </w:rPr>
      </w:pPr>
      <w:r w:rsidRPr="00DB63AF">
        <w:rPr>
          <w:color w:val="000000" w:themeColor="text1"/>
          <w:sz w:val="22"/>
          <w:szCs w:val="22"/>
        </w:rPr>
        <w:t>ACLS requires that programs:</w:t>
      </w:r>
    </w:p>
    <w:p w14:paraId="29F2E1E4" w14:textId="77777777" w:rsidR="00DB63AF" w:rsidRPr="00813FAC" w:rsidRDefault="00DB63AF" w:rsidP="00813FAC">
      <w:pPr>
        <w:pStyle w:val="ListParagraph"/>
        <w:numPr>
          <w:ilvl w:val="0"/>
          <w:numId w:val="31"/>
        </w:numPr>
        <w:rPr>
          <w:rFonts w:eastAsia="Times New Roman" w:cs="Times New Roman"/>
          <w:color w:val="000000" w:themeColor="text1"/>
          <w:sz w:val="22"/>
          <w:szCs w:val="22"/>
        </w:rPr>
      </w:pPr>
      <w:r w:rsidRPr="00813FAC">
        <w:rPr>
          <w:rFonts w:eastAsia="Times New Roman" w:cs="Times New Roman"/>
          <w:color w:val="000000" w:themeColor="text1"/>
          <w:sz w:val="22"/>
          <w:szCs w:val="22"/>
        </w:rPr>
        <w:t>Maintain an active waitlist for applicants who are unable to enroll in instructional classes due to capacity constraints;</w:t>
      </w:r>
    </w:p>
    <w:p w14:paraId="65D0B108" w14:textId="77777777" w:rsidR="00DB63AF" w:rsidRPr="00813FAC" w:rsidRDefault="00DB63AF" w:rsidP="00813FAC">
      <w:pPr>
        <w:pStyle w:val="ListParagraph"/>
        <w:numPr>
          <w:ilvl w:val="0"/>
          <w:numId w:val="31"/>
        </w:numPr>
        <w:rPr>
          <w:rFonts w:eastAsia="Times New Roman" w:cs="Times New Roman"/>
          <w:color w:val="000000" w:themeColor="text1"/>
          <w:sz w:val="22"/>
          <w:szCs w:val="22"/>
        </w:rPr>
      </w:pPr>
      <w:r w:rsidRPr="00813FAC">
        <w:rPr>
          <w:rFonts w:eastAsia="Times New Roman" w:cs="Times New Roman"/>
          <w:color w:val="000000" w:themeColor="text1"/>
          <w:sz w:val="22"/>
          <w:szCs w:val="22"/>
        </w:rPr>
        <w:t>Have a written waitlist policy that is shared with all applicants. The policy must include the conditions under which a person is removed from the waitlist;</w:t>
      </w:r>
    </w:p>
    <w:p w14:paraId="12246B82" w14:textId="77777777" w:rsidR="00DB63AF" w:rsidRPr="00813FAC" w:rsidRDefault="00DB63AF" w:rsidP="00813FAC">
      <w:pPr>
        <w:pStyle w:val="ListParagraph"/>
        <w:numPr>
          <w:ilvl w:val="0"/>
          <w:numId w:val="31"/>
        </w:numPr>
        <w:rPr>
          <w:rFonts w:eastAsia="Times New Roman" w:cs="Times New Roman"/>
          <w:color w:val="000000" w:themeColor="text1"/>
          <w:sz w:val="22"/>
          <w:szCs w:val="22"/>
        </w:rPr>
      </w:pPr>
      <w:r w:rsidRPr="00813FAC">
        <w:rPr>
          <w:rFonts w:eastAsia="Times New Roman" w:cs="Times New Roman"/>
          <w:color w:val="000000" w:themeColor="text1"/>
          <w:sz w:val="22"/>
          <w:szCs w:val="22"/>
        </w:rPr>
        <w:t xml:space="preserve">Contact or attempt to contact all applicants (i.e., everyone with an overall status of waitlist) at least twice per year to determine whether they are still interested in services. (Note: Using the email and text message feature in </w:t>
      </w:r>
      <w:hyperlink r:id="rId62">
        <w:r w:rsidRPr="00813FAC">
          <w:rPr>
            <w:rStyle w:val="Hyperlink"/>
            <w:rFonts w:eastAsia="Times New Roman" w:cs="Times New Roman"/>
            <w:sz w:val="22"/>
            <w:szCs w:val="22"/>
          </w:rPr>
          <w:t>LACES</w:t>
        </w:r>
      </w:hyperlink>
      <w:r w:rsidRPr="00813FAC">
        <w:rPr>
          <w:rFonts w:eastAsia="Times New Roman" w:cs="Times New Roman"/>
          <w:color w:val="000000" w:themeColor="text1"/>
          <w:sz w:val="22"/>
          <w:szCs w:val="22"/>
        </w:rPr>
        <w:t xml:space="preserve"> will simplify compliance with this requirement.);</w:t>
      </w:r>
    </w:p>
    <w:p w14:paraId="1A3D0769" w14:textId="77777777" w:rsidR="00DB63AF" w:rsidRPr="00813FAC" w:rsidRDefault="00DB63AF" w:rsidP="00813FAC">
      <w:pPr>
        <w:pStyle w:val="ListParagraph"/>
        <w:numPr>
          <w:ilvl w:val="0"/>
          <w:numId w:val="31"/>
        </w:numPr>
        <w:rPr>
          <w:rFonts w:eastAsia="Times New Roman" w:cs="Times New Roman"/>
          <w:color w:val="000000" w:themeColor="text1"/>
          <w:sz w:val="22"/>
          <w:szCs w:val="22"/>
        </w:rPr>
      </w:pPr>
      <w:r w:rsidRPr="00813FAC">
        <w:rPr>
          <w:rFonts w:eastAsia="Times New Roman" w:cs="Times New Roman"/>
          <w:color w:val="000000" w:themeColor="text1"/>
          <w:sz w:val="22"/>
          <w:szCs w:val="22"/>
        </w:rPr>
        <w:t>Record all efforts to contact and enroll applicants using the waitlist contact history;</w:t>
      </w:r>
    </w:p>
    <w:p w14:paraId="32520EED" w14:textId="77777777" w:rsidR="00DB63AF" w:rsidRPr="00813FAC" w:rsidRDefault="00DB63AF" w:rsidP="00813FAC">
      <w:pPr>
        <w:pStyle w:val="ListParagraph"/>
        <w:numPr>
          <w:ilvl w:val="0"/>
          <w:numId w:val="31"/>
        </w:numPr>
        <w:rPr>
          <w:rFonts w:eastAsia="Times New Roman" w:cs="Times New Roman"/>
          <w:color w:val="000000" w:themeColor="text1"/>
          <w:sz w:val="22"/>
          <w:szCs w:val="22"/>
        </w:rPr>
      </w:pPr>
      <w:r w:rsidRPr="00813FAC">
        <w:rPr>
          <w:rFonts w:eastAsia="Times New Roman" w:cs="Times New Roman"/>
          <w:color w:val="000000" w:themeColor="text1"/>
          <w:sz w:val="22"/>
          <w:szCs w:val="22"/>
        </w:rPr>
        <w:t>Remove applicants from the waitlist (i.e., change the overall status to “Removed from Waitlist”) who cannot be contacted or are no longer interested in services; and</w:t>
      </w:r>
    </w:p>
    <w:p w14:paraId="11137464" w14:textId="77777777" w:rsidR="00DB63AF" w:rsidRPr="00813FAC" w:rsidRDefault="00DB63AF" w:rsidP="00813FAC">
      <w:pPr>
        <w:pStyle w:val="ListParagraph"/>
        <w:numPr>
          <w:ilvl w:val="0"/>
          <w:numId w:val="31"/>
        </w:numPr>
        <w:rPr>
          <w:rFonts w:eastAsia="Times New Roman" w:cs="Times New Roman"/>
          <w:color w:val="000000" w:themeColor="text1"/>
          <w:sz w:val="22"/>
          <w:szCs w:val="22"/>
        </w:rPr>
      </w:pPr>
      <w:r w:rsidRPr="00813FAC">
        <w:rPr>
          <w:rFonts w:eastAsia="Times New Roman" w:cs="Times New Roman"/>
          <w:color w:val="000000" w:themeColor="text1"/>
          <w:sz w:val="22"/>
          <w:szCs w:val="22"/>
        </w:rPr>
        <w:t xml:space="preserve">Complete the full </w:t>
      </w:r>
      <w:hyperlink r:id="rId63">
        <w:r w:rsidRPr="00813FAC">
          <w:rPr>
            <w:rStyle w:val="Hyperlink"/>
            <w:rFonts w:eastAsia="Times New Roman" w:cs="Times New Roman"/>
            <w:sz w:val="22"/>
            <w:szCs w:val="22"/>
          </w:rPr>
          <w:t>LACES</w:t>
        </w:r>
      </w:hyperlink>
      <w:r w:rsidRPr="00813FAC">
        <w:rPr>
          <w:rFonts w:eastAsia="Times New Roman" w:cs="Times New Roman"/>
          <w:color w:val="000000" w:themeColor="text1"/>
          <w:sz w:val="22"/>
          <w:szCs w:val="22"/>
        </w:rPr>
        <w:t xml:space="preserve"> intake as soon as possible.</w:t>
      </w:r>
    </w:p>
    <w:p w14:paraId="6F5B2D0A" w14:textId="5FC3F541" w:rsidR="001A32B7" w:rsidRDefault="001A32B7">
      <w:r>
        <w:br w:type="page"/>
      </w:r>
    </w:p>
    <w:p w14:paraId="3347CC59" w14:textId="77777777" w:rsidR="00E532D1" w:rsidRDefault="00E532D1" w:rsidP="006B7DDE">
      <w:pPr>
        <w:jc w:val="right"/>
        <w:sectPr w:rsidR="00E532D1" w:rsidSect="00475B5D">
          <w:footerReference w:type="default" r:id="rId64"/>
          <w:pgSz w:w="12240" w:h="15840"/>
          <w:pgMar w:top="1440" w:right="1440" w:bottom="1440" w:left="1440" w:header="720" w:footer="720" w:gutter="0"/>
          <w:pgNumType w:start="0"/>
          <w:cols w:space="720"/>
          <w:titlePg/>
          <w:docGrid w:linePitch="360"/>
        </w:sectPr>
      </w:pPr>
    </w:p>
    <w:p w14:paraId="7BA49FDE" w14:textId="2F33BDF5" w:rsidR="00DB63AF" w:rsidRPr="00DB63AF" w:rsidRDefault="003D53BA" w:rsidP="000D53C4">
      <w:pPr>
        <w:jc w:val="center"/>
      </w:pPr>
      <w:r w:rsidRPr="003D53BA">
        <w:rPr>
          <w:noProof/>
        </w:rPr>
        <w:lastRenderedPageBreak/>
        <w:drawing>
          <wp:inline distT="0" distB="0" distL="0" distR="0" wp14:anchorId="2833FE04" wp14:editId="47ED8106">
            <wp:extent cx="9034272" cy="2075688"/>
            <wp:effectExtent l="0" t="6667" r="7937" b="7938"/>
            <wp:docPr id="388303697" name="Picture 1" descr="Sample GEM$ clas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03697" name="Picture 1" descr="Sample GEM$ class pla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5400000">
                      <a:off x="0" y="0"/>
                      <a:ext cx="9034272" cy="2075688"/>
                    </a:xfrm>
                    <a:prstGeom prst="rect">
                      <a:avLst/>
                    </a:prstGeom>
                    <a:noFill/>
                    <a:ln>
                      <a:noFill/>
                    </a:ln>
                  </pic:spPr>
                </pic:pic>
              </a:graphicData>
            </a:graphic>
          </wp:inline>
        </w:drawing>
      </w:r>
    </w:p>
    <w:sectPr w:rsidR="00DB63AF" w:rsidRPr="00DB63A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Rodriguez, Kathleen T (DESE)" w:date="2025-04-10T09:06:00Z" w:initials="R(">
    <w:p w14:paraId="391E485B" w14:textId="77777777" w:rsidR="00E12822" w:rsidRDefault="00E12822">
      <w:pPr>
        <w:pStyle w:val="CommentText"/>
      </w:pPr>
      <w:r>
        <w:t>Do newbies need more info about what this means?</w:t>
      </w:r>
      <w:r>
        <w:rPr>
          <w:rStyle w:val="CommentReference"/>
        </w:rPr>
        <w:annotationRef/>
      </w:r>
    </w:p>
  </w:comment>
  <w:comment w:id="5" w:author="Maguire, Toby (DESE)" w:date="2025-04-18T10:23:00Z" w:initials="TM">
    <w:p w14:paraId="59CA8F2B" w14:textId="77777777" w:rsidR="00E12822" w:rsidRDefault="00E12822" w:rsidP="00261A90">
      <w:pPr>
        <w:pStyle w:val="CommentText"/>
      </w:pPr>
      <w:r>
        <w:rPr>
          <w:rStyle w:val="CommentReference"/>
        </w:rPr>
        <w:annotationRef/>
      </w:r>
      <w:r>
        <w:fldChar w:fldCharType="begin"/>
      </w:r>
      <w:r>
        <w:instrText>HYPERLINK "mailto:KathleenT.Rodriguez@mass.gov"</w:instrText>
      </w:r>
      <w:bookmarkStart w:id="9" w:name="_@_F538AB47124144F196E940221419DBCBZ"/>
      <w:r>
        <w:fldChar w:fldCharType="separate"/>
      </w:r>
      <w:bookmarkEnd w:id="9"/>
      <w:r w:rsidRPr="00B01827">
        <w:rPr>
          <w:rStyle w:val="Mention"/>
          <w:noProof/>
        </w:rPr>
        <w:t>@Rodriguez, Kathleen T (DESE)</w:t>
      </w:r>
      <w:r>
        <w:fldChar w:fldCharType="end"/>
      </w:r>
      <w:r>
        <w:t xml:space="preserve">  How about required assessment?</w:t>
      </w:r>
    </w:p>
  </w:comment>
  <w:comment w:id="6" w:author="Rodriguez, Kathleen T (DESE)" w:date="2025-04-25T11:45:00Z" w:initials="R(">
    <w:p w14:paraId="4AE342BB" w14:textId="77777777" w:rsidR="00E12822" w:rsidRDefault="00E12822">
      <w:pPr>
        <w:pStyle w:val="CommentText"/>
      </w:pPr>
      <w:r>
        <w:t>I think required assessment would work but perhaps adding a link so people can see what that entails would be even more useful to potential applicants.</w:t>
      </w:r>
      <w:r>
        <w:rPr>
          <w:rStyle w:val="CommentReference"/>
        </w:rPr>
        <w:annotationRef/>
      </w:r>
    </w:p>
  </w:comment>
  <w:comment w:id="7" w:author="Maguire, Toby (DESE)" w:date="2026-07-21T14:49:00Z" w:initials="TM">
    <w:p w14:paraId="52FD6527" w14:textId="77777777" w:rsidR="008F520F" w:rsidRDefault="008F520F" w:rsidP="008F520F">
      <w:pPr>
        <w:pStyle w:val="CommentText"/>
      </w:pPr>
      <w:r>
        <w:rPr>
          <w:rStyle w:val="CommentReference"/>
        </w:rPr>
        <w:annotationRef/>
      </w:r>
      <w:r>
        <w:t>Since I have confirmed that ETA will be available and linked to LACES, we can use “the required assessment” or “the required English Test for Adults (ETA).” Then have the footnote point to the outcomes section. What do you  think?</w:t>
      </w:r>
    </w:p>
  </w:comment>
  <w:comment w:id="8" w:author="Rodriguez, Kathleen T (DESE)" w:date="2026-07-22T07:20:00Z" w:initials="R(">
    <w:p w14:paraId="12166217" w14:textId="16D3F0A4" w:rsidR="003E0D4A" w:rsidRDefault="00430F8D">
      <w:pPr>
        <w:pStyle w:val="CommentText"/>
      </w:pPr>
      <w:r>
        <w:rPr>
          <w:rStyle w:val="CommentReference"/>
        </w:rPr>
        <w:annotationRef/>
      </w:r>
      <w:r w:rsidRPr="004D62AD">
        <w:t>I vote for the more specific of the two.</w:t>
      </w:r>
    </w:p>
  </w:comment>
  <w:comment w:id="30" w:author="Rodriguez, Kathleen T (DESE)" w:date="2026-07-17T15:07:00Z" w:initials="R(">
    <w:p w14:paraId="657A85F4" w14:textId="10C06F07" w:rsidR="007B673C" w:rsidRDefault="007B673C">
      <w:pPr>
        <w:pStyle w:val="CommentText"/>
      </w:pPr>
      <w:r>
        <w:rPr>
          <w:rStyle w:val="CommentReference"/>
        </w:rPr>
        <w:annotationRef/>
      </w:r>
      <w:r w:rsidRPr="736EC692">
        <w:t>?</w:t>
      </w:r>
    </w:p>
  </w:comment>
  <w:comment w:id="31" w:author="Maguire, Toby (DESE)" w:date="2026-07-23T11:14:00Z" w:initials="TM">
    <w:p w14:paraId="0CBC84F6" w14:textId="77777777" w:rsidR="001618E3" w:rsidRDefault="001618E3" w:rsidP="001618E3">
      <w:pPr>
        <w:pStyle w:val="CommentText"/>
      </w:pPr>
      <w:r>
        <w:rPr>
          <w:rStyle w:val="CommentReference"/>
        </w:rPr>
        <w:annotationRef/>
      </w:r>
      <w:r>
        <w:t xml:space="preserve">It’s on page 30 of the CALC policies. Here’s ChatGPT has to say: n the context of </w:t>
      </w:r>
      <w:r>
        <w:rPr>
          <w:b/>
          <w:bCs/>
        </w:rPr>
        <w:t>time and effort reporting</w:t>
      </w:r>
      <w:r>
        <w:t xml:space="preserve"> (especially for organizations that receive federal research funding), </w:t>
      </w:r>
      <w:r>
        <w:rPr>
          <w:b/>
          <w:bCs/>
        </w:rPr>
        <w:t>semi-certifications</w:t>
      </w:r>
      <w:r>
        <w:t xml:space="preserve"> are periodic attestations—typically completed </w:t>
      </w:r>
      <w:r>
        <w:rPr>
          <w:b/>
          <w:bCs/>
        </w:rPr>
        <w:t>twice a year (semiannually)</w:t>
      </w:r>
      <w:r>
        <w:t>—that an employee's reported effort reasonably reflects how they actually spent their time during the certification period.</w:t>
      </w:r>
    </w:p>
    <w:p w14:paraId="37458A8A" w14:textId="77777777" w:rsidR="001618E3" w:rsidRDefault="001618E3" w:rsidP="001618E3">
      <w:pPr>
        <w:pStyle w:val="CommentText"/>
      </w:pPr>
      <w:r>
        <w:t>Key points:</w:t>
      </w:r>
    </w:p>
    <w:p w14:paraId="01E09A51" w14:textId="77777777" w:rsidR="001618E3" w:rsidRDefault="001618E3" w:rsidP="001618E3">
      <w:pPr>
        <w:pStyle w:val="CommentText"/>
        <w:numPr>
          <w:ilvl w:val="0"/>
          <w:numId w:val="37"/>
        </w:numPr>
        <w:ind w:left="360"/>
      </w:pPr>
      <w:r>
        <w:rPr>
          <w:b/>
          <w:bCs/>
        </w:rPr>
        <w:t>Purpose:</w:t>
      </w:r>
      <w:r>
        <w:t xml:space="preserve"> To comply with sponsor requirements (such as U.S. federal Uniform Guidance, 2 CFR 200) by documenting that salaries charged to grants are supported by the work actually performed. </w:t>
      </w:r>
    </w:p>
    <w:p w14:paraId="208CC229" w14:textId="77777777" w:rsidR="001618E3" w:rsidRDefault="001618E3" w:rsidP="001618E3">
      <w:pPr>
        <w:pStyle w:val="CommentText"/>
        <w:numPr>
          <w:ilvl w:val="0"/>
          <w:numId w:val="37"/>
        </w:numPr>
        <w:ind w:left="360"/>
      </w:pPr>
      <w:r>
        <w:rPr>
          <w:b/>
          <w:bCs/>
        </w:rPr>
        <w:t>Who certifies:</w:t>
      </w:r>
      <w:r>
        <w:t xml:space="preserve"> Usually the employee themselves or, if appropriate, a supervisor or principal investigator (PI) who has first-hand knowledge of the employee's work. </w:t>
      </w:r>
    </w:p>
    <w:p w14:paraId="5301633B" w14:textId="77777777" w:rsidR="001618E3" w:rsidRDefault="001618E3" w:rsidP="001618E3">
      <w:pPr>
        <w:pStyle w:val="CommentText"/>
        <w:numPr>
          <w:ilvl w:val="0"/>
          <w:numId w:val="37"/>
        </w:numPr>
        <w:ind w:left="360"/>
      </w:pPr>
      <w:r>
        <w:rPr>
          <w:b/>
          <w:bCs/>
        </w:rPr>
        <w:t>What is certified:</w:t>
      </w:r>
      <w:r>
        <w:t xml:space="preserve"> The percentage of effort devoted to sponsored projects and other institutional activities (teaching, administration, clinical work, etc.), not necessarily the exact number of hours worked. </w:t>
      </w:r>
    </w:p>
    <w:p w14:paraId="7748B216" w14:textId="77777777" w:rsidR="001618E3" w:rsidRDefault="001618E3" w:rsidP="001618E3">
      <w:pPr>
        <w:pStyle w:val="CommentText"/>
        <w:numPr>
          <w:ilvl w:val="0"/>
          <w:numId w:val="37"/>
        </w:numPr>
        <w:ind w:left="360"/>
      </w:pPr>
      <w:r>
        <w:rPr>
          <w:b/>
          <w:bCs/>
        </w:rPr>
        <w:t>Frequency:</w:t>
      </w:r>
      <w:r>
        <w:t xml:space="preserve"> "Semi-certification" means the certification covers a six-month period. Some institutions use quarterly or monthly certifications instead. </w:t>
      </w:r>
    </w:p>
    <w:p w14:paraId="3AE4E629" w14:textId="77777777" w:rsidR="001618E3" w:rsidRDefault="001618E3" w:rsidP="001618E3">
      <w:pPr>
        <w:pStyle w:val="CommentText"/>
        <w:numPr>
          <w:ilvl w:val="0"/>
          <w:numId w:val="37"/>
        </w:numPr>
        <w:ind w:left="360"/>
      </w:pPr>
      <w:r>
        <w:rPr>
          <w:b/>
          <w:bCs/>
        </w:rPr>
        <w:t>Reasonableness standard:</w:t>
      </w:r>
      <w:r>
        <w:t xml:space="preserve"> The certification is generally confirming that the reported effort is a reasonable representation of actual work performed—not that every hour was tracked precisely. </w:t>
      </w:r>
    </w:p>
    <w:p w14:paraId="7A5E8995" w14:textId="77777777" w:rsidR="001618E3" w:rsidRDefault="001618E3" w:rsidP="001618E3">
      <w:pPr>
        <w:pStyle w:val="CommentText"/>
      </w:pPr>
      <w:r>
        <w:t>For example:</w:t>
      </w:r>
    </w:p>
    <w:p w14:paraId="17D11F67" w14:textId="77777777" w:rsidR="001618E3" w:rsidRDefault="001618E3" w:rsidP="001618E3">
      <w:pPr>
        <w:pStyle w:val="CommentText"/>
        <w:numPr>
          <w:ilvl w:val="0"/>
          <w:numId w:val="35"/>
        </w:numPr>
      </w:pPr>
      <w:r>
        <w:t xml:space="preserve">A researcher's salary is charged 50% to NIH Grant A, 30% to NSF Grant B, and 20% to departmental funds. </w:t>
      </w:r>
    </w:p>
    <w:p w14:paraId="4CAE7913" w14:textId="77777777" w:rsidR="001618E3" w:rsidRDefault="001618E3" w:rsidP="001618E3">
      <w:pPr>
        <w:pStyle w:val="CommentText"/>
        <w:numPr>
          <w:ilvl w:val="0"/>
          <w:numId w:val="35"/>
        </w:numPr>
      </w:pPr>
      <w:r>
        <w:t xml:space="preserve">At the end of the six-month certification period, the researcher reviews the effort distribution. </w:t>
      </w:r>
    </w:p>
    <w:p w14:paraId="42DCD773" w14:textId="77777777" w:rsidR="001618E3" w:rsidRDefault="001618E3" w:rsidP="001618E3">
      <w:pPr>
        <w:pStyle w:val="CommentText"/>
        <w:numPr>
          <w:ilvl w:val="0"/>
          <w:numId w:val="35"/>
        </w:numPr>
      </w:pPr>
      <w:r>
        <w:t>If it reasonably reflects the work performed, they certify it. If not, payroll allocations may need to be adjusted before certification.</w:t>
      </w:r>
    </w:p>
  </w:comment>
  <w:comment w:id="32" w:author="Maguire, Toby (DESE)" w:date="2026-07-23T11:14:00Z" w:initials="TM">
    <w:p w14:paraId="2DA7A49F" w14:textId="77777777" w:rsidR="001618E3" w:rsidRDefault="001618E3" w:rsidP="001618E3">
      <w:pPr>
        <w:pStyle w:val="CommentText"/>
      </w:pPr>
      <w:r>
        <w:rPr>
          <w:rStyle w:val="CommentReference"/>
        </w:rPr>
        <w:annotationRef/>
      </w:r>
      <w:r>
        <w:t>Like our quarterly Fed TA</w:t>
      </w:r>
    </w:p>
  </w:comment>
  <w:comment w:id="33" w:author="Rodriguez, Kathleen T (DESE) [2]" w:date="2026-07-27T08:31:00Z" w:initials="KR">
    <w:p w14:paraId="336FAE87" w14:textId="77777777" w:rsidR="00F948A1" w:rsidRDefault="00F948A1" w:rsidP="00F948A1">
      <w:pPr>
        <w:pStyle w:val="CommentText"/>
      </w:pPr>
      <w:r>
        <w:rPr>
          <w:rStyle w:val="CommentReference"/>
        </w:rPr>
        <w:annotationRef/>
      </w:r>
      <w:r>
        <w:t>Never saw anything called a semi-certification - you learn something new every day!</w:t>
      </w:r>
    </w:p>
  </w:comment>
  <w:comment w:id="40" w:author="Rodriguez, Kathleen T (DESE) [2]" w:date="2026-07-20T08:21:00Z" w:initials="KR">
    <w:p w14:paraId="26CED26D" w14:textId="77777777" w:rsidR="00BA5D47" w:rsidRDefault="00BA5D47" w:rsidP="00BA5D47">
      <w:pPr>
        <w:pStyle w:val="CommentText"/>
      </w:pPr>
      <w:r>
        <w:rPr>
          <w:rStyle w:val="CommentReference"/>
        </w:rPr>
        <w:annotationRef/>
      </w:r>
      <w:r>
        <w:t>With the change to reimbursement in GEM$, does this paragraph merit a tweak?</w:t>
      </w:r>
    </w:p>
  </w:comment>
  <w:comment w:id="41" w:author="Maguire, Toby (DESE)" w:date="2026-07-20T08:32:00Z" w:initials="TM">
    <w:p w14:paraId="5D1DD5EC" w14:textId="77777777" w:rsidR="0083409A" w:rsidRDefault="0083409A" w:rsidP="0083409A">
      <w:pPr>
        <w:pStyle w:val="CommentText"/>
      </w:pPr>
      <w:r>
        <w:rPr>
          <w:rStyle w:val="CommentReference"/>
        </w:rPr>
        <w:annotationRef/>
      </w:r>
      <w:r>
        <w:t>Yes. Not sure what else does</w:t>
      </w:r>
    </w:p>
  </w:comment>
  <w:comment w:id="42" w:author="Rodriguez, Kathleen T (DESE)" w:date="2026-07-22T07:36:00Z" w:initials="R(">
    <w:p w14:paraId="77F3950D" w14:textId="195A17AE" w:rsidR="003E0D4A" w:rsidRDefault="00430F8D">
      <w:pPr>
        <w:pStyle w:val="CommentText"/>
      </w:pPr>
      <w:r>
        <w:rPr>
          <w:rStyle w:val="CommentReference"/>
        </w:rPr>
        <w:annotationRef/>
      </w:r>
      <w:r w:rsidRPr="7148CF15">
        <w:t>I would lead with that perhaps something like this.</w:t>
      </w:r>
    </w:p>
    <w:p w14:paraId="467758B0" w14:textId="65DFC91C" w:rsidR="003E0D4A" w:rsidRDefault="003E0D4A">
      <w:pPr>
        <w:pStyle w:val="CommentText"/>
      </w:pPr>
    </w:p>
    <w:p w14:paraId="7C676B5E" w14:textId="7A3F9B6C" w:rsidR="003E0D4A" w:rsidRDefault="00430F8D">
      <w:pPr>
        <w:pStyle w:val="CommentText"/>
      </w:pPr>
      <w:r w:rsidRPr="5EDB6DE5">
        <w:t>Grantees must monitor monthly expenditures carefully and regularly request reimbursement of actual expenses (i.e., draw down) to ensure state and federal funds are expended on a consistent, timely basis, and in full by the close of each fiscal year.</w:t>
      </w:r>
    </w:p>
  </w:comment>
  <w:comment w:id="48" w:author="Rodriguez, Kathleen T (DESE) [2]" w:date="2026-07-20T08:23:00Z" w:initials="KR">
    <w:p w14:paraId="34C1B331" w14:textId="77777777" w:rsidR="00953796" w:rsidRDefault="00953796" w:rsidP="00953796">
      <w:pPr>
        <w:pStyle w:val="CommentText"/>
      </w:pPr>
      <w:r>
        <w:rPr>
          <w:rStyle w:val="CommentReference"/>
        </w:rPr>
        <w:annotationRef/>
      </w:r>
      <w:r>
        <w:t>Will potential applicants know what this means?</w:t>
      </w:r>
    </w:p>
  </w:comment>
  <w:comment w:id="49" w:author="Maguire, Toby (DESE)" w:date="2026-07-20T08:32:00Z" w:initials="TM">
    <w:p w14:paraId="02F4E231" w14:textId="77777777" w:rsidR="006256BB" w:rsidRDefault="006256BB" w:rsidP="006256BB">
      <w:pPr>
        <w:pStyle w:val="CommentText"/>
      </w:pPr>
      <w:r>
        <w:rPr>
          <w:rStyle w:val="CommentReference"/>
        </w:rPr>
        <w:annotationRef/>
      </w:r>
      <w:r>
        <w:t>Good question. I don’t know</w:t>
      </w:r>
    </w:p>
  </w:comment>
  <w:comment w:id="50" w:author="Rodriguez, Kathleen T (DESE)" w:date="2026-07-22T07:37:00Z" w:initials="R(">
    <w:p w14:paraId="481AADBB" w14:textId="7D461204" w:rsidR="003E0D4A" w:rsidRDefault="00430F8D">
      <w:pPr>
        <w:pStyle w:val="CommentText"/>
      </w:pPr>
      <w:r>
        <w:rPr>
          <w:rStyle w:val="CommentReference"/>
        </w:rPr>
        <w:annotationRef/>
      </w:r>
      <w:r w:rsidRPr="49CE65CC">
        <w:t>I tend to doubt it.</w:t>
      </w:r>
    </w:p>
  </w:comment>
  <w:comment w:id="51" w:author="Rodriguez, Kathleen T (DESE) [2]" w:date="2026-07-27T08:38:00Z" w:initials="KR">
    <w:p w14:paraId="2E09BF8C" w14:textId="77777777" w:rsidR="00ED0081" w:rsidRDefault="00ED0081" w:rsidP="00ED0081">
      <w:pPr>
        <w:pStyle w:val="CommentText"/>
      </w:pPr>
      <w:r>
        <w:rPr>
          <w:rStyle w:val="CommentReference"/>
        </w:rPr>
        <w:annotationRef/>
      </w:r>
      <w:r>
        <w:t>Do they need 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1E485B" w15:done="1"/>
  <w15:commentEx w15:paraId="59CA8F2B" w15:paraIdParent="391E485B" w15:done="1"/>
  <w15:commentEx w15:paraId="4AE342BB" w15:paraIdParent="391E485B" w15:done="1"/>
  <w15:commentEx w15:paraId="52FD6527" w15:paraIdParent="391E485B" w15:done="1"/>
  <w15:commentEx w15:paraId="12166217" w15:paraIdParent="391E485B" w15:done="1"/>
  <w15:commentEx w15:paraId="657A85F4" w15:done="1"/>
  <w15:commentEx w15:paraId="42DCD773" w15:paraIdParent="657A85F4" w15:done="1"/>
  <w15:commentEx w15:paraId="2DA7A49F" w15:paraIdParent="657A85F4" w15:done="1"/>
  <w15:commentEx w15:paraId="336FAE87" w15:paraIdParent="657A85F4" w15:done="1"/>
  <w15:commentEx w15:paraId="26CED26D" w15:done="1"/>
  <w15:commentEx w15:paraId="5D1DD5EC" w15:paraIdParent="26CED26D" w15:done="1"/>
  <w15:commentEx w15:paraId="7C676B5E" w15:paraIdParent="26CED26D" w15:done="1"/>
  <w15:commentEx w15:paraId="34C1B331" w15:done="1"/>
  <w15:commentEx w15:paraId="02F4E231" w15:paraIdParent="34C1B331" w15:done="1"/>
  <w15:commentEx w15:paraId="481AADBB" w15:paraIdParent="34C1B331" w15:done="1"/>
  <w15:commentEx w15:paraId="2E09BF8C" w15:paraIdParent="34C1B3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3D28C3" w16cex:dateUtc="2025-04-10T13:06:00Z"/>
  <w16cex:commentExtensible w16cex:durableId="2E7EFE92" w16cex:dateUtc="2025-04-18T14:23:00Z"/>
  <w16cex:commentExtensible w16cex:durableId="27C28914" w16cex:dateUtc="2025-04-25T15:45:00Z"/>
  <w16cex:commentExtensible w16cex:durableId="37309484" w16cex:dateUtc="2026-07-21T18:49:00Z"/>
  <w16cex:commentExtensible w16cex:durableId="0B5A021B" w16cex:dateUtc="2026-07-22T11:20:00Z"/>
  <w16cex:commentExtensible w16cex:durableId="4B9A7AFE" w16cex:dateUtc="2026-07-17T19:07:00Z"/>
  <w16cex:commentExtensible w16cex:durableId="197CA410" w16cex:dateUtc="2026-07-23T15:14:00Z"/>
  <w16cex:commentExtensible w16cex:durableId="619F86D9" w16cex:dateUtc="2026-07-23T15:14:00Z"/>
  <w16cex:commentExtensible w16cex:durableId="7B2E710C" w16cex:dateUtc="2026-07-27T12:31:00Z"/>
  <w16cex:commentExtensible w16cex:durableId="57CFC87D" w16cex:dateUtc="2026-07-20T12:21:00Z"/>
  <w16cex:commentExtensible w16cex:durableId="6CDCCFD7" w16cex:dateUtc="2026-07-20T12:32:00Z"/>
  <w16cex:commentExtensible w16cex:durableId="3A4ECBDC" w16cex:dateUtc="2026-07-22T11:36:00Z"/>
  <w16cex:commentExtensible w16cex:durableId="44B2FF51" w16cex:dateUtc="2026-07-20T12:23:00Z"/>
  <w16cex:commentExtensible w16cex:durableId="5B2D4349" w16cex:dateUtc="2026-07-20T12:32:00Z"/>
  <w16cex:commentExtensible w16cex:durableId="1AD979E4" w16cex:dateUtc="2026-07-22T11:37:00Z"/>
  <w16cex:commentExtensible w16cex:durableId="3C1A4BB5" w16cex:dateUtc="2026-07-27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1E485B" w16cid:durableId="7B3D28C3"/>
  <w16cid:commentId w16cid:paraId="59CA8F2B" w16cid:durableId="2E7EFE92"/>
  <w16cid:commentId w16cid:paraId="4AE342BB" w16cid:durableId="27C28914"/>
  <w16cid:commentId w16cid:paraId="52FD6527" w16cid:durableId="37309484"/>
  <w16cid:commentId w16cid:paraId="12166217" w16cid:durableId="0B5A021B"/>
  <w16cid:commentId w16cid:paraId="657A85F4" w16cid:durableId="4B9A7AFE"/>
  <w16cid:commentId w16cid:paraId="42DCD773" w16cid:durableId="197CA410"/>
  <w16cid:commentId w16cid:paraId="2DA7A49F" w16cid:durableId="619F86D9"/>
  <w16cid:commentId w16cid:paraId="336FAE87" w16cid:durableId="7B2E710C"/>
  <w16cid:commentId w16cid:paraId="26CED26D" w16cid:durableId="57CFC87D"/>
  <w16cid:commentId w16cid:paraId="5D1DD5EC" w16cid:durableId="6CDCCFD7"/>
  <w16cid:commentId w16cid:paraId="7C676B5E" w16cid:durableId="3A4ECBDC"/>
  <w16cid:commentId w16cid:paraId="34C1B331" w16cid:durableId="44B2FF51"/>
  <w16cid:commentId w16cid:paraId="02F4E231" w16cid:durableId="5B2D4349"/>
  <w16cid:commentId w16cid:paraId="481AADBB" w16cid:durableId="1AD979E4"/>
  <w16cid:commentId w16cid:paraId="2E09BF8C" w16cid:durableId="3C1A4B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0D3E" w14:textId="77777777" w:rsidR="006A6756" w:rsidRDefault="006A6756" w:rsidP="002E1001">
      <w:pPr>
        <w:spacing w:after="0" w:line="240" w:lineRule="auto"/>
      </w:pPr>
      <w:r>
        <w:separator/>
      </w:r>
    </w:p>
  </w:endnote>
  <w:endnote w:type="continuationSeparator" w:id="0">
    <w:p w14:paraId="5918B361" w14:textId="77777777" w:rsidR="006A6756" w:rsidRDefault="006A6756" w:rsidP="002E1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29408"/>
      <w:docPartObj>
        <w:docPartGallery w:val="Page Numbers (Bottom of Page)"/>
        <w:docPartUnique/>
      </w:docPartObj>
    </w:sdtPr>
    <w:sdtEndPr>
      <w:rPr>
        <w:noProof/>
      </w:rPr>
    </w:sdtEndPr>
    <w:sdtContent>
      <w:p w14:paraId="47852A0A" w14:textId="71591872" w:rsidR="009F7A6A" w:rsidRDefault="009F7A6A" w:rsidP="00375E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BA6FE4" w14:textId="77777777" w:rsidR="009F7A6A" w:rsidRDefault="009F7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33400" w14:textId="77777777" w:rsidR="006A6756" w:rsidRDefault="006A6756" w:rsidP="002E1001">
      <w:pPr>
        <w:spacing w:after="0" w:line="240" w:lineRule="auto"/>
      </w:pPr>
      <w:r>
        <w:separator/>
      </w:r>
    </w:p>
  </w:footnote>
  <w:footnote w:type="continuationSeparator" w:id="0">
    <w:p w14:paraId="2941DA27" w14:textId="77777777" w:rsidR="006A6756" w:rsidRDefault="006A6756" w:rsidP="002E1001">
      <w:pPr>
        <w:spacing w:after="0" w:line="240" w:lineRule="auto"/>
      </w:pPr>
      <w:r>
        <w:continuationSeparator/>
      </w:r>
    </w:p>
  </w:footnote>
  <w:footnote w:id="1">
    <w:p w14:paraId="7FB3B8D9" w14:textId="3978C723" w:rsidR="0001063D" w:rsidRPr="002D3091" w:rsidRDefault="0001063D" w:rsidP="0001063D">
      <w:pPr>
        <w:pStyle w:val="FootnoteText"/>
        <w:rPr>
          <w:rFonts w:asciiTheme="minorHAnsi" w:hAnsiTheme="minorHAnsi"/>
        </w:rPr>
      </w:pPr>
      <w:r w:rsidRPr="002D3091">
        <w:rPr>
          <w:rStyle w:val="FootnoteReference"/>
          <w:rFonts w:asciiTheme="minorHAnsi" w:hAnsiTheme="minorHAnsi"/>
        </w:rPr>
        <w:footnoteRef/>
      </w:r>
      <w:r w:rsidRPr="002D3091">
        <w:rPr>
          <w:rFonts w:asciiTheme="minorHAnsi" w:hAnsiTheme="minorHAnsi"/>
        </w:rPr>
        <w:t xml:space="preserve"> ACLS is </w:t>
      </w:r>
      <w:r w:rsidR="001F1F30" w:rsidRPr="002D3091">
        <w:rPr>
          <w:rFonts w:asciiTheme="minorHAnsi" w:hAnsiTheme="minorHAnsi"/>
        </w:rPr>
        <w:t>the</w:t>
      </w:r>
      <w:r w:rsidRPr="002D3091">
        <w:rPr>
          <w:rFonts w:asciiTheme="minorHAnsi" w:hAnsiTheme="minorHAnsi"/>
        </w:rPr>
        <w:t xml:space="preserve"> </w:t>
      </w:r>
      <w:r w:rsidR="00DD1EC9">
        <w:rPr>
          <w:rFonts w:asciiTheme="minorHAnsi" w:hAnsiTheme="minorHAnsi"/>
        </w:rPr>
        <w:t>office within</w:t>
      </w:r>
      <w:r w:rsidRPr="002D3091">
        <w:rPr>
          <w:rFonts w:asciiTheme="minorHAnsi" w:hAnsiTheme="minorHAnsi"/>
        </w:rPr>
        <w:t xml:space="preserve"> the</w:t>
      </w:r>
      <w:r w:rsidR="001F1F30" w:rsidRPr="002D3091">
        <w:rPr>
          <w:rFonts w:asciiTheme="minorHAnsi" w:hAnsiTheme="minorHAnsi"/>
        </w:rPr>
        <w:t xml:space="preserve"> Massachusetts</w:t>
      </w:r>
      <w:r w:rsidRPr="002D3091">
        <w:rPr>
          <w:rFonts w:asciiTheme="minorHAnsi" w:hAnsiTheme="minorHAnsi"/>
        </w:rPr>
        <w:t xml:space="preserve"> </w:t>
      </w:r>
      <w:hyperlink r:id="rId1">
        <w:r w:rsidRPr="002D3091">
          <w:rPr>
            <w:rStyle w:val="Hyperlink"/>
            <w:rFonts w:asciiTheme="minorHAnsi" w:hAnsiTheme="minorHAnsi"/>
          </w:rPr>
          <w:t>Department of Elementary and Secondary Education</w:t>
        </w:r>
      </w:hyperlink>
      <w:r w:rsidRPr="002D3091">
        <w:rPr>
          <w:rFonts w:asciiTheme="minorHAnsi" w:hAnsiTheme="minorHAnsi"/>
        </w:rPr>
        <w:t xml:space="preserve"> (DESE)</w:t>
      </w:r>
      <w:r w:rsidR="001F1F30" w:rsidRPr="002D3091">
        <w:rPr>
          <w:rFonts w:asciiTheme="minorHAnsi" w:hAnsiTheme="minorHAnsi"/>
        </w:rPr>
        <w:t xml:space="preserve"> that administers </w:t>
      </w:r>
      <w:r w:rsidR="008A75AD" w:rsidRPr="002D3091">
        <w:rPr>
          <w:rFonts w:asciiTheme="minorHAnsi" w:hAnsiTheme="minorHAnsi"/>
        </w:rPr>
        <w:t>the Fair Share Adult ESOL</w:t>
      </w:r>
      <w:r w:rsidR="00C75175">
        <w:rPr>
          <w:rFonts w:asciiTheme="minorHAnsi" w:hAnsiTheme="minorHAnsi"/>
        </w:rPr>
        <w:t xml:space="preserve"> Services</w:t>
      </w:r>
      <w:r w:rsidR="008A75AD" w:rsidRPr="002D3091">
        <w:rPr>
          <w:rFonts w:asciiTheme="minorHAnsi" w:hAnsiTheme="minorHAnsi"/>
        </w:rPr>
        <w:t xml:space="preserve"> </w:t>
      </w:r>
      <w:r w:rsidR="00CD5F1B" w:rsidRPr="002D3091">
        <w:rPr>
          <w:rFonts w:asciiTheme="minorHAnsi" w:hAnsiTheme="minorHAnsi"/>
        </w:rPr>
        <w:t>grants</w:t>
      </w:r>
      <w:r w:rsidRPr="002D3091">
        <w:rPr>
          <w:rFonts w:asciiTheme="minorHAnsi" w:hAnsiTheme="minorHAnsi"/>
        </w:rPr>
        <w:t>.</w:t>
      </w:r>
    </w:p>
  </w:footnote>
  <w:footnote w:id="2">
    <w:p w14:paraId="5D15494A" w14:textId="7C1D5150" w:rsidR="00E12822" w:rsidRPr="00CA6821" w:rsidRDefault="00E12822" w:rsidP="00E12822">
      <w:pPr>
        <w:pStyle w:val="FootnoteText"/>
        <w:rPr>
          <w:rFonts w:asciiTheme="minorHAnsi" w:hAnsiTheme="minorHAnsi"/>
        </w:rPr>
      </w:pPr>
      <w:r w:rsidRPr="00CA6821">
        <w:rPr>
          <w:rStyle w:val="FootnoteReference"/>
          <w:rFonts w:asciiTheme="minorHAnsi" w:hAnsiTheme="minorHAnsi"/>
        </w:rPr>
        <w:footnoteRef/>
      </w:r>
      <w:r w:rsidRPr="00CA6821">
        <w:rPr>
          <w:rFonts w:asciiTheme="minorHAnsi" w:hAnsiTheme="minorHAnsi"/>
        </w:rPr>
        <w:t xml:space="preserve"> </w:t>
      </w:r>
      <w:r w:rsidR="00192D4C">
        <w:rPr>
          <w:rFonts w:asciiTheme="minorHAnsi" w:hAnsiTheme="minorHAnsi"/>
        </w:rPr>
        <w:t>ACLS</w:t>
      </w:r>
      <w:r w:rsidRPr="00CA6821">
        <w:rPr>
          <w:rFonts w:asciiTheme="minorHAnsi" w:hAnsiTheme="minorHAnsi"/>
        </w:rPr>
        <w:t xml:space="preserve"> encourages summer programming but recognizes that most run at a reduced schedule and therefore not subject to enrollment targets.</w:t>
      </w:r>
    </w:p>
  </w:footnote>
  <w:footnote w:id="3">
    <w:p w14:paraId="14A97F77" w14:textId="77777777" w:rsidR="00E12822" w:rsidRPr="00277504" w:rsidRDefault="00E12822" w:rsidP="00E12822">
      <w:pPr>
        <w:pStyle w:val="FootnoteText"/>
      </w:pPr>
      <w:r w:rsidRPr="003D319D">
        <w:rPr>
          <w:rStyle w:val="FootnoteReference"/>
          <w:rFonts w:asciiTheme="minorHAnsi" w:hAnsiTheme="minorHAnsi"/>
        </w:rPr>
        <w:footnoteRef/>
      </w:r>
      <w:r w:rsidRPr="003D319D">
        <w:rPr>
          <w:rFonts w:asciiTheme="minorHAnsi" w:hAnsiTheme="minorHAnsi"/>
        </w:rPr>
        <w:t xml:space="preserve"> </w:t>
      </w:r>
      <w:hyperlink r:id="rId2" w:history="1">
        <w:r w:rsidRPr="003D319D">
          <w:rPr>
            <w:rStyle w:val="Hyperlink"/>
            <w:rFonts w:asciiTheme="minorHAnsi" w:hAnsiTheme="minorHAnsi"/>
            <w:shd w:val="clear" w:color="auto" w:fill="FFFFFF"/>
          </w:rPr>
          <w:t>LACES</w:t>
        </w:r>
      </w:hyperlink>
      <w:r w:rsidRPr="003D319D">
        <w:rPr>
          <w:rFonts w:asciiTheme="minorHAnsi" w:hAnsiTheme="minorHAnsi"/>
          <w:shd w:val="clear" w:color="auto" w:fill="FFFFFF"/>
        </w:rPr>
        <w:t xml:space="preserve"> is the PAE data collection and reporting application.</w:t>
      </w:r>
    </w:p>
  </w:footnote>
  <w:footnote w:id="4">
    <w:p w14:paraId="12259538" w14:textId="6CE20078" w:rsidR="00B91A6E" w:rsidRDefault="00B91A6E">
      <w:pPr>
        <w:pStyle w:val="FootnoteText"/>
      </w:pPr>
      <w:r>
        <w:rPr>
          <w:rStyle w:val="FootnoteReference"/>
        </w:rPr>
        <w:footnoteRef/>
      </w:r>
      <w:r>
        <w:t xml:space="preserve"> </w:t>
      </w:r>
      <w:r w:rsidR="00037181">
        <w:t>See Section 5, page 8 for more information about ETA.</w:t>
      </w:r>
      <w:r w:rsidR="002B5151">
        <w:t xml:space="preserve"> </w:t>
      </w:r>
    </w:p>
  </w:footnote>
  <w:footnote w:id="5">
    <w:p w14:paraId="2B1F9874" w14:textId="77777777" w:rsidR="00E12822" w:rsidRDefault="00E12822" w:rsidP="00E12822">
      <w:pPr>
        <w:pStyle w:val="FootnoteText"/>
      </w:pPr>
      <w:r>
        <w:rPr>
          <w:rStyle w:val="FootnoteReference"/>
        </w:rPr>
        <w:footnoteRef/>
      </w:r>
      <w:r>
        <w:t xml:space="preserve"> </w:t>
      </w:r>
      <w:hyperlink r:id="rId3" w:history="1">
        <w:r w:rsidRPr="0089375A">
          <w:rPr>
            <w:rStyle w:val="Hyperlink"/>
          </w:rPr>
          <w:t>Common Education Data Standards (CEDS)</w:t>
        </w:r>
      </w:hyperlink>
    </w:p>
  </w:footnote>
  <w:footnote w:id="6">
    <w:p w14:paraId="56706858" w14:textId="77777777" w:rsidR="00DB63AF" w:rsidRPr="003073C0" w:rsidRDefault="00DB63AF" w:rsidP="00DB63AF">
      <w:pPr>
        <w:pStyle w:val="FootnoteText"/>
      </w:pPr>
      <w:r w:rsidRPr="003073C0">
        <w:rPr>
          <w:rStyle w:val="FootnoteReference"/>
        </w:rPr>
        <w:footnoteRef/>
      </w:r>
      <w:r w:rsidRPr="003073C0">
        <w:t xml:space="preserve"> Adapted from </w:t>
      </w:r>
      <w:hyperlink r:id="rId4" w:history="1">
        <w:r w:rsidRPr="003073C0">
          <w:rPr>
            <w:rStyle w:val="Hyperlink"/>
            <w:i/>
          </w:rPr>
          <w:t>The Glossary of Education Reform</w:t>
        </w:r>
      </w:hyperlink>
      <w:r w:rsidRPr="003073C0">
        <w:t>.</w:t>
      </w:r>
    </w:p>
  </w:footnote>
  <w:footnote w:id="7">
    <w:p w14:paraId="315FDCAC" w14:textId="77777777" w:rsidR="00DB63AF" w:rsidRPr="009F55EE" w:rsidRDefault="00DB63AF" w:rsidP="00DB63AF">
      <w:pPr>
        <w:pStyle w:val="CommentText"/>
      </w:pPr>
      <w:r>
        <w:rPr>
          <w:rStyle w:val="FootnoteReference"/>
        </w:rPr>
        <w:footnoteRef/>
      </w:r>
      <w:r>
        <w:t xml:space="preserve"> </w:t>
      </w:r>
      <w:r w:rsidRPr="00214536">
        <w:t>Western Sydney University</w:t>
      </w:r>
    </w:p>
    <w:p w14:paraId="45A1911E" w14:textId="77777777" w:rsidR="00DB63AF" w:rsidRDefault="00DB63AF" w:rsidP="00DB63AF">
      <w:pPr>
        <w:pStyle w:val="FootnoteText"/>
      </w:pPr>
      <w:hyperlink r:id="rId5" w:history="1">
        <w:r w:rsidRPr="00974360">
          <w:rPr>
            <w:rStyle w:val="Hyperlink"/>
          </w:rPr>
          <w:t>https://www.westernsydney.edu.au/studysmart/home/study_skills_guides/digital_literacy/what_is_digital_literacy</w:t>
        </w:r>
      </w:hyperlink>
    </w:p>
  </w:footnote>
  <w:footnote w:id="8">
    <w:p w14:paraId="6249158C" w14:textId="77777777" w:rsidR="00DB63AF" w:rsidRDefault="00DB63AF" w:rsidP="00DB63AF">
      <w:pPr>
        <w:pStyle w:val="FootnoteText"/>
      </w:pPr>
      <w:r w:rsidRPr="4052C53E">
        <w:rPr>
          <w:rStyle w:val="FootnoteReference"/>
        </w:rPr>
        <w:footnoteRef/>
      </w:r>
      <w:r>
        <w:t xml:space="preserve"> For more information, see the </w:t>
      </w:r>
      <w:hyperlink r:id="rId6">
        <w:r w:rsidRPr="4052C53E">
          <w:rPr>
            <w:rStyle w:val="Hyperlink"/>
          </w:rPr>
          <w:t>Western Sydney University</w:t>
        </w:r>
      </w:hyperlink>
      <w:r>
        <w:t xml:space="preserve"> definition of digital literacy. </w:t>
      </w:r>
    </w:p>
  </w:footnote>
  <w:footnote w:id="9">
    <w:p w14:paraId="3A27C57A" w14:textId="77777777" w:rsidR="00DB63AF" w:rsidRDefault="00DB63AF" w:rsidP="00DB63AF">
      <w:pPr>
        <w:pStyle w:val="FootnoteText"/>
      </w:pPr>
      <w:r>
        <w:rPr>
          <w:rStyle w:val="FootnoteReference"/>
        </w:rPr>
        <w:footnoteRef/>
      </w:r>
      <w:r>
        <w:t xml:space="preserve"> DeSousa, D.J. (2005). </w:t>
      </w:r>
      <w:r>
        <w:rPr>
          <w:i/>
          <w:iCs/>
        </w:rPr>
        <w:t>On course: Strategies for creating success in college and in life</w:t>
      </w:r>
      <w:r>
        <w:t xml:space="preserve"> (4</w:t>
      </w:r>
      <w:r>
        <w:rPr>
          <w:vertAlign w:val="superscript"/>
        </w:rPr>
        <w:t>th</w:t>
      </w:r>
      <w:r>
        <w:t xml:space="preserve"> ed.). Boston: Houghton Mifflin Company.</w:t>
      </w:r>
    </w:p>
  </w:footnote>
  <w:footnote w:id="10">
    <w:p w14:paraId="22CFA60D" w14:textId="77777777" w:rsidR="00DB63AF" w:rsidRDefault="00DB63AF" w:rsidP="00DB63AF">
      <w:pPr>
        <w:pStyle w:val="FootnoteText"/>
      </w:pPr>
      <w:r>
        <w:rPr>
          <w:rStyle w:val="FootnoteReference"/>
        </w:rPr>
        <w:footnoteRef/>
      </w:r>
      <w:r>
        <w:t xml:space="preserve"> Light, R. (2001). </w:t>
      </w:r>
      <w:r>
        <w:rPr>
          <w:i/>
          <w:iCs/>
        </w:rPr>
        <w:t>Making the most of college</w:t>
      </w:r>
      <w:r>
        <w:t>. Cambridge, MA: Harvard University Press.</w:t>
      </w:r>
    </w:p>
  </w:footnote>
  <w:footnote w:id="11">
    <w:p w14:paraId="65081BA1" w14:textId="77777777" w:rsidR="00DB63AF" w:rsidRPr="006869CA" w:rsidRDefault="00DB63AF" w:rsidP="00DB63AF">
      <w:pPr>
        <w:rPr>
          <w:sz w:val="20"/>
          <w:szCs w:val="20"/>
        </w:rPr>
      </w:pPr>
      <w:r w:rsidRPr="00042338">
        <w:rPr>
          <w:rStyle w:val="FootnoteReference"/>
          <w:sz w:val="20"/>
          <w:szCs w:val="20"/>
        </w:rPr>
        <w:footnoteRef/>
      </w:r>
      <w:r w:rsidRPr="00042338">
        <w:rPr>
          <w:sz w:val="20"/>
          <w:szCs w:val="20"/>
        </w:rPr>
        <w:t xml:space="preserve"> The U</w:t>
      </w:r>
      <w:r>
        <w:rPr>
          <w:sz w:val="20"/>
          <w:szCs w:val="20"/>
        </w:rPr>
        <w:t>.S. Department of Education</w:t>
      </w:r>
      <w:r w:rsidRPr="00042338">
        <w:rPr>
          <w:sz w:val="20"/>
          <w:szCs w:val="20"/>
        </w:rPr>
        <w:t xml:space="preserve"> policy on a subaward states that grantees must exclude the amount of each subaward costs exceeding $25,000 per subaward on a yearly basis. Therefore, indirect costs can only be recovered on the first $25,000 expended each year for each subaward. Expenditures of the subaward will not be allowed if the subaward has not been approved by DESE.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01D"/>
    <w:multiLevelType w:val="hybridMultilevel"/>
    <w:tmpl w:val="F42CE5B8"/>
    <w:lvl w:ilvl="0" w:tplc="74D22074">
      <w:start w:val="1"/>
      <w:numFmt w:val="bullet"/>
      <w:lvlText w:val=""/>
      <w:lvlJc w:val="left"/>
      <w:pPr>
        <w:ind w:left="1080" w:hanging="360"/>
      </w:pPr>
      <w:rPr>
        <w:rFonts w:ascii="Symbol" w:hAnsi="Symbol"/>
      </w:rPr>
    </w:lvl>
    <w:lvl w:ilvl="1" w:tplc="7D7EC6AA">
      <w:start w:val="1"/>
      <w:numFmt w:val="bullet"/>
      <w:lvlText w:val=""/>
      <w:lvlJc w:val="left"/>
      <w:pPr>
        <w:ind w:left="1080" w:hanging="360"/>
      </w:pPr>
      <w:rPr>
        <w:rFonts w:ascii="Symbol" w:hAnsi="Symbol"/>
      </w:rPr>
    </w:lvl>
    <w:lvl w:ilvl="2" w:tplc="0CBE357E">
      <w:start w:val="1"/>
      <w:numFmt w:val="bullet"/>
      <w:lvlText w:val=""/>
      <w:lvlJc w:val="left"/>
      <w:pPr>
        <w:ind w:left="1080" w:hanging="360"/>
      </w:pPr>
      <w:rPr>
        <w:rFonts w:ascii="Symbol" w:hAnsi="Symbol"/>
      </w:rPr>
    </w:lvl>
    <w:lvl w:ilvl="3" w:tplc="A44C94C8">
      <w:start w:val="1"/>
      <w:numFmt w:val="bullet"/>
      <w:lvlText w:val=""/>
      <w:lvlJc w:val="left"/>
      <w:pPr>
        <w:ind w:left="1080" w:hanging="360"/>
      </w:pPr>
      <w:rPr>
        <w:rFonts w:ascii="Symbol" w:hAnsi="Symbol"/>
      </w:rPr>
    </w:lvl>
    <w:lvl w:ilvl="4" w:tplc="256C0980">
      <w:start w:val="1"/>
      <w:numFmt w:val="bullet"/>
      <w:lvlText w:val=""/>
      <w:lvlJc w:val="left"/>
      <w:pPr>
        <w:ind w:left="1080" w:hanging="360"/>
      </w:pPr>
      <w:rPr>
        <w:rFonts w:ascii="Symbol" w:hAnsi="Symbol"/>
      </w:rPr>
    </w:lvl>
    <w:lvl w:ilvl="5" w:tplc="BD54F254">
      <w:start w:val="1"/>
      <w:numFmt w:val="bullet"/>
      <w:lvlText w:val=""/>
      <w:lvlJc w:val="left"/>
      <w:pPr>
        <w:ind w:left="1080" w:hanging="360"/>
      </w:pPr>
      <w:rPr>
        <w:rFonts w:ascii="Symbol" w:hAnsi="Symbol"/>
      </w:rPr>
    </w:lvl>
    <w:lvl w:ilvl="6" w:tplc="19E61474">
      <w:start w:val="1"/>
      <w:numFmt w:val="bullet"/>
      <w:lvlText w:val=""/>
      <w:lvlJc w:val="left"/>
      <w:pPr>
        <w:ind w:left="1080" w:hanging="360"/>
      </w:pPr>
      <w:rPr>
        <w:rFonts w:ascii="Symbol" w:hAnsi="Symbol"/>
      </w:rPr>
    </w:lvl>
    <w:lvl w:ilvl="7" w:tplc="EB862460">
      <w:start w:val="1"/>
      <w:numFmt w:val="bullet"/>
      <w:lvlText w:val=""/>
      <w:lvlJc w:val="left"/>
      <w:pPr>
        <w:ind w:left="1080" w:hanging="360"/>
      </w:pPr>
      <w:rPr>
        <w:rFonts w:ascii="Symbol" w:hAnsi="Symbol"/>
      </w:rPr>
    </w:lvl>
    <w:lvl w:ilvl="8" w:tplc="F48EB614">
      <w:start w:val="1"/>
      <w:numFmt w:val="bullet"/>
      <w:lvlText w:val=""/>
      <w:lvlJc w:val="left"/>
      <w:pPr>
        <w:ind w:left="1080" w:hanging="360"/>
      </w:pPr>
      <w:rPr>
        <w:rFonts w:ascii="Symbol" w:hAnsi="Symbol"/>
      </w:rPr>
    </w:lvl>
  </w:abstractNum>
  <w:abstractNum w:abstractNumId="1" w15:restartNumberingAfterBreak="0">
    <w:nsid w:val="04155417"/>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55825"/>
    <w:multiLevelType w:val="hybridMultilevel"/>
    <w:tmpl w:val="60E47888"/>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D3BF0"/>
    <w:multiLevelType w:val="hybridMultilevel"/>
    <w:tmpl w:val="6686BA96"/>
    <w:lvl w:ilvl="0" w:tplc="6EC26A5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446326"/>
    <w:multiLevelType w:val="multilevel"/>
    <w:tmpl w:val="E7682B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4E2E"/>
    <w:multiLevelType w:val="hybridMultilevel"/>
    <w:tmpl w:val="B9F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BB516E"/>
    <w:multiLevelType w:val="hybridMultilevel"/>
    <w:tmpl w:val="54D2939E"/>
    <w:lvl w:ilvl="0" w:tplc="04090005">
      <w:start w:val="1"/>
      <w:numFmt w:val="bullet"/>
      <w:lvlText w:val=""/>
      <w:lvlJc w:val="left"/>
      <w:pPr>
        <w:ind w:left="720" w:hanging="360"/>
      </w:pPr>
      <w:rPr>
        <w:rFonts w:ascii="Wingdings" w:hAnsi="Wingdings"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BC3C6F"/>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40AC3"/>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D79A0"/>
    <w:multiLevelType w:val="hybridMultilevel"/>
    <w:tmpl w:val="56127ADC"/>
    <w:lvl w:ilvl="0" w:tplc="6B5E5460">
      <w:start w:val="1"/>
      <w:numFmt w:val="bullet"/>
      <w:lvlText w:val=""/>
      <w:lvlJc w:val="left"/>
      <w:pPr>
        <w:ind w:left="1080" w:hanging="360"/>
      </w:pPr>
      <w:rPr>
        <w:rFonts w:ascii="Wingdings" w:hAnsi="Wingdings" w:hint="default"/>
        <w:b/>
        <w:i w:val="0"/>
        <w:sz w:val="2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27A63327"/>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728CB"/>
    <w:multiLevelType w:val="hybridMultilevel"/>
    <w:tmpl w:val="5F3293C0"/>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4A0122"/>
    <w:multiLevelType w:val="hybridMultilevel"/>
    <w:tmpl w:val="53F8D02E"/>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F6A82"/>
    <w:multiLevelType w:val="hybridMultilevel"/>
    <w:tmpl w:val="A1FCE91C"/>
    <w:lvl w:ilvl="0" w:tplc="55262416">
      <w:start w:val="1"/>
      <w:numFmt w:val="bullet"/>
      <w:lvlText w:val=""/>
      <w:lvlJc w:val="left"/>
      <w:pPr>
        <w:ind w:left="1080" w:hanging="360"/>
      </w:pPr>
      <w:rPr>
        <w:rFonts w:ascii="Symbol" w:hAnsi="Symbol"/>
      </w:rPr>
    </w:lvl>
    <w:lvl w:ilvl="1" w:tplc="D1E867F4">
      <w:start w:val="1"/>
      <w:numFmt w:val="bullet"/>
      <w:lvlText w:val=""/>
      <w:lvlJc w:val="left"/>
      <w:pPr>
        <w:ind w:left="1080" w:hanging="360"/>
      </w:pPr>
      <w:rPr>
        <w:rFonts w:ascii="Symbol" w:hAnsi="Symbol"/>
      </w:rPr>
    </w:lvl>
    <w:lvl w:ilvl="2" w:tplc="61B858B0">
      <w:start w:val="1"/>
      <w:numFmt w:val="bullet"/>
      <w:lvlText w:val=""/>
      <w:lvlJc w:val="left"/>
      <w:pPr>
        <w:ind w:left="1080" w:hanging="360"/>
      </w:pPr>
      <w:rPr>
        <w:rFonts w:ascii="Symbol" w:hAnsi="Symbol"/>
      </w:rPr>
    </w:lvl>
    <w:lvl w:ilvl="3" w:tplc="F0F0C682">
      <w:start w:val="1"/>
      <w:numFmt w:val="bullet"/>
      <w:lvlText w:val=""/>
      <w:lvlJc w:val="left"/>
      <w:pPr>
        <w:ind w:left="1080" w:hanging="360"/>
      </w:pPr>
      <w:rPr>
        <w:rFonts w:ascii="Symbol" w:hAnsi="Symbol"/>
      </w:rPr>
    </w:lvl>
    <w:lvl w:ilvl="4" w:tplc="121CF81C">
      <w:start w:val="1"/>
      <w:numFmt w:val="bullet"/>
      <w:lvlText w:val=""/>
      <w:lvlJc w:val="left"/>
      <w:pPr>
        <w:ind w:left="1080" w:hanging="360"/>
      </w:pPr>
      <w:rPr>
        <w:rFonts w:ascii="Symbol" w:hAnsi="Symbol"/>
      </w:rPr>
    </w:lvl>
    <w:lvl w:ilvl="5" w:tplc="EC4E27DA">
      <w:start w:val="1"/>
      <w:numFmt w:val="bullet"/>
      <w:lvlText w:val=""/>
      <w:lvlJc w:val="left"/>
      <w:pPr>
        <w:ind w:left="1080" w:hanging="360"/>
      </w:pPr>
      <w:rPr>
        <w:rFonts w:ascii="Symbol" w:hAnsi="Symbol"/>
      </w:rPr>
    </w:lvl>
    <w:lvl w:ilvl="6" w:tplc="3664EAD4">
      <w:start w:val="1"/>
      <w:numFmt w:val="bullet"/>
      <w:lvlText w:val=""/>
      <w:lvlJc w:val="left"/>
      <w:pPr>
        <w:ind w:left="1080" w:hanging="360"/>
      </w:pPr>
      <w:rPr>
        <w:rFonts w:ascii="Symbol" w:hAnsi="Symbol"/>
      </w:rPr>
    </w:lvl>
    <w:lvl w:ilvl="7" w:tplc="65281FE0">
      <w:start w:val="1"/>
      <w:numFmt w:val="bullet"/>
      <w:lvlText w:val=""/>
      <w:lvlJc w:val="left"/>
      <w:pPr>
        <w:ind w:left="1080" w:hanging="360"/>
      </w:pPr>
      <w:rPr>
        <w:rFonts w:ascii="Symbol" w:hAnsi="Symbol"/>
      </w:rPr>
    </w:lvl>
    <w:lvl w:ilvl="8" w:tplc="5524C04E">
      <w:start w:val="1"/>
      <w:numFmt w:val="bullet"/>
      <w:lvlText w:val=""/>
      <w:lvlJc w:val="left"/>
      <w:pPr>
        <w:ind w:left="1080" w:hanging="360"/>
      </w:pPr>
      <w:rPr>
        <w:rFonts w:ascii="Symbol" w:hAnsi="Symbol"/>
      </w:rPr>
    </w:lvl>
  </w:abstractNum>
  <w:abstractNum w:abstractNumId="14" w15:restartNumberingAfterBreak="0">
    <w:nsid w:val="2DF82BFD"/>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14415"/>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01457"/>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3221D"/>
    <w:multiLevelType w:val="hybridMultilevel"/>
    <w:tmpl w:val="C54CA6F2"/>
    <w:lvl w:ilvl="0" w:tplc="06E6010C">
      <w:start w:val="1"/>
      <w:numFmt w:val="bullet"/>
      <w:lvlText w:val=""/>
      <w:lvlJc w:val="left"/>
      <w:pPr>
        <w:ind w:left="720" w:hanging="360"/>
      </w:pPr>
      <w:rPr>
        <w:rFonts w:ascii="Wingdings" w:hAnsi="Wingdings" w:hint="default"/>
        <w:b/>
        <w:i w:val="0"/>
        <w:sz w:val="20"/>
      </w:rPr>
    </w:lvl>
    <w:lvl w:ilvl="1" w:tplc="88A81BC6">
      <w:numFmt w:val="bullet"/>
      <w:lvlText w:val="·"/>
      <w:lvlJc w:val="left"/>
      <w:pPr>
        <w:ind w:left="1455" w:hanging="37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173ED"/>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081B7D"/>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078D9"/>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3B19F9"/>
    <w:multiLevelType w:val="hybridMultilevel"/>
    <w:tmpl w:val="39C22EC2"/>
    <w:lvl w:ilvl="0" w:tplc="532890EC">
      <w:start w:val="1"/>
      <w:numFmt w:val="bullet"/>
      <w:lvlText w:val=""/>
      <w:lvlJc w:val="left"/>
      <w:pPr>
        <w:ind w:left="1020" w:hanging="360"/>
      </w:pPr>
      <w:rPr>
        <w:rFonts w:ascii="Symbol" w:hAnsi="Symbol"/>
      </w:rPr>
    </w:lvl>
    <w:lvl w:ilvl="1" w:tplc="3386060A">
      <w:start w:val="1"/>
      <w:numFmt w:val="bullet"/>
      <w:lvlText w:val=""/>
      <w:lvlJc w:val="left"/>
      <w:pPr>
        <w:ind w:left="1020" w:hanging="360"/>
      </w:pPr>
      <w:rPr>
        <w:rFonts w:ascii="Symbol" w:hAnsi="Symbol"/>
      </w:rPr>
    </w:lvl>
    <w:lvl w:ilvl="2" w:tplc="F998EA40">
      <w:start w:val="1"/>
      <w:numFmt w:val="bullet"/>
      <w:lvlText w:val=""/>
      <w:lvlJc w:val="left"/>
      <w:pPr>
        <w:ind w:left="1020" w:hanging="360"/>
      </w:pPr>
      <w:rPr>
        <w:rFonts w:ascii="Symbol" w:hAnsi="Symbol"/>
      </w:rPr>
    </w:lvl>
    <w:lvl w:ilvl="3" w:tplc="3562759C">
      <w:start w:val="1"/>
      <w:numFmt w:val="bullet"/>
      <w:lvlText w:val=""/>
      <w:lvlJc w:val="left"/>
      <w:pPr>
        <w:ind w:left="1020" w:hanging="360"/>
      </w:pPr>
      <w:rPr>
        <w:rFonts w:ascii="Symbol" w:hAnsi="Symbol"/>
      </w:rPr>
    </w:lvl>
    <w:lvl w:ilvl="4" w:tplc="7E82D724">
      <w:start w:val="1"/>
      <w:numFmt w:val="bullet"/>
      <w:lvlText w:val=""/>
      <w:lvlJc w:val="left"/>
      <w:pPr>
        <w:ind w:left="1020" w:hanging="360"/>
      </w:pPr>
      <w:rPr>
        <w:rFonts w:ascii="Symbol" w:hAnsi="Symbol"/>
      </w:rPr>
    </w:lvl>
    <w:lvl w:ilvl="5" w:tplc="3BFA2ED4">
      <w:start w:val="1"/>
      <w:numFmt w:val="bullet"/>
      <w:lvlText w:val=""/>
      <w:lvlJc w:val="left"/>
      <w:pPr>
        <w:ind w:left="1020" w:hanging="360"/>
      </w:pPr>
      <w:rPr>
        <w:rFonts w:ascii="Symbol" w:hAnsi="Symbol"/>
      </w:rPr>
    </w:lvl>
    <w:lvl w:ilvl="6" w:tplc="E4426544">
      <w:start w:val="1"/>
      <w:numFmt w:val="bullet"/>
      <w:lvlText w:val=""/>
      <w:lvlJc w:val="left"/>
      <w:pPr>
        <w:ind w:left="1020" w:hanging="360"/>
      </w:pPr>
      <w:rPr>
        <w:rFonts w:ascii="Symbol" w:hAnsi="Symbol"/>
      </w:rPr>
    </w:lvl>
    <w:lvl w:ilvl="7" w:tplc="7332A35C">
      <w:start w:val="1"/>
      <w:numFmt w:val="bullet"/>
      <w:lvlText w:val=""/>
      <w:lvlJc w:val="left"/>
      <w:pPr>
        <w:ind w:left="1020" w:hanging="360"/>
      </w:pPr>
      <w:rPr>
        <w:rFonts w:ascii="Symbol" w:hAnsi="Symbol"/>
      </w:rPr>
    </w:lvl>
    <w:lvl w:ilvl="8" w:tplc="97C4E2C8">
      <w:start w:val="1"/>
      <w:numFmt w:val="bullet"/>
      <w:lvlText w:val=""/>
      <w:lvlJc w:val="left"/>
      <w:pPr>
        <w:ind w:left="1020" w:hanging="360"/>
      </w:pPr>
      <w:rPr>
        <w:rFonts w:ascii="Symbol" w:hAnsi="Symbol"/>
      </w:rPr>
    </w:lvl>
  </w:abstractNum>
  <w:abstractNum w:abstractNumId="22" w15:restartNumberingAfterBreak="0">
    <w:nsid w:val="4EBD5F26"/>
    <w:multiLevelType w:val="hybridMultilevel"/>
    <w:tmpl w:val="17C8A81C"/>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82396"/>
    <w:multiLevelType w:val="hybridMultilevel"/>
    <w:tmpl w:val="FA9CB85A"/>
    <w:lvl w:ilvl="0" w:tplc="FEA8F742">
      <w:start w:val="1"/>
      <w:numFmt w:val="bullet"/>
      <w:lvlText w:val=""/>
      <w:lvlJc w:val="left"/>
      <w:pPr>
        <w:ind w:left="720" w:hanging="360"/>
      </w:pPr>
      <w:rPr>
        <w:rFonts w:ascii="Wingdings" w:hAnsi="Wingdings" w:hint="default"/>
      </w:rPr>
    </w:lvl>
    <w:lvl w:ilvl="1" w:tplc="629A1234">
      <w:start w:val="1"/>
      <w:numFmt w:val="bullet"/>
      <w:lvlText w:val="o"/>
      <w:lvlJc w:val="left"/>
      <w:pPr>
        <w:ind w:left="1440" w:hanging="360"/>
      </w:pPr>
      <w:rPr>
        <w:rFonts w:ascii="Courier New" w:hAnsi="Courier New" w:hint="default"/>
      </w:rPr>
    </w:lvl>
    <w:lvl w:ilvl="2" w:tplc="9802EBE6">
      <w:start w:val="1"/>
      <w:numFmt w:val="bullet"/>
      <w:lvlText w:val=""/>
      <w:lvlJc w:val="left"/>
      <w:pPr>
        <w:ind w:left="2160" w:hanging="360"/>
      </w:pPr>
      <w:rPr>
        <w:rFonts w:ascii="Wingdings" w:hAnsi="Wingdings" w:hint="default"/>
      </w:rPr>
    </w:lvl>
    <w:lvl w:ilvl="3" w:tplc="63040EF0">
      <w:start w:val="1"/>
      <w:numFmt w:val="bullet"/>
      <w:lvlText w:val=""/>
      <w:lvlJc w:val="left"/>
      <w:pPr>
        <w:ind w:left="2880" w:hanging="360"/>
      </w:pPr>
      <w:rPr>
        <w:rFonts w:ascii="Symbol" w:hAnsi="Symbol" w:hint="default"/>
      </w:rPr>
    </w:lvl>
    <w:lvl w:ilvl="4" w:tplc="798C762C">
      <w:start w:val="1"/>
      <w:numFmt w:val="bullet"/>
      <w:lvlText w:val="o"/>
      <w:lvlJc w:val="left"/>
      <w:pPr>
        <w:ind w:left="3600" w:hanging="360"/>
      </w:pPr>
      <w:rPr>
        <w:rFonts w:ascii="Courier New" w:hAnsi="Courier New" w:hint="default"/>
      </w:rPr>
    </w:lvl>
    <w:lvl w:ilvl="5" w:tplc="172E8212">
      <w:start w:val="1"/>
      <w:numFmt w:val="bullet"/>
      <w:lvlText w:val=""/>
      <w:lvlJc w:val="left"/>
      <w:pPr>
        <w:ind w:left="4320" w:hanging="360"/>
      </w:pPr>
      <w:rPr>
        <w:rFonts w:ascii="Wingdings" w:hAnsi="Wingdings" w:hint="default"/>
      </w:rPr>
    </w:lvl>
    <w:lvl w:ilvl="6" w:tplc="5D946298">
      <w:start w:val="1"/>
      <w:numFmt w:val="bullet"/>
      <w:lvlText w:val=""/>
      <w:lvlJc w:val="left"/>
      <w:pPr>
        <w:ind w:left="5040" w:hanging="360"/>
      </w:pPr>
      <w:rPr>
        <w:rFonts w:ascii="Symbol" w:hAnsi="Symbol" w:hint="default"/>
      </w:rPr>
    </w:lvl>
    <w:lvl w:ilvl="7" w:tplc="C6ECD7EC">
      <w:start w:val="1"/>
      <w:numFmt w:val="bullet"/>
      <w:lvlText w:val="o"/>
      <w:lvlJc w:val="left"/>
      <w:pPr>
        <w:ind w:left="5760" w:hanging="360"/>
      </w:pPr>
      <w:rPr>
        <w:rFonts w:ascii="Courier New" w:hAnsi="Courier New" w:hint="default"/>
      </w:rPr>
    </w:lvl>
    <w:lvl w:ilvl="8" w:tplc="004C9C9E">
      <w:start w:val="1"/>
      <w:numFmt w:val="bullet"/>
      <w:lvlText w:val=""/>
      <w:lvlJc w:val="left"/>
      <w:pPr>
        <w:ind w:left="6480" w:hanging="360"/>
      </w:pPr>
      <w:rPr>
        <w:rFonts w:ascii="Wingdings" w:hAnsi="Wingdings" w:hint="default"/>
      </w:rPr>
    </w:lvl>
  </w:abstractNum>
  <w:abstractNum w:abstractNumId="24" w15:restartNumberingAfterBreak="0">
    <w:nsid w:val="5792439D"/>
    <w:multiLevelType w:val="hybridMultilevel"/>
    <w:tmpl w:val="21481C98"/>
    <w:lvl w:ilvl="0" w:tplc="5210C432">
      <w:start w:val="1"/>
      <w:numFmt w:val="bullet"/>
      <w:lvlText w:val=""/>
      <w:lvlJc w:val="left"/>
      <w:pPr>
        <w:ind w:left="1020" w:hanging="360"/>
      </w:pPr>
      <w:rPr>
        <w:rFonts w:ascii="Symbol" w:hAnsi="Symbol"/>
      </w:rPr>
    </w:lvl>
    <w:lvl w:ilvl="1" w:tplc="5F467998">
      <w:start w:val="1"/>
      <w:numFmt w:val="bullet"/>
      <w:lvlText w:val=""/>
      <w:lvlJc w:val="left"/>
      <w:pPr>
        <w:ind w:left="1020" w:hanging="360"/>
      </w:pPr>
      <w:rPr>
        <w:rFonts w:ascii="Symbol" w:hAnsi="Symbol"/>
      </w:rPr>
    </w:lvl>
    <w:lvl w:ilvl="2" w:tplc="36CA7014">
      <w:start w:val="1"/>
      <w:numFmt w:val="bullet"/>
      <w:lvlText w:val=""/>
      <w:lvlJc w:val="left"/>
      <w:pPr>
        <w:ind w:left="1020" w:hanging="360"/>
      </w:pPr>
      <w:rPr>
        <w:rFonts w:ascii="Symbol" w:hAnsi="Symbol"/>
      </w:rPr>
    </w:lvl>
    <w:lvl w:ilvl="3" w:tplc="188864F8">
      <w:start w:val="1"/>
      <w:numFmt w:val="bullet"/>
      <w:lvlText w:val=""/>
      <w:lvlJc w:val="left"/>
      <w:pPr>
        <w:ind w:left="1020" w:hanging="360"/>
      </w:pPr>
      <w:rPr>
        <w:rFonts w:ascii="Symbol" w:hAnsi="Symbol"/>
      </w:rPr>
    </w:lvl>
    <w:lvl w:ilvl="4" w:tplc="FDF8A0F6">
      <w:start w:val="1"/>
      <w:numFmt w:val="bullet"/>
      <w:lvlText w:val=""/>
      <w:lvlJc w:val="left"/>
      <w:pPr>
        <w:ind w:left="1020" w:hanging="360"/>
      </w:pPr>
      <w:rPr>
        <w:rFonts w:ascii="Symbol" w:hAnsi="Symbol"/>
      </w:rPr>
    </w:lvl>
    <w:lvl w:ilvl="5" w:tplc="8EBC437A">
      <w:start w:val="1"/>
      <w:numFmt w:val="bullet"/>
      <w:lvlText w:val=""/>
      <w:lvlJc w:val="left"/>
      <w:pPr>
        <w:ind w:left="1020" w:hanging="360"/>
      </w:pPr>
      <w:rPr>
        <w:rFonts w:ascii="Symbol" w:hAnsi="Symbol"/>
      </w:rPr>
    </w:lvl>
    <w:lvl w:ilvl="6" w:tplc="0332D63E">
      <w:start w:val="1"/>
      <w:numFmt w:val="bullet"/>
      <w:lvlText w:val=""/>
      <w:lvlJc w:val="left"/>
      <w:pPr>
        <w:ind w:left="1020" w:hanging="360"/>
      </w:pPr>
      <w:rPr>
        <w:rFonts w:ascii="Symbol" w:hAnsi="Symbol"/>
      </w:rPr>
    </w:lvl>
    <w:lvl w:ilvl="7" w:tplc="9F3A206A">
      <w:start w:val="1"/>
      <w:numFmt w:val="bullet"/>
      <w:lvlText w:val=""/>
      <w:lvlJc w:val="left"/>
      <w:pPr>
        <w:ind w:left="1020" w:hanging="360"/>
      </w:pPr>
      <w:rPr>
        <w:rFonts w:ascii="Symbol" w:hAnsi="Symbol"/>
      </w:rPr>
    </w:lvl>
    <w:lvl w:ilvl="8" w:tplc="D0DC3AEE">
      <w:start w:val="1"/>
      <w:numFmt w:val="bullet"/>
      <w:lvlText w:val=""/>
      <w:lvlJc w:val="left"/>
      <w:pPr>
        <w:ind w:left="1020" w:hanging="360"/>
      </w:pPr>
      <w:rPr>
        <w:rFonts w:ascii="Symbol" w:hAnsi="Symbol"/>
      </w:rPr>
    </w:lvl>
  </w:abstractNum>
  <w:abstractNum w:abstractNumId="25" w15:restartNumberingAfterBreak="0">
    <w:nsid w:val="5911215E"/>
    <w:multiLevelType w:val="hybridMultilevel"/>
    <w:tmpl w:val="BCF216C2"/>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14D61"/>
    <w:multiLevelType w:val="hybridMultilevel"/>
    <w:tmpl w:val="925A2320"/>
    <w:lvl w:ilvl="0" w:tplc="62C0BB4C">
      <w:start w:val="1"/>
      <w:numFmt w:val="bullet"/>
      <w:lvlText w:val=""/>
      <w:lvlJc w:val="left"/>
      <w:pPr>
        <w:ind w:left="360" w:hanging="360"/>
      </w:pPr>
      <w:rPr>
        <w:rFonts w:ascii="Wingdings" w:hAnsi="Wingdings"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854ED7"/>
    <w:multiLevelType w:val="hybridMultilevel"/>
    <w:tmpl w:val="8F901234"/>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A52EC7"/>
    <w:multiLevelType w:val="hybridMultilevel"/>
    <w:tmpl w:val="7FFA15D4"/>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C731E4"/>
    <w:multiLevelType w:val="hybridMultilevel"/>
    <w:tmpl w:val="72FCC92C"/>
    <w:lvl w:ilvl="0" w:tplc="23D27E82">
      <w:start w:val="1"/>
      <w:numFmt w:val="decimal"/>
      <w:lvlText w:val="%1."/>
      <w:lvlJc w:val="left"/>
      <w:pPr>
        <w:ind w:left="1020" w:hanging="360"/>
      </w:pPr>
    </w:lvl>
    <w:lvl w:ilvl="1" w:tplc="A64AEFDC">
      <w:start w:val="1"/>
      <w:numFmt w:val="decimal"/>
      <w:lvlText w:val="%2."/>
      <w:lvlJc w:val="left"/>
      <w:pPr>
        <w:ind w:left="1020" w:hanging="360"/>
      </w:pPr>
    </w:lvl>
    <w:lvl w:ilvl="2" w:tplc="73C26B26">
      <w:start w:val="1"/>
      <w:numFmt w:val="decimal"/>
      <w:lvlText w:val="%3."/>
      <w:lvlJc w:val="left"/>
      <w:pPr>
        <w:ind w:left="1020" w:hanging="360"/>
      </w:pPr>
    </w:lvl>
    <w:lvl w:ilvl="3" w:tplc="1A38271C">
      <w:start w:val="1"/>
      <w:numFmt w:val="decimal"/>
      <w:lvlText w:val="%4."/>
      <w:lvlJc w:val="left"/>
      <w:pPr>
        <w:ind w:left="1020" w:hanging="360"/>
      </w:pPr>
    </w:lvl>
    <w:lvl w:ilvl="4" w:tplc="C32295C6">
      <w:start w:val="1"/>
      <w:numFmt w:val="decimal"/>
      <w:lvlText w:val="%5."/>
      <w:lvlJc w:val="left"/>
      <w:pPr>
        <w:ind w:left="1020" w:hanging="360"/>
      </w:pPr>
    </w:lvl>
    <w:lvl w:ilvl="5" w:tplc="50CE5CD4">
      <w:start w:val="1"/>
      <w:numFmt w:val="decimal"/>
      <w:lvlText w:val="%6."/>
      <w:lvlJc w:val="left"/>
      <w:pPr>
        <w:ind w:left="1020" w:hanging="360"/>
      </w:pPr>
    </w:lvl>
    <w:lvl w:ilvl="6" w:tplc="C2F48F7C">
      <w:start w:val="1"/>
      <w:numFmt w:val="decimal"/>
      <w:lvlText w:val="%7."/>
      <w:lvlJc w:val="left"/>
      <w:pPr>
        <w:ind w:left="1020" w:hanging="360"/>
      </w:pPr>
    </w:lvl>
    <w:lvl w:ilvl="7" w:tplc="EF5C2E80">
      <w:start w:val="1"/>
      <w:numFmt w:val="decimal"/>
      <w:lvlText w:val="%8."/>
      <w:lvlJc w:val="left"/>
      <w:pPr>
        <w:ind w:left="1020" w:hanging="360"/>
      </w:pPr>
    </w:lvl>
    <w:lvl w:ilvl="8" w:tplc="70D8A6C6">
      <w:start w:val="1"/>
      <w:numFmt w:val="decimal"/>
      <w:lvlText w:val="%9."/>
      <w:lvlJc w:val="left"/>
      <w:pPr>
        <w:ind w:left="1020" w:hanging="360"/>
      </w:pPr>
    </w:lvl>
  </w:abstractNum>
  <w:abstractNum w:abstractNumId="30" w15:restartNumberingAfterBreak="0">
    <w:nsid w:val="5FD537CA"/>
    <w:multiLevelType w:val="hybridMultilevel"/>
    <w:tmpl w:val="4858A884"/>
    <w:lvl w:ilvl="0" w:tplc="FFFFFFFF">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C4F50"/>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8E1060"/>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127AA1"/>
    <w:multiLevelType w:val="hybridMultilevel"/>
    <w:tmpl w:val="51A0F634"/>
    <w:lvl w:ilvl="0" w:tplc="06E6010C">
      <w:start w:val="1"/>
      <w:numFmt w:val="bullet"/>
      <w:lvlText w:val=""/>
      <w:lvlJc w:val="left"/>
      <w:pPr>
        <w:ind w:left="720" w:hanging="360"/>
      </w:pPr>
      <w:rPr>
        <w:rFonts w:ascii="Wingdings" w:hAnsi="Wingdings"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285A1E"/>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83149"/>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ED041E"/>
    <w:multiLevelType w:val="multilevel"/>
    <w:tmpl w:val="1C5EA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474257"/>
    <w:multiLevelType w:val="hybridMultilevel"/>
    <w:tmpl w:val="1D0C988C"/>
    <w:lvl w:ilvl="0" w:tplc="B60C86FE">
      <w:start w:val="1"/>
      <w:numFmt w:val="bullet"/>
      <w:lvlText w:val=""/>
      <w:lvlJc w:val="left"/>
      <w:pPr>
        <w:ind w:left="720" w:hanging="360"/>
      </w:pPr>
      <w:rPr>
        <w:rFonts w:ascii="Wingdings" w:hAnsi="Wingdings" w:hint="default"/>
      </w:rPr>
    </w:lvl>
    <w:lvl w:ilvl="1" w:tplc="43D00E12">
      <w:start w:val="1"/>
      <w:numFmt w:val="bullet"/>
      <w:lvlText w:val="o"/>
      <w:lvlJc w:val="left"/>
      <w:pPr>
        <w:ind w:left="1440" w:hanging="360"/>
      </w:pPr>
      <w:rPr>
        <w:rFonts w:ascii="Courier New" w:hAnsi="Courier New" w:hint="default"/>
      </w:rPr>
    </w:lvl>
    <w:lvl w:ilvl="2" w:tplc="30360410">
      <w:start w:val="1"/>
      <w:numFmt w:val="bullet"/>
      <w:lvlText w:val=""/>
      <w:lvlJc w:val="left"/>
      <w:pPr>
        <w:ind w:left="2160" w:hanging="360"/>
      </w:pPr>
      <w:rPr>
        <w:rFonts w:ascii="Wingdings" w:hAnsi="Wingdings" w:hint="default"/>
      </w:rPr>
    </w:lvl>
    <w:lvl w:ilvl="3" w:tplc="206C0F48">
      <w:start w:val="1"/>
      <w:numFmt w:val="bullet"/>
      <w:lvlText w:val=""/>
      <w:lvlJc w:val="left"/>
      <w:pPr>
        <w:ind w:left="2880" w:hanging="360"/>
      </w:pPr>
      <w:rPr>
        <w:rFonts w:ascii="Symbol" w:hAnsi="Symbol" w:hint="default"/>
      </w:rPr>
    </w:lvl>
    <w:lvl w:ilvl="4" w:tplc="ABB820C2">
      <w:start w:val="1"/>
      <w:numFmt w:val="bullet"/>
      <w:lvlText w:val="o"/>
      <w:lvlJc w:val="left"/>
      <w:pPr>
        <w:ind w:left="3600" w:hanging="360"/>
      </w:pPr>
      <w:rPr>
        <w:rFonts w:ascii="Courier New" w:hAnsi="Courier New" w:hint="default"/>
      </w:rPr>
    </w:lvl>
    <w:lvl w:ilvl="5" w:tplc="00DEC7BA">
      <w:start w:val="1"/>
      <w:numFmt w:val="bullet"/>
      <w:lvlText w:val=""/>
      <w:lvlJc w:val="left"/>
      <w:pPr>
        <w:ind w:left="4320" w:hanging="360"/>
      </w:pPr>
      <w:rPr>
        <w:rFonts w:ascii="Wingdings" w:hAnsi="Wingdings" w:hint="default"/>
      </w:rPr>
    </w:lvl>
    <w:lvl w:ilvl="6" w:tplc="C17667E4">
      <w:start w:val="1"/>
      <w:numFmt w:val="bullet"/>
      <w:lvlText w:val=""/>
      <w:lvlJc w:val="left"/>
      <w:pPr>
        <w:ind w:left="5040" w:hanging="360"/>
      </w:pPr>
      <w:rPr>
        <w:rFonts w:ascii="Symbol" w:hAnsi="Symbol" w:hint="default"/>
      </w:rPr>
    </w:lvl>
    <w:lvl w:ilvl="7" w:tplc="2C80A23A">
      <w:start w:val="1"/>
      <w:numFmt w:val="bullet"/>
      <w:lvlText w:val="o"/>
      <w:lvlJc w:val="left"/>
      <w:pPr>
        <w:ind w:left="5760" w:hanging="360"/>
      </w:pPr>
      <w:rPr>
        <w:rFonts w:ascii="Courier New" w:hAnsi="Courier New" w:hint="default"/>
      </w:rPr>
    </w:lvl>
    <w:lvl w:ilvl="8" w:tplc="32F8E5A6">
      <w:start w:val="1"/>
      <w:numFmt w:val="bullet"/>
      <w:lvlText w:val=""/>
      <w:lvlJc w:val="left"/>
      <w:pPr>
        <w:ind w:left="6480" w:hanging="360"/>
      </w:pPr>
      <w:rPr>
        <w:rFonts w:ascii="Wingdings" w:hAnsi="Wingdings" w:hint="default"/>
      </w:rPr>
    </w:lvl>
  </w:abstractNum>
  <w:num w:numId="1" w16cid:durableId="2002544968">
    <w:abstractNumId w:val="4"/>
  </w:num>
  <w:num w:numId="2" w16cid:durableId="1317881424">
    <w:abstractNumId w:val="18"/>
  </w:num>
  <w:num w:numId="3" w16cid:durableId="862784002">
    <w:abstractNumId w:val="37"/>
  </w:num>
  <w:num w:numId="4" w16cid:durableId="211577230">
    <w:abstractNumId w:val="26"/>
  </w:num>
  <w:num w:numId="5" w16cid:durableId="1985620247">
    <w:abstractNumId w:val="17"/>
  </w:num>
  <w:num w:numId="6" w16cid:durableId="1719161057">
    <w:abstractNumId w:val="1"/>
  </w:num>
  <w:num w:numId="7" w16cid:durableId="149643508">
    <w:abstractNumId w:val="3"/>
  </w:num>
  <w:num w:numId="8" w16cid:durableId="588664373">
    <w:abstractNumId w:val="23"/>
  </w:num>
  <w:num w:numId="9" w16cid:durableId="1639914449">
    <w:abstractNumId w:val="30"/>
  </w:num>
  <w:num w:numId="10" w16cid:durableId="1776289557">
    <w:abstractNumId w:val="12"/>
  </w:num>
  <w:num w:numId="11" w16cid:durableId="1247569169">
    <w:abstractNumId w:val="25"/>
  </w:num>
  <w:num w:numId="12" w16cid:durableId="1729375471">
    <w:abstractNumId w:val="22"/>
  </w:num>
  <w:num w:numId="13" w16cid:durableId="373503310">
    <w:abstractNumId w:val="11"/>
  </w:num>
  <w:num w:numId="14" w16cid:durableId="2115902628">
    <w:abstractNumId w:val="33"/>
  </w:num>
  <w:num w:numId="15" w16cid:durableId="144519066">
    <w:abstractNumId w:val="28"/>
  </w:num>
  <w:num w:numId="16" w16cid:durableId="685517540">
    <w:abstractNumId w:val="2"/>
  </w:num>
  <w:num w:numId="17" w16cid:durableId="437414226">
    <w:abstractNumId w:val="27"/>
  </w:num>
  <w:num w:numId="18" w16cid:durableId="1249389665">
    <w:abstractNumId w:val="9"/>
  </w:num>
  <w:num w:numId="19" w16cid:durableId="1064647207">
    <w:abstractNumId w:val="6"/>
  </w:num>
  <w:num w:numId="20" w16cid:durableId="327833399">
    <w:abstractNumId w:val="14"/>
  </w:num>
  <w:num w:numId="21" w16cid:durableId="431364782">
    <w:abstractNumId w:val="15"/>
  </w:num>
  <w:num w:numId="22" w16cid:durableId="526992542">
    <w:abstractNumId w:val="7"/>
  </w:num>
  <w:num w:numId="23" w16cid:durableId="438836847">
    <w:abstractNumId w:val="16"/>
  </w:num>
  <w:num w:numId="24" w16cid:durableId="527983574">
    <w:abstractNumId w:val="19"/>
  </w:num>
  <w:num w:numId="25" w16cid:durableId="497157559">
    <w:abstractNumId w:val="31"/>
  </w:num>
  <w:num w:numId="26" w16cid:durableId="1287544487">
    <w:abstractNumId w:val="35"/>
  </w:num>
  <w:num w:numId="27" w16cid:durableId="472914072">
    <w:abstractNumId w:val="8"/>
  </w:num>
  <w:num w:numId="28" w16cid:durableId="1018897480">
    <w:abstractNumId w:val="10"/>
  </w:num>
  <w:num w:numId="29" w16cid:durableId="2077314541">
    <w:abstractNumId w:val="20"/>
  </w:num>
  <w:num w:numId="30" w16cid:durableId="568075178">
    <w:abstractNumId w:val="32"/>
  </w:num>
  <w:num w:numId="31" w16cid:durableId="75129518">
    <w:abstractNumId w:val="36"/>
  </w:num>
  <w:num w:numId="32" w16cid:durableId="3094944">
    <w:abstractNumId w:val="34"/>
  </w:num>
  <w:num w:numId="33" w16cid:durableId="575095737">
    <w:abstractNumId w:val="5"/>
  </w:num>
  <w:num w:numId="34" w16cid:durableId="1623151731">
    <w:abstractNumId w:val="21"/>
  </w:num>
  <w:num w:numId="35" w16cid:durableId="290012669">
    <w:abstractNumId w:val="13"/>
  </w:num>
  <w:num w:numId="36" w16cid:durableId="1636057939">
    <w:abstractNumId w:val="0"/>
  </w:num>
  <w:num w:numId="37" w16cid:durableId="169493695">
    <w:abstractNumId w:val="24"/>
  </w:num>
  <w:num w:numId="38" w16cid:durableId="1298298495">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driguez, Kathleen T (DESE)">
    <w15:presenceInfo w15:providerId="AD" w15:userId="S::kathleent.rodriguez@mass.gov::7c1139d0-f72c-4fa9-b890-0fcad11aa423"/>
  </w15:person>
  <w15:person w15:author="Maguire, Toby (DESE)">
    <w15:presenceInfo w15:providerId="AD" w15:userId="S::Toby.Maguire@mass.gov::3277c359-4695-4b24-9d6a-5af5ecbdd137"/>
  </w15:person>
  <w15:person w15:author="Rodriguez, Kathleen T (DESE) [2]">
    <w15:presenceInfo w15:providerId="AD" w15:userId="S::KathleenT.Rodriguez@mass.gov::7c1139d0-f72c-4fa9-b890-0fcad11aa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001"/>
    <w:rsid w:val="000009DB"/>
    <w:rsid w:val="00003FD5"/>
    <w:rsid w:val="0001063D"/>
    <w:rsid w:val="000358C3"/>
    <w:rsid w:val="00037181"/>
    <w:rsid w:val="000519B4"/>
    <w:rsid w:val="00056016"/>
    <w:rsid w:val="00056770"/>
    <w:rsid w:val="00065913"/>
    <w:rsid w:val="000762FC"/>
    <w:rsid w:val="00091BF5"/>
    <w:rsid w:val="00093F25"/>
    <w:rsid w:val="000A432A"/>
    <w:rsid w:val="000B31EE"/>
    <w:rsid w:val="000B4CE1"/>
    <w:rsid w:val="000B60F2"/>
    <w:rsid w:val="000C57E1"/>
    <w:rsid w:val="000C5F28"/>
    <w:rsid w:val="000C69CF"/>
    <w:rsid w:val="000D53C4"/>
    <w:rsid w:val="000E00EA"/>
    <w:rsid w:val="0013094A"/>
    <w:rsid w:val="00131AE9"/>
    <w:rsid w:val="001326C9"/>
    <w:rsid w:val="001344A0"/>
    <w:rsid w:val="001404D2"/>
    <w:rsid w:val="00140925"/>
    <w:rsid w:val="0014753B"/>
    <w:rsid w:val="00154919"/>
    <w:rsid w:val="0015693F"/>
    <w:rsid w:val="001618E3"/>
    <w:rsid w:val="00161E31"/>
    <w:rsid w:val="0016231F"/>
    <w:rsid w:val="00162D0A"/>
    <w:rsid w:val="001635DE"/>
    <w:rsid w:val="00165BA8"/>
    <w:rsid w:val="00165EF5"/>
    <w:rsid w:val="00171DDD"/>
    <w:rsid w:val="00171FDF"/>
    <w:rsid w:val="00180489"/>
    <w:rsid w:val="00185B70"/>
    <w:rsid w:val="00192D4C"/>
    <w:rsid w:val="0019505A"/>
    <w:rsid w:val="001A28EA"/>
    <w:rsid w:val="001A32B7"/>
    <w:rsid w:val="001B089B"/>
    <w:rsid w:val="001B2AD3"/>
    <w:rsid w:val="001C0D61"/>
    <w:rsid w:val="001C4B7A"/>
    <w:rsid w:val="001C51DD"/>
    <w:rsid w:val="001D014F"/>
    <w:rsid w:val="001D3487"/>
    <w:rsid w:val="001E04A4"/>
    <w:rsid w:val="001E1581"/>
    <w:rsid w:val="001E4C67"/>
    <w:rsid w:val="001F1F30"/>
    <w:rsid w:val="00201616"/>
    <w:rsid w:val="00206DBF"/>
    <w:rsid w:val="00210775"/>
    <w:rsid w:val="0022225F"/>
    <w:rsid w:val="00224FA4"/>
    <w:rsid w:val="0023049D"/>
    <w:rsid w:val="00232FBA"/>
    <w:rsid w:val="002408FF"/>
    <w:rsid w:val="002414DF"/>
    <w:rsid w:val="00250AA9"/>
    <w:rsid w:val="00251920"/>
    <w:rsid w:val="0025288C"/>
    <w:rsid w:val="002551C0"/>
    <w:rsid w:val="00256B35"/>
    <w:rsid w:val="00261A90"/>
    <w:rsid w:val="002771FF"/>
    <w:rsid w:val="002B5151"/>
    <w:rsid w:val="002B7391"/>
    <w:rsid w:val="002C7251"/>
    <w:rsid w:val="002D3091"/>
    <w:rsid w:val="002D74ED"/>
    <w:rsid w:val="002E1001"/>
    <w:rsid w:val="002E66C4"/>
    <w:rsid w:val="002F2931"/>
    <w:rsid w:val="002F52CA"/>
    <w:rsid w:val="003151B7"/>
    <w:rsid w:val="00322132"/>
    <w:rsid w:val="003342A0"/>
    <w:rsid w:val="00335927"/>
    <w:rsid w:val="003359CA"/>
    <w:rsid w:val="0033638E"/>
    <w:rsid w:val="00336FDE"/>
    <w:rsid w:val="003412FB"/>
    <w:rsid w:val="00351BE8"/>
    <w:rsid w:val="0036724D"/>
    <w:rsid w:val="003703E4"/>
    <w:rsid w:val="0037176C"/>
    <w:rsid w:val="00371BEF"/>
    <w:rsid w:val="003740E2"/>
    <w:rsid w:val="00375E18"/>
    <w:rsid w:val="003777F7"/>
    <w:rsid w:val="00377C41"/>
    <w:rsid w:val="003839D8"/>
    <w:rsid w:val="00383A59"/>
    <w:rsid w:val="00384805"/>
    <w:rsid w:val="00384875"/>
    <w:rsid w:val="003855BB"/>
    <w:rsid w:val="0038602D"/>
    <w:rsid w:val="0039129A"/>
    <w:rsid w:val="003975A2"/>
    <w:rsid w:val="003A2A8A"/>
    <w:rsid w:val="003B7069"/>
    <w:rsid w:val="003B7739"/>
    <w:rsid w:val="003D1CE4"/>
    <w:rsid w:val="003D2524"/>
    <w:rsid w:val="003D53BA"/>
    <w:rsid w:val="003E0D4A"/>
    <w:rsid w:val="003F770A"/>
    <w:rsid w:val="0040420A"/>
    <w:rsid w:val="00427FFA"/>
    <w:rsid w:val="00430F8D"/>
    <w:rsid w:val="00435824"/>
    <w:rsid w:val="0043662A"/>
    <w:rsid w:val="004453B0"/>
    <w:rsid w:val="004536AC"/>
    <w:rsid w:val="00474B88"/>
    <w:rsid w:val="00475B5D"/>
    <w:rsid w:val="00484527"/>
    <w:rsid w:val="00486360"/>
    <w:rsid w:val="004959BB"/>
    <w:rsid w:val="004A5615"/>
    <w:rsid w:val="004B14EB"/>
    <w:rsid w:val="004C4F72"/>
    <w:rsid w:val="004D7FBA"/>
    <w:rsid w:val="004E2306"/>
    <w:rsid w:val="004F061E"/>
    <w:rsid w:val="00505BB8"/>
    <w:rsid w:val="005241DD"/>
    <w:rsid w:val="00531908"/>
    <w:rsid w:val="0053717C"/>
    <w:rsid w:val="00551D2B"/>
    <w:rsid w:val="00564C17"/>
    <w:rsid w:val="00565B49"/>
    <w:rsid w:val="0057407D"/>
    <w:rsid w:val="00577748"/>
    <w:rsid w:val="00581654"/>
    <w:rsid w:val="0058779E"/>
    <w:rsid w:val="005A2FF3"/>
    <w:rsid w:val="005C2522"/>
    <w:rsid w:val="005D30BE"/>
    <w:rsid w:val="005D7D89"/>
    <w:rsid w:val="005E366F"/>
    <w:rsid w:val="005E61AA"/>
    <w:rsid w:val="005F15A6"/>
    <w:rsid w:val="005F2E83"/>
    <w:rsid w:val="005F5DE1"/>
    <w:rsid w:val="005F798F"/>
    <w:rsid w:val="00603DB0"/>
    <w:rsid w:val="00616554"/>
    <w:rsid w:val="006256BB"/>
    <w:rsid w:val="00642347"/>
    <w:rsid w:val="00643E5D"/>
    <w:rsid w:val="0064559B"/>
    <w:rsid w:val="00650D1A"/>
    <w:rsid w:val="00651029"/>
    <w:rsid w:val="0066016A"/>
    <w:rsid w:val="006637D5"/>
    <w:rsid w:val="00665E09"/>
    <w:rsid w:val="00672FD6"/>
    <w:rsid w:val="006743E3"/>
    <w:rsid w:val="0068414F"/>
    <w:rsid w:val="006904F3"/>
    <w:rsid w:val="00690751"/>
    <w:rsid w:val="00692C57"/>
    <w:rsid w:val="006A6756"/>
    <w:rsid w:val="006A68C4"/>
    <w:rsid w:val="006B0BF3"/>
    <w:rsid w:val="006B7AE3"/>
    <w:rsid w:val="006B7DDE"/>
    <w:rsid w:val="006C25CD"/>
    <w:rsid w:val="006D2D95"/>
    <w:rsid w:val="006D753D"/>
    <w:rsid w:val="007021AC"/>
    <w:rsid w:val="00702A13"/>
    <w:rsid w:val="00705CB6"/>
    <w:rsid w:val="00707DFC"/>
    <w:rsid w:val="00722EAA"/>
    <w:rsid w:val="0072695F"/>
    <w:rsid w:val="00731175"/>
    <w:rsid w:val="00737AE0"/>
    <w:rsid w:val="007411F0"/>
    <w:rsid w:val="007464A2"/>
    <w:rsid w:val="00746AD2"/>
    <w:rsid w:val="007515FF"/>
    <w:rsid w:val="00753AE8"/>
    <w:rsid w:val="00755294"/>
    <w:rsid w:val="00755AE9"/>
    <w:rsid w:val="0075760F"/>
    <w:rsid w:val="00762346"/>
    <w:rsid w:val="00762E26"/>
    <w:rsid w:val="0076479F"/>
    <w:rsid w:val="0076597D"/>
    <w:rsid w:val="007725D2"/>
    <w:rsid w:val="00781344"/>
    <w:rsid w:val="00784732"/>
    <w:rsid w:val="007A08D0"/>
    <w:rsid w:val="007A1D2F"/>
    <w:rsid w:val="007A4296"/>
    <w:rsid w:val="007A4332"/>
    <w:rsid w:val="007B0553"/>
    <w:rsid w:val="007B22D1"/>
    <w:rsid w:val="007B5D16"/>
    <w:rsid w:val="007B673C"/>
    <w:rsid w:val="007C4DA9"/>
    <w:rsid w:val="007C5AAF"/>
    <w:rsid w:val="007E4782"/>
    <w:rsid w:val="007F24EC"/>
    <w:rsid w:val="007F4A2B"/>
    <w:rsid w:val="00801E23"/>
    <w:rsid w:val="00802236"/>
    <w:rsid w:val="00813FAC"/>
    <w:rsid w:val="008176CF"/>
    <w:rsid w:val="00834085"/>
    <w:rsid w:val="0083409A"/>
    <w:rsid w:val="00835BC8"/>
    <w:rsid w:val="00846979"/>
    <w:rsid w:val="00850FE0"/>
    <w:rsid w:val="008611B4"/>
    <w:rsid w:val="00861718"/>
    <w:rsid w:val="008619EA"/>
    <w:rsid w:val="00871F66"/>
    <w:rsid w:val="008771E3"/>
    <w:rsid w:val="00881D24"/>
    <w:rsid w:val="00882F67"/>
    <w:rsid w:val="00883BB9"/>
    <w:rsid w:val="00885F57"/>
    <w:rsid w:val="00892DA8"/>
    <w:rsid w:val="008A75AD"/>
    <w:rsid w:val="008D2301"/>
    <w:rsid w:val="008E3327"/>
    <w:rsid w:val="008E407F"/>
    <w:rsid w:val="008E6C79"/>
    <w:rsid w:val="008F04A8"/>
    <w:rsid w:val="008F512E"/>
    <w:rsid w:val="008F520F"/>
    <w:rsid w:val="00903556"/>
    <w:rsid w:val="00903853"/>
    <w:rsid w:val="00920BAD"/>
    <w:rsid w:val="00921303"/>
    <w:rsid w:val="009261ED"/>
    <w:rsid w:val="00935E2E"/>
    <w:rsid w:val="00941C28"/>
    <w:rsid w:val="00944C59"/>
    <w:rsid w:val="009466C5"/>
    <w:rsid w:val="00953796"/>
    <w:rsid w:val="00953B29"/>
    <w:rsid w:val="0095481C"/>
    <w:rsid w:val="009551AC"/>
    <w:rsid w:val="009621F6"/>
    <w:rsid w:val="00981357"/>
    <w:rsid w:val="009826C7"/>
    <w:rsid w:val="009A49B1"/>
    <w:rsid w:val="009B06DF"/>
    <w:rsid w:val="009B2399"/>
    <w:rsid w:val="009C7D4D"/>
    <w:rsid w:val="009D2FA9"/>
    <w:rsid w:val="009D344F"/>
    <w:rsid w:val="009E1061"/>
    <w:rsid w:val="009E3E6C"/>
    <w:rsid w:val="009F7A6A"/>
    <w:rsid w:val="00A01044"/>
    <w:rsid w:val="00A01E6C"/>
    <w:rsid w:val="00A055B8"/>
    <w:rsid w:val="00A072BE"/>
    <w:rsid w:val="00A111A1"/>
    <w:rsid w:val="00A13EEB"/>
    <w:rsid w:val="00A14CBA"/>
    <w:rsid w:val="00A15C0C"/>
    <w:rsid w:val="00A15D8F"/>
    <w:rsid w:val="00A311EE"/>
    <w:rsid w:val="00A3563C"/>
    <w:rsid w:val="00A3781C"/>
    <w:rsid w:val="00A41B88"/>
    <w:rsid w:val="00A42F53"/>
    <w:rsid w:val="00A46D0B"/>
    <w:rsid w:val="00A516FE"/>
    <w:rsid w:val="00A66A09"/>
    <w:rsid w:val="00A7607A"/>
    <w:rsid w:val="00A82727"/>
    <w:rsid w:val="00A84903"/>
    <w:rsid w:val="00A84D68"/>
    <w:rsid w:val="00AA68A3"/>
    <w:rsid w:val="00AB72F7"/>
    <w:rsid w:val="00AC21E9"/>
    <w:rsid w:val="00AC23CF"/>
    <w:rsid w:val="00AC4BBB"/>
    <w:rsid w:val="00AC6182"/>
    <w:rsid w:val="00AC7976"/>
    <w:rsid w:val="00AD2EE7"/>
    <w:rsid w:val="00AD7A85"/>
    <w:rsid w:val="00AE0D12"/>
    <w:rsid w:val="00AF480F"/>
    <w:rsid w:val="00B07306"/>
    <w:rsid w:val="00B07A90"/>
    <w:rsid w:val="00B15FC2"/>
    <w:rsid w:val="00B16A00"/>
    <w:rsid w:val="00B31B54"/>
    <w:rsid w:val="00B32C93"/>
    <w:rsid w:val="00B353A6"/>
    <w:rsid w:val="00B366A7"/>
    <w:rsid w:val="00B37E13"/>
    <w:rsid w:val="00B438FD"/>
    <w:rsid w:val="00B46631"/>
    <w:rsid w:val="00B51C33"/>
    <w:rsid w:val="00B52699"/>
    <w:rsid w:val="00B61F42"/>
    <w:rsid w:val="00B6293A"/>
    <w:rsid w:val="00B65808"/>
    <w:rsid w:val="00B7242C"/>
    <w:rsid w:val="00B77338"/>
    <w:rsid w:val="00B85626"/>
    <w:rsid w:val="00B91A6E"/>
    <w:rsid w:val="00B96A3D"/>
    <w:rsid w:val="00BA5D47"/>
    <w:rsid w:val="00BB1DF2"/>
    <w:rsid w:val="00BB484C"/>
    <w:rsid w:val="00BB7C36"/>
    <w:rsid w:val="00BC3682"/>
    <w:rsid w:val="00BC580C"/>
    <w:rsid w:val="00BD15CB"/>
    <w:rsid w:val="00BD2F10"/>
    <w:rsid w:val="00BD4EEA"/>
    <w:rsid w:val="00BD6625"/>
    <w:rsid w:val="00BD6763"/>
    <w:rsid w:val="00BE32B6"/>
    <w:rsid w:val="00BE50A9"/>
    <w:rsid w:val="00BF1BBA"/>
    <w:rsid w:val="00C11B11"/>
    <w:rsid w:val="00C32A7A"/>
    <w:rsid w:val="00C36051"/>
    <w:rsid w:val="00C36186"/>
    <w:rsid w:val="00C407B3"/>
    <w:rsid w:val="00C459AB"/>
    <w:rsid w:val="00C46F23"/>
    <w:rsid w:val="00C51C01"/>
    <w:rsid w:val="00C5663E"/>
    <w:rsid w:val="00C57F00"/>
    <w:rsid w:val="00C640FE"/>
    <w:rsid w:val="00C74ECE"/>
    <w:rsid w:val="00C75175"/>
    <w:rsid w:val="00C84D12"/>
    <w:rsid w:val="00C8577C"/>
    <w:rsid w:val="00C87EF2"/>
    <w:rsid w:val="00C918A4"/>
    <w:rsid w:val="00CA00BF"/>
    <w:rsid w:val="00CA16B3"/>
    <w:rsid w:val="00CA22D8"/>
    <w:rsid w:val="00CA4AAC"/>
    <w:rsid w:val="00CB4910"/>
    <w:rsid w:val="00CD5F1B"/>
    <w:rsid w:val="00CF236A"/>
    <w:rsid w:val="00D00935"/>
    <w:rsid w:val="00D03633"/>
    <w:rsid w:val="00D041B7"/>
    <w:rsid w:val="00D07DB5"/>
    <w:rsid w:val="00D15B25"/>
    <w:rsid w:val="00D4094B"/>
    <w:rsid w:val="00D4134E"/>
    <w:rsid w:val="00D470B3"/>
    <w:rsid w:val="00D5145B"/>
    <w:rsid w:val="00D51CDF"/>
    <w:rsid w:val="00D51F37"/>
    <w:rsid w:val="00D53DC4"/>
    <w:rsid w:val="00D56144"/>
    <w:rsid w:val="00D61B59"/>
    <w:rsid w:val="00D9001A"/>
    <w:rsid w:val="00D90229"/>
    <w:rsid w:val="00D91964"/>
    <w:rsid w:val="00DA25CA"/>
    <w:rsid w:val="00DA6E9B"/>
    <w:rsid w:val="00DB43E1"/>
    <w:rsid w:val="00DB63AF"/>
    <w:rsid w:val="00DC5162"/>
    <w:rsid w:val="00DC7317"/>
    <w:rsid w:val="00DD1EC9"/>
    <w:rsid w:val="00DE057A"/>
    <w:rsid w:val="00DE25D2"/>
    <w:rsid w:val="00DE35EC"/>
    <w:rsid w:val="00DE35FA"/>
    <w:rsid w:val="00E0680F"/>
    <w:rsid w:val="00E12822"/>
    <w:rsid w:val="00E142ED"/>
    <w:rsid w:val="00E232ED"/>
    <w:rsid w:val="00E24D17"/>
    <w:rsid w:val="00E253B3"/>
    <w:rsid w:val="00E2646A"/>
    <w:rsid w:val="00E26F10"/>
    <w:rsid w:val="00E31B59"/>
    <w:rsid w:val="00E3409A"/>
    <w:rsid w:val="00E37A34"/>
    <w:rsid w:val="00E45C9E"/>
    <w:rsid w:val="00E532D1"/>
    <w:rsid w:val="00E6643A"/>
    <w:rsid w:val="00E868B0"/>
    <w:rsid w:val="00E91F9F"/>
    <w:rsid w:val="00E96E2C"/>
    <w:rsid w:val="00EB4050"/>
    <w:rsid w:val="00EC0F89"/>
    <w:rsid w:val="00EC33BE"/>
    <w:rsid w:val="00ED0081"/>
    <w:rsid w:val="00ED6702"/>
    <w:rsid w:val="00ED6B2C"/>
    <w:rsid w:val="00EE1F85"/>
    <w:rsid w:val="00EE4D33"/>
    <w:rsid w:val="00EF11FB"/>
    <w:rsid w:val="00EF2C5C"/>
    <w:rsid w:val="00EF556D"/>
    <w:rsid w:val="00F017D4"/>
    <w:rsid w:val="00F05DC9"/>
    <w:rsid w:val="00F15685"/>
    <w:rsid w:val="00F42446"/>
    <w:rsid w:val="00F4393F"/>
    <w:rsid w:val="00F67D30"/>
    <w:rsid w:val="00F701D3"/>
    <w:rsid w:val="00F70FB9"/>
    <w:rsid w:val="00F74AE7"/>
    <w:rsid w:val="00F83EC8"/>
    <w:rsid w:val="00F85487"/>
    <w:rsid w:val="00F9032C"/>
    <w:rsid w:val="00F91238"/>
    <w:rsid w:val="00F93018"/>
    <w:rsid w:val="00F937AA"/>
    <w:rsid w:val="00F948A1"/>
    <w:rsid w:val="00FA0C80"/>
    <w:rsid w:val="00FB6B77"/>
    <w:rsid w:val="00FB783B"/>
    <w:rsid w:val="00FC3405"/>
    <w:rsid w:val="00FC3D5B"/>
    <w:rsid w:val="00FC5B9A"/>
    <w:rsid w:val="00FE0C5E"/>
    <w:rsid w:val="00FE13CD"/>
    <w:rsid w:val="00FE4004"/>
    <w:rsid w:val="00FF280E"/>
    <w:rsid w:val="023F76F7"/>
    <w:rsid w:val="027E5E61"/>
    <w:rsid w:val="02E907B0"/>
    <w:rsid w:val="05E66BE4"/>
    <w:rsid w:val="096EA304"/>
    <w:rsid w:val="0A3F65A4"/>
    <w:rsid w:val="0A4F136A"/>
    <w:rsid w:val="0D9DF269"/>
    <w:rsid w:val="10DE125B"/>
    <w:rsid w:val="12743BD7"/>
    <w:rsid w:val="17FFD0FF"/>
    <w:rsid w:val="1944B354"/>
    <w:rsid w:val="1BC4DE65"/>
    <w:rsid w:val="1C5F9E8F"/>
    <w:rsid w:val="1EE86739"/>
    <w:rsid w:val="2213CFF2"/>
    <w:rsid w:val="2AB5A1B3"/>
    <w:rsid w:val="2B3FBAA5"/>
    <w:rsid w:val="2C4DC741"/>
    <w:rsid w:val="2D0AC650"/>
    <w:rsid w:val="2DC9B4A6"/>
    <w:rsid w:val="30313307"/>
    <w:rsid w:val="3054BDAE"/>
    <w:rsid w:val="3319F0CC"/>
    <w:rsid w:val="33C92DB5"/>
    <w:rsid w:val="3462D3B1"/>
    <w:rsid w:val="35EE853C"/>
    <w:rsid w:val="38ACC711"/>
    <w:rsid w:val="39C9063B"/>
    <w:rsid w:val="3AEFFEDF"/>
    <w:rsid w:val="3B98E43F"/>
    <w:rsid w:val="3C255C9D"/>
    <w:rsid w:val="46BCF59B"/>
    <w:rsid w:val="47C23EE3"/>
    <w:rsid w:val="47E57D09"/>
    <w:rsid w:val="48134220"/>
    <w:rsid w:val="4CF3DC41"/>
    <w:rsid w:val="535AC0D3"/>
    <w:rsid w:val="54F824BF"/>
    <w:rsid w:val="55FE5687"/>
    <w:rsid w:val="56EB0456"/>
    <w:rsid w:val="5F4ECFFD"/>
    <w:rsid w:val="6028EA3C"/>
    <w:rsid w:val="61BB7664"/>
    <w:rsid w:val="6306BAE0"/>
    <w:rsid w:val="68693E23"/>
    <w:rsid w:val="6FE4DFDE"/>
    <w:rsid w:val="718F10E1"/>
    <w:rsid w:val="749248F2"/>
    <w:rsid w:val="74D6D865"/>
    <w:rsid w:val="7ACB23D6"/>
    <w:rsid w:val="7CB93793"/>
    <w:rsid w:val="7F867201"/>
    <w:rsid w:val="7FBCA2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5992"/>
  <w15:chartTrackingRefBased/>
  <w15:docId w15:val="{DBEA5E1B-826C-4AA6-86AE-130A39E0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1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1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E1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E1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001"/>
    <w:rPr>
      <w:rFonts w:eastAsiaTheme="majorEastAsia" w:cstheme="majorBidi"/>
      <w:color w:val="272727" w:themeColor="text1" w:themeTint="D8"/>
    </w:rPr>
  </w:style>
  <w:style w:type="paragraph" w:styleId="Title">
    <w:name w:val="Title"/>
    <w:basedOn w:val="Normal"/>
    <w:next w:val="Normal"/>
    <w:link w:val="TitleChar"/>
    <w:uiPriority w:val="10"/>
    <w:qFormat/>
    <w:rsid w:val="002E1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001"/>
    <w:pPr>
      <w:spacing w:before="160"/>
      <w:jc w:val="center"/>
    </w:pPr>
    <w:rPr>
      <w:i/>
      <w:iCs/>
      <w:color w:val="404040" w:themeColor="text1" w:themeTint="BF"/>
    </w:rPr>
  </w:style>
  <w:style w:type="character" w:customStyle="1" w:styleId="QuoteChar">
    <w:name w:val="Quote Char"/>
    <w:basedOn w:val="DefaultParagraphFont"/>
    <w:link w:val="Quote"/>
    <w:uiPriority w:val="29"/>
    <w:rsid w:val="002E1001"/>
    <w:rPr>
      <w:i/>
      <w:iCs/>
      <w:color w:val="404040" w:themeColor="text1" w:themeTint="BF"/>
    </w:rPr>
  </w:style>
  <w:style w:type="paragraph" w:styleId="ListParagraph">
    <w:name w:val="List Paragraph"/>
    <w:basedOn w:val="Normal"/>
    <w:link w:val="ListParagraphChar"/>
    <w:uiPriority w:val="99"/>
    <w:qFormat/>
    <w:rsid w:val="002E1001"/>
    <w:pPr>
      <w:ind w:left="720"/>
      <w:contextualSpacing/>
    </w:pPr>
  </w:style>
  <w:style w:type="character" w:styleId="IntenseEmphasis">
    <w:name w:val="Intense Emphasis"/>
    <w:basedOn w:val="DefaultParagraphFont"/>
    <w:uiPriority w:val="21"/>
    <w:qFormat/>
    <w:rsid w:val="002E1001"/>
    <w:rPr>
      <w:i/>
      <w:iCs/>
      <w:color w:val="0F4761" w:themeColor="accent1" w:themeShade="BF"/>
    </w:rPr>
  </w:style>
  <w:style w:type="paragraph" w:styleId="IntenseQuote">
    <w:name w:val="Intense Quote"/>
    <w:basedOn w:val="Normal"/>
    <w:next w:val="Normal"/>
    <w:link w:val="IntenseQuoteChar"/>
    <w:uiPriority w:val="30"/>
    <w:qFormat/>
    <w:rsid w:val="002E1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001"/>
    <w:rPr>
      <w:i/>
      <w:iCs/>
      <w:color w:val="0F4761" w:themeColor="accent1" w:themeShade="BF"/>
    </w:rPr>
  </w:style>
  <w:style w:type="character" w:styleId="IntenseReference">
    <w:name w:val="Intense Reference"/>
    <w:basedOn w:val="DefaultParagraphFont"/>
    <w:uiPriority w:val="32"/>
    <w:qFormat/>
    <w:rsid w:val="002E1001"/>
    <w:rPr>
      <w:b/>
      <w:bCs/>
      <w:smallCaps/>
      <w:color w:val="0F4761" w:themeColor="accent1" w:themeShade="BF"/>
      <w:spacing w:val="5"/>
    </w:rPr>
  </w:style>
  <w:style w:type="character" w:styleId="Hyperlink">
    <w:name w:val="Hyperlink"/>
    <w:uiPriority w:val="99"/>
    <w:rsid w:val="002E1001"/>
    <w:rPr>
      <w:color w:val="0000FF"/>
      <w:u w:val="single"/>
    </w:rPr>
  </w:style>
  <w:style w:type="paragraph" w:styleId="FootnoteText">
    <w:name w:val="footnote text"/>
    <w:basedOn w:val="Normal"/>
    <w:link w:val="FootnoteTextChar"/>
    <w:uiPriority w:val="99"/>
    <w:qFormat/>
    <w:rsid w:val="002E100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2E1001"/>
    <w:rPr>
      <w:rFonts w:ascii="Times New Roman" w:eastAsia="Times New Roman" w:hAnsi="Times New Roman" w:cs="Times New Roman"/>
      <w:kern w:val="0"/>
      <w:sz w:val="20"/>
      <w:szCs w:val="20"/>
      <w14:ligatures w14:val="none"/>
    </w:rPr>
  </w:style>
  <w:style w:type="character" w:styleId="FootnoteReference">
    <w:name w:val="footnote reference"/>
    <w:uiPriority w:val="99"/>
    <w:qFormat/>
    <w:rsid w:val="002E1001"/>
    <w:rPr>
      <w:vertAlign w:val="superscript"/>
    </w:rPr>
  </w:style>
  <w:style w:type="character" w:styleId="CommentReference">
    <w:name w:val="annotation reference"/>
    <w:basedOn w:val="DefaultParagraphFont"/>
    <w:uiPriority w:val="99"/>
    <w:unhideWhenUsed/>
    <w:rsid w:val="003839D8"/>
    <w:rPr>
      <w:sz w:val="16"/>
      <w:szCs w:val="16"/>
    </w:rPr>
  </w:style>
  <w:style w:type="paragraph" w:styleId="CommentText">
    <w:name w:val="annotation text"/>
    <w:basedOn w:val="Normal"/>
    <w:link w:val="CommentTextChar"/>
    <w:uiPriority w:val="99"/>
    <w:unhideWhenUsed/>
    <w:rsid w:val="003839D8"/>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3839D8"/>
    <w:rPr>
      <w:rFonts w:ascii="Times New Roman" w:eastAsia="Times New Roman" w:hAnsi="Times New Roman" w:cs="Times New Roman"/>
      <w:kern w:val="0"/>
      <w:sz w:val="20"/>
      <w:szCs w:val="20"/>
      <w14:ligatures w14:val="none"/>
    </w:rPr>
  </w:style>
  <w:style w:type="table" w:styleId="TableGrid">
    <w:name w:val="Table Grid"/>
    <w:basedOn w:val="TableNormal"/>
    <w:uiPriority w:val="59"/>
    <w:rsid w:val="00E1282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locked/>
    <w:rsid w:val="00E12822"/>
  </w:style>
  <w:style w:type="character" w:customStyle="1" w:styleId="tgc">
    <w:name w:val="_tgc"/>
    <w:basedOn w:val="DefaultParagraphFont"/>
    <w:uiPriority w:val="1"/>
    <w:rsid w:val="00E12822"/>
  </w:style>
  <w:style w:type="character" w:styleId="Mention">
    <w:name w:val="Mention"/>
    <w:basedOn w:val="DefaultParagraphFont"/>
    <w:uiPriority w:val="99"/>
    <w:unhideWhenUsed/>
    <w:rsid w:val="00E12822"/>
    <w:rPr>
      <w:color w:val="2B579A"/>
      <w:shd w:val="clear" w:color="auto" w:fill="E6E6E6"/>
    </w:rPr>
  </w:style>
  <w:style w:type="paragraph" w:customStyle="1" w:styleId="paragraph">
    <w:name w:val="paragraph"/>
    <w:basedOn w:val="Normal"/>
    <w:rsid w:val="00E12822"/>
    <w:pPr>
      <w:spacing w:before="100" w:beforeAutospacing="1" w:after="100" w:afterAutospacing="1" w:line="240" w:lineRule="auto"/>
    </w:pPr>
    <w:rPr>
      <w:rFonts w:ascii="Calibri" w:hAnsi="Calibri" w:cs="Calibri"/>
      <w:kern w:val="0"/>
      <w:sz w:val="22"/>
      <w:szCs w:val="22"/>
      <w14:ligatures w14:val="none"/>
    </w:rPr>
  </w:style>
  <w:style w:type="paragraph" w:customStyle="1" w:styleId="Bullet1">
    <w:name w:val="Bullet 1"/>
    <w:basedOn w:val="Normal"/>
    <w:link w:val="Bullet1Char"/>
    <w:uiPriority w:val="99"/>
    <w:rsid w:val="00E12822"/>
    <w:pPr>
      <w:widowControl w:val="0"/>
      <w:spacing w:before="120" w:after="0" w:line="240" w:lineRule="auto"/>
      <w:jc w:val="both"/>
    </w:pPr>
    <w:rPr>
      <w:rFonts w:ascii="Times New Roman" w:eastAsia="Times New Roman" w:hAnsi="Times New Roman" w:cs="Times New Roman"/>
      <w:kern w:val="0"/>
      <w14:ligatures w14:val="none"/>
    </w:rPr>
  </w:style>
  <w:style w:type="character" w:customStyle="1" w:styleId="Bullet1Char">
    <w:name w:val="Bullet 1 Char"/>
    <w:link w:val="Bullet1"/>
    <w:uiPriority w:val="99"/>
    <w:rsid w:val="00E12822"/>
    <w:rPr>
      <w:rFonts w:ascii="Times New Roman" w:eastAsia="Times New Roman" w:hAnsi="Times New Roman" w:cs="Times New Roman"/>
      <w:kern w:val="0"/>
      <w14:ligatures w14:val="none"/>
    </w:rPr>
  </w:style>
  <w:style w:type="paragraph" w:customStyle="1" w:styleId="Bullet2">
    <w:name w:val="Bullet 2"/>
    <w:basedOn w:val="Normal"/>
    <w:link w:val="Bullet2Char"/>
    <w:rsid w:val="00E12822"/>
    <w:pPr>
      <w:widowControl w:val="0"/>
      <w:spacing w:before="120" w:after="0" w:line="240" w:lineRule="auto"/>
      <w:jc w:val="both"/>
    </w:pPr>
    <w:rPr>
      <w:rFonts w:ascii="Times New Roman" w:eastAsia="Times New Roman" w:hAnsi="Times New Roman" w:cs="Times New Roman"/>
      <w:kern w:val="0"/>
      <w14:ligatures w14:val="none"/>
    </w:rPr>
  </w:style>
  <w:style w:type="character" w:customStyle="1" w:styleId="Bullet2Char">
    <w:name w:val="Bullet 2 Char"/>
    <w:link w:val="Bullet2"/>
    <w:rsid w:val="00E12822"/>
    <w:rPr>
      <w:rFonts w:ascii="Times New Roman" w:eastAsia="Times New Roman" w:hAnsi="Times New Roman" w:cs="Times New Roman"/>
      <w:kern w:val="0"/>
      <w14:ligatures w14:val="none"/>
    </w:rPr>
  </w:style>
  <w:style w:type="paragraph" w:styleId="NormalWeb">
    <w:name w:val="Normal (Web)"/>
    <w:basedOn w:val="Normal"/>
    <w:uiPriority w:val="99"/>
    <w:rsid w:val="00DB63AF"/>
    <w:pPr>
      <w:spacing w:before="100" w:beforeAutospacing="1" w:after="100" w:afterAutospacing="1" w:line="240" w:lineRule="auto"/>
    </w:pPr>
    <w:rPr>
      <w:rFonts w:ascii="Georgia" w:eastAsia="Arial Unicode MS" w:hAnsi="Georgia" w:cs="Arial Unicode MS"/>
      <w:kern w:val="0"/>
      <w:sz w:val="20"/>
      <w:szCs w:val="20"/>
      <w14:ligatures w14:val="none"/>
    </w:rPr>
  </w:style>
  <w:style w:type="paragraph" w:customStyle="1" w:styleId="pf0">
    <w:name w:val="pf0"/>
    <w:basedOn w:val="Normal"/>
    <w:rsid w:val="00DB63A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DB63AF"/>
    <w:rPr>
      <w:rFonts w:ascii="Segoe UI" w:hAnsi="Segoe UI" w:cs="Segoe UI" w:hint="default"/>
      <w:sz w:val="18"/>
      <w:szCs w:val="18"/>
    </w:rPr>
  </w:style>
  <w:style w:type="character" w:customStyle="1" w:styleId="cf11">
    <w:name w:val="cf11"/>
    <w:basedOn w:val="DefaultParagraphFont"/>
    <w:rsid w:val="00DB63AF"/>
    <w:rPr>
      <w:rFonts w:ascii="Segoe UI" w:hAnsi="Segoe UI" w:cs="Segoe UI" w:hint="default"/>
      <w:sz w:val="18"/>
      <w:szCs w:val="18"/>
    </w:rPr>
  </w:style>
  <w:style w:type="paragraph" w:styleId="NoSpacing">
    <w:name w:val="No Spacing"/>
    <w:link w:val="NoSpacingChar"/>
    <w:uiPriority w:val="1"/>
    <w:qFormat/>
    <w:rsid w:val="00DB63AF"/>
    <w:pPr>
      <w:spacing w:after="0" w:line="240" w:lineRule="auto"/>
    </w:pPr>
    <w:rPr>
      <w:rFonts w:ascii="Times New Roman" w:eastAsia="Times New Roman" w:hAnsi="Times New Roman" w:cs="Times New Roman"/>
      <w:kern w:val="0"/>
      <w14:ligatures w14:val="none"/>
    </w:rPr>
  </w:style>
  <w:style w:type="character" w:customStyle="1" w:styleId="NoSpacingChar">
    <w:name w:val="No Spacing Char"/>
    <w:basedOn w:val="DefaultParagraphFont"/>
    <w:link w:val="NoSpacing"/>
    <w:uiPriority w:val="1"/>
    <w:rsid w:val="00DB63AF"/>
    <w:rPr>
      <w:rFonts w:ascii="Times New Roman" w:eastAsia="Times New Roman" w:hAnsi="Times New Roman" w:cs="Times New Roman"/>
      <w:kern w:val="0"/>
      <w14:ligatures w14:val="none"/>
    </w:rPr>
  </w:style>
  <w:style w:type="paragraph" w:customStyle="1" w:styleId="xmsonormal">
    <w:name w:val="x_msonormal"/>
    <w:basedOn w:val="Normal"/>
    <w:rsid w:val="00DB63AF"/>
    <w:pPr>
      <w:spacing w:after="0" w:line="240" w:lineRule="auto"/>
    </w:pPr>
    <w:rPr>
      <w:rFonts w:ascii="Calibri" w:hAnsi="Calibri" w:cs="Calibri"/>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813FAC"/>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13FAC"/>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781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344"/>
  </w:style>
  <w:style w:type="paragraph" w:styleId="Footer">
    <w:name w:val="footer"/>
    <w:basedOn w:val="Normal"/>
    <w:link w:val="FooterChar"/>
    <w:uiPriority w:val="99"/>
    <w:unhideWhenUsed/>
    <w:rsid w:val="00781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344"/>
  </w:style>
  <w:style w:type="character" w:styleId="FollowedHyperlink">
    <w:name w:val="FollowedHyperlink"/>
    <w:basedOn w:val="DefaultParagraphFont"/>
    <w:uiPriority w:val="99"/>
    <w:semiHidden/>
    <w:unhideWhenUsed/>
    <w:rsid w:val="0036724D"/>
    <w:rPr>
      <w:color w:val="96607D" w:themeColor="followedHyperlink"/>
      <w:u w:val="single"/>
    </w:rPr>
  </w:style>
  <w:style w:type="paragraph" w:styleId="Revision">
    <w:name w:val="Revision"/>
    <w:hidden/>
    <w:uiPriority w:val="99"/>
    <w:semiHidden/>
    <w:rsid w:val="00A3563C"/>
    <w:pPr>
      <w:spacing w:after="0" w:line="240" w:lineRule="auto"/>
    </w:pPr>
  </w:style>
  <w:style w:type="character" w:styleId="UnresolvedMention">
    <w:name w:val="Unresolved Mention"/>
    <w:basedOn w:val="DefaultParagraphFont"/>
    <w:uiPriority w:val="99"/>
    <w:semiHidden/>
    <w:unhideWhenUsed/>
    <w:rsid w:val="00DE3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da.gov/" TargetMode="External"/><Relationship Id="rId21" Type="http://schemas.openxmlformats.org/officeDocument/2006/relationships/hyperlink" Target="https://www.doe.mass.edu/acls/frameworks/frameworks.html" TargetMode="External"/><Relationship Id="rId34" Type="http://schemas.openxmlformats.org/officeDocument/2006/relationships/hyperlink" Target="https://www.sabes.org/pd-center/esol" TargetMode="External"/><Relationship Id="rId42" Type="http://schemas.openxmlformats.org/officeDocument/2006/relationships/hyperlink" Target="https://www.ecfr.gov/current/title-34/part-76" TargetMode="External"/><Relationship Id="rId47" Type="http://schemas.openxmlformats.org/officeDocument/2006/relationships/hyperlink" Target="http://www.doe.mass.edu/grants/essential.html" TargetMode="External"/><Relationship Id="rId50" Type="http://schemas.openxmlformats.org/officeDocument/2006/relationships/hyperlink" Target="https://laces.literacypro.com/laces/" TargetMode="External"/><Relationship Id="rId55" Type="http://schemas.openxmlformats.org/officeDocument/2006/relationships/hyperlink" Target="https://www.ecfr.gov/current/title-2/subtitle-A/chapter-II/part-200?toc=1" TargetMode="External"/><Relationship Id="rId63" Type="http://schemas.openxmlformats.org/officeDocument/2006/relationships/hyperlink" Target="https://laces.literacypro.com/lace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mments" Target="comments.xml"/><Relationship Id="rId29" Type="http://schemas.openxmlformats.org/officeDocument/2006/relationships/hyperlink" Target="http://www.mass.gov/dppc/" TargetMode="External"/><Relationship Id="rId11" Type="http://schemas.openxmlformats.org/officeDocument/2006/relationships/image" Target="media/image1.png"/><Relationship Id="rId24" Type="http://schemas.openxmlformats.org/officeDocument/2006/relationships/hyperlink" Target="https://www.doe.mass.edu/acls/assessment/" TargetMode="External"/><Relationship Id="rId32" Type="http://schemas.openxmlformats.org/officeDocument/2006/relationships/hyperlink" Target="https://www.doe.mass.edu/acls/frameworks/elps.pdf" TargetMode="External"/><Relationship Id="rId37" Type="http://schemas.openxmlformats.org/officeDocument/2006/relationships/hyperlink" Target="https://www.doe.mass.edu/acls/ecp/" TargetMode="External"/><Relationship Id="rId40" Type="http://schemas.openxmlformats.org/officeDocument/2006/relationships/hyperlink" Target="https://www.ecfr.gov/current/title-2/part-200/subpart-e" TargetMode="External"/><Relationship Id="rId45" Type="http://schemas.openxmlformats.org/officeDocument/2006/relationships/hyperlink" Target="https://www.sec.state.ma.us/arc/arcpdf/Electronic_Records_Guidelines.pdf" TargetMode="External"/><Relationship Id="rId53" Type="http://schemas.openxmlformats.org/officeDocument/2006/relationships/hyperlink" Target="https://www.ecfr.gov/cgi-bin/text-idx?SID=10f34cdb5df1422174358acaaea3bfad&amp;node=se2.1.200_1425&amp;rgn=div8" TargetMode="External"/><Relationship Id="rId58" Type="http://schemas.openxmlformats.org/officeDocument/2006/relationships/hyperlink" Target="https://ecfr.io/Title-34/Section-463.25"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doe.mass.edu/acls/accountability/compliance/tools/desk-review.html" TargetMode="External"/><Relationship Id="rId19" Type="http://schemas.microsoft.com/office/2018/08/relationships/commentsExtensible" Target="commentsExtensible.xml"/><Relationship Id="rId14" Type="http://schemas.openxmlformats.org/officeDocument/2006/relationships/hyperlink" Target="https://www.doe.mass.edu/acls/" TargetMode="External"/><Relationship Id="rId22" Type="http://schemas.openxmlformats.org/officeDocument/2006/relationships/hyperlink" Target="https://laces.literacypro.com/laces/" TargetMode="External"/><Relationship Id="rId27" Type="http://schemas.openxmlformats.org/officeDocument/2006/relationships/hyperlink" Target="https://www.sabes.org/pd-center/ada-training-and-resources" TargetMode="External"/><Relationship Id="rId30" Type="http://schemas.openxmlformats.org/officeDocument/2006/relationships/hyperlink" Target="http://www.mass.gov/elders/" TargetMode="External"/><Relationship Id="rId35" Type="http://schemas.openxmlformats.org/officeDocument/2006/relationships/hyperlink" Target="https://www2.ed.gov/about/offices/list/ovae/pi/AdultEd/english-language-acquisition.pdf" TargetMode="External"/><Relationship Id="rId43" Type="http://schemas.openxmlformats.org/officeDocument/2006/relationships/hyperlink" Target="https://www.ecfr.gov/on/2017-01-03/title-2/subtitle-A/chapter-II/part-200/subpart-A/subject-group-ECFR2a6a0087862fd2c/section-200.62" TargetMode="External"/><Relationship Id="rId48" Type="http://schemas.openxmlformats.org/officeDocument/2006/relationships/hyperlink" Target="https://www.ecfr.gov/current/title-34/part-76" TargetMode="External"/><Relationship Id="rId56" Type="http://schemas.openxmlformats.org/officeDocument/2006/relationships/hyperlink" Target="https://www.ecfr.gov/cgi-bin/text-idx?node=se2.1.200_1430&amp;rgn=div8"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ecfr.gov/cgi-bin/text-idx?node=se2.1.200_1205&amp;rgn=div8" TargetMode="External"/><Relationship Id="rId3" Type="http://schemas.openxmlformats.org/officeDocument/2006/relationships/customXml" Target="../customXml/item3.xml"/><Relationship Id="rId12" Type="http://schemas.openxmlformats.org/officeDocument/2006/relationships/hyperlink" Target="https://www.doe.mass.edu/acls/abeprogram/default.html" TargetMode="External"/><Relationship Id="rId17" Type="http://schemas.microsoft.com/office/2011/relationships/commentsExtended" Target="commentsExtended.xml"/><Relationship Id="rId25" Type="http://schemas.openxmlformats.org/officeDocument/2006/relationships/hyperlink" Target="https://www2.ed.gov/about/offices/list/ocr/index.html" TargetMode="External"/><Relationship Id="rId33" Type="http://schemas.openxmlformats.org/officeDocument/2006/relationships/hyperlink" Target="https://www.sabes.org/" TargetMode="External"/><Relationship Id="rId38" Type="http://schemas.openxmlformats.org/officeDocument/2006/relationships/hyperlink" Target="https://www.doe.mass.edu/acls/ecp/" TargetMode="External"/><Relationship Id="rId46" Type="http://schemas.openxmlformats.org/officeDocument/2006/relationships/hyperlink" Target="https://mass.egrantsmanagement.com/default.aspx?ccipSessionKey=638225092094851461" TargetMode="External"/><Relationship Id="rId59" Type="http://schemas.openxmlformats.org/officeDocument/2006/relationships/hyperlink" Target="https://www.congress.gov/113/bills/hr803/BILLS-113hr803enr.pdf" TargetMode="External"/><Relationship Id="rId67" Type="http://schemas.microsoft.com/office/2011/relationships/people" Target="people.xml"/><Relationship Id="rId20" Type="http://schemas.openxmlformats.org/officeDocument/2006/relationships/hyperlink" Target="https://www.doe.mass.edu/acls/frameworks/frameworks.html" TargetMode="External"/><Relationship Id="rId41" Type="http://schemas.openxmlformats.org/officeDocument/2006/relationships/hyperlink" Target="https://mass.egrantsmanagement.com/default.aspx?ccipSessionKey=638225092094851461" TargetMode="External"/><Relationship Id="rId54" Type="http://schemas.openxmlformats.org/officeDocument/2006/relationships/hyperlink" Target="https://www.ecfr.gov/current/title-2/subtitle-A/chapter-II/part-200/subpart-F/subject-group-ECFRfd0932e473d10ba/section-200.501" TargetMode="External"/><Relationship Id="rId62" Type="http://schemas.openxmlformats.org/officeDocument/2006/relationships/hyperlink" Target="https://laces.literacypro.com/la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oe.mass.edu/acls/laces/default.html" TargetMode="External"/><Relationship Id="rId23" Type="http://schemas.openxmlformats.org/officeDocument/2006/relationships/hyperlink" Target="https://www.doe.mass.edu/acls/laces/intake-form/" TargetMode="External"/><Relationship Id="rId28" Type="http://schemas.openxmlformats.org/officeDocument/2006/relationships/hyperlink" Target="http://www.mass.gov/eohhs/gov/departments/dcf/" TargetMode="External"/><Relationship Id="rId36" Type="http://schemas.openxmlformats.org/officeDocument/2006/relationships/hyperlink" Target="https://www.doe.mass.edu/acls/accountability/program-quality/" TargetMode="External"/><Relationship Id="rId49" Type="http://schemas.openxmlformats.org/officeDocument/2006/relationships/hyperlink" Target="https://www.ecfr.gov/current/title-2/subtitle-A/chapter-II/part-200/subpart-D/section-200.306" TargetMode="External"/><Relationship Id="rId57" Type="http://schemas.openxmlformats.org/officeDocument/2006/relationships/hyperlink" Target="http://www.doe.mass.edu/grants/essential.html" TargetMode="External"/><Relationship Id="rId10" Type="http://schemas.openxmlformats.org/officeDocument/2006/relationships/endnotes" Target="endnotes.xml"/><Relationship Id="rId31" Type="http://schemas.openxmlformats.org/officeDocument/2006/relationships/hyperlink" Target="https://www.doe.mass.edu/acls/frameworks/frameworks.html" TargetMode="External"/><Relationship Id="rId44" Type="http://schemas.openxmlformats.org/officeDocument/2006/relationships/hyperlink" Target="https://www.mass.gov/regulations/815-CMR-200-state-grants-federal-grant-awards-federal-subgrants-and-subsidies" TargetMode="External"/><Relationship Id="rId52" Type="http://schemas.openxmlformats.org/officeDocument/2006/relationships/hyperlink" Target="mailto:ACLSFinancialAudit@mass.gov" TargetMode="External"/><Relationship Id="rId60" Type="http://schemas.openxmlformats.org/officeDocument/2006/relationships/hyperlink" Target="https://laces.literacypro.com/laces/" TargetMode="External"/><Relationship Id="rId65"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ublicadulteducationma.org/" TargetMode="External"/><Relationship Id="rId18" Type="http://schemas.microsoft.com/office/2016/09/relationships/commentsIds" Target="commentsIds.xml"/><Relationship Id="rId39" Type="http://schemas.openxmlformats.org/officeDocument/2006/relationships/hyperlink" Target="https://www.ecfr.gov/cgi-bin/text-idx?SID=a32963af34d3c94b854882a21e8d77e9&amp;mc=true&amp;node=se2.1.200_1302&amp;rgn=div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eds.ed.gov/element/001940" TargetMode="External"/><Relationship Id="rId2" Type="http://schemas.openxmlformats.org/officeDocument/2006/relationships/hyperlink" Target="https://laces.literacypro.com/laces/" TargetMode="External"/><Relationship Id="rId1" Type="http://schemas.openxmlformats.org/officeDocument/2006/relationships/hyperlink" Target="https://www.doe.mass.edu/" TargetMode="External"/><Relationship Id="rId6" Type="http://schemas.openxmlformats.org/officeDocument/2006/relationships/hyperlink" Target="https://www.westernsydney.edu.au/studysmart/home/study_skills_guides/digital_literacy/what_is_digital_literacy." TargetMode="External"/><Relationship Id="rId5" Type="http://schemas.openxmlformats.org/officeDocument/2006/relationships/hyperlink" Target="https://www.westernsydney.edu.au/studysmart/home/study_skills_guides/digital_literacy/what_is_digital_literacy" TargetMode="External"/><Relationship Id="rId4" Type="http://schemas.openxmlformats.org/officeDocument/2006/relationships/hyperlink" Target="http://edglossary.org/curricu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0D010610677E4F81E3ED81554AED3A" ma:contentTypeVersion="17" ma:contentTypeDescription="Create a new document." ma:contentTypeScope="" ma:versionID="ba4664751a6ca4cd3084ffdca68c8cf3">
  <xsd:schema xmlns:xsd="http://www.w3.org/2001/XMLSchema" xmlns:xs="http://www.w3.org/2001/XMLSchema" xmlns:p="http://schemas.microsoft.com/office/2006/metadata/properties" xmlns:ns2="5ef0c7bc-a1e9-48e9-a56f-14e827214cd5" xmlns:ns3="99e0dfea-43d5-4072-846c-d949cc7e95e9" targetNamespace="http://schemas.microsoft.com/office/2006/metadata/properties" ma:root="true" ma:fieldsID="b478f6204cc86846564a67f0ea450967" ns2:_="" ns3:_="">
    <xsd:import namespace="5ef0c7bc-a1e9-48e9-a56f-14e827214cd5"/>
    <xsd:import namespace="99e0dfea-43d5-4072-846c-d949cc7e95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Pleasdownloadfirstandsaveasindividual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7bc-a1e9-48e9-a56f-14e827214c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42a5e-8299-4de9-b264-08b69b242981}" ma:internalName="TaxCatchAll" ma:showField="CatchAllData" ma:web="5ef0c7bc-a1e9-48e9-a56f-14e827214c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e0dfea-43d5-4072-846c-d949cc7e95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leasdownloadfirstandsaveasindividualdocument" ma:index="24" nillable="true" ma:displayName="DOWNLOAD FILES BEFORE EDITING" ma:format="Dropdown" ma:internalName="Pleasdownloadfirstandsaveasindividualdocu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leasdownloadfirstandsaveasindividualdocument xmlns="99e0dfea-43d5-4072-846c-d949cc7e95e9" xsi:nil="true"/>
    <TaxCatchAll xmlns="5ef0c7bc-a1e9-48e9-a56f-14e827214cd5" xsi:nil="true"/>
    <lcf76f155ced4ddcb4097134ff3c332f xmlns="99e0dfea-43d5-4072-846c-d949cc7e95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F9B5C8-DE9D-4D0A-800E-4FB1CC771445}">
  <ds:schemaRefs>
    <ds:schemaRef ds:uri="http://schemas.microsoft.com/sharepoint/v3/contenttype/forms"/>
  </ds:schemaRefs>
</ds:datastoreItem>
</file>

<file path=customXml/itemProps2.xml><?xml version="1.0" encoding="utf-8"?>
<ds:datastoreItem xmlns:ds="http://schemas.openxmlformats.org/officeDocument/2006/customXml" ds:itemID="{452A08AA-97AC-448C-B5AA-1F384564E846}">
  <ds:schemaRefs>
    <ds:schemaRef ds:uri="http://schemas.openxmlformats.org/officeDocument/2006/bibliography"/>
  </ds:schemaRefs>
</ds:datastoreItem>
</file>

<file path=customXml/itemProps3.xml><?xml version="1.0" encoding="utf-8"?>
<ds:datastoreItem xmlns:ds="http://schemas.openxmlformats.org/officeDocument/2006/customXml" ds:itemID="{FAA90AF5-2480-4C6C-85AD-F78D9AB09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7bc-a1e9-48e9-a56f-14e827214cd5"/>
    <ds:schemaRef ds:uri="99e0dfea-43d5-4072-846c-d949cc7e9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E09A5E-FECF-48E1-92BB-3F72F3881AF5}">
  <ds:schemaRefs>
    <ds:schemaRef ds:uri="http://schemas.microsoft.com/office/2006/metadata/properties"/>
    <ds:schemaRef ds:uri="http://schemas.microsoft.com/office/infopath/2007/PartnerControls"/>
    <ds:schemaRef ds:uri="99e0dfea-43d5-4072-846c-d949cc7e95e9"/>
    <ds:schemaRef ds:uri="5ef0c7bc-a1e9-48e9-a56f-14e827214cd5"/>
  </ds:schemaRefs>
</ds:datastoreItem>
</file>

<file path=docProps/app.xml><?xml version="1.0" encoding="utf-8"?>
<Properties xmlns="http://schemas.openxmlformats.org/officeDocument/2006/extended-properties" xmlns:vt="http://schemas.openxmlformats.org/officeDocument/2006/docPropsVTypes">
  <Template>Normal.dotm</Template>
  <TotalTime>3834</TotalTime>
  <Pages>21</Pages>
  <Words>7948</Words>
  <Characters>45309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FY27-FY28 Massachusetts Fair Share Adult English for Speakers of Other Languages (ESOL) Services Policies</dc:title>
  <dc:subject/>
  <dc:creator>DESE</dc:creator>
  <cp:keywords/>
  <dc:description/>
  <cp:lastModifiedBy>Zou, Dong (EOE)</cp:lastModifiedBy>
  <cp:revision>251</cp:revision>
  <cp:lastPrinted>2026-08-03T21:46:00Z</cp:lastPrinted>
  <dcterms:created xsi:type="dcterms:W3CDTF">2026-07-01T12:14:00Z</dcterms:created>
  <dcterms:modified xsi:type="dcterms:W3CDTF">2026-08-10T18:16:00Z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10 2026 12:00AM</vt:lpwstr>
  </property>
</Properties>
</file>