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C52F5" w14:textId="764B70AB" w:rsidR="000E3C96" w:rsidRDefault="000E3C96" w:rsidP="0030227B">
      <w:pPr>
        <w:ind w:left="432"/>
        <w:jc w:val="center"/>
        <w:rPr>
          <w:b/>
          <w:bCs/>
        </w:rPr>
      </w:pPr>
      <w:bookmarkStart w:id="0" w:name="Backtotop"/>
      <w:r w:rsidRPr="000E3C96">
        <w:rPr>
          <w:b/>
          <w:bCs/>
        </w:rPr>
        <w:t>Multi-Year FAQ</w:t>
      </w:r>
      <w:r w:rsidR="00505AEF">
        <w:rPr>
          <w:b/>
          <w:bCs/>
        </w:rPr>
        <w:t xml:space="preserve"> and How To</w:t>
      </w:r>
    </w:p>
    <w:bookmarkEnd w:id="0"/>
    <w:p w14:paraId="58182545" w14:textId="50F29F68" w:rsidR="00D636FB" w:rsidRPr="007733EC" w:rsidRDefault="00234A2C" w:rsidP="00505AEF">
      <w:pPr>
        <w:spacing w:before="100" w:beforeAutospacing="1" w:after="100" w:afterAutospacing="1" w:line="240" w:lineRule="auto"/>
        <w:rPr>
          <w:color w:val="0563C1" w:themeColor="hyperlink"/>
          <w:u w:val="single"/>
        </w:rPr>
      </w:pPr>
      <w:r>
        <w:fldChar w:fldCharType="begin"/>
      </w:r>
      <w:r>
        <w:instrText xml:space="preserve"> HYPERLINK \l "WhichGrants" </w:instrText>
      </w:r>
      <w:r>
        <w:fldChar w:fldCharType="separate"/>
      </w:r>
      <w:r w:rsidR="00AE2B62" w:rsidRPr="000039DC">
        <w:rPr>
          <w:rStyle w:val="Hyperlink"/>
        </w:rPr>
        <w:t>Which Federal Grants are Eligible for Multi-Year?</w:t>
      </w:r>
      <w:r>
        <w:rPr>
          <w:rStyle w:val="Hyperlink"/>
        </w:rPr>
        <w:fldChar w:fldCharType="end"/>
      </w:r>
      <w:r w:rsidR="000039DC">
        <w:rPr>
          <w:rStyle w:val="Hyperlink"/>
        </w:rPr>
        <w:br/>
      </w:r>
      <w:hyperlink w:anchor="WhatIsMultiYear" w:history="1">
        <w:r w:rsidR="000039DC" w:rsidRPr="00653416">
          <w:rPr>
            <w:rStyle w:val="Hyperlink"/>
          </w:rPr>
          <w:t>What is Multi-Year?</w:t>
        </w:r>
      </w:hyperlink>
      <w:r w:rsidR="007733EC">
        <w:rPr>
          <w:rStyle w:val="Hyperlink"/>
        </w:rPr>
        <w:br/>
      </w:r>
      <w:hyperlink w:anchor="IsMYRequired" w:history="1">
        <w:r w:rsidR="007733EC" w:rsidRPr="00A77AF9">
          <w:rPr>
            <w:rStyle w:val="Hyperlink"/>
          </w:rPr>
          <w:t>Is Filing Multi-Year required?</w:t>
        </w:r>
      </w:hyperlink>
      <w:r w:rsidR="00D11425">
        <w:br/>
      </w:r>
      <w:hyperlink w:anchor="HowToFile" w:history="1">
        <w:r w:rsidR="00567AC6" w:rsidRPr="00653416">
          <w:rPr>
            <w:rStyle w:val="Hyperlink"/>
          </w:rPr>
          <w:t>How to file Multi-Year Delegation Form</w:t>
        </w:r>
      </w:hyperlink>
      <w:r w:rsidR="00A77AF9">
        <w:rPr>
          <w:rStyle w:val="Hyperlink"/>
        </w:rPr>
        <w:br/>
      </w:r>
      <w:hyperlink w:anchor="Errors" w:history="1">
        <w:r w:rsidR="00D636FB" w:rsidRPr="00653416">
          <w:rPr>
            <w:rStyle w:val="Hyperlink"/>
          </w:rPr>
          <w:t>Error Messages</w:t>
        </w:r>
      </w:hyperlink>
      <w:r w:rsidR="00D636FB">
        <w:br/>
      </w:r>
      <w:hyperlink w:anchor="Move0" w:history="1">
        <w:r w:rsidR="00D636FB" w:rsidRPr="00653416">
          <w:rPr>
            <w:rStyle w:val="Hyperlink"/>
          </w:rPr>
          <w:t>Applicants who move $0 into the next FY</w:t>
        </w:r>
      </w:hyperlink>
      <w:r w:rsidR="00D636FB">
        <w:br/>
      </w:r>
      <w:hyperlink w:anchor="MultiMoreMove" w:history="1">
        <w:r w:rsidR="00D636FB" w:rsidRPr="00653416">
          <w:rPr>
            <w:rStyle w:val="Hyperlink"/>
          </w:rPr>
          <w:t>What if Multi-Year is filed, but more should have been moved?</w:t>
        </w:r>
      </w:hyperlink>
      <w:r w:rsidR="00D636FB">
        <w:br/>
      </w:r>
      <w:hyperlink w:anchor="MultiNotFiled" w:history="1">
        <w:r w:rsidR="00D636FB" w:rsidRPr="00653416">
          <w:rPr>
            <w:rStyle w:val="Hyperlink"/>
          </w:rPr>
          <w:t>What if Multi-Year form is not filed, but funds are needed in next FY?</w:t>
        </w:r>
        <w:r w:rsidR="00D636FB" w:rsidRPr="00653416">
          <w:rPr>
            <w:rStyle w:val="Hyperlink"/>
            <w:b/>
            <w:bCs/>
          </w:rPr>
          <w:t xml:space="preserve"> </w:t>
        </w:r>
      </w:hyperlink>
      <w:r w:rsidR="00967293">
        <w:rPr>
          <w:b/>
          <w:bCs/>
          <w:u w:val="single"/>
        </w:rPr>
        <w:br/>
      </w:r>
      <w:hyperlink w:anchor="MultiDrawDownWindows" w:history="1">
        <w:r w:rsidR="00BE3587" w:rsidRPr="00BE3587">
          <w:rPr>
            <w:rStyle w:val="Hyperlink"/>
          </w:rPr>
          <w:t xml:space="preserve">Post </w:t>
        </w:r>
        <w:r w:rsidR="00967293" w:rsidRPr="00BE3587">
          <w:rPr>
            <w:rStyle w:val="Hyperlink"/>
          </w:rPr>
          <w:t xml:space="preserve">Multi-Year </w:t>
        </w:r>
        <w:r w:rsidR="00AD4FCD">
          <w:rPr>
            <w:rStyle w:val="Hyperlink"/>
          </w:rPr>
          <w:t xml:space="preserve">Payment Request </w:t>
        </w:r>
        <w:r w:rsidR="00967293" w:rsidRPr="00BE3587">
          <w:rPr>
            <w:rStyle w:val="Hyperlink"/>
          </w:rPr>
          <w:t>Windows</w:t>
        </w:r>
      </w:hyperlink>
    </w:p>
    <w:p w14:paraId="6A818750" w14:textId="74621EF9" w:rsidR="00AE2B62" w:rsidRDefault="00AE2B62" w:rsidP="00AE2B62">
      <w:pPr>
        <w:rPr>
          <w:rStyle w:val="Hyperlink"/>
          <w:b/>
          <w:bCs/>
          <w:color w:val="auto"/>
        </w:rPr>
      </w:pPr>
      <w:bookmarkStart w:id="1" w:name="WhichGrants"/>
      <w:r w:rsidRPr="00AE2B62">
        <w:rPr>
          <w:rStyle w:val="Hyperlink"/>
          <w:b/>
          <w:bCs/>
          <w:color w:val="auto"/>
        </w:rPr>
        <w:t>Which Federal Grants are Eligible for Multi-Year?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hart of Multi-Year grants by award year"/>
        <w:tblDescription w:val="Grid of Multi-Year fund codes, federal award year and end dates."/>
      </w:tblPr>
      <w:tblGrid>
        <w:gridCol w:w="1260"/>
        <w:gridCol w:w="4139"/>
        <w:gridCol w:w="1081"/>
        <w:gridCol w:w="3330"/>
      </w:tblGrid>
      <w:tr w:rsidR="003A0573" w:rsidRPr="003A0573" w14:paraId="6551ECAB" w14:textId="77777777" w:rsidTr="003A0573">
        <w:tc>
          <w:tcPr>
            <w:tcW w:w="1260" w:type="dxa"/>
          </w:tcPr>
          <w:p w14:paraId="43EB7019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  <w:t>Award Year</w:t>
            </w:r>
          </w:p>
        </w:tc>
        <w:tc>
          <w:tcPr>
            <w:tcW w:w="4139" w:type="dxa"/>
            <w:shd w:val="clear" w:color="auto" w:fill="auto"/>
          </w:tcPr>
          <w:p w14:paraId="3A384A92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  <w:t>Grant Programs</w:t>
            </w:r>
          </w:p>
        </w:tc>
        <w:tc>
          <w:tcPr>
            <w:tcW w:w="1081" w:type="dxa"/>
            <w:shd w:val="clear" w:color="auto" w:fill="auto"/>
          </w:tcPr>
          <w:p w14:paraId="1C919490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  <w:t>End Date</w:t>
            </w:r>
          </w:p>
        </w:tc>
        <w:tc>
          <w:tcPr>
            <w:tcW w:w="3330" w:type="dxa"/>
          </w:tcPr>
          <w:p w14:paraId="17FD23C5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  <w:t>FR-1s due</w:t>
            </w:r>
          </w:p>
        </w:tc>
      </w:tr>
      <w:tr w:rsidR="003A0573" w:rsidRPr="003A0573" w14:paraId="0EFF8067" w14:textId="77777777" w:rsidTr="003A0573">
        <w:tc>
          <w:tcPr>
            <w:tcW w:w="1260" w:type="dxa"/>
          </w:tcPr>
          <w:p w14:paraId="12F14D7E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14:paraId="4E36876E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CF66AB1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467D913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A0573" w:rsidRPr="003A0573" w14:paraId="1FE0F4F7" w14:textId="77777777" w:rsidTr="003A0573">
        <w:trPr>
          <w:trHeight w:val="530"/>
        </w:trPr>
        <w:tc>
          <w:tcPr>
            <w:tcW w:w="1260" w:type="dxa"/>
          </w:tcPr>
          <w:p w14:paraId="7AEDA25E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4139" w:type="dxa"/>
            <w:shd w:val="clear" w:color="auto" w:fill="auto"/>
          </w:tcPr>
          <w:p w14:paraId="097ADDC6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ESSER II (Fund Code 115)</w:t>
            </w:r>
          </w:p>
        </w:tc>
        <w:tc>
          <w:tcPr>
            <w:tcW w:w="1081" w:type="dxa"/>
            <w:shd w:val="clear" w:color="auto" w:fill="auto"/>
          </w:tcPr>
          <w:p w14:paraId="499A9E84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9/30/2023</w:t>
            </w:r>
          </w:p>
        </w:tc>
        <w:tc>
          <w:tcPr>
            <w:tcW w:w="3330" w:type="dxa"/>
          </w:tcPr>
          <w:p w14:paraId="4BC00086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11/30/2023 or 60 days post final draw down,</w:t>
            </w:r>
            <w:r w:rsidRPr="003A0573">
              <w:rPr>
                <w:rStyle w:val="FootnoteReference"/>
                <w:rFonts w:cstheme="minorHAnsi"/>
                <w:sz w:val="20"/>
                <w:szCs w:val="20"/>
              </w:rPr>
              <w:t xml:space="preserve"> </w:t>
            </w: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whichever comes first.</w:t>
            </w:r>
          </w:p>
        </w:tc>
      </w:tr>
      <w:tr w:rsidR="003A0573" w:rsidRPr="003A0573" w14:paraId="4582EC16" w14:textId="77777777" w:rsidTr="003A0573">
        <w:trPr>
          <w:trHeight w:val="530"/>
        </w:trPr>
        <w:tc>
          <w:tcPr>
            <w:tcW w:w="1260" w:type="dxa"/>
          </w:tcPr>
          <w:p w14:paraId="14226ADF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4139" w:type="dxa"/>
            <w:shd w:val="clear" w:color="auto" w:fill="auto"/>
          </w:tcPr>
          <w:p w14:paraId="076A96E7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ESSA grants: Title I (Fund Code: 305), Title II-A (140), Title III (180 &amp; 186), Title IV (309)</w:t>
            </w:r>
          </w:p>
        </w:tc>
        <w:tc>
          <w:tcPr>
            <w:tcW w:w="1081" w:type="dxa"/>
            <w:shd w:val="clear" w:color="auto" w:fill="auto"/>
          </w:tcPr>
          <w:p w14:paraId="1F2BBDA3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9/30/2023</w:t>
            </w:r>
          </w:p>
        </w:tc>
        <w:tc>
          <w:tcPr>
            <w:tcW w:w="3330" w:type="dxa"/>
          </w:tcPr>
          <w:p w14:paraId="6C16E603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11/30/2023 or 60 days post final draw down,</w:t>
            </w:r>
            <w:r w:rsidRPr="003A0573">
              <w:rPr>
                <w:rStyle w:val="FootnoteReference"/>
                <w:rFonts w:cstheme="minorHAnsi"/>
                <w:sz w:val="20"/>
                <w:szCs w:val="20"/>
              </w:rPr>
              <w:t xml:space="preserve"> </w:t>
            </w: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whichever comes first.</w:t>
            </w:r>
          </w:p>
        </w:tc>
      </w:tr>
      <w:tr w:rsidR="003A0573" w:rsidRPr="003A0573" w14:paraId="4F8544EA" w14:textId="77777777" w:rsidTr="003A0573">
        <w:trPr>
          <w:trHeight w:val="350"/>
        </w:trPr>
        <w:tc>
          <w:tcPr>
            <w:tcW w:w="1260" w:type="dxa"/>
          </w:tcPr>
          <w:p w14:paraId="4AA7F084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4139" w:type="dxa"/>
            <w:shd w:val="clear" w:color="auto" w:fill="auto"/>
          </w:tcPr>
          <w:p w14:paraId="27C2E0B4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IDEA: (Fund Codes: 240 &amp; 262)</w:t>
            </w:r>
          </w:p>
        </w:tc>
        <w:tc>
          <w:tcPr>
            <w:tcW w:w="1081" w:type="dxa"/>
            <w:shd w:val="clear" w:color="auto" w:fill="auto"/>
          </w:tcPr>
          <w:p w14:paraId="7A3330AE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9/30/2023</w:t>
            </w:r>
          </w:p>
        </w:tc>
        <w:tc>
          <w:tcPr>
            <w:tcW w:w="3330" w:type="dxa"/>
          </w:tcPr>
          <w:p w14:paraId="18DF7481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11/30/2023 or 60 days post final draw down,</w:t>
            </w:r>
            <w:r w:rsidRPr="003A0573">
              <w:rPr>
                <w:rStyle w:val="FootnoteReference"/>
                <w:rFonts w:cstheme="minorHAnsi"/>
                <w:sz w:val="20"/>
                <w:szCs w:val="20"/>
              </w:rPr>
              <w:t xml:space="preserve"> </w:t>
            </w: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whichever comes first.</w:t>
            </w:r>
          </w:p>
        </w:tc>
      </w:tr>
      <w:tr w:rsidR="003A0573" w:rsidRPr="003A0573" w14:paraId="455D9EDC" w14:textId="77777777" w:rsidTr="003A0573">
        <w:trPr>
          <w:trHeight w:val="557"/>
        </w:trPr>
        <w:tc>
          <w:tcPr>
            <w:tcW w:w="1260" w:type="dxa"/>
          </w:tcPr>
          <w:p w14:paraId="46B1ACDC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4139" w:type="dxa"/>
            <w:shd w:val="clear" w:color="auto" w:fill="auto"/>
          </w:tcPr>
          <w:p w14:paraId="29414452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ARP IDEA grants: ARP IDEA (Fund Code 252) &amp; ARP IDEA Early Childhood (Fund Code 264)</w:t>
            </w:r>
          </w:p>
        </w:tc>
        <w:tc>
          <w:tcPr>
            <w:tcW w:w="1081" w:type="dxa"/>
            <w:shd w:val="clear" w:color="auto" w:fill="auto"/>
          </w:tcPr>
          <w:p w14:paraId="47E6D3CE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9/30/2023</w:t>
            </w:r>
          </w:p>
        </w:tc>
        <w:tc>
          <w:tcPr>
            <w:tcW w:w="3330" w:type="dxa"/>
          </w:tcPr>
          <w:p w14:paraId="7D5873C1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11/30/2023 or 60 days post final draw down,</w:t>
            </w:r>
            <w:r w:rsidRPr="003A0573">
              <w:rPr>
                <w:rStyle w:val="FootnoteReference"/>
                <w:rFonts w:cstheme="minorHAnsi"/>
                <w:sz w:val="20"/>
                <w:szCs w:val="20"/>
              </w:rPr>
              <w:t xml:space="preserve"> </w:t>
            </w: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whichever comes first.</w:t>
            </w:r>
          </w:p>
        </w:tc>
      </w:tr>
      <w:tr w:rsidR="003A0573" w:rsidRPr="003A0573" w14:paraId="2F0CC846" w14:textId="77777777" w:rsidTr="003A0573">
        <w:trPr>
          <w:trHeight w:val="530"/>
        </w:trPr>
        <w:tc>
          <w:tcPr>
            <w:tcW w:w="1260" w:type="dxa"/>
          </w:tcPr>
          <w:p w14:paraId="33A43F8E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4139" w:type="dxa"/>
            <w:shd w:val="clear" w:color="auto" w:fill="auto"/>
          </w:tcPr>
          <w:p w14:paraId="3F26F810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ESSER III (Fund Code 119)</w:t>
            </w:r>
          </w:p>
        </w:tc>
        <w:tc>
          <w:tcPr>
            <w:tcW w:w="1081" w:type="dxa"/>
            <w:shd w:val="clear" w:color="auto" w:fill="auto"/>
          </w:tcPr>
          <w:p w14:paraId="5507509B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9/30/2024</w:t>
            </w:r>
          </w:p>
        </w:tc>
        <w:tc>
          <w:tcPr>
            <w:tcW w:w="3330" w:type="dxa"/>
          </w:tcPr>
          <w:p w14:paraId="14AC3F80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11/30/2024 or 60 days post final draw down,</w:t>
            </w:r>
            <w:r w:rsidRPr="003A0573">
              <w:rPr>
                <w:rStyle w:val="FootnoteReference"/>
                <w:rFonts w:cstheme="minorHAnsi"/>
                <w:sz w:val="20"/>
                <w:szCs w:val="20"/>
              </w:rPr>
              <w:t xml:space="preserve"> </w:t>
            </w: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whichever comes first.</w:t>
            </w:r>
          </w:p>
        </w:tc>
      </w:tr>
      <w:tr w:rsidR="003A0573" w:rsidRPr="003A0573" w14:paraId="1A5573CD" w14:textId="77777777" w:rsidTr="003A0573">
        <w:trPr>
          <w:trHeight w:val="530"/>
        </w:trPr>
        <w:tc>
          <w:tcPr>
            <w:tcW w:w="1260" w:type="dxa"/>
          </w:tcPr>
          <w:p w14:paraId="186BF6CE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4139" w:type="dxa"/>
            <w:shd w:val="clear" w:color="auto" w:fill="auto"/>
          </w:tcPr>
          <w:p w14:paraId="00E7FA5B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 xml:space="preserve">ARP Homeless Children &amp; Youth I (Fund Code 301) </w:t>
            </w:r>
          </w:p>
        </w:tc>
        <w:tc>
          <w:tcPr>
            <w:tcW w:w="1081" w:type="dxa"/>
            <w:shd w:val="clear" w:color="auto" w:fill="auto"/>
          </w:tcPr>
          <w:p w14:paraId="5E7C2D67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 xml:space="preserve">8/31/2024 </w:t>
            </w:r>
          </w:p>
        </w:tc>
        <w:tc>
          <w:tcPr>
            <w:tcW w:w="3330" w:type="dxa"/>
          </w:tcPr>
          <w:p w14:paraId="5CE6B909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10/31/2024 or 60 days post final draw down.</w:t>
            </w:r>
          </w:p>
        </w:tc>
      </w:tr>
      <w:tr w:rsidR="003A0573" w:rsidRPr="003A0573" w14:paraId="743AAC54" w14:textId="77777777" w:rsidTr="003A0573">
        <w:trPr>
          <w:trHeight w:val="440"/>
        </w:trPr>
        <w:tc>
          <w:tcPr>
            <w:tcW w:w="1260" w:type="dxa"/>
          </w:tcPr>
          <w:p w14:paraId="5B4837AB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4139" w:type="dxa"/>
            <w:shd w:val="clear" w:color="auto" w:fill="auto"/>
          </w:tcPr>
          <w:p w14:paraId="7C8C7DCC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ARP Homeless Children &amp; Youth II (Fund Code 302)</w:t>
            </w:r>
          </w:p>
        </w:tc>
        <w:tc>
          <w:tcPr>
            <w:tcW w:w="1081" w:type="dxa"/>
            <w:shd w:val="clear" w:color="auto" w:fill="auto"/>
          </w:tcPr>
          <w:p w14:paraId="34C303C8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8/31/2024</w:t>
            </w:r>
          </w:p>
        </w:tc>
        <w:tc>
          <w:tcPr>
            <w:tcW w:w="3330" w:type="dxa"/>
          </w:tcPr>
          <w:p w14:paraId="3874CF1F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10/31/2024 or 60 days post final draw down.</w:t>
            </w:r>
          </w:p>
        </w:tc>
      </w:tr>
      <w:tr w:rsidR="003A0573" w:rsidRPr="003A0573" w14:paraId="76B41F8E" w14:textId="77777777" w:rsidTr="003A0573">
        <w:trPr>
          <w:trHeight w:val="773"/>
        </w:trPr>
        <w:tc>
          <w:tcPr>
            <w:tcW w:w="1260" w:type="dxa"/>
          </w:tcPr>
          <w:p w14:paraId="09F20B14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highlight w:val="yellow"/>
              </w:rPr>
              <w:t>2023</w:t>
            </w:r>
          </w:p>
        </w:tc>
        <w:tc>
          <w:tcPr>
            <w:tcW w:w="4139" w:type="dxa"/>
            <w:shd w:val="clear" w:color="auto" w:fill="auto"/>
          </w:tcPr>
          <w:p w14:paraId="259FBBC9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ESSA grants: Title I (Fund Code: 305), Title II-A (140), Title III (180 &amp; 186), Title IV (309)</w:t>
            </w:r>
          </w:p>
        </w:tc>
        <w:tc>
          <w:tcPr>
            <w:tcW w:w="1081" w:type="dxa"/>
            <w:shd w:val="clear" w:color="auto" w:fill="auto"/>
          </w:tcPr>
          <w:p w14:paraId="7BF3C65D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9/30/2024</w:t>
            </w:r>
          </w:p>
        </w:tc>
        <w:tc>
          <w:tcPr>
            <w:tcW w:w="3330" w:type="dxa"/>
          </w:tcPr>
          <w:p w14:paraId="520DCE67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11/30/2024 or 60 days post final draw down,</w:t>
            </w:r>
            <w:r w:rsidRPr="003A0573">
              <w:rPr>
                <w:rStyle w:val="FootnoteReference"/>
                <w:rFonts w:cstheme="minorHAnsi"/>
                <w:sz w:val="20"/>
                <w:szCs w:val="20"/>
              </w:rPr>
              <w:t xml:space="preserve"> </w:t>
            </w: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whichever comes first.</w:t>
            </w:r>
          </w:p>
        </w:tc>
      </w:tr>
      <w:tr w:rsidR="003A0573" w:rsidRPr="003A0573" w14:paraId="20657308" w14:textId="77777777" w:rsidTr="003A0573">
        <w:trPr>
          <w:trHeight w:val="782"/>
        </w:trPr>
        <w:tc>
          <w:tcPr>
            <w:tcW w:w="1260" w:type="dxa"/>
          </w:tcPr>
          <w:p w14:paraId="772B7821" w14:textId="77777777" w:rsidR="003A0573" w:rsidRPr="003A0573" w:rsidRDefault="003A0573" w:rsidP="00327E48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A057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highlight w:val="yellow"/>
              </w:rPr>
              <w:t>2023</w:t>
            </w:r>
          </w:p>
        </w:tc>
        <w:tc>
          <w:tcPr>
            <w:tcW w:w="4139" w:type="dxa"/>
            <w:shd w:val="clear" w:color="auto" w:fill="auto"/>
          </w:tcPr>
          <w:p w14:paraId="59AC7968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IDEA: (Fund Codes: 240 &amp; 262)</w:t>
            </w:r>
          </w:p>
        </w:tc>
        <w:tc>
          <w:tcPr>
            <w:tcW w:w="1081" w:type="dxa"/>
            <w:shd w:val="clear" w:color="auto" w:fill="auto"/>
          </w:tcPr>
          <w:p w14:paraId="48BA6884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9/30/2024</w:t>
            </w:r>
          </w:p>
        </w:tc>
        <w:tc>
          <w:tcPr>
            <w:tcW w:w="3330" w:type="dxa"/>
          </w:tcPr>
          <w:p w14:paraId="324872B6" w14:textId="77777777" w:rsidR="003A0573" w:rsidRPr="003A0573" w:rsidRDefault="003A0573" w:rsidP="00327E4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11/30/2024 or 60 days post final draw down,</w:t>
            </w:r>
            <w:r w:rsidRPr="003A0573">
              <w:rPr>
                <w:rStyle w:val="FootnoteReference"/>
                <w:rFonts w:cstheme="minorHAnsi"/>
                <w:sz w:val="20"/>
                <w:szCs w:val="20"/>
              </w:rPr>
              <w:t xml:space="preserve"> </w:t>
            </w:r>
            <w:r w:rsidRPr="003A0573">
              <w:rPr>
                <w:rStyle w:val="Hyperlink"/>
                <w:rFonts w:cstheme="minorHAnsi"/>
                <w:color w:val="auto"/>
                <w:sz w:val="20"/>
                <w:szCs w:val="20"/>
              </w:rPr>
              <w:t>whichever comes first.</w:t>
            </w:r>
          </w:p>
        </w:tc>
      </w:tr>
      <w:bookmarkEnd w:id="1"/>
    </w:tbl>
    <w:p w14:paraId="482E22C8" w14:textId="77777777" w:rsidR="003A0573" w:rsidRDefault="003A0573" w:rsidP="00505AEF">
      <w:pPr>
        <w:jc w:val="right"/>
        <w:rPr>
          <w:sz w:val="18"/>
          <w:szCs w:val="18"/>
        </w:rPr>
      </w:pPr>
    </w:p>
    <w:p w14:paraId="69BF49DD" w14:textId="1D5B0727" w:rsidR="00AE2B62" w:rsidRDefault="00092DDE" w:rsidP="00505AEF">
      <w:pPr>
        <w:jc w:val="right"/>
        <w:rPr>
          <w:b/>
          <w:bCs/>
          <w:u w:val="single"/>
        </w:rPr>
      </w:pPr>
      <w:hyperlink w:anchor="Backtotop" w:history="1">
        <w:r w:rsidR="00505AEF" w:rsidRPr="00641610">
          <w:rPr>
            <w:rStyle w:val="Hyperlink"/>
            <w:b/>
            <w:bCs/>
          </w:rPr>
          <w:t>Back to Top</w:t>
        </w:r>
      </w:hyperlink>
    </w:p>
    <w:p w14:paraId="51E0DB62" w14:textId="69E3F873" w:rsidR="00D636FB" w:rsidRPr="00D636FB" w:rsidRDefault="00D636FB" w:rsidP="00D636FB">
      <w:pPr>
        <w:rPr>
          <w:b/>
          <w:bCs/>
          <w:u w:val="single"/>
        </w:rPr>
      </w:pPr>
      <w:bookmarkStart w:id="2" w:name="WhatIsMultiYear"/>
      <w:r w:rsidRPr="00D636FB">
        <w:rPr>
          <w:b/>
          <w:bCs/>
          <w:u w:val="single"/>
        </w:rPr>
        <w:t>What is Multi-Year?</w:t>
      </w:r>
    </w:p>
    <w:bookmarkEnd w:id="2"/>
    <w:p w14:paraId="77C978C2" w14:textId="1BD05F35" w:rsidR="00D636FB" w:rsidRDefault="00D636FB" w:rsidP="00D636FB">
      <w:r>
        <w:t xml:space="preserve">Most federal grants funded through the United States Department of Education (USED) contain a provision known as the </w:t>
      </w:r>
      <w:proofErr w:type="spellStart"/>
      <w:r>
        <w:t>Tydings</w:t>
      </w:r>
      <w:proofErr w:type="spellEnd"/>
      <w:r>
        <w:t xml:space="preserve"> Amendment.  This means the funds are awarded to states for use within a 27-month </w:t>
      </w:r>
      <w:r>
        <w:lastRenderedPageBreak/>
        <w:t xml:space="preserve">period.  The intent of this provision is to give the grantees (states) and sub-grantees (LEAs) enough time to administer effective programs and minimize the amount of funds returned to the federal government.  </w:t>
      </w:r>
    </w:p>
    <w:p w14:paraId="072AA54A" w14:textId="166A1F00" w:rsidR="00D636FB" w:rsidRDefault="00D636FB" w:rsidP="00D636FB">
      <w:r>
        <w:t xml:space="preserve">For most DESE federal </w:t>
      </w:r>
      <w:r w:rsidRPr="005E5E30">
        <w:rPr>
          <w:i/>
          <w:iCs/>
        </w:rPr>
        <w:t>entitlement</w:t>
      </w:r>
      <w:r>
        <w:t xml:space="preserve"> grants, the EdGrants system was designed with multi-year functionality to more effectively administer </w:t>
      </w:r>
      <w:proofErr w:type="spellStart"/>
      <w:r>
        <w:t>Tydings</w:t>
      </w:r>
      <w:proofErr w:type="spellEnd"/>
      <w:r>
        <w:t xml:space="preserve"> grants.  I</w:t>
      </w:r>
      <w:r w:rsidR="00B609BC">
        <w:t xml:space="preserve">n </w:t>
      </w:r>
      <w:r>
        <w:t>the past, grantees would have to close their grant and re-apply for the balance.  Now, the same grant is simply extended into the next Fiscal Year (FY) and can continue along with</w:t>
      </w:r>
      <w:r w:rsidR="00B609BC">
        <w:t xml:space="preserve"> payment request </w:t>
      </w:r>
      <w:r>
        <w:t xml:space="preserve">windows and the ability to amend line items as needed.  </w:t>
      </w:r>
    </w:p>
    <w:p w14:paraId="3FA7E2B8" w14:textId="5C9328A0" w:rsidR="00567AC6" w:rsidRDefault="00D636FB" w:rsidP="00567AC6">
      <w:r>
        <w:t>The multi-year delegation form does two things:</w:t>
      </w:r>
    </w:p>
    <w:p w14:paraId="148A6389" w14:textId="4F578F86" w:rsidR="00D636FB" w:rsidRDefault="00D636FB" w:rsidP="00D636FB">
      <w:pPr>
        <w:pStyle w:val="ListParagraph"/>
        <w:numPr>
          <w:ilvl w:val="0"/>
          <w:numId w:val="1"/>
        </w:numPr>
      </w:pPr>
      <w:r>
        <w:t xml:space="preserve">It extends the end date on </w:t>
      </w:r>
      <w:r w:rsidR="00B609BC">
        <w:t xml:space="preserve">the </w:t>
      </w:r>
      <w:r>
        <w:t>grant award</w:t>
      </w:r>
    </w:p>
    <w:p w14:paraId="4F6ED379" w14:textId="7D59B455" w:rsidR="00D636FB" w:rsidRDefault="00D636FB" w:rsidP="00D636FB">
      <w:pPr>
        <w:pStyle w:val="ListParagraph"/>
        <w:numPr>
          <w:ilvl w:val="0"/>
          <w:numId w:val="1"/>
        </w:numPr>
      </w:pPr>
      <w:r>
        <w:t xml:space="preserve">It moves some funds into the next FY </w:t>
      </w:r>
      <w:r w:rsidR="00091111">
        <w:t>so that re-applying for unclaimed balances is not needed</w:t>
      </w:r>
    </w:p>
    <w:p w14:paraId="7448F4C2" w14:textId="77777777" w:rsidR="003C5FE6" w:rsidRDefault="003C5FE6" w:rsidP="00641610">
      <w:pPr>
        <w:pStyle w:val="ListParagraph"/>
        <w:jc w:val="center"/>
        <w:rPr>
          <w:b/>
          <w:bCs/>
          <w:u w:val="single"/>
        </w:rPr>
      </w:pPr>
      <w:bookmarkStart w:id="3" w:name="HowToFile"/>
    </w:p>
    <w:p w14:paraId="60641C9D" w14:textId="4364276A" w:rsidR="00641610" w:rsidRPr="00641610" w:rsidRDefault="00092DDE" w:rsidP="003C5FE6">
      <w:pPr>
        <w:pStyle w:val="ListParagraph"/>
        <w:jc w:val="right"/>
        <w:rPr>
          <w:b/>
          <w:bCs/>
          <w:u w:val="single"/>
        </w:rPr>
      </w:pPr>
      <w:hyperlink w:anchor="Backtotop" w:history="1">
        <w:r w:rsidR="00641610" w:rsidRPr="00641610">
          <w:rPr>
            <w:rStyle w:val="Hyperlink"/>
            <w:b/>
            <w:bCs/>
          </w:rPr>
          <w:t>Back to Top</w:t>
        </w:r>
      </w:hyperlink>
    </w:p>
    <w:p w14:paraId="18C95405" w14:textId="4EA17729" w:rsidR="00040A46" w:rsidRPr="00D636FB" w:rsidRDefault="00BA57F2" w:rsidP="00D636FB">
      <w:pPr>
        <w:rPr>
          <w:b/>
          <w:bCs/>
          <w:u w:val="single"/>
        </w:rPr>
      </w:pPr>
      <w:r w:rsidRPr="00D636FB">
        <w:rPr>
          <w:b/>
          <w:bCs/>
          <w:u w:val="single"/>
        </w:rPr>
        <w:t xml:space="preserve">How to file Multi-Year Delegation </w:t>
      </w:r>
      <w:r w:rsidR="006631B6">
        <w:rPr>
          <w:b/>
          <w:bCs/>
          <w:u w:val="single"/>
        </w:rPr>
        <w:t>F</w:t>
      </w:r>
      <w:r w:rsidRPr="00D636FB">
        <w:rPr>
          <w:b/>
          <w:bCs/>
          <w:u w:val="single"/>
        </w:rPr>
        <w:t>orm</w:t>
      </w:r>
    </w:p>
    <w:bookmarkEnd w:id="3"/>
    <w:p w14:paraId="2B94CB59" w14:textId="2D3EF466" w:rsidR="00BA57F2" w:rsidRDefault="00BA57F2" w:rsidP="00BA57F2">
      <w:r>
        <w:t>Multi-year will be available each May 1</w:t>
      </w:r>
      <w:r w:rsidRPr="00BA57F2">
        <w:rPr>
          <w:vertAlign w:val="superscript"/>
        </w:rPr>
        <w:t>st</w:t>
      </w:r>
      <w:r>
        <w:t xml:space="preserve"> for submission.  </w:t>
      </w:r>
      <w:hyperlink r:id="rId6" w:history="1">
        <w:r w:rsidRPr="00B609BC">
          <w:rPr>
            <w:rStyle w:val="Hyperlink"/>
          </w:rPr>
          <w:t>Refer to the current FY Multi-Year info for timelines and deadlines.</w:t>
        </w:r>
      </w:hyperlink>
    </w:p>
    <w:p w14:paraId="6AFFA819" w14:textId="54FC776D" w:rsidR="00BA57F2" w:rsidRDefault="00BA57F2" w:rsidP="00BA57F2">
      <w:r>
        <w:t>Log in to</w:t>
      </w:r>
      <w:hyperlink r:id="rId7" w:history="1">
        <w:r w:rsidRPr="005E5E30">
          <w:rPr>
            <w:rStyle w:val="Hyperlink"/>
          </w:rPr>
          <w:t xml:space="preserve"> EdGrants Front Office</w:t>
        </w:r>
      </w:hyperlink>
    </w:p>
    <w:p w14:paraId="3C95A819" w14:textId="574AE24D" w:rsidR="00BA57F2" w:rsidRDefault="00BA57F2" w:rsidP="00BA57F2">
      <w:r>
        <w:t xml:space="preserve">Go to </w:t>
      </w:r>
      <w:r w:rsidRPr="00BA57F2">
        <w:rPr>
          <w:b/>
          <w:bCs/>
        </w:rPr>
        <w:t>Submissions</w:t>
      </w:r>
      <w:r>
        <w:t xml:space="preserve"> on the left-hand navigation menu</w:t>
      </w:r>
    </w:p>
    <w:p w14:paraId="6ED89A6F" w14:textId="29775529" w:rsidR="00BA57F2" w:rsidRDefault="00BA57F2" w:rsidP="00BA57F2">
      <w:r>
        <w:t>Filter on the grant project you intend to complete Multi-Year for</w:t>
      </w:r>
      <w:r w:rsidR="000039DC">
        <w:t xml:space="preserve"> by selecting the Applicant Project Name in the drop-down menu</w:t>
      </w:r>
      <w:r>
        <w:t>.</w:t>
      </w:r>
    </w:p>
    <w:p w14:paraId="6E30FC7F" w14:textId="48FCAA48" w:rsidR="00BA57F2" w:rsidRDefault="00BA57F2" w:rsidP="00BA57F2">
      <w:r>
        <w:t xml:space="preserve">Starting on </w:t>
      </w:r>
      <w:r w:rsidRPr="00BA57F2">
        <w:rPr>
          <w:b/>
          <w:bCs/>
        </w:rPr>
        <w:t>May 1</w:t>
      </w:r>
      <w:r w:rsidRPr="00BA57F2">
        <w:rPr>
          <w:b/>
          <w:bCs/>
          <w:vertAlign w:val="superscript"/>
        </w:rPr>
        <w:t>st</w:t>
      </w:r>
      <w:r>
        <w:t xml:space="preserve">, you will see the Multi-Year Delegation form in the </w:t>
      </w:r>
      <w:r w:rsidRPr="00B609BC">
        <w:rPr>
          <w:b/>
          <w:bCs/>
        </w:rPr>
        <w:t>Submissions</w:t>
      </w:r>
      <w:r>
        <w:t xml:space="preserve"> menu.  </w:t>
      </w:r>
    </w:p>
    <w:p w14:paraId="6B1E325D" w14:textId="3D48C9E4" w:rsidR="00BA57F2" w:rsidRDefault="00BA57F2" w:rsidP="00BA57F2">
      <w:r>
        <w:t>Open the Multi-Year form by clicking on the orange folder.</w:t>
      </w:r>
    </w:p>
    <w:p w14:paraId="0A1BF62B" w14:textId="4A5CC966" w:rsidR="00BA57F2" w:rsidRPr="0002156C" w:rsidRDefault="00BA57F2" w:rsidP="00BA57F2">
      <w:pPr>
        <w:rPr>
          <w:b/>
          <w:bCs/>
        </w:rPr>
      </w:pPr>
      <w:r>
        <w:t xml:space="preserve">Note the amount of funds you have left to draw.  Of that remaining balance, enter how much you would like to keep in the current FY </w:t>
      </w:r>
      <w:r w:rsidR="0002156C">
        <w:t xml:space="preserve">in the </w:t>
      </w:r>
      <w:r w:rsidR="0002156C" w:rsidRPr="0002156C">
        <w:rPr>
          <w:b/>
          <w:bCs/>
        </w:rPr>
        <w:t>Additional Funds Needed through 6/30</w:t>
      </w:r>
      <w:r w:rsidR="0002156C">
        <w:t xml:space="preserve"> field.  Click </w:t>
      </w:r>
      <w:r w:rsidR="0002156C" w:rsidRPr="0002156C">
        <w:rPr>
          <w:b/>
          <w:bCs/>
        </w:rPr>
        <w:t>Save.</w:t>
      </w:r>
    </w:p>
    <w:p w14:paraId="2D235017" w14:textId="64A7377A" w:rsidR="00BA57F2" w:rsidRDefault="00BA57F2" w:rsidP="00C45A92">
      <w:pPr>
        <w:ind w:firstLine="720"/>
      </w:pPr>
      <w:r>
        <w:rPr>
          <w:noProof/>
        </w:rPr>
        <w:lastRenderedPageBreak/>
        <w:drawing>
          <wp:inline distT="0" distB="0" distL="0" distR="0" wp14:anchorId="1351C551" wp14:editId="461AE152">
            <wp:extent cx="5937250" cy="3111500"/>
            <wp:effectExtent l="0" t="0" r="6350" b="0"/>
            <wp:docPr id="1" name="Picture 1" descr="screen shot of Multi-Year delegation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832F6" w14:textId="1B97F9EF" w:rsidR="0002156C" w:rsidRDefault="0002156C" w:rsidP="00BA57F2"/>
    <w:p w14:paraId="305C1553" w14:textId="786AA8AE" w:rsidR="0002156C" w:rsidRDefault="0002156C" w:rsidP="00BA57F2">
      <w:r>
        <w:t xml:space="preserve">Once Saved, the </w:t>
      </w:r>
      <w:r w:rsidRPr="00B609BC">
        <w:rPr>
          <w:b/>
          <w:bCs/>
        </w:rPr>
        <w:t>Balance to Transfer to Year 2</w:t>
      </w:r>
      <w:r>
        <w:t xml:space="preserve"> (or 3, </w:t>
      </w:r>
      <w:r w:rsidR="00FC7CB2">
        <w:t>depending on award year</w:t>
      </w:r>
      <w:r>
        <w:t>) will change to equal the Balance on the grant less the amount electing to keep through 6/30.</w:t>
      </w:r>
    </w:p>
    <w:p w14:paraId="7B180FC0" w14:textId="6CE55ED8" w:rsidR="00BA57F2" w:rsidRDefault="0002156C" w:rsidP="00BA57F2">
      <w:r>
        <w:rPr>
          <w:noProof/>
        </w:rPr>
        <w:drawing>
          <wp:inline distT="0" distB="0" distL="0" distR="0" wp14:anchorId="06BFE496" wp14:editId="473BB468">
            <wp:extent cx="5943600" cy="3232150"/>
            <wp:effectExtent l="0" t="0" r="0" b="6350"/>
            <wp:docPr id="2" name="Picture 2" descr="screen shot of Multi-Year delegation form filled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A562" w14:textId="05AA43F2" w:rsidR="0002156C" w:rsidRDefault="0002156C" w:rsidP="00BA57F2"/>
    <w:p w14:paraId="15E960DB" w14:textId="4B27AB37" w:rsidR="000039DC" w:rsidRDefault="000039DC" w:rsidP="00BA57F2">
      <w:pPr>
        <w:rPr>
          <w:b/>
          <w:bCs/>
        </w:rPr>
      </w:pPr>
      <w:r w:rsidRPr="000039DC">
        <w:t>Review to ensure the form accurately reflects</w:t>
      </w:r>
      <w:r>
        <w:rPr>
          <w:b/>
          <w:bCs/>
        </w:rPr>
        <w:t xml:space="preserve"> </w:t>
      </w:r>
      <w:r>
        <w:t>the amount you are leaving through 6/30 and moving to next FY is accurate.</w:t>
      </w:r>
    </w:p>
    <w:p w14:paraId="6FFD52BC" w14:textId="0CD4667C" w:rsidR="0002156C" w:rsidRDefault="0002156C" w:rsidP="00BA57F2">
      <w:r w:rsidRPr="0002156C">
        <w:rPr>
          <w:b/>
          <w:bCs/>
        </w:rPr>
        <w:lastRenderedPageBreak/>
        <w:t>Click the Certification b</w:t>
      </w:r>
      <w:r>
        <w:rPr>
          <w:b/>
          <w:bCs/>
        </w:rPr>
        <w:t>ox</w:t>
      </w:r>
      <w:r w:rsidR="000039DC">
        <w:rPr>
          <w:b/>
          <w:bCs/>
        </w:rPr>
        <w:t>*</w:t>
      </w:r>
      <w:r>
        <w:t xml:space="preserve"> and click </w:t>
      </w:r>
      <w:r w:rsidRPr="0002156C">
        <w:rPr>
          <w:b/>
          <w:bCs/>
        </w:rPr>
        <w:t>Save &amp; Next</w:t>
      </w:r>
      <w:r w:rsidR="000039DC">
        <w:rPr>
          <w:b/>
          <w:bCs/>
        </w:rPr>
        <w:t xml:space="preserve">.  </w:t>
      </w:r>
      <w:r>
        <w:t xml:space="preserve">  </w:t>
      </w:r>
    </w:p>
    <w:p w14:paraId="4166BAF9" w14:textId="122BB774" w:rsidR="0002156C" w:rsidRPr="0002156C" w:rsidRDefault="0002156C" w:rsidP="00BA57F2">
      <w:pPr>
        <w:rPr>
          <w:b/>
          <w:bCs/>
        </w:rPr>
      </w:pPr>
      <w:r w:rsidRPr="0002156C">
        <w:rPr>
          <w:b/>
          <w:bCs/>
        </w:rPr>
        <w:t>Make sure to click SUBMIT on the Submission Summary page, or the request will not be recorded.</w:t>
      </w:r>
    </w:p>
    <w:p w14:paraId="3E707534" w14:textId="322994AA" w:rsidR="0002156C" w:rsidRDefault="0002156C" w:rsidP="00BA57F2">
      <w:r>
        <w:rPr>
          <w:noProof/>
        </w:rPr>
        <w:drawing>
          <wp:inline distT="0" distB="0" distL="0" distR="0" wp14:anchorId="180FD50B" wp14:editId="039DC0B9">
            <wp:extent cx="5943600" cy="1981200"/>
            <wp:effectExtent l="0" t="0" r="0" b="0"/>
            <wp:docPr id="3" name="Picture 3" descr="screen shot of submission summary forml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0817" w14:textId="0528E366" w:rsidR="0002156C" w:rsidRDefault="0002156C" w:rsidP="00BA57F2"/>
    <w:p w14:paraId="0CA87B07" w14:textId="7DE7FB26" w:rsidR="0002156C" w:rsidRDefault="0002156C" w:rsidP="00BA57F2">
      <w:pPr>
        <w:rPr>
          <w:b/>
          <w:bCs/>
        </w:rPr>
      </w:pPr>
      <w:r>
        <w:t xml:space="preserve">Once submitted, it will bring you back to the submissions menu </w:t>
      </w:r>
      <w:r w:rsidR="00B609BC">
        <w:t xml:space="preserve">and </w:t>
      </w:r>
      <w:r w:rsidR="00247D15">
        <w:t xml:space="preserve">it will display the </w:t>
      </w:r>
      <w:r>
        <w:t xml:space="preserve">date and time stamp of your submission.  </w:t>
      </w:r>
      <w:r w:rsidRPr="00247D15">
        <w:rPr>
          <w:b/>
          <w:bCs/>
        </w:rPr>
        <w:t>If you do not see a date and time stamp, go back in</w:t>
      </w:r>
      <w:r w:rsidR="00247D15">
        <w:rPr>
          <w:b/>
          <w:bCs/>
        </w:rPr>
        <w:t xml:space="preserve">to the form by clicking the orange folder open, </w:t>
      </w:r>
      <w:r w:rsidRPr="00247D15">
        <w:rPr>
          <w:b/>
          <w:bCs/>
        </w:rPr>
        <w:t xml:space="preserve">and hit submit.  </w:t>
      </w:r>
    </w:p>
    <w:p w14:paraId="075508DB" w14:textId="35816731" w:rsidR="00567AC6" w:rsidRDefault="00567AC6" w:rsidP="00567AC6">
      <w:r>
        <w:t xml:space="preserve">If you file a multi-year form, it cannot be amended once submitted.  Funds moved will be available to draw using the next FY payment windows starting on 7/1.  </w:t>
      </w:r>
    </w:p>
    <w:p w14:paraId="4060A03D" w14:textId="39113C81" w:rsidR="000039DC" w:rsidRDefault="000039DC" w:rsidP="00567AC6">
      <w:r>
        <w:t>*Please note, the grant awards moving funding into Year 3, the certification box is mis-labeled to say “… transferred to Year 2.”  This is a typo and it is asking for certification regarding the Year 3 multi-year roll.</w:t>
      </w:r>
    </w:p>
    <w:p w14:paraId="090A96DC" w14:textId="77777777" w:rsidR="003C5FE6" w:rsidRDefault="00092DDE" w:rsidP="003C5FE6">
      <w:pPr>
        <w:jc w:val="right"/>
        <w:rPr>
          <w:b/>
          <w:bCs/>
          <w:u w:val="single"/>
        </w:rPr>
      </w:pPr>
      <w:hyperlink w:anchor="Backtotop" w:history="1">
        <w:r w:rsidR="003C5FE6" w:rsidRPr="00641610">
          <w:rPr>
            <w:rStyle w:val="Hyperlink"/>
            <w:b/>
            <w:bCs/>
          </w:rPr>
          <w:t>Back to Top</w:t>
        </w:r>
      </w:hyperlink>
    </w:p>
    <w:p w14:paraId="02B20DCD" w14:textId="6375C83F" w:rsidR="00D11425" w:rsidRPr="00D11425" w:rsidRDefault="00312115" w:rsidP="00D11425">
      <w:pPr>
        <w:spacing w:before="100" w:beforeAutospacing="1" w:after="100" w:afterAutospacing="1"/>
        <w:rPr>
          <w:b/>
          <w:bCs/>
          <w:u w:val="single"/>
        </w:rPr>
      </w:pPr>
      <w:bookmarkStart w:id="4" w:name="WhyMoveTheirOwn"/>
      <w:bookmarkStart w:id="5" w:name="IsMYRequired"/>
      <w:r>
        <w:rPr>
          <w:b/>
          <w:bCs/>
          <w:u w:val="single"/>
        </w:rPr>
        <w:t>Is Filing multi-year required</w:t>
      </w:r>
      <w:r w:rsidR="00D11425" w:rsidRPr="00D11425">
        <w:rPr>
          <w:b/>
          <w:bCs/>
          <w:u w:val="single"/>
        </w:rPr>
        <w:t>?</w:t>
      </w:r>
    </w:p>
    <w:bookmarkEnd w:id="4"/>
    <w:bookmarkEnd w:id="5"/>
    <w:p w14:paraId="5D9673ED" w14:textId="094CA0DE" w:rsidR="00312115" w:rsidRDefault="00312115" w:rsidP="00D11425">
      <w:pPr>
        <w:spacing w:before="100" w:beforeAutospacing="1" w:after="100" w:afterAutospacing="1"/>
      </w:pPr>
      <w:r>
        <w:t>No.  If you anticipate spending 100% of the grant funding in FY202</w:t>
      </w:r>
      <w:r w:rsidR="0091357B">
        <w:t>3</w:t>
      </w:r>
      <w:r>
        <w:t xml:space="preserve"> there is no need to file a multi-year delegation form.</w:t>
      </w:r>
    </w:p>
    <w:p w14:paraId="7E721383" w14:textId="481167A0" w:rsidR="00D53A18" w:rsidRDefault="00D11425" w:rsidP="00D11425">
      <w:pPr>
        <w:spacing w:before="100" w:beforeAutospacing="1" w:after="100" w:afterAutospacing="1"/>
      </w:pPr>
      <w:r>
        <w:t>Funds not moved in</w:t>
      </w:r>
      <w:r w:rsidR="00B609BC">
        <w:t>to</w:t>
      </w:r>
      <w:r>
        <w:t xml:space="preserve"> FY2</w:t>
      </w:r>
      <w:r w:rsidR="00806941">
        <w:t>4</w:t>
      </w:r>
      <w:r>
        <w:t xml:space="preserve"> will </w:t>
      </w:r>
      <w:r w:rsidR="00D53A18">
        <w:t xml:space="preserve">continue to </w:t>
      </w:r>
      <w:r>
        <w:t>be available to draw through August (8/20-</w:t>
      </w:r>
      <w:r w:rsidRPr="00B609BC">
        <w:rPr>
          <w:color w:val="FF0000"/>
        </w:rPr>
        <w:t>8/24</w:t>
      </w:r>
      <w:r>
        <w:t xml:space="preserve">).  </w:t>
      </w:r>
    </w:p>
    <w:p w14:paraId="31C64E5D" w14:textId="77777777" w:rsidR="00CA6FB9" w:rsidRDefault="00D53A18" w:rsidP="00D11425">
      <w:pPr>
        <w:spacing w:before="100" w:beforeAutospacing="1" w:after="100" w:afterAutospacing="1"/>
      </w:pPr>
      <w:r>
        <w:t xml:space="preserve">If balances remain unclaimed after the August window, DESE will roll them </w:t>
      </w:r>
      <w:r w:rsidR="00D11425">
        <w:t xml:space="preserve">automatically in September, and </w:t>
      </w:r>
      <w:r>
        <w:t xml:space="preserve">they </w:t>
      </w:r>
      <w:r w:rsidR="00D11425">
        <w:t xml:space="preserve">will be available to draw in the </w:t>
      </w:r>
      <w:r w:rsidR="00D11425">
        <w:rPr>
          <w:b/>
          <w:bCs/>
        </w:rPr>
        <w:t xml:space="preserve">October </w:t>
      </w:r>
      <w:r w:rsidR="00D11425" w:rsidRPr="00D11425">
        <w:t>window (10/20-10/31).</w:t>
      </w:r>
      <w:r w:rsidR="00D11425">
        <w:t xml:space="preserve">  </w:t>
      </w:r>
      <w:r w:rsidR="00844FFF">
        <w:t>The grant award end date will be extended at this time.</w:t>
      </w:r>
      <w:r w:rsidR="00CA6FB9">
        <w:t xml:space="preserve">  </w:t>
      </w:r>
      <w:r w:rsidR="008E4611">
        <w:t>E</w:t>
      </w:r>
      <w:r w:rsidR="00D11425">
        <w:t>xpenditures can be applied back to the summer months</w:t>
      </w:r>
      <w:r w:rsidR="000E3C96">
        <w:t>,</w:t>
      </w:r>
      <w:r w:rsidR="00D11425">
        <w:t xml:space="preserve"> if needed</w:t>
      </w:r>
      <w:r w:rsidR="000E3C96">
        <w:t>,</w:t>
      </w:r>
      <w:r w:rsidR="00D11425">
        <w:t xml:space="preserve"> since the original start date on the grant remains the same.  </w:t>
      </w:r>
    </w:p>
    <w:p w14:paraId="1F9E4860" w14:textId="77777777" w:rsidR="00806941" w:rsidRDefault="00D11425" w:rsidP="000F41DC">
      <w:pPr>
        <w:spacing w:before="100" w:beforeAutospacing="1" w:after="100" w:afterAutospacing="1"/>
      </w:pPr>
      <w:r>
        <w:t xml:space="preserve">Districts that have some high spending planned over summer may not want to wait until October to get access to the funds, so should move it by the multi-year submission due date.  </w:t>
      </w:r>
      <w:r w:rsidR="00541F88">
        <w:t xml:space="preserve">                                              </w:t>
      </w:r>
    </w:p>
    <w:p w14:paraId="6BB965EC" w14:textId="01727926" w:rsidR="003C5FE6" w:rsidRPr="00034CF9" w:rsidRDefault="00541F88" w:rsidP="00806941">
      <w:pPr>
        <w:spacing w:before="100" w:beforeAutospacing="1" w:after="100" w:afterAutospacing="1"/>
        <w:ind w:left="7920" w:firstLine="720"/>
      </w:pPr>
      <w:r>
        <w:t xml:space="preserve">    </w:t>
      </w:r>
      <w:hyperlink w:anchor="Backtotop" w:history="1">
        <w:r w:rsidR="003C5FE6" w:rsidRPr="00641610">
          <w:rPr>
            <w:rStyle w:val="Hyperlink"/>
            <w:b/>
            <w:bCs/>
          </w:rPr>
          <w:t>Back to Top</w:t>
        </w:r>
      </w:hyperlink>
    </w:p>
    <w:p w14:paraId="75740AF6" w14:textId="77777777" w:rsidR="00302245" w:rsidRDefault="00302245" w:rsidP="00BA57F2">
      <w:pPr>
        <w:rPr>
          <w:b/>
          <w:bCs/>
          <w:u w:val="single"/>
        </w:rPr>
      </w:pPr>
    </w:p>
    <w:p w14:paraId="4DAC1E83" w14:textId="3F27D06F" w:rsidR="00567AC6" w:rsidRPr="00567AC6" w:rsidRDefault="00567AC6" w:rsidP="00BA57F2">
      <w:pPr>
        <w:rPr>
          <w:b/>
          <w:bCs/>
          <w:u w:val="single"/>
        </w:rPr>
      </w:pPr>
      <w:bookmarkStart w:id="6" w:name="Errors"/>
      <w:r w:rsidRPr="00567AC6">
        <w:rPr>
          <w:b/>
          <w:bCs/>
          <w:u w:val="single"/>
        </w:rPr>
        <w:lastRenderedPageBreak/>
        <w:t>Error Messages</w:t>
      </w:r>
    </w:p>
    <w:bookmarkEnd w:id="6"/>
    <w:p w14:paraId="7166ADCA" w14:textId="65C57460" w:rsidR="00D806A2" w:rsidRDefault="00247D15" w:rsidP="00BA57F2">
      <w:r>
        <w:rPr>
          <w:b/>
          <w:bCs/>
        </w:rPr>
        <w:t xml:space="preserve">The Multi-year delegation form will prevent submission when the applicant is trying to move more into Year 2 </w:t>
      </w:r>
      <w:r w:rsidR="0039317E">
        <w:rPr>
          <w:b/>
          <w:bCs/>
        </w:rPr>
        <w:t xml:space="preserve">(or Year 3) </w:t>
      </w:r>
      <w:r>
        <w:rPr>
          <w:b/>
          <w:bCs/>
        </w:rPr>
        <w:t>than is available t</w:t>
      </w:r>
      <w:r w:rsidR="00D806A2">
        <w:rPr>
          <w:b/>
          <w:bCs/>
        </w:rPr>
        <w:t xml:space="preserve">o draw on the grant.  </w:t>
      </w:r>
      <w:r w:rsidRPr="00D806A2">
        <w:t xml:space="preserve">If </w:t>
      </w:r>
      <w:r w:rsidR="00D806A2" w:rsidRPr="00D806A2">
        <w:t xml:space="preserve">an </w:t>
      </w:r>
      <w:r w:rsidRPr="00D806A2">
        <w:t>error message</w:t>
      </w:r>
      <w:r w:rsidR="00D806A2" w:rsidRPr="00D806A2">
        <w:t xml:space="preserve"> appears</w:t>
      </w:r>
      <w:r w:rsidRPr="00D806A2">
        <w:t xml:space="preserve">, please check to make sure </w:t>
      </w:r>
      <w:r w:rsidR="00D806A2" w:rsidRPr="00D806A2">
        <w:t xml:space="preserve">the </w:t>
      </w:r>
      <w:r w:rsidRPr="00D806A2">
        <w:t>numbers</w:t>
      </w:r>
      <w:r w:rsidR="00D806A2" w:rsidRPr="00D806A2">
        <w:t xml:space="preserve"> entered</w:t>
      </w:r>
      <w:r w:rsidRPr="00D806A2">
        <w:t xml:space="preserve"> are accurate.  </w:t>
      </w:r>
    </w:p>
    <w:p w14:paraId="3C923C45" w14:textId="77777777" w:rsidR="00034CF9" w:rsidRDefault="00092DDE" w:rsidP="00034CF9">
      <w:pPr>
        <w:jc w:val="right"/>
        <w:rPr>
          <w:b/>
          <w:bCs/>
          <w:u w:val="single"/>
        </w:rPr>
      </w:pPr>
      <w:hyperlink w:anchor="Backtotop" w:history="1">
        <w:r w:rsidR="00034CF9" w:rsidRPr="00641610">
          <w:rPr>
            <w:rStyle w:val="Hyperlink"/>
            <w:b/>
            <w:bCs/>
          </w:rPr>
          <w:t>Back to Top</w:t>
        </w:r>
      </w:hyperlink>
    </w:p>
    <w:p w14:paraId="278E979D" w14:textId="22B8834B" w:rsidR="00567AC6" w:rsidRPr="00567AC6" w:rsidRDefault="00567AC6" w:rsidP="00BA57F2">
      <w:pPr>
        <w:rPr>
          <w:b/>
          <w:bCs/>
          <w:u w:val="single"/>
        </w:rPr>
      </w:pPr>
      <w:bookmarkStart w:id="7" w:name="Move0"/>
      <w:r w:rsidRPr="00567AC6">
        <w:rPr>
          <w:b/>
          <w:bCs/>
          <w:u w:val="single"/>
        </w:rPr>
        <w:t>Applicants who move $0 into the next FY</w:t>
      </w:r>
    </w:p>
    <w:bookmarkEnd w:id="7"/>
    <w:p w14:paraId="662388E6" w14:textId="38430BE1" w:rsidR="00247D15" w:rsidRDefault="00D806A2" w:rsidP="00BA57F2">
      <w:r>
        <w:t>If an applicant realizes too late that it should have moved some funds</w:t>
      </w:r>
      <w:r w:rsidR="00567AC6">
        <w:t xml:space="preserve"> and extended the grant</w:t>
      </w:r>
      <w:r>
        <w:t xml:space="preserve">, we will roll unclaimed balances in September and extend your grant end date at that time.  </w:t>
      </w:r>
      <w:r w:rsidR="00E37F1B">
        <w:t xml:space="preserve">Funds must be left unclaimed for DESE to roll them in September.  </w:t>
      </w:r>
      <w:r>
        <w:t>We cannot roll funds that you have already drawn down.</w:t>
      </w:r>
    </w:p>
    <w:p w14:paraId="262F9AC7" w14:textId="12E629B0" w:rsidR="008E4611" w:rsidRDefault="008E4611" w:rsidP="00BA57F2">
      <w:pPr>
        <w:rPr>
          <w:b/>
          <w:bCs/>
          <w:i/>
          <w:iCs/>
        </w:rPr>
      </w:pPr>
      <w:r w:rsidRPr="005E5E30">
        <w:rPr>
          <w:b/>
          <w:bCs/>
          <w:i/>
          <w:iCs/>
        </w:rPr>
        <w:t xml:space="preserve">Grantees that </w:t>
      </w:r>
      <w:r w:rsidR="005E5E30">
        <w:rPr>
          <w:b/>
          <w:bCs/>
          <w:i/>
          <w:iCs/>
        </w:rPr>
        <w:t xml:space="preserve">file FR-1 to close the grant </w:t>
      </w:r>
      <w:r w:rsidR="00E37F1B">
        <w:rPr>
          <w:b/>
          <w:bCs/>
          <w:i/>
          <w:iCs/>
        </w:rPr>
        <w:t>that</w:t>
      </w:r>
      <w:r w:rsidR="00D552CD">
        <w:rPr>
          <w:b/>
          <w:bCs/>
          <w:i/>
          <w:iCs/>
        </w:rPr>
        <w:t xml:space="preserve"> attempt to</w:t>
      </w:r>
      <w:r w:rsidRPr="005E5E30">
        <w:rPr>
          <w:b/>
          <w:bCs/>
          <w:i/>
          <w:iCs/>
        </w:rPr>
        <w:t xml:space="preserve"> return funds before the federal award end date on the grant will be told to keep the funds and continue to spend them down.  The purpose of multi-year i</w:t>
      </w:r>
      <w:r w:rsidR="005E5E30">
        <w:rPr>
          <w:b/>
          <w:bCs/>
          <w:i/>
          <w:iCs/>
        </w:rPr>
        <w:t>s</w:t>
      </w:r>
      <w:r w:rsidRPr="005E5E30">
        <w:rPr>
          <w:b/>
          <w:bCs/>
          <w:i/>
          <w:iCs/>
        </w:rPr>
        <w:t xml:space="preserve"> to prevent grant fund returns.  Please consider this as you make decisions regarding multi-year.</w:t>
      </w:r>
    </w:p>
    <w:p w14:paraId="111ED296" w14:textId="77777777" w:rsidR="00034CF9" w:rsidRDefault="00092DDE" w:rsidP="00034CF9">
      <w:pPr>
        <w:jc w:val="right"/>
        <w:rPr>
          <w:b/>
          <w:bCs/>
          <w:u w:val="single"/>
        </w:rPr>
      </w:pPr>
      <w:hyperlink w:anchor="Backtotop" w:history="1">
        <w:r w:rsidR="00034CF9" w:rsidRPr="00641610">
          <w:rPr>
            <w:rStyle w:val="Hyperlink"/>
            <w:b/>
            <w:bCs/>
          </w:rPr>
          <w:t>Back to Top</w:t>
        </w:r>
      </w:hyperlink>
    </w:p>
    <w:p w14:paraId="51079D2C" w14:textId="33264453" w:rsidR="00567AC6" w:rsidRPr="00567AC6" w:rsidRDefault="00567AC6" w:rsidP="00BA57F2">
      <w:pPr>
        <w:rPr>
          <w:b/>
          <w:bCs/>
          <w:u w:val="single"/>
        </w:rPr>
      </w:pPr>
      <w:bookmarkStart w:id="8" w:name="MultiMoreMove"/>
      <w:r w:rsidRPr="00567AC6">
        <w:rPr>
          <w:b/>
          <w:bCs/>
          <w:u w:val="single"/>
        </w:rPr>
        <w:t>What if Mult</w:t>
      </w:r>
      <w:r>
        <w:rPr>
          <w:b/>
          <w:bCs/>
          <w:u w:val="single"/>
        </w:rPr>
        <w:t>i</w:t>
      </w:r>
      <w:r w:rsidRPr="00567AC6">
        <w:rPr>
          <w:b/>
          <w:bCs/>
          <w:u w:val="single"/>
        </w:rPr>
        <w:t>-Year is filed, but more should have been moved?</w:t>
      </w:r>
    </w:p>
    <w:bookmarkEnd w:id="8"/>
    <w:p w14:paraId="7C279265" w14:textId="796B4B12" w:rsidR="00247D15" w:rsidRPr="00567AC6" w:rsidRDefault="00567AC6" w:rsidP="00BA57F2">
      <w:r>
        <w:t xml:space="preserve">Leave funds unclaimed.  </w:t>
      </w:r>
      <w:r w:rsidR="00E37F1B">
        <w:t>U</w:t>
      </w:r>
      <w:r w:rsidR="00247D15" w:rsidRPr="00567AC6">
        <w:t>nclaimed</w:t>
      </w:r>
      <w:r w:rsidR="00E37F1B">
        <w:t xml:space="preserve"> balances </w:t>
      </w:r>
      <w:r w:rsidR="00247D15" w:rsidRPr="00567AC6">
        <w:t>left in the current FY, will roll into the next FY in September, and will be available to draw down in October.</w:t>
      </w:r>
    </w:p>
    <w:p w14:paraId="29F05D28" w14:textId="024CD682" w:rsidR="00247D15" w:rsidRDefault="00247D15" w:rsidP="00BA57F2">
      <w:r>
        <w:t>For example, a grantee has a $10,000 balance left to claim.</w:t>
      </w:r>
    </w:p>
    <w:p w14:paraId="58CDE7D5" w14:textId="289B682F" w:rsidR="00247D15" w:rsidRDefault="00247D15" w:rsidP="00BA57F2">
      <w:r>
        <w:t>They submit a multi-year form moving $2,000 into the next FY.</w:t>
      </w:r>
    </w:p>
    <w:p w14:paraId="6CF89FCC" w14:textId="2076711A" w:rsidR="00247D15" w:rsidRDefault="00247D15" w:rsidP="00BA57F2">
      <w:r>
        <w:t>They now have $8,000 left to claim in current FY. ($10,000 - $2,000 moved = $8,000)</w:t>
      </w:r>
    </w:p>
    <w:p w14:paraId="4EF0B430" w14:textId="0C85514B" w:rsidR="00247D15" w:rsidRDefault="00247D15" w:rsidP="00BA57F2">
      <w:r>
        <w:t>They only claim $7,000 of the $8,000.  $1,000 will roll into the next FY in September.</w:t>
      </w:r>
    </w:p>
    <w:p w14:paraId="718C715A" w14:textId="3635AD59" w:rsidR="00247D15" w:rsidRDefault="00247D15" w:rsidP="00BA57F2">
      <w:r>
        <w:t xml:space="preserve">They will have access to draw the $2,000 they moved via multi-year form starting 7/1.  The additional $1,000 will be available to draw in the October payment window.  $1,000 </w:t>
      </w:r>
      <w:r w:rsidR="00567AC6">
        <w:t xml:space="preserve">will be added </w:t>
      </w:r>
      <w:r>
        <w:t>to whatever balance is remaining at that time (moved – drawn to date + unclaimed).</w:t>
      </w:r>
    </w:p>
    <w:p w14:paraId="1A0AB4DE" w14:textId="26E6E47B" w:rsidR="00567AC6" w:rsidRDefault="00567AC6" w:rsidP="00567AC6">
      <w:r>
        <w:t>We cannot roll funds that you have already drawn down.</w:t>
      </w:r>
    </w:p>
    <w:p w14:paraId="551386A8" w14:textId="77777777" w:rsidR="00034CF9" w:rsidRDefault="00092DDE" w:rsidP="00034CF9">
      <w:pPr>
        <w:jc w:val="right"/>
        <w:rPr>
          <w:b/>
          <w:bCs/>
          <w:u w:val="single"/>
        </w:rPr>
      </w:pPr>
      <w:hyperlink w:anchor="Backtotop" w:history="1">
        <w:r w:rsidR="00034CF9" w:rsidRPr="00641610">
          <w:rPr>
            <w:rStyle w:val="Hyperlink"/>
            <w:b/>
            <w:bCs/>
          </w:rPr>
          <w:t>Back to Top</w:t>
        </w:r>
      </w:hyperlink>
    </w:p>
    <w:p w14:paraId="0FBFE301" w14:textId="088BB2CE" w:rsidR="00D806A2" w:rsidRPr="00D636FB" w:rsidRDefault="00567AC6" w:rsidP="00BA57F2">
      <w:pPr>
        <w:rPr>
          <w:b/>
          <w:bCs/>
          <w:u w:val="single"/>
        </w:rPr>
      </w:pPr>
      <w:bookmarkStart w:id="9" w:name="MultiNotFiled"/>
      <w:r w:rsidRPr="00D636FB">
        <w:rPr>
          <w:b/>
          <w:bCs/>
          <w:u w:val="single"/>
        </w:rPr>
        <w:t xml:space="preserve">What if multi-year </w:t>
      </w:r>
      <w:r w:rsidR="00D636FB">
        <w:rPr>
          <w:b/>
          <w:bCs/>
          <w:u w:val="single"/>
        </w:rPr>
        <w:t xml:space="preserve">form is </w:t>
      </w:r>
      <w:r w:rsidRPr="00D636FB">
        <w:rPr>
          <w:b/>
          <w:bCs/>
          <w:u w:val="single"/>
        </w:rPr>
        <w:t xml:space="preserve">not filed, but funds are needed in next FY?  </w:t>
      </w:r>
    </w:p>
    <w:bookmarkEnd w:id="9"/>
    <w:p w14:paraId="16A23750" w14:textId="46E20427" w:rsidR="00D636FB" w:rsidRDefault="00567AC6" w:rsidP="00D806A2">
      <w:r>
        <w:t xml:space="preserve">Leave funds unclaimed.  We will roll the unclaimed balances into the next FY and extend the end date of </w:t>
      </w:r>
      <w:r w:rsidR="00D636FB">
        <w:t xml:space="preserve">the </w:t>
      </w:r>
      <w:r>
        <w:t xml:space="preserve">grant in September.  </w:t>
      </w:r>
      <w:r w:rsidR="00D636FB">
        <w:t>These funds rolled not using multi-year delegation form will not be able to be drawn down until October.</w:t>
      </w:r>
    </w:p>
    <w:p w14:paraId="19BBB6DF" w14:textId="0AB681E7" w:rsidR="00D806A2" w:rsidRDefault="00D806A2" w:rsidP="00D806A2">
      <w:r>
        <w:t>For example, a grantee has a $10,000 balance left to claim.</w:t>
      </w:r>
    </w:p>
    <w:p w14:paraId="5163433B" w14:textId="63A67B63" w:rsidR="00D806A2" w:rsidRDefault="00D806A2" w:rsidP="00D806A2">
      <w:r>
        <w:t xml:space="preserve">They do not file / submit a multi-year form moving funding into the next FY.  </w:t>
      </w:r>
    </w:p>
    <w:p w14:paraId="68170D71" w14:textId="4032A0A8" w:rsidR="00D806A2" w:rsidRPr="00D636FB" w:rsidRDefault="00D806A2" w:rsidP="00D806A2">
      <w:pPr>
        <w:rPr>
          <w:b/>
          <w:bCs/>
        </w:rPr>
      </w:pPr>
      <w:r>
        <w:t xml:space="preserve">They claim $8,000 in current FY, leaving a balance of $2,000 unclaimed after the </w:t>
      </w:r>
      <w:r w:rsidRPr="00D636FB">
        <w:rPr>
          <w:b/>
          <w:bCs/>
        </w:rPr>
        <w:t>final 8/20 – 8/24 multi-year draw down window.</w:t>
      </w:r>
    </w:p>
    <w:p w14:paraId="576B8E2D" w14:textId="58700362" w:rsidR="00D806A2" w:rsidRDefault="00D806A2" w:rsidP="00D806A2">
      <w:r>
        <w:lastRenderedPageBreak/>
        <w:t>In September, DESE will analyze balances left unclaimed and roll them into the next FY on behalf of the grantee.  Grantee will be able to access the $2,000 balance in October (10/20 – 10/31).  Grantee can apply these funds back to summer expenditures, as the roll in Sept</w:t>
      </w:r>
      <w:r w:rsidR="00D636FB">
        <w:t>ember</w:t>
      </w:r>
      <w:r>
        <w:t xml:space="preserve"> extends the end date of the grant and does not change the original start date of the grant.  </w:t>
      </w:r>
    </w:p>
    <w:p w14:paraId="5AE140C7" w14:textId="77777777" w:rsidR="00B4173E" w:rsidRDefault="00092DDE" w:rsidP="00B4173E">
      <w:pPr>
        <w:jc w:val="right"/>
        <w:rPr>
          <w:b/>
          <w:bCs/>
          <w:u w:val="single"/>
        </w:rPr>
      </w:pPr>
      <w:hyperlink w:anchor="Backtotop" w:history="1">
        <w:r w:rsidR="00B4173E" w:rsidRPr="00641610">
          <w:rPr>
            <w:rStyle w:val="Hyperlink"/>
            <w:b/>
            <w:bCs/>
          </w:rPr>
          <w:t>Back to Top</w:t>
        </w:r>
      </w:hyperlink>
    </w:p>
    <w:p w14:paraId="31EB2019" w14:textId="017C0C9C" w:rsidR="00D806A2" w:rsidRDefault="00BE3587" w:rsidP="00BA57F2">
      <w:pPr>
        <w:rPr>
          <w:b/>
          <w:bCs/>
          <w:u w:val="single"/>
        </w:rPr>
      </w:pPr>
      <w:bookmarkStart w:id="10" w:name="MultiDrawDownWindows"/>
      <w:r>
        <w:rPr>
          <w:b/>
          <w:bCs/>
          <w:u w:val="single"/>
        </w:rPr>
        <w:t xml:space="preserve">Post </w:t>
      </w:r>
      <w:r w:rsidR="00967293">
        <w:rPr>
          <w:b/>
          <w:bCs/>
          <w:u w:val="single"/>
        </w:rPr>
        <w:t xml:space="preserve">Multi-Year </w:t>
      </w:r>
      <w:r w:rsidR="0075246E">
        <w:rPr>
          <w:b/>
          <w:bCs/>
          <w:u w:val="single"/>
        </w:rPr>
        <w:t xml:space="preserve">Payment </w:t>
      </w:r>
      <w:r>
        <w:rPr>
          <w:b/>
          <w:bCs/>
          <w:u w:val="single"/>
        </w:rPr>
        <w:t>Request</w:t>
      </w:r>
      <w:r w:rsidR="0075246E">
        <w:rPr>
          <w:b/>
          <w:bCs/>
          <w:u w:val="single"/>
        </w:rPr>
        <w:t xml:space="preserve"> </w:t>
      </w:r>
      <w:r w:rsidR="00967293">
        <w:rPr>
          <w:b/>
          <w:bCs/>
          <w:u w:val="single"/>
        </w:rPr>
        <w:t>Windows</w:t>
      </w:r>
    </w:p>
    <w:bookmarkEnd w:id="10"/>
    <w:p w14:paraId="0761CCBE" w14:textId="339846DC" w:rsidR="00B3073A" w:rsidRDefault="00967293" w:rsidP="00BA57F2">
      <w:r w:rsidRPr="00967293">
        <w:t xml:space="preserve">Once Multi-Year occurs, </w:t>
      </w:r>
      <w:r>
        <w:t>the</w:t>
      </w:r>
      <w:r w:rsidRPr="00967293">
        <w:t xml:space="preserve"> grant award</w:t>
      </w:r>
      <w:r>
        <w:t xml:space="preserve"> </w:t>
      </w:r>
      <w:r w:rsidRPr="00B3073A">
        <w:rPr>
          <w:b/>
          <w:bCs/>
          <w:i/>
          <w:iCs/>
        </w:rPr>
        <w:t>amount</w:t>
      </w:r>
      <w:r w:rsidRPr="00967293">
        <w:t xml:space="preserve"> is now split between Year 1 and Year 2</w:t>
      </w:r>
      <w:r w:rsidR="0020004A">
        <w:t xml:space="preserve"> (or Year 2 and Year 3)</w:t>
      </w:r>
      <w:r w:rsidRPr="00967293">
        <w:t>.</w:t>
      </w:r>
      <w:r>
        <w:t xml:space="preserve">  </w:t>
      </w:r>
      <w:r w:rsidRPr="00B3073A">
        <w:rPr>
          <w:b/>
          <w:bCs/>
        </w:rPr>
        <w:t>All expenditures can be charged back to the start date on the grant, regardless of what amount was moved or remained</w:t>
      </w:r>
      <w:r w:rsidR="00357F75">
        <w:rPr>
          <w:b/>
          <w:bCs/>
        </w:rPr>
        <w:t xml:space="preserve">; </w:t>
      </w:r>
      <w:r w:rsidR="00B3073A">
        <w:rPr>
          <w:b/>
          <w:bCs/>
        </w:rPr>
        <w:t xml:space="preserve">the grant start date has not changed, the end date has been extended. </w:t>
      </w:r>
      <w:r>
        <w:t xml:space="preserve"> </w:t>
      </w:r>
    </w:p>
    <w:p w14:paraId="394ABA4A" w14:textId="3949D1A9" w:rsidR="00967293" w:rsidRPr="00967293" w:rsidRDefault="00357F75" w:rsidP="00BA57F2">
      <w:r>
        <w:t>The multi-year</w:t>
      </w:r>
      <w:r w:rsidR="00234A2C">
        <w:t xml:space="preserve"> delegation </w:t>
      </w:r>
      <w:r w:rsidR="00967293">
        <w:t>does impact when applicant</w:t>
      </w:r>
      <w:r w:rsidR="00B3073A">
        <w:t>s</w:t>
      </w:r>
      <w:r w:rsidR="00967293">
        <w:t xml:space="preserve"> </w:t>
      </w:r>
      <w:r w:rsidR="001E6B62">
        <w:t xml:space="preserve">can </w:t>
      </w:r>
      <w:r w:rsidR="00967293">
        <w:t>access or draw down the grant funds from Year 1</w:t>
      </w:r>
      <w:r w:rsidR="00234A2C">
        <w:t xml:space="preserve">, Year </w:t>
      </w:r>
      <w:proofErr w:type="gramStart"/>
      <w:r w:rsidR="00234A2C">
        <w:t>2</w:t>
      </w:r>
      <w:proofErr w:type="gramEnd"/>
      <w:r w:rsidR="00234A2C">
        <w:t xml:space="preserve"> or Year 3.  </w:t>
      </w:r>
      <w:r w:rsidR="001E6B62">
        <w:t xml:space="preserve">The window dates depend on which award </w:t>
      </w:r>
      <w:r w:rsidR="001B28C6">
        <w:t>is being drawn</w:t>
      </w:r>
      <w:r w:rsidR="001E6B62">
        <w:t>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345"/>
        <w:gridCol w:w="2160"/>
        <w:gridCol w:w="1440"/>
        <w:gridCol w:w="1530"/>
        <w:gridCol w:w="1620"/>
        <w:gridCol w:w="1440"/>
      </w:tblGrid>
      <w:tr w:rsidR="00B609BC" w14:paraId="05F49C23" w14:textId="77777777" w:rsidTr="009317B1">
        <w:tc>
          <w:tcPr>
            <w:tcW w:w="1345" w:type="dxa"/>
          </w:tcPr>
          <w:p w14:paraId="0C422067" w14:textId="7E497591" w:rsidR="00B609BC" w:rsidRDefault="00B609BC" w:rsidP="00BA57F2">
            <w:pPr>
              <w:rPr>
                <w:b/>
                <w:bCs/>
              </w:rPr>
            </w:pPr>
            <w:r>
              <w:rPr>
                <w:b/>
                <w:bCs/>
              </w:rPr>
              <w:t>Award Year</w:t>
            </w:r>
          </w:p>
        </w:tc>
        <w:tc>
          <w:tcPr>
            <w:tcW w:w="2160" w:type="dxa"/>
          </w:tcPr>
          <w:p w14:paraId="772C01BB" w14:textId="50F92E06" w:rsidR="00B609BC" w:rsidRDefault="00B609BC" w:rsidP="00BA57F2">
            <w:pPr>
              <w:rPr>
                <w:b/>
                <w:bCs/>
              </w:rPr>
            </w:pPr>
            <w:r>
              <w:rPr>
                <w:b/>
                <w:bCs/>
              </w:rPr>
              <w:t>Balances</w:t>
            </w:r>
          </w:p>
        </w:tc>
        <w:tc>
          <w:tcPr>
            <w:tcW w:w="6030" w:type="dxa"/>
            <w:gridSpan w:val="4"/>
          </w:tcPr>
          <w:p w14:paraId="71C0A130" w14:textId="150CB9F9" w:rsidR="00B609BC" w:rsidRDefault="00B609BC" w:rsidP="00BA57F2">
            <w:pPr>
              <w:rPr>
                <w:b/>
                <w:bCs/>
              </w:rPr>
            </w:pPr>
            <w:r>
              <w:rPr>
                <w:b/>
                <w:bCs/>
              </w:rPr>
              <w:t>Available Payment Request Windows</w:t>
            </w:r>
            <w:r w:rsidR="009317B1">
              <w:rPr>
                <w:b/>
                <w:bCs/>
              </w:rPr>
              <w:t xml:space="preserve"> Post Multi-Year</w:t>
            </w:r>
          </w:p>
        </w:tc>
      </w:tr>
      <w:tr w:rsidR="00FD7B40" w14:paraId="54B4D9F0" w14:textId="77777777" w:rsidTr="00E25FD0">
        <w:tc>
          <w:tcPr>
            <w:tcW w:w="1345" w:type="dxa"/>
          </w:tcPr>
          <w:p w14:paraId="35BBE54F" w14:textId="308880CD" w:rsidR="00FD7B40" w:rsidRDefault="00FD7B40" w:rsidP="00BA57F2">
            <w:r>
              <w:t>FY2023</w:t>
            </w:r>
          </w:p>
        </w:tc>
        <w:tc>
          <w:tcPr>
            <w:tcW w:w="2160" w:type="dxa"/>
          </w:tcPr>
          <w:p w14:paraId="0458DC99" w14:textId="0F77A7A6" w:rsidR="00FD7B40" w:rsidRDefault="00FD7B40" w:rsidP="00BA57F2">
            <w:r>
              <w:t>Year 1</w:t>
            </w:r>
          </w:p>
        </w:tc>
        <w:tc>
          <w:tcPr>
            <w:tcW w:w="1440" w:type="dxa"/>
          </w:tcPr>
          <w:p w14:paraId="60138557" w14:textId="4FA06A7D" w:rsidR="00FD7B40" w:rsidRDefault="00FD7B40" w:rsidP="00BA57F2">
            <w:r>
              <w:t>May 20 - 30</w:t>
            </w:r>
          </w:p>
        </w:tc>
        <w:tc>
          <w:tcPr>
            <w:tcW w:w="1530" w:type="dxa"/>
          </w:tcPr>
          <w:p w14:paraId="67EF3771" w14:textId="3C6271C1" w:rsidR="00FD7B40" w:rsidRDefault="00FD7B40" w:rsidP="00BA57F2">
            <w:r>
              <w:t>June 20 - 30</w:t>
            </w:r>
          </w:p>
        </w:tc>
        <w:tc>
          <w:tcPr>
            <w:tcW w:w="1620" w:type="dxa"/>
          </w:tcPr>
          <w:p w14:paraId="5F2EC5E9" w14:textId="29AAFBF5" w:rsidR="00FD7B40" w:rsidRDefault="00FD7B40" w:rsidP="00BA57F2">
            <w:r>
              <w:t>July 20 - 31</w:t>
            </w:r>
          </w:p>
        </w:tc>
        <w:tc>
          <w:tcPr>
            <w:tcW w:w="1440" w:type="dxa"/>
          </w:tcPr>
          <w:p w14:paraId="206B7003" w14:textId="5025E635" w:rsidR="00FD7B40" w:rsidRDefault="006C1BB3" w:rsidP="00BA57F2">
            <w:pPr>
              <w:rPr>
                <w:color w:val="FF0000"/>
              </w:rPr>
            </w:pPr>
            <w:r>
              <w:rPr>
                <w:color w:val="FF0000"/>
              </w:rPr>
              <w:t>Aug 20 – 24*</w:t>
            </w:r>
          </w:p>
        </w:tc>
      </w:tr>
      <w:tr w:rsidR="006C1BB3" w14:paraId="4D98996D" w14:textId="77777777" w:rsidTr="00E25FD0">
        <w:tc>
          <w:tcPr>
            <w:tcW w:w="1345" w:type="dxa"/>
          </w:tcPr>
          <w:p w14:paraId="1A9423E8" w14:textId="77777777" w:rsidR="006C1BB3" w:rsidRDefault="006C1BB3" w:rsidP="00BA57F2"/>
        </w:tc>
        <w:tc>
          <w:tcPr>
            <w:tcW w:w="2160" w:type="dxa"/>
          </w:tcPr>
          <w:p w14:paraId="4032314E" w14:textId="05B09367" w:rsidR="006C1BB3" w:rsidRDefault="006C1BB3" w:rsidP="00BA57F2">
            <w:r>
              <w:t>Year 2</w:t>
            </w:r>
            <w:r w:rsidR="00713D86">
              <w:t xml:space="preserve"> (funds moved)</w:t>
            </w:r>
          </w:p>
        </w:tc>
        <w:tc>
          <w:tcPr>
            <w:tcW w:w="1440" w:type="dxa"/>
          </w:tcPr>
          <w:p w14:paraId="609A55C0" w14:textId="78E8D990" w:rsidR="006C1BB3" w:rsidRDefault="006C1BB3" w:rsidP="00BA57F2">
            <w:r>
              <w:t>X</w:t>
            </w:r>
          </w:p>
        </w:tc>
        <w:tc>
          <w:tcPr>
            <w:tcW w:w="1530" w:type="dxa"/>
          </w:tcPr>
          <w:p w14:paraId="1BD88D7B" w14:textId="17EF5690" w:rsidR="006C1BB3" w:rsidRDefault="006C1BB3" w:rsidP="00BA57F2">
            <w:r>
              <w:t>X</w:t>
            </w:r>
          </w:p>
        </w:tc>
        <w:tc>
          <w:tcPr>
            <w:tcW w:w="1620" w:type="dxa"/>
          </w:tcPr>
          <w:p w14:paraId="5DB85C48" w14:textId="745E66A0" w:rsidR="006C1BB3" w:rsidRDefault="00E25FD0" w:rsidP="00BA57F2">
            <w:r>
              <w:t>July 1 – 10</w:t>
            </w:r>
          </w:p>
        </w:tc>
        <w:tc>
          <w:tcPr>
            <w:tcW w:w="1440" w:type="dxa"/>
          </w:tcPr>
          <w:p w14:paraId="04B923A1" w14:textId="1283F7C3" w:rsidR="006C1BB3" w:rsidRDefault="00E25FD0" w:rsidP="00BA57F2">
            <w:pPr>
              <w:rPr>
                <w:color w:val="FF0000"/>
              </w:rPr>
            </w:pPr>
            <w:r w:rsidRPr="00A11FF0">
              <w:t>Aug 1 - 10</w:t>
            </w:r>
          </w:p>
        </w:tc>
      </w:tr>
      <w:tr w:rsidR="00A26068" w14:paraId="1CCC58BD" w14:textId="77777777" w:rsidTr="00E25FD0">
        <w:tc>
          <w:tcPr>
            <w:tcW w:w="1345" w:type="dxa"/>
          </w:tcPr>
          <w:p w14:paraId="7EBDE399" w14:textId="1B79BAFA" w:rsidR="00A26068" w:rsidRDefault="00A26068" w:rsidP="00BA57F2">
            <w:r>
              <w:t>FY2022</w:t>
            </w:r>
          </w:p>
        </w:tc>
        <w:tc>
          <w:tcPr>
            <w:tcW w:w="2160" w:type="dxa"/>
          </w:tcPr>
          <w:p w14:paraId="55D16EF9" w14:textId="64FFA077" w:rsidR="00A26068" w:rsidRDefault="00A62136" w:rsidP="00BA57F2">
            <w:r>
              <w:t xml:space="preserve">Year </w:t>
            </w:r>
            <w:r w:rsidR="00713D86">
              <w:t>2</w:t>
            </w:r>
          </w:p>
        </w:tc>
        <w:tc>
          <w:tcPr>
            <w:tcW w:w="1440" w:type="dxa"/>
          </w:tcPr>
          <w:p w14:paraId="5E9B332D" w14:textId="00A96438" w:rsidR="00A26068" w:rsidRPr="00967293" w:rsidRDefault="00A62136" w:rsidP="00BA57F2">
            <w:r>
              <w:t>May 20 - 30</w:t>
            </w:r>
          </w:p>
        </w:tc>
        <w:tc>
          <w:tcPr>
            <w:tcW w:w="1530" w:type="dxa"/>
          </w:tcPr>
          <w:p w14:paraId="030734B2" w14:textId="22F3DE45" w:rsidR="00A26068" w:rsidRPr="00967293" w:rsidRDefault="00A62136" w:rsidP="00BA57F2">
            <w:r>
              <w:t>June 20 - 30</w:t>
            </w:r>
          </w:p>
        </w:tc>
        <w:tc>
          <w:tcPr>
            <w:tcW w:w="1620" w:type="dxa"/>
          </w:tcPr>
          <w:p w14:paraId="467D40FE" w14:textId="04AD47E3" w:rsidR="00A26068" w:rsidRPr="00967293" w:rsidRDefault="00A62136" w:rsidP="00BA57F2">
            <w:r>
              <w:t>July 20 - 31</w:t>
            </w:r>
          </w:p>
        </w:tc>
        <w:tc>
          <w:tcPr>
            <w:tcW w:w="1440" w:type="dxa"/>
          </w:tcPr>
          <w:p w14:paraId="4E33302F" w14:textId="7175E85F" w:rsidR="00A26068" w:rsidRPr="00967293" w:rsidRDefault="00A62136" w:rsidP="00BA57F2">
            <w:pPr>
              <w:rPr>
                <w:color w:val="FF0000"/>
              </w:rPr>
            </w:pPr>
            <w:r>
              <w:rPr>
                <w:color w:val="FF0000"/>
              </w:rPr>
              <w:t>Aug 20 – 24*</w:t>
            </w:r>
          </w:p>
        </w:tc>
      </w:tr>
      <w:tr w:rsidR="00A62136" w14:paraId="0D02D357" w14:textId="77777777" w:rsidTr="00E25FD0">
        <w:tc>
          <w:tcPr>
            <w:tcW w:w="1345" w:type="dxa"/>
          </w:tcPr>
          <w:p w14:paraId="578EE205" w14:textId="77777777" w:rsidR="00A62136" w:rsidRDefault="00A62136" w:rsidP="00BA57F2"/>
        </w:tc>
        <w:tc>
          <w:tcPr>
            <w:tcW w:w="2160" w:type="dxa"/>
          </w:tcPr>
          <w:p w14:paraId="1F81AC3D" w14:textId="6CC0EC25" w:rsidR="00A62136" w:rsidRDefault="00A62136" w:rsidP="00BA57F2">
            <w:r>
              <w:t xml:space="preserve">Year </w:t>
            </w:r>
            <w:r w:rsidR="00713D86">
              <w:t>3</w:t>
            </w:r>
            <w:r w:rsidR="00162538">
              <w:t xml:space="preserve"> (funds moved)</w:t>
            </w:r>
          </w:p>
        </w:tc>
        <w:tc>
          <w:tcPr>
            <w:tcW w:w="1440" w:type="dxa"/>
          </w:tcPr>
          <w:p w14:paraId="4CB97282" w14:textId="651F6906" w:rsidR="00A62136" w:rsidRPr="00967293" w:rsidRDefault="00A11FF0" w:rsidP="00BA57F2">
            <w:r>
              <w:t>X</w:t>
            </w:r>
          </w:p>
        </w:tc>
        <w:tc>
          <w:tcPr>
            <w:tcW w:w="1530" w:type="dxa"/>
          </w:tcPr>
          <w:p w14:paraId="016AB09C" w14:textId="010D0205" w:rsidR="00A62136" w:rsidRPr="00967293" w:rsidRDefault="00A11FF0" w:rsidP="00BA57F2">
            <w:r>
              <w:t>X</w:t>
            </w:r>
          </w:p>
        </w:tc>
        <w:tc>
          <w:tcPr>
            <w:tcW w:w="1620" w:type="dxa"/>
          </w:tcPr>
          <w:p w14:paraId="7505F9CE" w14:textId="6BC9BF8D" w:rsidR="00A62136" w:rsidRPr="00967293" w:rsidRDefault="00A11FF0" w:rsidP="00BA57F2">
            <w:r>
              <w:t>July 1 - 10</w:t>
            </w:r>
          </w:p>
        </w:tc>
        <w:tc>
          <w:tcPr>
            <w:tcW w:w="1440" w:type="dxa"/>
          </w:tcPr>
          <w:p w14:paraId="014D4954" w14:textId="2E799BB3" w:rsidR="00A62136" w:rsidRPr="00967293" w:rsidRDefault="00A11FF0" w:rsidP="00BA57F2">
            <w:pPr>
              <w:rPr>
                <w:color w:val="FF0000"/>
              </w:rPr>
            </w:pPr>
            <w:r w:rsidRPr="00A11FF0">
              <w:t>Aug 1 - 10</w:t>
            </w:r>
          </w:p>
        </w:tc>
      </w:tr>
    </w:tbl>
    <w:p w14:paraId="1146B53F" w14:textId="0DB92691" w:rsidR="00967293" w:rsidRDefault="00967293" w:rsidP="00BA57F2">
      <w:pPr>
        <w:rPr>
          <w:b/>
          <w:bCs/>
        </w:rPr>
      </w:pPr>
    </w:p>
    <w:p w14:paraId="13092DFE" w14:textId="66F3C2E4" w:rsidR="00B3073A" w:rsidRPr="00CB775A" w:rsidRDefault="001E6B62" w:rsidP="00BA57F2">
      <w:pPr>
        <w:rPr>
          <w:b/>
          <w:bCs/>
          <w:color w:val="FF0000"/>
          <w:u w:val="single"/>
        </w:rPr>
      </w:pPr>
      <w:r w:rsidRPr="00CB775A">
        <w:rPr>
          <w:color w:val="FF0000"/>
        </w:rPr>
        <w:t>*</w:t>
      </w:r>
      <w:r w:rsidR="00CB775A">
        <w:rPr>
          <w:color w:val="FF0000"/>
        </w:rPr>
        <w:t xml:space="preserve">This window is only available for multi-year grants.  </w:t>
      </w:r>
      <w:r w:rsidRPr="00CB775A">
        <w:rPr>
          <w:color w:val="FF0000"/>
        </w:rPr>
        <w:t>The August window for the outgoing FY is shortened so that DESE can ensure all payments clear by the Comptroller’s Accounts Payable deadline for FY2021 payments.</w:t>
      </w:r>
      <w:r w:rsidR="00B609BC" w:rsidRPr="00CB775A">
        <w:rPr>
          <w:color w:val="FF0000"/>
        </w:rPr>
        <w:t xml:space="preserve">  </w:t>
      </w:r>
      <w:r w:rsidR="00B609BC" w:rsidRPr="00CB775A">
        <w:rPr>
          <w:b/>
          <w:bCs/>
          <w:color w:val="FF0000"/>
          <w:u w:val="single"/>
        </w:rPr>
        <w:t>All other grants final window is July 20 – 31</w:t>
      </w:r>
      <w:r w:rsidR="00E37F1B" w:rsidRPr="00CB775A">
        <w:rPr>
          <w:b/>
          <w:bCs/>
          <w:color w:val="FF0000"/>
          <w:u w:val="single"/>
        </w:rPr>
        <w:t xml:space="preserve">, even </w:t>
      </w:r>
      <w:r w:rsidR="00CB775A">
        <w:rPr>
          <w:b/>
          <w:bCs/>
          <w:color w:val="FF0000"/>
          <w:u w:val="single"/>
        </w:rPr>
        <w:t xml:space="preserve">for grant that end </w:t>
      </w:r>
      <w:r w:rsidR="00E37F1B" w:rsidRPr="00CB775A">
        <w:rPr>
          <w:b/>
          <w:bCs/>
          <w:color w:val="FF0000"/>
          <w:u w:val="single"/>
        </w:rPr>
        <w:t>8/31</w:t>
      </w:r>
      <w:r w:rsidR="00B609BC" w:rsidRPr="00CB775A">
        <w:rPr>
          <w:b/>
          <w:bCs/>
          <w:color w:val="FF0000"/>
          <w:u w:val="single"/>
        </w:rPr>
        <w:t>.</w:t>
      </w:r>
    </w:p>
    <w:p w14:paraId="7AFFB99E" w14:textId="10FDFE53" w:rsidR="001E6B62" w:rsidRPr="001B28C6" w:rsidRDefault="001E6B62" w:rsidP="00BA57F2">
      <w:pPr>
        <w:rPr>
          <w:b/>
          <w:bCs/>
        </w:rPr>
      </w:pPr>
      <w:r w:rsidRPr="001B28C6">
        <w:rPr>
          <w:b/>
          <w:bCs/>
        </w:rPr>
        <w:t xml:space="preserve">DESE expects that grantees will shift expenditures as needed to </w:t>
      </w:r>
      <w:r w:rsidR="00594188" w:rsidRPr="001B28C6">
        <w:rPr>
          <w:b/>
          <w:bCs/>
        </w:rPr>
        <w:t>fully expend the oldest award first</w:t>
      </w:r>
      <w:r w:rsidR="00D17BED" w:rsidRPr="001B28C6">
        <w:rPr>
          <w:b/>
          <w:bCs/>
        </w:rPr>
        <w:t>.</w:t>
      </w:r>
    </w:p>
    <w:p w14:paraId="45D9015F" w14:textId="77777777" w:rsidR="00B4173E" w:rsidRDefault="00092DDE" w:rsidP="00B4173E">
      <w:pPr>
        <w:jc w:val="right"/>
        <w:rPr>
          <w:b/>
          <w:bCs/>
          <w:u w:val="single"/>
        </w:rPr>
      </w:pPr>
      <w:hyperlink w:anchor="Backtotop" w:history="1">
        <w:r w:rsidR="00B4173E" w:rsidRPr="00641610">
          <w:rPr>
            <w:rStyle w:val="Hyperlink"/>
            <w:b/>
            <w:bCs/>
          </w:rPr>
          <w:t>Back to Top</w:t>
        </w:r>
      </w:hyperlink>
    </w:p>
    <w:p w14:paraId="4EF0250A" w14:textId="77777777" w:rsidR="00B4173E" w:rsidRPr="001E6B62" w:rsidRDefault="00B4173E" w:rsidP="00BA57F2"/>
    <w:sectPr w:rsidR="00B4173E" w:rsidRPr="001E6B62" w:rsidSect="00505AE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80E6C"/>
    <w:multiLevelType w:val="hybridMultilevel"/>
    <w:tmpl w:val="04D4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F2"/>
    <w:rsid w:val="000039DC"/>
    <w:rsid w:val="000077F0"/>
    <w:rsid w:val="0002156C"/>
    <w:rsid w:val="00034CF9"/>
    <w:rsid w:val="00040A46"/>
    <w:rsid w:val="00042E12"/>
    <w:rsid w:val="0006300F"/>
    <w:rsid w:val="00091111"/>
    <w:rsid w:val="00092DDE"/>
    <w:rsid w:val="000E3C96"/>
    <w:rsid w:val="000F41DC"/>
    <w:rsid w:val="000F72B6"/>
    <w:rsid w:val="00162538"/>
    <w:rsid w:val="00167DDA"/>
    <w:rsid w:val="00172004"/>
    <w:rsid w:val="00180693"/>
    <w:rsid w:val="001B28C6"/>
    <w:rsid w:val="001E6B62"/>
    <w:rsid w:val="0020004A"/>
    <w:rsid w:val="00234A2C"/>
    <w:rsid w:val="00247D15"/>
    <w:rsid w:val="00281492"/>
    <w:rsid w:val="002B2A6D"/>
    <w:rsid w:val="002B7738"/>
    <w:rsid w:val="00302245"/>
    <w:rsid w:val="0030227B"/>
    <w:rsid w:val="00312115"/>
    <w:rsid w:val="00357F75"/>
    <w:rsid w:val="0039317E"/>
    <w:rsid w:val="003958CD"/>
    <w:rsid w:val="003A0573"/>
    <w:rsid w:val="003B7F2F"/>
    <w:rsid w:val="003C5FE6"/>
    <w:rsid w:val="003E2E41"/>
    <w:rsid w:val="00400421"/>
    <w:rsid w:val="004251E5"/>
    <w:rsid w:val="00430816"/>
    <w:rsid w:val="004455B0"/>
    <w:rsid w:val="00505AEF"/>
    <w:rsid w:val="00541F88"/>
    <w:rsid w:val="00567AC6"/>
    <w:rsid w:val="00594188"/>
    <w:rsid w:val="005B575A"/>
    <w:rsid w:val="005E5E30"/>
    <w:rsid w:val="00612762"/>
    <w:rsid w:val="00641610"/>
    <w:rsid w:val="00653416"/>
    <w:rsid w:val="006631B6"/>
    <w:rsid w:val="006C1BB3"/>
    <w:rsid w:val="00713D86"/>
    <w:rsid w:val="00744410"/>
    <w:rsid w:val="0075246E"/>
    <w:rsid w:val="007733EC"/>
    <w:rsid w:val="007A7BA4"/>
    <w:rsid w:val="00806941"/>
    <w:rsid w:val="00844FFF"/>
    <w:rsid w:val="00865A76"/>
    <w:rsid w:val="008E4611"/>
    <w:rsid w:val="008E52BF"/>
    <w:rsid w:val="008F329E"/>
    <w:rsid w:val="0091357B"/>
    <w:rsid w:val="009317B1"/>
    <w:rsid w:val="009454BA"/>
    <w:rsid w:val="00967293"/>
    <w:rsid w:val="00A11FF0"/>
    <w:rsid w:val="00A26068"/>
    <w:rsid w:val="00A5473D"/>
    <w:rsid w:val="00A62136"/>
    <w:rsid w:val="00A77AF9"/>
    <w:rsid w:val="00AB1BA7"/>
    <w:rsid w:val="00AD4FCD"/>
    <w:rsid w:val="00AE2B62"/>
    <w:rsid w:val="00AF1D30"/>
    <w:rsid w:val="00B26F49"/>
    <w:rsid w:val="00B3073A"/>
    <w:rsid w:val="00B4173E"/>
    <w:rsid w:val="00B609BC"/>
    <w:rsid w:val="00B63F74"/>
    <w:rsid w:val="00BA57F2"/>
    <w:rsid w:val="00BE3587"/>
    <w:rsid w:val="00C0532D"/>
    <w:rsid w:val="00C43AA4"/>
    <w:rsid w:val="00C45A92"/>
    <w:rsid w:val="00CA6FB9"/>
    <w:rsid w:val="00CB7049"/>
    <w:rsid w:val="00CB775A"/>
    <w:rsid w:val="00D031B8"/>
    <w:rsid w:val="00D11425"/>
    <w:rsid w:val="00D17BED"/>
    <w:rsid w:val="00D53A18"/>
    <w:rsid w:val="00D552CD"/>
    <w:rsid w:val="00D636FB"/>
    <w:rsid w:val="00D806A2"/>
    <w:rsid w:val="00DD25D3"/>
    <w:rsid w:val="00E25FD0"/>
    <w:rsid w:val="00E37F1B"/>
    <w:rsid w:val="00EB7A95"/>
    <w:rsid w:val="00FC7CB2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ACF3"/>
  <w15:chartTrackingRefBased/>
  <w15:docId w15:val="{DA7DFCD4-DB1F-4773-89EB-744DAB1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7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36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341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6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4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4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410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3A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dgrants.eoe.mass.edu/grantium/index.js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e.mass.edu/grant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D193-1C76-4E81-91B2-F632BF23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Multi-Year FAQ and How To</dc:title>
  <dc:subject/>
  <dc:creator>DESE</dc:creator>
  <cp:keywords/>
  <dc:description/>
  <cp:lastModifiedBy>Zou, Dong (EOE)</cp:lastModifiedBy>
  <cp:revision>74</cp:revision>
  <dcterms:created xsi:type="dcterms:W3CDTF">2021-04-29T20:59:00Z</dcterms:created>
  <dcterms:modified xsi:type="dcterms:W3CDTF">2023-05-02T21:07:00Z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 2023 12:00AM</vt:lpwstr>
  </property>
</Properties>
</file>