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176" w:rsidRDefault="003E4176" w:rsidP="006B7269">
      <w:pPr>
        <w:pStyle w:val="Title"/>
        <w:rPr>
          <w:rFonts w:ascii="Arial" w:hAnsi="Arial" w:cs="Arial"/>
          <w:sz w:val="32"/>
          <w:szCs w:val="32"/>
        </w:rPr>
      </w:pPr>
      <w:bookmarkStart w:id="0" w:name="_GoBack"/>
      <w:bookmarkEnd w:id="0"/>
    </w:p>
    <w:p w:rsidR="00D05FA8" w:rsidRDefault="00DB5946" w:rsidP="006B7269">
      <w:pPr>
        <w:pStyle w:val="Title"/>
        <w:rPr>
          <w:rFonts w:ascii="Arial" w:hAnsi="Arial" w:cs="Arial"/>
          <w:sz w:val="32"/>
          <w:szCs w:val="32"/>
        </w:rPr>
      </w:pPr>
      <w:r>
        <w:rPr>
          <w:rFonts w:ascii="Arial" w:hAnsi="Arial" w:cs="Arial"/>
          <w:sz w:val="32"/>
          <w:szCs w:val="32"/>
        </w:rPr>
        <w:t xml:space="preserve">Title I, Part D </w:t>
      </w:r>
      <w:r w:rsidR="00D05FA8">
        <w:rPr>
          <w:rFonts w:ascii="Arial" w:hAnsi="Arial" w:cs="Arial"/>
          <w:sz w:val="32"/>
          <w:szCs w:val="32"/>
        </w:rPr>
        <w:t xml:space="preserve">Subpart 2 </w:t>
      </w:r>
      <w:r>
        <w:rPr>
          <w:rFonts w:ascii="Arial" w:hAnsi="Arial" w:cs="Arial"/>
          <w:sz w:val="32"/>
          <w:szCs w:val="32"/>
        </w:rPr>
        <w:t xml:space="preserve">Annual Count </w:t>
      </w:r>
    </w:p>
    <w:p w:rsidR="006B7269" w:rsidRDefault="00532468" w:rsidP="006B7269">
      <w:pPr>
        <w:pStyle w:val="Title"/>
        <w:rPr>
          <w:rFonts w:ascii="Arial" w:hAnsi="Arial" w:cs="Arial"/>
          <w:sz w:val="32"/>
          <w:szCs w:val="32"/>
        </w:rPr>
      </w:pPr>
      <w:r>
        <w:rPr>
          <w:rFonts w:ascii="Arial" w:hAnsi="Arial" w:cs="Arial"/>
          <w:sz w:val="32"/>
          <w:szCs w:val="32"/>
        </w:rPr>
        <w:t xml:space="preserve">Institution </w:t>
      </w:r>
      <w:r w:rsidR="006B7269">
        <w:rPr>
          <w:rFonts w:ascii="Arial" w:hAnsi="Arial" w:cs="Arial"/>
          <w:sz w:val="32"/>
          <w:szCs w:val="32"/>
        </w:rPr>
        <w:t>Definitions</w:t>
      </w:r>
      <w:r w:rsidR="004A01CC">
        <w:rPr>
          <w:rFonts w:ascii="Arial" w:hAnsi="Arial" w:cs="Arial"/>
          <w:sz w:val="32"/>
          <w:szCs w:val="32"/>
        </w:rPr>
        <w:t xml:space="preserve"> </w:t>
      </w:r>
      <w:r>
        <w:rPr>
          <w:rFonts w:ascii="Arial" w:hAnsi="Arial" w:cs="Arial"/>
          <w:sz w:val="32"/>
          <w:szCs w:val="32"/>
        </w:rPr>
        <w:t xml:space="preserve">and Counting </w:t>
      </w:r>
      <w:r w:rsidR="004A01CC">
        <w:rPr>
          <w:rFonts w:ascii="Arial" w:hAnsi="Arial" w:cs="Arial"/>
          <w:sz w:val="32"/>
          <w:szCs w:val="32"/>
        </w:rPr>
        <w:t>Guidance</w:t>
      </w:r>
    </w:p>
    <w:p w:rsidR="00532468" w:rsidRPr="00532468" w:rsidRDefault="00532468" w:rsidP="000C2208">
      <w:pPr>
        <w:rPr>
          <w:rFonts w:ascii="Calibri" w:hAnsi="Calibri"/>
          <w:b/>
          <w:sz w:val="22"/>
          <w:szCs w:val="22"/>
          <w:u w:val="single"/>
        </w:rPr>
      </w:pPr>
      <w:r w:rsidRPr="00532468">
        <w:rPr>
          <w:rFonts w:ascii="Calibri" w:hAnsi="Calibri"/>
          <w:b/>
          <w:sz w:val="22"/>
          <w:szCs w:val="22"/>
          <w:u w:val="single"/>
        </w:rPr>
        <w:t>Definitions of Institutions:</w:t>
      </w:r>
    </w:p>
    <w:p w:rsidR="00532468" w:rsidRDefault="00532468" w:rsidP="000C2208">
      <w:pPr>
        <w:rPr>
          <w:rFonts w:ascii="Calibri" w:hAnsi="Calibri"/>
          <w:sz w:val="22"/>
          <w:szCs w:val="22"/>
        </w:rPr>
      </w:pPr>
    </w:p>
    <w:p w:rsidR="000C2208" w:rsidRDefault="000C2208" w:rsidP="000C2208">
      <w:pPr>
        <w:rPr>
          <w:rFonts w:ascii="Calibri" w:hAnsi="Calibri"/>
          <w:sz w:val="22"/>
          <w:szCs w:val="22"/>
        </w:rPr>
      </w:pPr>
      <w:r w:rsidRPr="008A01F8">
        <w:rPr>
          <w:rFonts w:ascii="Calibri" w:hAnsi="Calibri"/>
          <w:sz w:val="22"/>
          <w:szCs w:val="22"/>
        </w:rPr>
        <w:t>The definition</w:t>
      </w:r>
      <w:r w:rsidR="008A01F8">
        <w:rPr>
          <w:rFonts w:ascii="Calibri" w:hAnsi="Calibri"/>
          <w:sz w:val="22"/>
          <w:szCs w:val="22"/>
        </w:rPr>
        <w:t>s</w:t>
      </w:r>
      <w:r w:rsidRPr="008A01F8">
        <w:rPr>
          <w:rFonts w:ascii="Calibri" w:hAnsi="Calibri"/>
          <w:sz w:val="22"/>
          <w:szCs w:val="22"/>
        </w:rPr>
        <w:t xml:space="preserve"> of institutions </w:t>
      </w:r>
      <w:r w:rsidR="00C5189C" w:rsidRPr="008A01F8">
        <w:rPr>
          <w:rFonts w:ascii="Calibri" w:hAnsi="Calibri"/>
          <w:sz w:val="22"/>
          <w:szCs w:val="22"/>
        </w:rPr>
        <w:t>(facilities</w:t>
      </w:r>
      <w:r w:rsidR="00C5189C">
        <w:rPr>
          <w:rFonts w:ascii="Calibri" w:hAnsi="Calibri"/>
          <w:sz w:val="22"/>
          <w:szCs w:val="22"/>
        </w:rPr>
        <w:t xml:space="preserve">) </w:t>
      </w:r>
      <w:r w:rsidRPr="006B7269">
        <w:rPr>
          <w:rFonts w:ascii="Calibri" w:hAnsi="Calibri"/>
          <w:sz w:val="22"/>
          <w:szCs w:val="22"/>
        </w:rPr>
        <w:t xml:space="preserve">for neglected or delinquent children and youth can be found </w:t>
      </w:r>
      <w:r w:rsidRPr="008A01F8">
        <w:rPr>
          <w:rFonts w:ascii="Calibri" w:hAnsi="Calibri"/>
          <w:sz w:val="22"/>
          <w:szCs w:val="22"/>
        </w:rPr>
        <w:t xml:space="preserve">in </w:t>
      </w:r>
      <w:hyperlink r:id="rId12" w:anchor="sec1432" w:tooltip="http://www.neglected-delinquent.org/nd/resources/legislate/intro.asp#sec1432" w:history="1">
        <w:r w:rsidRPr="008A01F8">
          <w:rPr>
            <w:rStyle w:val="Hyperlink"/>
            <w:rFonts w:ascii="Calibri" w:hAnsi="Calibri"/>
            <w:color w:val="auto"/>
            <w:sz w:val="22"/>
            <w:szCs w:val="22"/>
            <w:u w:val="none"/>
          </w:rPr>
          <w:t>Section 1432</w:t>
        </w:r>
      </w:hyperlink>
      <w:r w:rsidRPr="008A01F8">
        <w:rPr>
          <w:rFonts w:ascii="Calibri" w:hAnsi="Calibri"/>
          <w:sz w:val="22"/>
          <w:szCs w:val="22"/>
        </w:rPr>
        <w:t xml:space="preserve"> of</w:t>
      </w:r>
      <w:r w:rsidRPr="006B7269">
        <w:rPr>
          <w:rFonts w:ascii="Calibri" w:hAnsi="Calibri"/>
          <w:sz w:val="22"/>
          <w:szCs w:val="22"/>
        </w:rPr>
        <w:t xml:space="preserve"> the </w:t>
      </w:r>
      <w:r w:rsidR="00D64ED6">
        <w:rPr>
          <w:rFonts w:ascii="Calibri" w:hAnsi="Calibri"/>
          <w:sz w:val="22"/>
          <w:szCs w:val="22"/>
        </w:rPr>
        <w:t xml:space="preserve">federal </w:t>
      </w:r>
      <w:r w:rsidR="008A01F8">
        <w:rPr>
          <w:rFonts w:ascii="Calibri" w:hAnsi="Calibri"/>
          <w:sz w:val="22"/>
          <w:szCs w:val="22"/>
        </w:rPr>
        <w:t>statute:</w:t>
      </w:r>
    </w:p>
    <w:p w:rsidR="00D64ED6" w:rsidRPr="006B7269" w:rsidRDefault="00D64ED6" w:rsidP="000C2208">
      <w:pPr>
        <w:rPr>
          <w:rFonts w:ascii="Calibri" w:hAnsi="Calibri"/>
          <w:sz w:val="22"/>
          <w:szCs w:val="22"/>
        </w:rPr>
      </w:pPr>
    </w:p>
    <w:p w:rsidR="000C2208" w:rsidRDefault="000C2208" w:rsidP="005A5DEF">
      <w:pPr>
        <w:pStyle w:val="msolistparagraph0"/>
        <w:numPr>
          <w:ilvl w:val="0"/>
          <w:numId w:val="5"/>
        </w:numPr>
        <w:rPr>
          <w:rFonts w:ascii="Calibri" w:hAnsi="Calibri"/>
          <w:sz w:val="22"/>
          <w:szCs w:val="22"/>
        </w:rPr>
      </w:pPr>
      <w:r w:rsidRPr="006B7269">
        <w:rPr>
          <w:rFonts w:ascii="Calibri" w:hAnsi="Calibri"/>
          <w:b/>
          <w:sz w:val="22"/>
          <w:szCs w:val="22"/>
        </w:rPr>
        <w:t xml:space="preserve">An institution for </w:t>
      </w:r>
      <w:r w:rsidRPr="008A01F8">
        <w:rPr>
          <w:rFonts w:ascii="Calibri" w:hAnsi="Calibri"/>
          <w:b/>
          <w:sz w:val="22"/>
          <w:szCs w:val="22"/>
          <w:u w:val="single"/>
        </w:rPr>
        <w:t xml:space="preserve">neglected </w:t>
      </w:r>
      <w:r w:rsidRPr="006B7269">
        <w:rPr>
          <w:rFonts w:ascii="Calibri" w:hAnsi="Calibri"/>
          <w:b/>
          <w:sz w:val="22"/>
          <w:szCs w:val="22"/>
        </w:rPr>
        <w:t>children and youth</w:t>
      </w:r>
      <w:r w:rsidRPr="006B7269">
        <w:rPr>
          <w:rFonts w:ascii="Calibri" w:hAnsi="Calibri"/>
          <w:sz w:val="22"/>
          <w:szCs w:val="22"/>
        </w:rPr>
        <w:t xml:space="preserve"> is “a public or private residential facility, other than a foster home, that is operated for the care of children who have been committed to the institution or voluntarily placed in the institution under applicable State law, due to abandonment, neglect, or death of their parents or guardians.” </w:t>
      </w:r>
    </w:p>
    <w:p w:rsidR="00D64ED6" w:rsidRPr="006B7269" w:rsidRDefault="00D64ED6" w:rsidP="00D64ED6">
      <w:pPr>
        <w:pStyle w:val="msolistparagraph0"/>
        <w:ind w:left="0"/>
        <w:rPr>
          <w:rFonts w:ascii="Calibri" w:hAnsi="Calibri"/>
          <w:sz w:val="22"/>
          <w:szCs w:val="22"/>
        </w:rPr>
      </w:pPr>
    </w:p>
    <w:p w:rsidR="000C2208" w:rsidRPr="006B7269" w:rsidRDefault="000C2208" w:rsidP="005A5DEF">
      <w:pPr>
        <w:pStyle w:val="msolistparagraph0"/>
        <w:numPr>
          <w:ilvl w:val="0"/>
          <w:numId w:val="5"/>
        </w:numPr>
        <w:rPr>
          <w:rFonts w:ascii="Calibri" w:hAnsi="Calibri"/>
          <w:sz w:val="22"/>
          <w:szCs w:val="22"/>
        </w:rPr>
      </w:pPr>
      <w:r w:rsidRPr="006B7269">
        <w:rPr>
          <w:rFonts w:ascii="Calibri" w:hAnsi="Calibri"/>
          <w:b/>
          <w:sz w:val="22"/>
          <w:szCs w:val="22"/>
        </w:rPr>
        <w:t xml:space="preserve">An institution for </w:t>
      </w:r>
      <w:r w:rsidRPr="008A01F8">
        <w:rPr>
          <w:rFonts w:ascii="Calibri" w:hAnsi="Calibri"/>
          <w:b/>
          <w:sz w:val="22"/>
          <w:szCs w:val="22"/>
          <w:u w:val="single"/>
        </w:rPr>
        <w:t>del</w:t>
      </w:r>
      <w:r w:rsidR="00B55CD1" w:rsidRPr="008A01F8">
        <w:rPr>
          <w:rFonts w:ascii="Calibri" w:hAnsi="Calibri"/>
          <w:b/>
          <w:sz w:val="22"/>
          <w:szCs w:val="22"/>
          <w:u w:val="single"/>
        </w:rPr>
        <w:t>inquent</w:t>
      </w:r>
      <w:r w:rsidR="00B55CD1" w:rsidRPr="006B7269">
        <w:rPr>
          <w:rFonts w:ascii="Calibri" w:hAnsi="Calibri"/>
          <w:b/>
          <w:sz w:val="22"/>
          <w:szCs w:val="22"/>
        </w:rPr>
        <w:t xml:space="preserve"> children and youth</w:t>
      </w:r>
      <w:r w:rsidR="00B55CD1" w:rsidRPr="006B7269">
        <w:rPr>
          <w:rFonts w:ascii="Calibri" w:hAnsi="Calibri"/>
          <w:sz w:val="22"/>
          <w:szCs w:val="22"/>
        </w:rPr>
        <w:t xml:space="preserve"> is </w:t>
      </w:r>
      <w:r w:rsidRPr="006B7269">
        <w:rPr>
          <w:rFonts w:ascii="Calibri" w:hAnsi="Calibri"/>
          <w:sz w:val="22"/>
          <w:szCs w:val="22"/>
        </w:rPr>
        <w:t>“a public or private residential facility for the care of children who have been adjudicated to be delinquent or in need of supervision.”</w:t>
      </w:r>
    </w:p>
    <w:p w:rsidR="000C2208" w:rsidRPr="006B7269" w:rsidRDefault="000C2208" w:rsidP="000C2208">
      <w:pPr>
        <w:rPr>
          <w:rFonts w:ascii="Calibri" w:hAnsi="Calibri"/>
          <w:sz w:val="22"/>
          <w:szCs w:val="22"/>
        </w:rPr>
      </w:pPr>
    </w:p>
    <w:p w:rsidR="000C2208" w:rsidRDefault="008A01F8" w:rsidP="00C5189C">
      <w:pPr>
        <w:pStyle w:val="default"/>
        <w:rPr>
          <w:rFonts w:ascii="Calibri" w:hAnsi="Calibri"/>
          <w:sz w:val="22"/>
          <w:szCs w:val="22"/>
        </w:rPr>
      </w:pPr>
      <w:r>
        <w:rPr>
          <w:rFonts w:ascii="Calibri" w:hAnsi="Calibri"/>
          <w:color w:val="auto"/>
          <w:sz w:val="22"/>
          <w:szCs w:val="22"/>
        </w:rPr>
        <w:t>N</w:t>
      </w:r>
      <w:r w:rsidR="006368BE">
        <w:rPr>
          <w:rFonts w:ascii="Calibri" w:hAnsi="Calibri"/>
          <w:color w:val="auto"/>
          <w:sz w:val="22"/>
          <w:szCs w:val="22"/>
        </w:rPr>
        <w:t xml:space="preserve">ote that </w:t>
      </w:r>
      <w:r w:rsidR="00C5189C">
        <w:rPr>
          <w:rFonts w:ascii="Calibri" w:hAnsi="Calibri"/>
          <w:sz w:val="22"/>
          <w:szCs w:val="22"/>
        </w:rPr>
        <w:t xml:space="preserve">if an </w:t>
      </w:r>
      <w:r>
        <w:rPr>
          <w:rFonts w:ascii="Calibri" w:hAnsi="Calibri"/>
          <w:sz w:val="22"/>
          <w:szCs w:val="22"/>
        </w:rPr>
        <w:t xml:space="preserve">institution was originally </w:t>
      </w:r>
      <w:r w:rsidR="000C2208" w:rsidRPr="006B7269">
        <w:rPr>
          <w:rFonts w:ascii="Calibri" w:hAnsi="Calibri"/>
          <w:sz w:val="22"/>
          <w:szCs w:val="22"/>
        </w:rPr>
        <w:t xml:space="preserve">chartered as a facility that serves delinquent children, yet the majority of children served in that institution are </w:t>
      </w:r>
      <w:r>
        <w:rPr>
          <w:rFonts w:ascii="Calibri" w:hAnsi="Calibri"/>
          <w:sz w:val="22"/>
          <w:szCs w:val="22"/>
        </w:rPr>
        <w:t xml:space="preserve">now </w:t>
      </w:r>
      <w:r w:rsidR="000C2208" w:rsidRPr="006B7269">
        <w:rPr>
          <w:rFonts w:ascii="Calibri" w:hAnsi="Calibri"/>
          <w:sz w:val="22"/>
          <w:szCs w:val="22"/>
        </w:rPr>
        <w:t>consid</w:t>
      </w:r>
      <w:r>
        <w:rPr>
          <w:rFonts w:ascii="Calibri" w:hAnsi="Calibri"/>
          <w:sz w:val="22"/>
          <w:szCs w:val="22"/>
        </w:rPr>
        <w:t xml:space="preserve">ered neglected because they have been </w:t>
      </w:r>
      <w:r w:rsidR="000C2208" w:rsidRPr="006B7269">
        <w:rPr>
          <w:rFonts w:ascii="Calibri" w:hAnsi="Calibri"/>
          <w:sz w:val="22"/>
          <w:szCs w:val="22"/>
        </w:rPr>
        <w:t xml:space="preserve">committed to the institution or voluntarily placed in the institution under applicable State law due to abandonment, neglect, or death of their parents or guardians, then all of the children in that institution still should be counted as delinquents. The </w:t>
      </w:r>
      <w:r w:rsidR="00C5189C">
        <w:rPr>
          <w:rFonts w:ascii="Calibri" w:hAnsi="Calibri"/>
          <w:sz w:val="22"/>
          <w:szCs w:val="22"/>
        </w:rPr>
        <w:t>S</w:t>
      </w:r>
      <w:r w:rsidR="002D7F8D">
        <w:rPr>
          <w:rFonts w:ascii="Calibri" w:hAnsi="Calibri"/>
          <w:sz w:val="22"/>
          <w:szCs w:val="22"/>
        </w:rPr>
        <w:t>tate</w:t>
      </w:r>
      <w:r w:rsidR="005A5DEF">
        <w:rPr>
          <w:rFonts w:ascii="Calibri" w:hAnsi="Calibri"/>
          <w:sz w:val="22"/>
          <w:szCs w:val="22"/>
        </w:rPr>
        <w:t xml:space="preserve"> </w:t>
      </w:r>
      <w:r w:rsidR="000C2208" w:rsidRPr="006B7269">
        <w:rPr>
          <w:rFonts w:ascii="Calibri" w:hAnsi="Calibri"/>
          <w:sz w:val="22"/>
          <w:szCs w:val="22"/>
        </w:rPr>
        <w:t>count</w:t>
      </w:r>
      <w:r w:rsidR="005A5DEF">
        <w:rPr>
          <w:rFonts w:ascii="Calibri" w:hAnsi="Calibri"/>
          <w:sz w:val="22"/>
          <w:szCs w:val="22"/>
        </w:rPr>
        <w:t>s</w:t>
      </w:r>
      <w:r w:rsidR="000C2208" w:rsidRPr="006B7269">
        <w:rPr>
          <w:rFonts w:ascii="Calibri" w:hAnsi="Calibri"/>
          <w:sz w:val="22"/>
          <w:szCs w:val="22"/>
        </w:rPr>
        <w:t xml:space="preserve"> all of the children in such an institution as delinquent unless its charter and p</w:t>
      </w:r>
      <w:r w:rsidR="00C5189C">
        <w:rPr>
          <w:rFonts w:ascii="Calibri" w:hAnsi="Calibri"/>
          <w:sz w:val="22"/>
          <w:szCs w:val="22"/>
        </w:rPr>
        <w:t>urpose change</w:t>
      </w:r>
      <w:r w:rsidR="00F17EC9">
        <w:rPr>
          <w:rFonts w:ascii="Calibri" w:hAnsi="Calibri"/>
          <w:sz w:val="22"/>
          <w:szCs w:val="22"/>
        </w:rPr>
        <w:t>.</w:t>
      </w:r>
    </w:p>
    <w:p w:rsidR="00532468" w:rsidRDefault="00532468" w:rsidP="00C5189C">
      <w:pPr>
        <w:pStyle w:val="default"/>
        <w:pBdr>
          <w:bottom w:val="single" w:sz="6" w:space="1" w:color="auto"/>
        </w:pBdr>
        <w:rPr>
          <w:rFonts w:ascii="Calibri" w:hAnsi="Calibri"/>
          <w:sz w:val="22"/>
          <w:szCs w:val="22"/>
        </w:rPr>
      </w:pPr>
    </w:p>
    <w:p w:rsidR="00532468" w:rsidRDefault="00532468" w:rsidP="00C5189C">
      <w:pPr>
        <w:pStyle w:val="default"/>
        <w:rPr>
          <w:rFonts w:ascii="Calibri" w:hAnsi="Calibri"/>
          <w:sz w:val="22"/>
          <w:szCs w:val="22"/>
        </w:rPr>
      </w:pPr>
    </w:p>
    <w:p w:rsidR="00532468" w:rsidRPr="00026ED7" w:rsidRDefault="00532468" w:rsidP="00532468">
      <w:pPr>
        <w:rPr>
          <w:rFonts w:ascii="Calibri" w:hAnsi="Calibri"/>
          <w:b/>
          <w:sz w:val="22"/>
          <w:szCs w:val="22"/>
          <w:u w:val="single"/>
        </w:rPr>
      </w:pPr>
      <w:r w:rsidRPr="00026ED7">
        <w:rPr>
          <w:rFonts w:ascii="Calibri" w:hAnsi="Calibri"/>
          <w:b/>
          <w:sz w:val="22"/>
          <w:szCs w:val="22"/>
          <w:u w:val="single"/>
        </w:rPr>
        <w:t>Counting Eligible Students:</w:t>
      </w:r>
    </w:p>
    <w:p w:rsidR="00532468" w:rsidRDefault="00532468" w:rsidP="00532468">
      <w:pPr>
        <w:rPr>
          <w:rFonts w:asciiTheme="minorHAnsi" w:hAnsiTheme="minorHAnsi"/>
          <w:sz w:val="22"/>
          <w:szCs w:val="22"/>
          <w:u w:val="single"/>
        </w:rPr>
      </w:pPr>
    </w:p>
    <w:p w:rsidR="00532468" w:rsidRPr="00026ED7" w:rsidRDefault="00532468" w:rsidP="00532468">
      <w:pPr>
        <w:rPr>
          <w:rFonts w:ascii="Calibri" w:hAnsi="Calibri"/>
          <w:sz w:val="22"/>
          <w:szCs w:val="22"/>
        </w:rPr>
      </w:pPr>
      <w:r w:rsidRPr="00026ED7">
        <w:rPr>
          <w:rFonts w:ascii="Calibri" w:hAnsi="Calibri"/>
          <w:sz w:val="22"/>
          <w:szCs w:val="22"/>
        </w:rPr>
        <w:t xml:space="preserve">In order to be eligible to be counted, </w:t>
      </w:r>
      <w:r w:rsidRPr="00026ED7">
        <w:rPr>
          <w:rFonts w:ascii="Calibri" w:hAnsi="Calibri"/>
          <w:sz w:val="22"/>
          <w:szCs w:val="22"/>
          <w:u w:val="single"/>
        </w:rPr>
        <w:t xml:space="preserve">a child </w:t>
      </w:r>
      <w:r w:rsidR="00F32433" w:rsidRPr="00026ED7">
        <w:rPr>
          <w:rFonts w:ascii="Calibri" w:hAnsi="Calibri"/>
          <w:sz w:val="22"/>
          <w:szCs w:val="22"/>
          <w:u w:val="single"/>
        </w:rPr>
        <w:t>age 5</w:t>
      </w:r>
      <w:r w:rsidRPr="00026ED7">
        <w:rPr>
          <w:rFonts w:ascii="Calibri" w:hAnsi="Calibri"/>
          <w:sz w:val="22"/>
          <w:szCs w:val="22"/>
          <w:u w:val="single"/>
        </w:rPr>
        <w:t xml:space="preserve"> through 17</w:t>
      </w:r>
      <w:r w:rsidRPr="00026ED7">
        <w:rPr>
          <w:rFonts w:ascii="Calibri" w:hAnsi="Calibri"/>
          <w:sz w:val="22"/>
          <w:szCs w:val="22"/>
        </w:rPr>
        <w:t xml:space="preserve"> must live in a locally operated facility that meets the definition of an institution for neglected children, an institution for delinquent children as provided in Section 1432 (above) of the Title I statute.  </w:t>
      </w:r>
      <w:r w:rsidR="008A01F8" w:rsidRPr="00026ED7">
        <w:rPr>
          <w:rFonts w:ascii="Calibri" w:hAnsi="Calibri"/>
          <w:sz w:val="22"/>
          <w:szCs w:val="22"/>
        </w:rPr>
        <w:t>Note that</w:t>
      </w:r>
    </w:p>
    <w:p w:rsidR="00532468" w:rsidRPr="00026ED7" w:rsidRDefault="00532468" w:rsidP="00532468">
      <w:pPr>
        <w:rPr>
          <w:rFonts w:ascii="Calibri" w:hAnsi="Calibri"/>
          <w:sz w:val="22"/>
          <w:szCs w:val="22"/>
        </w:rPr>
      </w:pPr>
      <w:r w:rsidRPr="00026ED7">
        <w:rPr>
          <w:rFonts w:ascii="Calibri" w:hAnsi="Calibri"/>
          <w:sz w:val="22"/>
          <w:szCs w:val="22"/>
        </w:rPr>
        <w:t xml:space="preserve">it is not necessary to differentiate between children/youth </w:t>
      </w:r>
      <w:r w:rsidR="00C77E01" w:rsidRPr="00026ED7">
        <w:rPr>
          <w:rFonts w:ascii="Calibri" w:hAnsi="Calibri"/>
          <w:sz w:val="22"/>
          <w:szCs w:val="22"/>
        </w:rPr>
        <w:t>that</w:t>
      </w:r>
      <w:r w:rsidRPr="00026ED7">
        <w:rPr>
          <w:rFonts w:ascii="Calibri" w:hAnsi="Calibri"/>
          <w:sz w:val="22"/>
          <w:szCs w:val="22"/>
        </w:rPr>
        <w:t xml:space="preserve"> are ‘neglected’ versus those who are ‘delinquent’ within a given fa</w:t>
      </w:r>
      <w:r w:rsidR="008A01F8" w:rsidRPr="00026ED7">
        <w:rPr>
          <w:rFonts w:ascii="Calibri" w:hAnsi="Calibri"/>
          <w:sz w:val="22"/>
          <w:szCs w:val="22"/>
        </w:rPr>
        <w:t>cility; i</w:t>
      </w:r>
      <w:r w:rsidRPr="00026ED7">
        <w:rPr>
          <w:rFonts w:ascii="Calibri" w:hAnsi="Calibri"/>
          <w:sz w:val="22"/>
          <w:szCs w:val="22"/>
        </w:rPr>
        <w:t xml:space="preserve">t is the </w:t>
      </w:r>
      <w:r w:rsidRPr="00026ED7">
        <w:rPr>
          <w:rFonts w:ascii="Calibri" w:hAnsi="Calibri"/>
          <w:i/>
          <w:sz w:val="22"/>
          <w:szCs w:val="22"/>
        </w:rPr>
        <w:t>facility</w:t>
      </w:r>
      <w:r w:rsidRPr="00026ED7">
        <w:rPr>
          <w:rFonts w:ascii="Calibri" w:hAnsi="Calibri"/>
          <w:sz w:val="22"/>
          <w:szCs w:val="22"/>
        </w:rPr>
        <w:t xml:space="preserve"> that gets the neglected or delinquent distinction, not the child/youth.  This protects children/youth from potentially uncomfortable labeling.</w:t>
      </w:r>
    </w:p>
    <w:p w:rsidR="00532468" w:rsidRPr="00026ED7" w:rsidRDefault="00532468" w:rsidP="00532468">
      <w:pPr>
        <w:ind w:left="1080"/>
        <w:rPr>
          <w:rFonts w:ascii="Calibri" w:hAnsi="Calibri"/>
          <w:sz w:val="22"/>
          <w:szCs w:val="22"/>
        </w:rPr>
      </w:pPr>
    </w:p>
    <w:p w:rsidR="00532468" w:rsidRPr="00026ED7" w:rsidRDefault="008A01F8" w:rsidP="008A01F8">
      <w:pPr>
        <w:rPr>
          <w:rFonts w:ascii="Calibri" w:hAnsi="Calibri"/>
          <w:sz w:val="22"/>
          <w:szCs w:val="22"/>
        </w:rPr>
      </w:pPr>
      <w:r w:rsidRPr="00026ED7">
        <w:rPr>
          <w:rFonts w:ascii="Calibri" w:hAnsi="Calibri"/>
          <w:sz w:val="22"/>
          <w:szCs w:val="22"/>
        </w:rPr>
        <w:t xml:space="preserve">As noted above, </w:t>
      </w:r>
      <w:r w:rsidR="00532468" w:rsidRPr="00026ED7">
        <w:rPr>
          <w:rFonts w:ascii="Calibri" w:hAnsi="Calibri"/>
          <w:sz w:val="22"/>
          <w:szCs w:val="22"/>
        </w:rPr>
        <w:t>if the facility was chartered o</w:t>
      </w:r>
      <w:r w:rsidRPr="00026ED7">
        <w:rPr>
          <w:rFonts w:ascii="Calibri" w:hAnsi="Calibri"/>
          <w:sz w:val="22"/>
          <w:szCs w:val="22"/>
        </w:rPr>
        <w:t xml:space="preserve">riginally as either </w:t>
      </w:r>
      <w:r w:rsidR="00532468" w:rsidRPr="00026ED7">
        <w:rPr>
          <w:rFonts w:ascii="Calibri" w:hAnsi="Calibri"/>
          <w:sz w:val="22"/>
          <w:szCs w:val="22"/>
        </w:rPr>
        <w:t>Neglected or Delinquent, then that designation should</w:t>
      </w:r>
      <w:r w:rsidRPr="00026ED7">
        <w:rPr>
          <w:rFonts w:ascii="Calibri" w:hAnsi="Calibri"/>
          <w:sz w:val="22"/>
          <w:szCs w:val="22"/>
        </w:rPr>
        <w:t xml:space="preserve"> carry forward to the present. </w:t>
      </w:r>
    </w:p>
    <w:p w:rsidR="00532468" w:rsidRPr="00026ED7" w:rsidRDefault="00532468" w:rsidP="00532468">
      <w:pPr>
        <w:rPr>
          <w:rFonts w:ascii="Calibri" w:hAnsi="Calibri"/>
          <w:sz w:val="22"/>
          <w:szCs w:val="22"/>
          <w:u w:val="single"/>
        </w:rPr>
      </w:pPr>
    </w:p>
    <w:p w:rsidR="00532468" w:rsidRPr="00026ED7" w:rsidRDefault="008A01F8" w:rsidP="00676F9F">
      <w:pPr>
        <w:rPr>
          <w:rFonts w:ascii="Calibri" w:hAnsi="Calibri"/>
          <w:iCs/>
          <w:sz w:val="22"/>
          <w:szCs w:val="22"/>
        </w:rPr>
      </w:pPr>
      <w:r w:rsidRPr="00026ED7">
        <w:rPr>
          <w:rFonts w:ascii="Calibri" w:hAnsi="Calibri"/>
          <w:bCs/>
          <w:sz w:val="22"/>
          <w:szCs w:val="22"/>
        </w:rPr>
        <w:t xml:space="preserve">Finally, </w:t>
      </w:r>
      <w:r w:rsidR="00FC7853">
        <w:rPr>
          <w:rFonts w:ascii="Calibri" w:hAnsi="Calibri"/>
          <w:iCs/>
          <w:sz w:val="22"/>
          <w:szCs w:val="22"/>
        </w:rPr>
        <w:t>t</w:t>
      </w:r>
      <w:r w:rsidRPr="00026ED7">
        <w:rPr>
          <w:rFonts w:ascii="Calibri" w:hAnsi="Calibri"/>
          <w:iCs/>
          <w:sz w:val="22"/>
          <w:szCs w:val="22"/>
        </w:rPr>
        <w:t xml:space="preserve">he caseload data refers to </w:t>
      </w:r>
      <w:r w:rsidR="00532468" w:rsidRPr="00026ED7">
        <w:rPr>
          <w:rFonts w:ascii="Calibri" w:hAnsi="Calibri"/>
          <w:iCs/>
          <w:sz w:val="22"/>
          <w:szCs w:val="22"/>
        </w:rPr>
        <w:t>the number of children who live in an eligible institution for at least one day during a 30 consecutive day period, at least one day of which falls within the month of October</w:t>
      </w:r>
      <w:r w:rsidRPr="00026ED7">
        <w:rPr>
          <w:rFonts w:ascii="Calibri" w:hAnsi="Calibri"/>
          <w:iCs/>
          <w:sz w:val="22"/>
          <w:szCs w:val="22"/>
        </w:rPr>
        <w:t>.</w:t>
      </w:r>
    </w:p>
    <w:p w:rsidR="005A5DEF" w:rsidRPr="00026ED7" w:rsidRDefault="005A5DEF" w:rsidP="00C5189C">
      <w:pPr>
        <w:pStyle w:val="indent1"/>
        <w:rPr>
          <w:rFonts w:ascii="Calibri" w:hAnsi="Calibri"/>
          <w:color w:val="000000"/>
          <w:sz w:val="22"/>
          <w:szCs w:val="22"/>
        </w:rPr>
      </w:pPr>
    </w:p>
    <w:p w:rsidR="00C5189C" w:rsidRPr="00532468" w:rsidRDefault="00C5189C" w:rsidP="00C5189C">
      <w:pPr>
        <w:pStyle w:val="indent1"/>
        <w:rPr>
          <w:rFonts w:asciiTheme="minorHAnsi" w:hAnsiTheme="minorHAnsi"/>
          <w:color w:val="000000"/>
          <w:sz w:val="22"/>
          <w:szCs w:val="22"/>
        </w:rPr>
      </w:pPr>
    </w:p>
    <w:p w:rsidR="000C2208" w:rsidRPr="00532468" w:rsidRDefault="000C2208" w:rsidP="000C2208">
      <w:pPr>
        <w:pStyle w:val="indent1"/>
        <w:rPr>
          <w:rFonts w:asciiTheme="minorHAnsi" w:hAnsiTheme="minorHAnsi"/>
          <w:color w:val="1F497D"/>
          <w:sz w:val="22"/>
          <w:szCs w:val="22"/>
        </w:rPr>
      </w:pPr>
    </w:p>
    <w:p w:rsidR="0010691E" w:rsidRPr="00532468" w:rsidRDefault="0010691E" w:rsidP="00D64ED6">
      <w:pPr>
        <w:rPr>
          <w:rFonts w:asciiTheme="minorHAnsi" w:hAnsiTheme="minorHAnsi"/>
          <w:color w:val="000000"/>
          <w:sz w:val="22"/>
          <w:szCs w:val="22"/>
        </w:rPr>
      </w:pPr>
    </w:p>
    <w:sectPr w:rsidR="0010691E" w:rsidRPr="00532468" w:rsidSect="008414CA">
      <w:headerReference w:type="default"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7F9" w:rsidRDefault="001237F9">
      <w:r>
        <w:separator/>
      </w:r>
    </w:p>
  </w:endnote>
  <w:endnote w:type="continuationSeparator" w:id="0">
    <w:p w:rsidR="001237F9" w:rsidRDefault="0012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E01" w:rsidRPr="006346E6" w:rsidRDefault="006346E6" w:rsidP="006346E6">
    <w:pPr>
      <w:pStyle w:val="Footer"/>
      <w:jc w:val="right"/>
      <w:rPr>
        <w:rFonts w:ascii="Calibri" w:hAnsi="Calibri" w:cs="Calibri"/>
        <w:b/>
        <w:sz w:val="20"/>
        <w:szCs w:val="20"/>
      </w:rPr>
    </w:pPr>
    <w:r>
      <w:rPr>
        <w:rFonts w:ascii="Calibri" w:hAnsi="Calibri" w:cs="Calibri"/>
        <w:b/>
        <w:sz w:val="20"/>
        <w:szCs w:val="20"/>
      </w:rPr>
      <w:tab/>
      <w:t xml:space="preserve">      </w:t>
    </w:r>
    <w:r w:rsidR="00C77E01" w:rsidRPr="006346E6">
      <w:rPr>
        <w:rFonts w:ascii="Calibri" w:hAnsi="Calibri" w:cs="Calibri"/>
        <w:b/>
        <w:sz w:val="20"/>
        <w:szCs w:val="20"/>
      </w:rPr>
      <w:t>Massachusetts Department of Elementary and Secondary Education</w:t>
    </w:r>
  </w:p>
  <w:p w:rsidR="00C77E01" w:rsidRPr="006346E6" w:rsidRDefault="006346E6" w:rsidP="006346E6">
    <w:pPr>
      <w:pStyle w:val="Footer"/>
      <w:jc w:val="right"/>
      <w:rPr>
        <w:rFonts w:ascii="Calibri" w:hAnsi="Calibri" w:cs="Calibri"/>
        <w:b/>
        <w:sz w:val="20"/>
        <w:szCs w:val="20"/>
      </w:rPr>
    </w:pPr>
    <w:r>
      <w:rPr>
        <w:rFonts w:ascii="Calibri" w:hAnsi="Calibri" w:cs="Calibri"/>
        <w:b/>
        <w:sz w:val="20"/>
        <w:szCs w:val="20"/>
      </w:rPr>
      <w:tab/>
    </w:r>
    <w:r>
      <w:rPr>
        <w:rFonts w:ascii="Calibri" w:hAnsi="Calibri" w:cs="Calibri"/>
        <w:b/>
        <w:sz w:val="20"/>
        <w:szCs w:val="20"/>
      </w:rPr>
      <w:tab/>
    </w:r>
    <w:r w:rsidR="00C77E01" w:rsidRPr="006346E6">
      <w:rPr>
        <w:rFonts w:ascii="Calibri" w:hAnsi="Calibri" w:cs="Calibri"/>
        <w:b/>
        <w:sz w:val="20"/>
        <w:szCs w:val="20"/>
      </w:rPr>
      <w:t>Title I Neglected and Delinquent Annual Count</w:t>
    </w:r>
  </w:p>
  <w:p w:rsidR="00C77E01" w:rsidRPr="006346E6" w:rsidRDefault="00C77E01" w:rsidP="00D64ED6">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7F9" w:rsidRDefault="001237F9">
      <w:r>
        <w:separator/>
      </w:r>
    </w:p>
  </w:footnote>
  <w:footnote w:type="continuationSeparator" w:id="0">
    <w:p w:rsidR="001237F9" w:rsidRDefault="00123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E01" w:rsidRPr="00D64ED6" w:rsidRDefault="00C77E01" w:rsidP="00D64ED6">
    <w:pPr>
      <w:pStyle w:val="Header"/>
      <w:jc w:val="right"/>
      <w:rPr>
        <w:rFonts w:ascii="Calibri" w:hAnsi="Calibri"/>
      </w:rPr>
    </w:pPr>
    <w:r w:rsidRPr="00D64ED6">
      <w:rPr>
        <w:rFonts w:ascii="Calibri" w:hAnsi="Calibri"/>
        <w:sz w:val="20"/>
        <w:szCs w:val="20"/>
      </w:rPr>
      <w:t>Last Updated 1</w:t>
    </w:r>
    <w:r w:rsidR="006346E6">
      <w:rPr>
        <w:rFonts w:ascii="Calibri" w:hAnsi="Calibri"/>
        <w:sz w:val="20"/>
        <w:szCs w:val="20"/>
      </w:rPr>
      <w:t>0/</w:t>
    </w:r>
    <w:r w:rsidR="00262AC6">
      <w:rPr>
        <w:rFonts w:ascii="Calibri" w:hAnsi="Calibri"/>
        <w:sz w:val="20"/>
        <w:szCs w:val="20"/>
      </w:rPr>
      <w:t>31</w:t>
    </w:r>
    <w:r w:rsidR="006346E6">
      <w:rPr>
        <w:rFonts w:ascii="Calibri" w:hAnsi="Calibri"/>
        <w:sz w:val="20"/>
        <w:szCs w:val="20"/>
      </w:rPr>
      <w:t>/</w:t>
    </w:r>
    <w:r w:rsidR="008379FC">
      <w:rPr>
        <w:rFonts w:ascii="Calibri" w:hAnsi="Calibri"/>
        <w:sz w:val="20"/>
        <w:szCs w:val="20"/>
      </w:rPr>
      <w:t>20</w:t>
    </w:r>
    <w:r w:rsidR="00D461E0">
      <w:rPr>
        <w:rFonts w:ascii="Calibri" w:hAnsi="Calibri"/>
        <w:sz w:val="20"/>
        <w:szCs w:val="20"/>
      </w:rPr>
      <w:t>1</w:t>
    </w:r>
    <w:r w:rsidR="00262AC6">
      <w:rPr>
        <w:rFonts w:ascii="Calibri" w:hAnsi="Calibri"/>
        <w:sz w:val="20"/>
        <w:szCs w:val="20"/>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6FBA"/>
    <w:multiLevelType w:val="hybridMultilevel"/>
    <w:tmpl w:val="07DE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16015"/>
    <w:multiLevelType w:val="hybridMultilevel"/>
    <w:tmpl w:val="83746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D0348"/>
    <w:multiLevelType w:val="hybridMultilevel"/>
    <w:tmpl w:val="2702ECF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 w15:restartNumberingAfterBreak="0">
    <w:nsid w:val="1A0F73AA"/>
    <w:multiLevelType w:val="hybridMultilevel"/>
    <w:tmpl w:val="AE883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83D2D"/>
    <w:multiLevelType w:val="hybridMultilevel"/>
    <w:tmpl w:val="5720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3C7C59"/>
    <w:multiLevelType w:val="hybridMultilevel"/>
    <w:tmpl w:val="60BC8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4A3617"/>
    <w:multiLevelType w:val="hybridMultilevel"/>
    <w:tmpl w:val="D36C7B30"/>
    <w:lvl w:ilvl="0" w:tplc="69D690A0">
      <w:start w:val="1"/>
      <w:numFmt w:val="decimal"/>
      <w:lvlText w:val="%1."/>
      <w:lvlJc w:val="left"/>
      <w:pPr>
        <w:ind w:left="108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3"/>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208"/>
    <w:rsid w:val="00026ED7"/>
    <w:rsid w:val="00032474"/>
    <w:rsid w:val="00054BA8"/>
    <w:rsid w:val="000608A0"/>
    <w:rsid w:val="0006791D"/>
    <w:rsid w:val="00076EA6"/>
    <w:rsid w:val="0008013A"/>
    <w:rsid w:val="00086B26"/>
    <w:rsid w:val="00087944"/>
    <w:rsid w:val="000A4D20"/>
    <w:rsid w:val="000B3849"/>
    <w:rsid w:val="000B7FB6"/>
    <w:rsid w:val="000C2208"/>
    <w:rsid w:val="000C41E7"/>
    <w:rsid w:val="000E0270"/>
    <w:rsid w:val="000E0409"/>
    <w:rsid w:val="000E08A1"/>
    <w:rsid w:val="000F2A81"/>
    <w:rsid w:val="000F3DA5"/>
    <w:rsid w:val="0010691E"/>
    <w:rsid w:val="001237F9"/>
    <w:rsid w:val="00123F27"/>
    <w:rsid w:val="00124DF0"/>
    <w:rsid w:val="00133B91"/>
    <w:rsid w:val="00144A3E"/>
    <w:rsid w:val="00154584"/>
    <w:rsid w:val="00157A2C"/>
    <w:rsid w:val="001602FA"/>
    <w:rsid w:val="00162F44"/>
    <w:rsid w:val="001758A7"/>
    <w:rsid w:val="00176EA9"/>
    <w:rsid w:val="00195A25"/>
    <w:rsid w:val="00196019"/>
    <w:rsid w:val="001B2072"/>
    <w:rsid w:val="001F3E2A"/>
    <w:rsid w:val="00212DF0"/>
    <w:rsid w:val="00225948"/>
    <w:rsid w:val="002506D7"/>
    <w:rsid w:val="00262AC6"/>
    <w:rsid w:val="002719FA"/>
    <w:rsid w:val="0029715D"/>
    <w:rsid w:val="002B43BC"/>
    <w:rsid w:val="002C01FC"/>
    <w:rsid w:val="002D135D"/>
    <w:rsid w:val="002D4447"/>
    <w:rsid w:val="002D7F62"/>
    <w:rsid w:val="002D7F8D"/>
    <w:rsid w:val="002E4685"/>
    <w:rsid w:val="00310B7D"/>
    <w:rsid w:val="00310FF0"/>
    <w:rsid w:val="003172D3"/>
    <w:rsid w:val="003340C5"/>
    <w:rsid w:val="003442FA"/>
    <w:rsid w:val="00351821"/>
    <w:rsid w:val="003771D1"/>
    <w:rsid w:val="00382619"/>
    <w:rsid w:val="003A4A21"/>
    <w:rsid w:val="003A5C6B"/>
    <w:rsid w:val="003C7D25"/>
    <w:rsid w:val="003D1184"/>
    <w:rsid w:val="003E34F6"/>
    <w:rsid w:val="003E4176"/>
    <w:rsid w:val="003E5662"/>
    <w:rsid w:val="003F2EAE"/>
    <w:rsid w:val="00403425"/>
    <w:rsid w:val="00407F7B"/>
    <w:rsid w:val="004163ED"/>
    <w:rsid w:val="00416CB2"/>
    <w:rsid w:val="00440E43"/>
    <w:rsid w:val="00446779"/>
    <w:rsid w:val="004479B0"/>
    <w:rsid w:val="00471440"/>
    <w:rsid w:val="004A01CC"/>
    <w:rsid w:val="004A6617"/>
    <w:rsid w:val="004B241F"/>
    <w:rsid w:val="004C037C"/>
    <w:rsid w:val="004F318D"/>
    <w:rsid w:val="00500178"/>
    <w:rsid w:val="00513BD9"/>
    <w:rsid w:val="00515491"/>
    <w:rsid w:val="00532468"/>
    <w:rsid w:val="00533F44"/>
    <w:rsid w:val="00542743"/>
    <w:rsid w:val="005440E2"/>
    <w:rsid w:val="005455E9"/>
    <w:rsid w:val="00564257"/>
    <w:rsid w:val="00571537"/>
    <w:rsid w:val="005A5DEF"/>
    <w:rsid w:val="005B1D38"/>
    <w:rsid w:val="005C6449"/>
    <w:rsid w:val="005F5D2A"/>
    <w:rsid w:val="00613F61"/>
    <w:rsid w:val="006346E6"/>
    <w:rsid w:val="006368BE"/>
    <w:rsid w:val="00637074"/>
    <w:rsid w:val="0063725C"/>
    <w:rsid w:val="00640837"/>
    <w:rsid w:val="00643B7D"/>
    <w:rsid w:val="00652E98"/>
    <w:rsid w:val="00676F9F"/>
    <w:rsid w:val="00677D98"/>
    <w:rsid w:val="00686AAF"/>
    <w:rsid w:val="006A3BDD"/>
    <w:rsid w:val="006A4757"/>
    <w:rsid w:val="006B7269"/>
    <w:rsid w:val="006C40D3"/>
    <w:rsid w:val="006D0CE7"/>
    <w:rsid w:val="006E272E"/>
    <w:rsid w:val="00706E3B"/>
    <w:rsid w:val="0071242E"/>
    <w:rsid w:val="00716AEB"/>
    <w:rsid w:val="00742BC4"/>
    <w:rsid w:val="00755B37"/>
    <w:rsid w:val="00782F0B"/>
    <w:rsid w:val="00786262"/>
    <w:rsid w:val="007C4147"/>
    <w:rsid w:val="007E2A31"/>
    <w:rsid w:val="007E4FDA"/>
    <w:rsid w:val="008125BF"/>
    <w:rsid w:val="008238FB"/>
    <w:rsid w:val="008379FC"/>
    <w:rsid w:val="008414CA"/>
    <w:rsid w:val="00844005"/>
    <w:rsid w:val="00844C7D"/>
    <w:rsid w:val="008577E5"/>
    <w:rsid w:val="00870A5E"/>
    <w:rsid w:val="00882196"/>
    <w:rsid w:val="0088291B"/>
    <w:rsid w:val="008A01F8"/>
    <w:rsid w:val="008A2A12"/>
    <w:rsid w:val="008D00E8"/>
    <w:rsid w:val="008E1EF4"/>
    <w:rsid w:val="008E258E"/>
    <w:rsid w:val="008F0198"/>
    <w:rsid w:val="008F665A"/>
    <w:rsid w:val="008F75AF"/>
    <w:rsid w:val="009037EE"/>
    <w:rsid w:val="00936B2F"/>
    <w:rsid w:val="00954091"/>
    <w:rsid w:val="00957DAC"/>
    <w:rsid w:val="009604D7"/>
    <w:rsid w:val="0096358F"/>
    <w:rsid w:val="0097225A"/>
    <w:rsid w:val="00985C8B"/>
    <w:rsid w:val="00990371"/>
    <w:rsid w:val="00992C5E"/>
    <w:rsid w:val="009A2DC6"/>
    <w:rsid w:val="009B3D10"/>
    <w:rsid w:val="009D7FEA"/>
    <w:rsid w:val="009F0B85"/>
    <w:rsid w:val="00A11BA7"/>
    <w:rsid w:val="00A12FD4"/>
    <w:rsid w:val="00A21016"/>
    <w:rsid w:val="00A21ABE"/>
    <w:rsid w:val="00A223A9"/>
    <w:rsid w:val="00A3293F"/>
    <w:rsid w:val="00A35D86"/>
    <w:rsid w:val="00A4108E"/>
    <w:rsid w:val="00A42301"/>
    <w:rsid w:val="00A8044C"/>
    <w:rsid w:val="00AA0288"/>
    <w:rsid w:val="00AA2FD7"/>
    <w:rsid w:val="00AD285B"/>
    <w:rsid w:val="00AD60F0"/>
    <w:rsid w:val="00AE11C7"/>
    <w:rsid w:val="00AF5ADE"/>
    <w:rsid w:val="00B21975"/>
    <w:rsid w:val="00B327D8"/>
    <w:rsid w:val="00B42CDC"/>
    <w:rsid w:val="00B55CD1"/>
    <w:rsid w:val="00B5751A"/>
    <w:rsid w:val="00B61675"/>
    <w:rsid w:val="00B807C2"/>
    <w:rsid w:val="00BA18D7"/>
    <w:rsid w:val="00BA2470"/>
    <w:rsid w:val="00BB087E"/>
    <w:rsid w:val="00BB6984"/>
    <w:rsid w:val="00BF19D1"/>
    <w:rsid w:val="00C04A44"/>
    <w:rsid w:val="00C125B6"/>
    <w:rsid w:val="00C1640E"/>
    <w:rsid w:val="00C452C1"/>
    <w:rsid w:val="00C5189C"/>
    <w:rsid w:val="00C563FE"/>
    <w:rsid w:val="00C60432"/>
    <w:rsid w:val="00C66290"/>
    <w:rsid w:val="00C737B6"/>
    <w:rsid w:val="00C77E01"/>
    <w:rsid w:val="00C820D9"/>
    <w:rsid w:val="00C92782"/>
    <w:rsid w:val="00CD2271"/>
    <w:rsid w:val="00CD3017"/>
    <w:rsid w:val="00CE2A90"/>
    <w:rsid w:val="00CE7B93"/>
    <w:rsid w:val="00D05FA8"/>
    <w:rsid w:val="00D103B9"/>
    <w:rsid w:val="00D14C35"/>
    <w:rsid w:val="00D357E3"/>
    <w:rsid w:val="00D37AE4"/>
    <w:rsid w:val="00D461E0"/>
    <w:rsid w:val="00D64ED6"/>
    <w:rsid w:val="00D66399"/>
    <w:rsid w:val="00D70EE0"/>
    <w:rsid w:val="00D733ED"/>
    <w:rsid w:val="00D874A4"/>
    <w:rsid w:val="00D90FED"/>
    <w:rsid w:val="00D94F79"/>
    <w:rsid w:val="00DA49F0"/>
    <w:rsid w:val="00DA7E55"/>
    <w:rsid w:val="00DB5946"/>
    <w:rsid w:val="00DC09D1"/>
    <w:rsid w:val="00DC36F4"/>
    <w:rsid w:val="00DF154A"/>
    <w:rsid w:val="00DF5F76"/>
    <w:rsid w:val="00E15546"/>
    <w:rsid w:val="00E24C7C"/>
    <w:rsid w:val="00E3435C"/>
    <w:rsid w:val="00E346B4"/>
    <w:rsid w:val="00E41D58"/>
    <w:rsid w:val="00E701A3"/>
    <w:rsid w:val="00E82DB2"/>
    <w:rsid w:val="00E8794C"/>
    <w:rsid w:val="00EA022E"/>
    <w:rsid w:val="00EA6209"/>
    <w:rsid w:val="00EC0F74"/>
    <w:rsid w:val="00EC4C4B"/>
    <w:rsid w:val="00ED2DB8"/>
    <w:rsid w:val="00EE10D6"/>
    <w:rsid w:val="00EE1D42"/>
    <w:rsid w:val="00F019E1"/>
    <w:rsid w:val="00F072C2"/>
    <w:rsid w:val="00F17EC9"/>
    <w:rsid w:val="00F260B6"/>
    <w:rsid w:val="00F32433"/>
    <w:rsid w:val="00F510D2"/>
    <w:rsid w:val="00F7205B"/>
    <w:rsid w:val="00FC7853"/>
    <w:rsid w:val="00FD06D2"/>
    <w:rsid w:val="00FD70D1"/>
    <w:rsid w:val="00FE362B"/>
    <w:rsid w:val="00FF7E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255834A-4E86-43F2-B000-FC327CFAF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414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C2208"/>
    <w:rPr>
      <w:color w:val="0000FF"/>
      <w:u w:val="single"/>
    </w:rPr>
  </w:style>
  <w:style w:type="paragraph" w:customStyle="1" w:styleId="msolistparagraph0">
    <w:name w:val="msolistparagraph"/>
    <w:basedOn w:val="Normal"/>
    <w:rsid w:val="000C2208"/>
    <w:pPr>
      <w:ind w:left="720"/>
    </w:pPr>
  </w:style>
  <w:style w:type="paragraph" w:customStyle="1" w:styleId="default">
    <w:name w:val="default"/>
    <w:basedOn w:val="Normal"/>
    <w:rsid w:val="000C2208"/>
    <w:pPr>
      <w:autoSpaceDE w:val="0"/>
      <w:autoSpaceDN w:val="0"/>
    </w:pPr>
    <w:rPr>
      <w:rFonts w:ascii="Verdana" w:hAnsi="Verdana"/>
      <w:color w:val="000000"/>
    </w:rPr>
  </w:style>
  <w:style w:type="paragraph" w:customStyle="1" w:styleId="indent1">
    <w:name w:val="indent1"/>
    <w:basedOn w:val="Normal"/>
    <w:rsid w:val="000C2208"/>
    <w:pPr>
      <w:autoSpaceDE w:val="0"/>
      <w:autoSpaceDN w:val="0"/>
    </w:pPr>
    <w:rPr>
      <w:rFonts w:ascii="Verdana" w:hAnsi="Verdana"/>
    </w:rPr>
  </w:style>
  <w:style w:type="paragraph" w:styleId="BalloonText">
    <w:name w:val="Balloon Text"/>
    <w:basedOn w:val="Normal"/>
    <w:semiHidden/>
    <w:rsid w:val="00677D98"/>
    <w:rPr>
      <w:rFonts w:ascii="Tahoma" w:hAnsi="Tahoma" w:cs="Tahoma"/>
      <w:sz w:val="16"/>
      <w:szCs w:val="16"/>
    </w:rPr>
  </w:style>
  <w:style w:type="character" w:styleId="FollowedHyperlink">
    <w:name w:val="FollowedHyperlink"/>
    <w:basedOn w:val="DefaultParagraphFont"/>
    <w:rsid w:val="00677D98"/>
    <w:rPr>
      <w:color w:val="800080"/>
      <w:u w:val="single"/>
    </w:rPr>
  </w:style>
  <w:style w:type="paragraph" w:styleId="Title">
    <w:name w:val="Title"/>
    <w:basedOn w:val="Normal"/>
    <w:next w:val="Normal"/>
    <w:link w:val="TitleChar"/>
    <w:qFormat/>
    <w:rsid w:val="006B7269"/>
    <w:pPr>
      <w:pBdr>
        <w:bottom w:val="single" w:sz="8" w:space="4" w:color="4F81BD"/>
      </w:pBdr>
      <w:spacing w:after="300"/>
      <w:contextualSpacing/>
    </w:pPr>
    <w:rPr>
      <w:rFonts w:ascii="Cambria" w:eastAsia="Calibri" w:hAnsi="Cambria"/>
      <w:color w:val="17365D"/>
      <w:spacing w:val="5"/>
      <w:kern w:val="28"/>
      <w:sz w:val="52"/>
      <w:szCs w:val="52"/>
    </w:rPr>
  </w:style>
  <w:style w:type="character" w:customStyle="1" w:styleId="TitleChar">
    <w:name w:val="Title Char"/>
    <w:basedOn w:val="DefaultParagraphFont"/>
    <w:link w:val="Title"/>
    <w:locked/>
    <w:rsid w:val="006B7269"/>
    <w:rPr>
      <w:rFonts w:ascii="Cambria" w:eastAsia="Calibri" w:hAnsi="Cambria"/>
      <w:color w:val="17365D"/>
      <w:spacing w:val="5"/>
      <w:kern w:val="28"/>
      <w:sz w:val="52"/>
      <w:szCs w:val="52"/>
      <w:lang w:val="en-US" w:eastAsia="en-US" w:bidi="ar-SA"/>
    </w:rPr>
  </w:style>
  <w:style w:type="paragraph" w:styleId="Header">
    <w:name w:val="header"/>
    <w:basedOn w:val="Normal"/>
    <w:link w:val="HeaderChar"/>
    <w:rsid w:val="00D64ED6"/>
    <w:pPr>
      <w:tabs>
        <w:tab w:val="center" w:pos="4320"/>
        <w:tab w:val="right" w:pos="8640"/>
      </w:tabs>
    </w:pPr>
  </w:style>
  <w:style w:type="paragraph" w:styleId="Footer">
    <w:name w:val="footer"/>
    <w:basedOn w:val="Normal"/>
    <w:link w:val="FooterChar"/>
    <w:uiPriority w:val="99"/>
    <w:rsid w:val="00D64ED6"/>
    <w:pPr>
      <w:tabs>
        <w:tab w:val="center" w:pos="4320"/>
        <w:tab w:val="right" w:pos="8640"/>
      </w:tabs>
    </w:pPr>
  </w:style>
  <w:style w:type="character" w:customStyle="1" w:styleId="HeaderChar">
    <w:name w:val="Header Char"/>
    <w:basedOn w:val="DefaultParagraphFont"/>
    <w:link w:val="Header"/>
    <w:semiHidden/>
    <w:locked/>
    <w:rsid w:val="00D64ED6"/>
    <w:rPr>
      <w:sz w:val="24"/>
      <w:szCs w:val="24"/>
      <w:lang w:val="en-US" w:eastAsia="en-US" w:bidi="ar-SA"/>
    </w:rPr>
  </w:style>
  <w:style w:type="character" w:customStyle="1" w:styleId="FooterChar">
    <w:name w:val="Footer Char"/>
    <w:basedOn w:val="DefaultParagraphFont"/>
    <w:link w:val="Footer"/>
    <w:uiPriority w:val="99"/>
    <w:locked/>
    <w:rsid w:val="00D64ED6"/>
    <w:rPr>
      <w:sz w:val="24"/>
      <w:szCs w:val="24"/>
      <w:lang w:val="en-US" w:eastAsia="en-US" w:bidi="ar-SA"/>
    </w:rPr>
  </w:style>
  <w:style w:type="character" w:styleId="PageNumber">
    <w:name w:val="page number"/>
    <w:basedOn w:val="DefaultParagraphFont"/>
    <w:rsid w:val="00D64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98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eglected-delinquent.org/nd/resources/legislate/intro.as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DESE-231-55948</_dlc_DocId>
    <_dlc_DocIdUrl xmlns="733efe1c-5bbe-4968-87dc-d400e65c879f">
      <Url>https://sharepoint.doemass.org/ese/webteam/cps/_layouts/DocIdRedir.aspx?ID=DESE-231-55948</Url>
      <Description>DESE-231-55948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14625D-0FA0-4444-9546-7FC5E6483C1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35C24CE9-BD91-4C59-9EA5-CD5B10207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4BA0D4-0B0B-4EFA-B65F-A9AD4E6E1E70}">
  <ds:schemaRefs>
    <ds:schemaRef ds:uri="http://schemas.microsoft.com/sharepoint/events"/>
  </ds:schemaRefs>
</ds:datastoreItem>
</file>

<file path=customXml/itemProps4.xml><?xml version="1.0" encoding="utf-8"?>
<ds:datastoreItem xmlns:ds="http://schemas.openxmlformats.org/officeDocument/2006/customXml" ds:itemID="{46CC62BF-8DE7-43F7-BE02-3D634C0EDB39}">
  <ds:schemaRefs>
    <ds:schemaRef ds:uri="http://schemas.microsoft.com/sharepoint/v3/contenttype/forms"/>
  </ds:schemaRefs>
</ds:datastoreItem>
</file>

<file path=customXml/itemProps5.xml><?xml version="1.0" encoding="utf-8"?>
<ds:datastoreItem xmlns:ds="http://schemas.openxmlformats.org/officeDocument/2006/customXml" ds:itemID="{F1D4AB1F-E10D-4456-BB25-A231EF75D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 or D Count Residential Facility Guidance</vt:lpstr>
    </vt:vector>
  </TitlesOfParts>
  <Company/>
  <LinksUpToDate>false</LinksUpToDate>
  <CharactersWithSpaces>2535</CharactersWithSpaces>
  <SharedDoc>false</SharedDoc>
  <HLinks>
    <vt:vector size="18" baseType="variant">
      <vt:variant>
        <vt:i4>3211293</vt:i4>
      </vt:variant>
      <vt:variant>
        <vt:i4>6</vt:i4>
      </vt:variant>
      <vt:variant>
        <vt:i4>0</vt:i4>
      </vt:variant>
      <vt:variant>
        <vt:i4>5</vt:i4>
      </vt:variant>
      <vt:variant>
        <vt:lpwstr>http://www.neglected-delinquent.org/nd/docs/annualCountFAQs_20081216.pdf</vt:lpwstr>
      </vt:variant>
      <vt:variant>
        <vt:lpwstr/>
      </vt:variant>
      <vt:variant>
        <vt:i4>2228304</vt:i4>
      </vt:variant>
      <vt:variant>
        <vt:i4>3</vt:i4>
      </vt:variant>
      <vt:variant>
        <vt:i4>0</vt:i4>
      </vt:variant>
      <vt:variant>
        <vt:i4>5</vt:i4>
      </vt:variant>
      <vt:variant>
        <vt:lpwstr>http://www.neglected-delinquent.org/nd/events/webinars_archive.asp</vt:lpwstr>
      </vt:variant>
      <vt:variant>
        <vt:lpwstr>annualcount200711</vt:lpwstr>
      </vt:variant>
      <vt:variant>
        <vt:i4>2162747</vt:i4>
      </vt:variant>
      <vt:variant>
        <vt:i4>0</vt:i4>
      </vt:variant>
      <vt:variant>
        <vt:i4>0</vt:i4>
      </vt:variant>
      <vt:variant>
        <vt:i4>5</vt:i4>
      </vt:variant>
      <vt:variant>
        <vt:lpwstr>http://www.neglected-delinquent.org/nd/resources/legislate/intro.asp</vt:lpwstr>
      </vt:variant>
      <vt:variant>
        <vt:lpwstr>sec1432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or D Count Residential Facility Guidance</dc:title>
  <dc:creator>DESE</dc:creator>
  <cp:lastModifiedBy>Zou, Dong (EOE)</cp:lastModifiedBy>
  <cp:revision>2</cp:revision>
  <cp:lastPrinted>2009-11-06T15:31:00Z</cp:lastPrinted>
  <dcterms:created xsi:type="dcterms:W3CDTF">2015-10-14T18:35:00Z</dcterms:created>
  <dcterms:modified xsi:type="dcterms:W3CDTF">2019-11-06T17:54:00Z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6 2019</vt:lpwstr>
  </property>
</Properties>
</file>