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18080" w14:textId="7442344A" w:rsidR="00421084" w:rsidRDefault="00147E2D">
      <w:pPr>
        <w:rPr>
          <w:noProof/>
        </w:rPr>
      </w:pPr>
      <w:r>
        <w:rPr>
          <w:noProof/>
        </w:rPr>
        <w:drawing>
          <wp:inline distT="0" distB="0" distL="0" distR="0" wp14:anchorId="10E25A30" wp14:editId="4CDB5B36">
            <wp:extent cx="1572986" cy="647700"/>
            <wp:effectExtent l="0" t="0" r="825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264" cy="728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1AD">
        <w:rPr>
          <w:noProof/>
        </w:rPr>
        <w:t xml:space="preserve">                                 </w:t>
      </w:r>
      <w:r w:rsidR="00B63435">
        <w:rPr>
          <w:noProof/>
        </w:rPr>
        <w:t xml:space="preserve">               </w:t>
      </w:r>
      <w:r w:rsidR="00421084">
        <w:rPr>
          <w:noProof/>
        </w:rPr>
        <w:t xml:space="preserve">                                         </w:t>
      </w:r>
      <w:r w:rsidR="007311AD">
        <w:rPr>
          <w:noProof/>
        </w:rPr>
        <w:t xml:space="preserve">  </w:t>
      </w:r>
      <w:r w:rsidR="009A467B">
        <w:rPr>
          <w:noProof/>
        </w:rPr>
        <w:t xml:space="preserve">                                     </w:t>
      </w:r>
      <w:r w:rsidR="007311AD">
        <w:rPr>
          <w:noProof/>
        </w:rPr>
        <w:t xml:space="preserve">      </w:t>
      </w:r>
      <w:r w:rsidR="00B63435">
        <w:rPr>
          <w:noProof/>
        </w:rPr>
        <w:drawing>
          <wp:inline distT="0" distB="0" distL="0" distR="0" wp14:anchorId="5CD895D0" wp14:editId="09DEEC1E">
            <wp:extent cx="3028315" cy="695442"/>
            <wp:effectExtent l="0" t="0" r="635" b="9525"/>
            <wp:docPr id="5" name="Picture 5" descr="Arts Unit Scoring Rubric- How well does your unit plan align to the 2019 MA Arts Curriculum Framework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rts Unit Scoring Rubric- How well does your unit plan align to the 2019 MA Arts Curriculum Framework?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663" cy="81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2"/>
        <w:gridCol w:w="4169"/>
        <w:gridCol w:w="4263"/>
        <w:gridCol w:w="4256"/>
      </w:tblGrid>
      <w:tr w:rsidR="00002CF1" w14:paraId="21FE98C9" w14:textId="77777777" w:rsidTr="006226A1">
        <w:trPr>
          <w:trHeight w:val="242"/>
        </w:trPr>
        <w:tc>
          <w:tcPr>
            <w:tcW w:w="1615" w:type="dxa"/>
            <w:shd w:val="clear" w:color="auto" w:fill="ED7D31" w:themeFill="accent2"/>
          </w:tcPr>
          <w:p w14:paraId="0BCAED1A" w14:textId="7A36235D" w:rsidR="00002CF1" w:rsidRPr="006226A1" w:rsidRDefault="00002CF1" w:rsidP="002368AD">
            <w:pPr>
              <w:jc w:val="center"/>
              <w:rPr>
                <w:b/>
                <w:bCs/>
                <w:sz w:val="24"/>
                <w:szCs w:val="24"/>
              </w:rPr>
            </w:pPr>
            <w:r w:rsidRPr="006226A1">
              <w:rPr>
                <w:b/>
                <w:bCs/>
                <w:sz w:val="24"/>
                <w:szCs w:val="24"/>
              </w:rPr>
              <w:t>Trait</w:t>
            </w:r>
          </w:p>
        </w:tc>
        <w:tc>
          <w:tcPr>
            <w:tcW w:w="4198" w:type="dxa"/>
            <w:shd w:val="clear" w:color="auto" w:fill="ED7D31" w:themeFill="accent2"/>
          </w:tcPr>
          <w:p w14:paraId="02F6B692" w14:textId="5F2E1DC4" w:rsidR="00002CF1" w:rsidRPr="006226A1" w:rsidRDefault="00002CF1" w:rsidP="002368AD">
            <w:pPr>
              <w:jc w:val="center"/>
              <w:rPr>
                <w:b/>
                <w:bCs/>
                <w:sz w:val="24"/>
                <w:szCs w:val="24"/>
              </w:rPr>
            </w:pPr>
            <w:r w:rsidRPr="006226A1">
              <w:rPr>
                <w:b/>
                <w:bCs/>
                <w:sz w:val="24"/>
                <w:szCs w:val="24"/>
              </w:rPr>
              <w:t>Partially Meets Expectations</w:t>
            </w:r>
          </w:p>
        </w:tc>
        <w:tc>
          <w:tcPr>
            <w:tcW w:w="4292" w:type="dxa"/>
            <w:shd w:val="clear" w:color="auto" w:fill="ED7D31" w:themeFill="accent2"/>
          </w:tcPr>
          <w:p w14:paraId="4DC6B463" w14:textId="590FCCC9" w:rsidR="00002CF1" w:rsidRPr="006226A1" w:rsidRDefault="00002CF1">
            <w:pPr>
              <w:jc w:val="center"/>
              <w:rPr>
                <w:i/>
                <w:iCs/>
                <w:sz w:val="24"/>
                <w:szCs w:val="24"/>
              </w:rPr>
            </w:pPr>
            <w:r w:rsidRPr="006226A1">
              <w:rPr>
                <w:b/>
                <w:bCs/>
                <w:sz w:val="24"/>
                <w:szCs w:val="24"/>
              </w:rPr>
              <w:t>Approaching Expectations</w:t>
            </w:r>
          </w:p>
        </w:tc>
        <w:tc>
          <w:tcPr>
            <w:tcW w:w="4285" w:type="dxa"/>
            <w:shd w:val="clear" w:color="auto" w:fill="ED7D31" w:themeFill="accent2"/>
          </w:tcPr>
          <w:p w14:paraId="5B032065" w14:textId="24CE16E8" w:rsidR="00002CF1" w:rsidRPr="006226A1" w:rsidRDefault="00002CF1">
            <w:pPr>
              <w:jc w:val="center"/>
              <w:rPr>
                <w:i/>
                <w:iCs/>
                <w:sz w:val="24"/>
                <w:szCs w:val="24"/>
              </w:rPr>
            </w:pPr>
            <w:r w:rsidRPr="006226A1">
              <w:rPr>
                <w:b/>
                <w:bCs/>
                <w:sz w:val="24"/>
                <w:szCs w:val="24"/>
              </w:rPr>
              <w:t>Meets Expectations</w:t>
            </w:r>
          </w:p>
        </w:tc>
      </w:tr>
      <w:tr w:rsidR="00002CF1" w14:paraId="197DAD97" w14:textId="77777777" w:rsidTr="006226A1">
        <w:tc>
          <w:tcPr>
            <w:tcW w:w="1615" w:type="dxa"/>
            <w:shd w:val="clear" w:color="auto" w:fill="1F3864" w:themeFill="accent1" w:themeFillShade="80"/>
            <w:vAlign w:val="center"/>
          </w:tcPr>
          <w:p w14:paraId="6B0059EA" w14:textId="4B6E7098" w:rsidR="00421084" w:rsidRDefault="00002CF1">
            <w:pPr>
              <w:jc w:val="center"/>
              <w:rPr>
                <w:b/>
                <w:bCs/>
                <w:sz w:val="28"/>
                <w:szCs w:val="28"/>
              </w:rPr>
            </w:pPr>
            <w:r w:rsidRPr="00B63435">
              <w:rPr>
                <w:b/>
                <w:bCs/>
                <w:sz w:val="28"/>
                <w:szCs w:val="28"/>
              </w:rPr>
              <w:t>Artistic</w:t>
            </w:r>
          </w:p>
          <w:p w14:paraId="3F38258B" w14:textId="70398DC3" w:rsidR="00002CF1" w:rsidRPr="00B63435" w:rsidRDefault="00002CF1">
            <w:pPr>
              <w:jc w:val="center"/>
              <w:rPr>
                <w:b/>
                <w:bCs/>
                <w:sz w:val="28"/>
                <w:szCs w:val="28"/>
              </w:rPr>
            </w:pPr>
            <w:r w:rsidRPr="00B63435">
              <w:rPr>
                <w:b/>
                <w:bCs/>
                <w:sz w:val="28"/>
                <w:szCs w:val="28"/>
              </w:rPr>
              <w:t>Intent</w:t>
            </w:r>
          </w:p>
        </w:tc>
        <w:tc>
          <w:tcPr>
            <w:tcW w:w="4198" w:type="dxa"/>
            <w:shd w:val="clear" w:color="auto" w:fill="D5DCE4" w:themeFill="text2" w:themeFillTint="33"/>
          </w:tcPr>
          <w:p w14:paraId="68052D1F" w14:textId="3BF6036A" w:rsidR="00002CF1" w:rsidRPr="006226A1" w:rsidRDefault="00736FC5" w:rsidP="00AE79B4">
            <w:pPr>
              <w:rPr>
                <w:sz w:val="18"/>
                <w:szCs w:val="18"/>
              </w:rPr>
            </w:pPr>
            <w:r w:rsidRPr="006226A1">
              <w:rPr>
                <w:sz w:val="18"/>
                <w:szCs w:val="18"/>
              </w:rPr>
              <w:t>The</w:t>
            </w:r>
            <w:r w:rsidR="007D5C43" w:rsidRPr="006226A1">
              <w:rPr>
                <w:sz w:val="18"/>
                <w:szCs w:val="18"/>
              </w:rPr>
              <w:t xml:space="preserve"> unit contains</w:t>
            </w:r>
            <w:r w:rsidRPr="006226A1">
              <w:rPr>
                <w:sz w:val="18"/>
                <w:szCs w:val="18"/>
              </w:rPr>
              <w:t xml:space="preserve"> </w:t>
            </w:r>
            <w:r w:rsidR="0090216A" w:rsidRPr="006226A1">
              <w:rPr>
                <w:sz w:val="18"/>
                <w:szCs w:val="18"/>
              </w:rPr>
              <w:t>s</w:t>
            </w:r>
            <w:r w:rsidR="00ED052B" w:rsidRPr="006226A1">
              <w:rPr>
                <w:sz w:val="18"/>
                <w:szCs w:val="18"/>
              </w:rPr>
              <w:t>ome</w:t>
            </w:r>
            <w:r w:rsidR="0090216A" w:rsidRPr="006226A1">
              <w:rPr>
                <w:sz w:val="18"/>
                <w:szCs w:val="18"/>
              </w:rPr>
              <w:t xml:space="preserve"> </w:t>
            </w:r>
            <w:r w:rsidR="00AE79B4" w:rsidRPr="006226A1">
              <w:rPr>
                <w:sz w:val="18"/>
                <w:szCs w:val="18"/>
              </w:rPr>
              <w:t>opportunit</w:t>
            </w:r>
            <w:r w:rsidR="00ED052B" w:rsidRPr="006226A1">
              <w:rPr>
                <w:sz w:val="18"/>
                <w:szCs w:val="18"/>
              </w:rPr>
              <w:t>y</w:t>
            </w:r>
            <w:r w:rsidR="00AE79B4" w:rsidRPr="006226A1">
              <w:rPr>
                <w:sz w:val="18"/>
                <w:szCs w:val="18"/>
              </w:rPr>
              <w:t xml:space="preserve"> for </w:t>
            </w:r>
            <w:r w:rsidRPr="006226A1">
              <w:rPr>
                <w:sz w:val="18"/>
                <w:szCs w:val="18"/>
              </w:rPr>
              <w:t>meaningful connections to students’ lives.</w:t>
            </w:r>
            <w:r w:rsidR="0090216A" w:rsidRPr="006226A1">
              <w:rPr>
                <w:sz w:val="18"/>
                <w:szCs w:val="18"/>
              </w:rPr>
              <w:t xml:space="preserve"> The unit is</w:t>
            </w:r>
            <w:r w:rsidR="00ED052B" w:rsidRPr="006226A1">
              <w:rPr>
                <w:sz w:val="18"/>
                <w:szCs w:val="18"/>
              </w:rPr>
              <w:t xml:space="preserve"> often </w:t>
            </w:r>
            <w:r w:rsidR="0090216A" w:rsidRPr="006226A1">
              <w:rPr>
                <w:sz w:val="18"/>
                <w:szCs w:val="18"/>
              </w:rPr>
              <w:t>led by teacher direction,</w:t>
            </w:r>
            <w:r w:rsidR="00ED052B" w:rsidRPr="006226A1">
              <w:rPr>
                <w:sz w:val="18"/>
                <w:szCs w:val="18"/>
              </w:rPr>
              <w:t xml:space="preserve"> and</w:t>
            </w:r>
            <w:r w:rsidR="0090216A" w:rsidRPr="006226A1">
              <w:rPr>
                <w:sz w:val="18"/>
                <w:szCs w:val="18"/>
              </w:rPr>
              <w:t xml:space="preserve"> when student choice</w:t>
            </w:r>
            <w:r w:rsidR="00ED052B" w:rsidRPr="006226A1">
              <w:rPr>
                <w:sz w:val="18"/>
                <w:szCs w:val="18"/>
              </w:rPr>
              <w:t xml:space="preserve"> and voice</w:t>
            </w:r>
            <w:r w:rsidR="0090216A" w:rsidRPr="006226A1">
              <w:rPr>
                <w:sz w:val="18"/>
                <w:szCs w:val="18"/>
              </w:rPr>
              <w:t xml:space="preserve"> is </w:t>
            </w:r>
            <w:r w:rsidR="00ED052B" w:rsidRPr="006226A1">
              <w:rPr>
                <w:sz w:val="18"/>
                <w:szCs w:val="18"/>
              </w:rPr>
              <w:t>included,</w:t>
            </w:r>
            <w:r w:rsidR="0090216A" w:rsidRPr="006226A1">
              <w:rPr>
                <w:sz w:val="18"/>
                <w:szCs w:val="18"/>
              </w:rPr>
              <w:t xml:space="preserve"> it is limited or does not </w:t>
            </w:r>
            <w:r w:rsidR="00ED052B" w:rsidRPr="006226A1">
              <w:rPr>
                <w:sz w:val="18"/>
                <w:szCs w:val="18"/>
              </w:rPr>
              <w:t xml:space="preserve">engage </w:t>
            </w:r>
            <w:r w:rsidR="0090216A" w:rsidRPr="006226A1">
              <w:rPr>
                <w:sz w:val="18"/>
                <w:szCs w:val="18"/>
              </w:rPr>
              <w:t>higher order thinking.</w:t>
            </w:r>
          </w:p>
        </w:tc>
        <w:tc>
          <w:tcPr>
            <w:tcW w:w="4292" w:type="dxa"/>
            <w:shd w:val="clear" w:color="auto" w:fill="D5DCE4" w:themeFill="text2" w:themeFillTint="33"/>
          </w:tcPr>
          <w:p w14:paraId="29A0E01F" w14:textId="5576CF7E" w:rsidR="00002CF1" w:rsidRPr="006226A1" w:rsidRDefault="00736FC5">
            <w:pPr>
              <w:rPr>
                <w:sz w:val="18"/>
                <w:szCs w:val="18"/>
              </w:rPr>
            </w:pPr>
            <w:r w:rsidRPr="006226A1">
              <w:rPr>
                <w:sz w:val="18"/>
                <w:szCs w:val="18"/>
              </w:rPr>
              <w:t>There are multiple ways students lead with their own artistic intent and understand the artistic intent of others.</w:t>
            </w:r>
            <w:r w:rsidR="00ED052B" w:rsidRPr="006226A1">
              <w:rPr>
                <w:sz w:val="18"/>
                <w:szCs w:val="18"/>
              </w:rPr>
              <w:t xml:space="preserve"> In most cases, the unit clearly connects students’ lives with the learning objectives and events.</w:t>
            </w:r>
            <w:r w:rsidRPr="006226A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85" w:type="dxa"/>
            <w:shd w:val="clear" w:color="auto" w:fill="D5DCE4" w:themeFill="text2" w:themeFillTint="33"/>
          </w:tcPr>
          <w:p w14:paraId="1BC2C148" w14:textId="4A02EDF0" w:rsidR="00002CF1" w:rsidRPr="006226A1" w:rsidRDefault="00181F8D">
            <w:pPr>
              <w:rPr>
                <w:sz w:val="18"/>
                <w:szCs w:val="18"/>
              </w:rPr>
            </w:pPr>
            <w:r w:rsidRPr="006226A1">
              <w:rPr>
                <w:sz w:val="18"/>
                <w:szCs w:val="18"/>
              </w:rPr>
              <w:t xml:space="preserve">The big ideas, essential questions, </w:t>
            </w:r>
            <w:r w:rsidR="00B7670F" w:rsidRPr="006226A1">
              <w:rPr>
                <w:sz w:val="18"/>
                <w:szCs w:val="18"/>
              </w:rPr>
              <w:t xml:space="preserve">transfer goals, objectives, assessments, </w:t>
            </w:r>
            <w:r w:rsidRPr="006226A1">
              <w:rPr>
                <w:sz w:val="18"/>
                <w:szCs w:val="18"/>
              </w:rPr>
              <w:t xml:space="preserve">and learning </w:t>
            </w:r>
            <w:r w:rsidR="00B7670F" w:rsidRPr="006226A1">
              <w:rPr>
                <w:sz w:val="18"/>
                <w:szCs w:val="18"/>
              </w:rPr>
              <w:t xml:space="preserve">events </w:t>
            </w:r>
            <w:r w:rsidRPr="006226A1">
              <w:rPr>
                <w:sz w:val="18"/>
                <w:szCs w:val="18"/>
              </w:rPr>
              <w:t>are</w:t>
            </w:r>
            <w:r w:rsidR="00B7670F" w:rsidRPr="006226A1">
              <w:rPr>
                <w:sz w:val="18"/>
                <w:szCs w:val="18"/>
              </w:rPr>
              <w:t xml:space="preserve"> all</w:t>
            </w:r>
            <w:r w:rsidR="00147E2D" w:rsidRPr="006226A1">
              <w:rPr>
                <w:sz w:val="18"/>
                <w:szCs w:val="18"/>
              </w:rPr>
              <w:t xml:space="preserve"> rooted in meaningful real-world life and is</w:t>
            </w:r>
            <w:r w:rsidR="00ED052B" w:rsidRPr="006226A1">
              <w:rPr>
                <w:sz w:val="18"/>
                <w:szCs w:val="18"/>
              </w:rPr>
              <w:t xml:space="preserve"> explicitly</w:t>
            </w:r>
            <w:r w:rsidR="00147E2D" w:rsidRPr="006226A1">
              <w:rPr>
                <w:sz w:val="18"/>
                <w:szCs w:val="18"/>
              </w:rPr>
              <w:t xml:space="preserve"> driven by either the student’s artistic intent or understanding another artist’s intent.</w:t>
            </w:r>
          </w:p>
        </w:tc>
      </w:tr>
      <w:tr w:rsidR="00002CF1" w14:paraId="7D5F344F" w14:textId="77777777" w:rsidTr="006226A1">
        <w:tc>
          <w:tcPr>
            <w:tcW w:w="1615" w:type="dxa"/>
            <w:shd w:val="clear" w:color="auto" w:fill="1F3864" w:themeFill="accent1" w:themeFillShade="80"/>
            <w:vAlign w:val="center"/>
          </w:tcPr>
          <w:p w14:paraId="057949CF" w14:textId="0BF23567" w:rsidR="00002CF1" w:rsidRPr="00B63435" w:rsidRDefault="00002CF1">
            <w:pPr>
              <w:jc w:val="center"/>
              <w:rPr>
                <w:b/>
                <w:bCs/>
                <w:sz w:val="28"/>
                <w:szCs w:val="28"/>
              </w:rPr>
            </w:pPr>
            <w:r w:rsidRPr="00B63435">
              <w:rPr>
                <w:b/>
                <w:bCs/>
                <w:sz w:val="28"/>
                <w:szCs w:val="28"/>
              </w:rPr>
              <w:t>Learning Objectives</w:t>
            </w:r>
          </w:p>
        </w:tc>
        <w:tc>
          <w:tcPr>
            <w:tcW w:w="4198" w:type="dxa"/>
            <w:shd w:val="clear" w:color="auto" w:fill="EAEEF2"/>
          </w:tcPr>
          <w:p w14:paraId="19113669" w14:textId="3A346DCB" w:rsidR="00002CF1" w:rsidRPr="006226A1" w:rsidRDefault="00181F8D">
            <w:pPr>
              <w:rPr>
                <w:sz w:val="18"/>
                <w:szCs w:val="18"/>
              </w:rPr>
            </w:pPr>
            <w:r w:rsidRPr="006226A1">
              <w:rPr>
                <w:sz w:val="18"/>
                <w:szCs w:val="18"/>
              </w:rPr>
              <w:t>The unit</w:t>
            </w:r>
            <w:r w:rsidR="00736FC5" w:rsidRPr="006226A1">
              <w:rPr>
                <w:sz w:val="18"/>
                <w:szCs w:val="18"/>
              </w:rPr>
              <w:t xml:space="preserve"> identifies clear learning objectives.</w:t>
            </w:r>
            <w:r w:rsidR="0090216A" w:rsidRPr="006226A1">
              <w:rPr>
                <w:sz w:val="18"/>
                <w:szCs w:val="18"/>
              </w:rPr>
              <w:t xml:space="preserve"> It is easy to see some natural links between t</w:t>
            </w:r>
            <w:r w:rsidR="00ED052B" w:rsidRPr="006226A1">
              <w:rPr>
                <w:sz w:val="18"/>
                <w:szCs w:val="18"/>
              </w:rPr>
              <w:t>he</w:t>
            </w:r>
            <w:r w:rsidR="0090216A" w:rsidRPr="006226A1">
              <w:rPr>
                <w:sz w:val="18"/>
                <w:szCs w:val="18"/>
              </w:rPr>
              <w:t xml:space="preserve"> knowledge and skills</w:t>
            </w:r>
            <w:r w:rsidR="00B7670F" w:rsidRPr="006226A1">
              <w:rPr>
                <w:sz w:val="18"/>
                <w:szCs w:val="18"/>
              </w:rPr>
              <w:t xml:space="preserve"> students learn</w:t>
            </w:r>
            <w:r w:rsidR="00ED052B" w:rsidRPr="006226A1">
              <w:rPr>
                <w:sz w:val="18"/>
                <w:szCs w:val="18"/>
              </w:rPr>
              <w:t xml:space="preserve"> in the unit</w:t>
            </w:r>
            <w:r w:rsidR="0090216A" w:rsidRPr="006226A1">
              <w:rPr>
                <w:sz w:val="18"/>
                <w:szCs w:val="18"/>
              </w:rPr>
              <w:t xml:space="preserve"> </w:t>
            </w:r>
            <w:r w:rsidR="00ED052B" w:rsidRPr="006226A1">
              <w:rPr>
                <w:sz w:val="18"/>
                <w:szCs w:val="18"/>
              </w:rPr>
              <w:t>and</w:t>
            </w:r>
            <w:r w:rsidR="0090216A" w:rsidRPr="006226A1">
              <w:rPr>
                <w:sz w:val="18"/>
                <w:szCs w:val="18"/>
              </w:rPr>
              <w:t xml:space="preserve"> the MA Arts standards.</w:t>
            </w:r>
            <w:r w:rsidR="00FE31D1" w:rsidRPr="006226A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92" w:type="dxa"/>
            <w:shd w:val="clear" w:color="auto" w:fill="EAEEF2"/>
          </w:tcPr>
          <w:p w14:paraId="44611410" w14:textId="07D7E3EF" w:rsidR="00002CF1" w:rsidRPr="006226A1" w:rsidRDefault="00736FC5" w:rsidP="00AE79B4">
            <w:pPr>
              <w:rPr>
                <w:sz w:val="18"/>
                <w:szCs w:val="18"/>
              </w:rPr>
            </w:pPr>
            <w:r w:rsidRPr="006226A1">
              <w:rPr>
                <w:sz w:val="18"/>
                <w:szCs w:val="18"/>
              </w:rPr>
              <w:t>Each le</w:t>
            </w:r>
            <w:r w:rsidR="00723D2C" w:rsidRPr="006226A1">
              <w:rPr>
                <w:sz w:val="18"/>
                <w:szCs w:val="18"/>
              </w:rPr>
              <w:t>arning event</w:t>
            </w:r>
            <w:r w:rsidRPr="006226A1">
              <w:rPr>
                <w:sz w:val="18"/>
                <w:szCs w:val="18"/>
              </w:rPr>
              <w:t xml:space="preserve"> </w:t>
            </w:r>
            <w:r w:rsidR="00AE79B4" w:rsidRPr="006226A1">
              <w:rPr>
                <w:sz w:val="18"/>
                <w:szCs w:val="18"/>
              </w:rPr>
              <w:t xml:space="preserve">supports students </w:t>
            </w:r>
            <w:r w:rsidR="00FE31D1" w:rsidRPr="006226A1">
              <w:rPr>
                <w:sz w:val="18"/>
                <w:szCs w:val="18"/>
              </w:rPr>
              <w:t>learning</w:t>
            </w:r>
            <w:r w:rsidR="00AE79B4" w:rsidRPr="006226A1">
              <w:rPr>
                <w:sz w:val="18"/>
                <w:szCs w:val="18"/>
              </w:rPr>
              <w:t xml:space="preserve"> in the knowledge or skills identified</w:t>
            </w:r>
            <w:r w:rsidR="0090216A" w:rsidRPr="006226A1">
              <w:rPr>
                <w:sz w:val="18"/>
                <w:szCs w:val="18"/>
              </w:rPr>
              <w:t xml:space="preserve">.  It is easy to see </w:t>
            </w:r>
            <w:r w:rsidR="00B7670F" w:rsidRPr="006226A1">
              <w:rPr>
                <w:sz w:val="18"/>
                <w:szCs w:val="18"/>
              </w:rPr>
              <w:t xml:space="preserve">numerous </w:t>
            </w:r>
            <w:r w:rsidR="0090216A" w:rsidRPr="006226A1">
              <w:rPr>
                <w:sz w:val="18"/>
                <w:szCs w:val="18"/>
              </w:rPr>
              <w:t>natural links to grade-appropriate MA Arts standards.</w:t>
            </w:r>
            <w:r w:rsidR="00AE79B4" w:rsidRPr="006226A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85" w:type="dxa"/>
            <w:shd w:val="clear" w:color="auto" w:fill="EAEEF2"/>
          </w:tcPr>
          <w:p w14:paraId="5B4B934F" w14:textId="5B8A06C5" w:rsidR="00002CF1" w:rsidRPr="006226A1" w:rsidRDefault="00FE31D1" w:rsidP="00AE79B4">
            <w:pPr>
              <w:rPr>
                <w:sz w:val="18"/>
                <w:szCs w:val="18"/>
              </w:rPr>
            </w:pPr>
            <w:r w:rsidRPr="006226A1">
              <w:rPr>
                <w:sz w:val="18"/>
                <w:szCs w:val="18"/>
              </w:rPr>
              <w:t xml:space="preserve">It is easy to see the natural links between all components of the unit and the MA Arts standards. </w:t>
            </w:r>
            <w:r w:rsidR="00147E2D" w:rsidRPr="006226A1">
              <w:rPr>
                <w:sz w:val="18"/>
                <w:szCs w:val="18"/>
              </w:rPr>
              <w:t>Th</w:t>
            </w:r>
            <w:r w:rsidR="00A00A23" w:rsidRPr="006226A1">
              <w:rPr>
                <w:sz w:val="18"/>
                <w:szCs w:val="18"/>
              </w:rPr>
              <w:t>e knowledge and skills learn</w:t>
            </w:r>
            <w:r w:rsidR="007B1583" w:rsidRPr="006226A1">
              <w:rPr>
                <w:sz w:val="18"/>
                <w:szCs w:val="18"/>
              </w:rPr>
              <w:t>ed</w:t>
            </w:r>
            <w:r w:rsidR="00A00A23" w:rsidRPr="006226A1">
              <w:rPr>
                <w:sz w:val="18"/>
                <w:szCs w:val="18"/>
              </w:rPr>
              <w:t xml:space="preserve"> in the</w:t>
            </w:r>
            <w:r w:rsidR="00AE79B4" w:rsidRPr="006226A1">
              <w:rPr>
                <w:sz w:val="18"/>
                <w:szCs w:val="18"/>
              </w:rPr>
              <w:t xml:space="preserve"> unit </w:t>
            </w:r>
            <w:r w:rsidR="00AA4510" w:rsidRPr="006226A1">
              <w:rPr>
                <w:sz w:val="18"/>
                <w:szCs w:val="18"/>
              </w:rPr>
              <w:t xml:space="preserve">is an integral </w:t>
            </w:r>
            <w:r w:rsidR="005015D1" w:rsidRPr="006226A1">
              <w:rPr>
                <w:sz w:val="18"/>
                <w:szCs w:val="18"/>
              </w:rPr>
              <w:t xml:space="preserve">and rigorous </w:t>
            </w:r>
            <w:r w:rsidR="00AA4510" w:rsidRPr="006226A1">
              <w:rPr>
                <w:sz w:val="18"/>
                <w:szCs w:val="18"/>
              </w:rPr>
              <w:t>part of the progression of units across the course or year, which culminate in</w:t>
            </w:r>
            <w:r w:rsidR="00AE79B4" w:rsidRPr="006226A1">
              <w:rPr>
                <w:sz w:val="18"/>
                <w:szCs w:val="18"/>
              </w:rPr>
              <w:t xml:space="preserve"> the full coverage of all</w:t>
            </w:r>
            <w:r w:rsidRPr="006226A1">
              <w:rPr>
                <w:sz w:val="18"/>
                <w:szCs w:val="18"/>
              </w:rPr>
              <w:t xml:space="preserve"> of</w:t>
            </w:r>
            <w:r w:rsidR="00AE79B4" w:rsidRPr="006226A1">
              <w:rPr>
                <w:sz w:val="18"/>
                <w:szCs w:val="18"/>
              </w:rPr>
              <w:t xml:space="preserve"> the </w:t>
            </w:r>
            <w:r w:rsidR="00C80B20" w:rsidRPr="006226A1">
              <w:rPr>
                <w:sz w:val="18"/>
                <w:szCs w:val="18"/>
              </w:rPr>
              <w:t>eleven</w:t>
            </w:r>
            <w:r w:rsidR="00AE79B4" w:rsidRPr="006226A1">
              <w:rPr>
                <w:sz w:val="18"/>
                <w:szCs w:val="18"/>
              </w:rPr>
              <w:t xml:space="preserve"> content standards</w:t>
            </w:r>
            <w:r w:rsidR="00AA4510" w:rsidRPr="006226A1">
              <w:rPr>
                <w:sz w:val="18"/>
                <w:szCs w:val="18"/>
              </w:rPr>
              <w:t>.</w:t>
            </w:r>
            <w:r w:rsidR="00AE79B4" w:rsidRPr="006226A1">
              <w:rPr>
                <w:sz w:val="18"/>
                <w:szCs w:val="18"/>
              </w:rPr>
              <w:t xml:space="preserve"> </w:t>
            </w:r>
          </w:p>
        </w:tc>
      </w:tr>
      <w:tr w:rsidR="00002CF1" w14:paraId="6D77143D" w14:textId="77777777" w:rsidTr="006226A1">
        <w:tc>
          <w:tcPr>
            <w:tcW w:w="1615" w:type="dxa"/>
            <w:shd w:val="clear" w:color="auto" w:fill="1F3864" w:themeFill="accent1" w:themeFillShade="80"/>
            <w:vAlign w:val="center"/>
          </w:tcPr>
          <w:p w14:paraId="755C47C0" w14:textId="111BF758" w:rsidR="00421084" w:rsidRDefault="00002CF1">
            <w:pPr>
              <w:jc w:val="center"/>
              <w:rPr>
                <w:b/>
                <w:bCs/>
                <w:sz w:val="28"/>
                <w:szCs w:val="28"/>
              </w:rPr>
            </w:pPr>
            <w:r w:rsidRPr="00B63435">
              <w:rPr>
                <w:b/>
                <w:bCs/>
                <w:sz w:val="28"/>
                <w:szCs w:val="28"/>
              </w:rPr>
              <w:t>Learning</w:t>
            </w:r>
          </w:p>
          <w:p w14:paraId="4866A925" w14:textId="2A313004" w:rsidR="00002CF1" w:rsidRPr="00B63435" w:rsidRDefault="006463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Tasks</w:t>
            </w:r>
          </w:p>
        </w:tc>
        <w:tc>
          <w:tcPr>
            <w:tcW w:w="4198" w:type="dxa"/>
            <w:shd w:val="clear" w:color="auto" w:fill="D5DCE4" w:themeFill="text2" w:themeFillTint="33"/>
          </w:tcPr>
          <w:p w14:paraId="2573C064" w14:textId="0D03CF3B" w:rsidR="00002CF1" w:rsidRPr="006226A1" w:rsidRDefault="00736FC5">
            <w:pPr>
              <w:rPr>
                <w:sz w:val="18"/>
                <w:szCs w:val="18"/>
                <w:highlight w:val="yellow"/>
              </w:rPr>
            </w:pPr>
            <w:r w:rsidRPr="006226A1">
              <w:rPr>
                <w:sz w:val="18"/>
                <w:szCs w:val="18"/>
              </w:rPr>
              <w:t>The</w:t>
            </w:r>
            <w:r w:rsidR="00F4128C" w:rsidRPr="006226A1">
              <w:rPr>
                <w:sz w:val="18"/>
                <w:szCs w:val="18"/>
              </w:rPr>
              <w:t xml:space="preserve"> learning </w:t>
            </w:r>
            <w:r w:rsidR="00646349">
              <w:rPr>
                <w:sz w:val="18"/>
                <w:szCs w:val="18"/>
              </w:rPr>
              <w:t>task</w:t>
            </w:r>
            <w:r w:rsidR="00F4128C" w:rsidRPr="006226A1">
              <w:rPr>
                <w:sz w:val="18"/>
                <w:szCs w:val="18"/>
              </w:rPr>
              <w:t xml:space="preserve"> is</w:t>
            </w:r>
            <w:r w:rsidR="00181F8D" w:rsidRPr="006226A1">
              <w:rPr>
                <w:sz w:val="18"/>
                <w:szCs w:val="18"/>
              </w:rPr>
              <w:t xml:space="preserve"> clearly articulated</w:t>
            </w:r>
            <w:r w:rsidRPr="006226A1">
              <w:rPr>
                <w:sz w:val="18"/>
                <w:szCs w:val="18"/>
              </w:rPr>
              <w:t xml:space="preserve">. It is </w:t>
            </w:r>
            <w:r w:rsidR="00F4128C" w:rsidRPr="006226A1">
              <w:rPr>
                <w:sz w:val="18"/>
                <w:szCs w:val="18"/>
              </w:rPr>
              <w:t xml:space="preserve">mostly </w:t>
            </w:r>
            <w:r w:rsidRPr="006226A1">
              <w:rPr>
                <w:sz w:val="18"/>
                <w:szCs w:val="18"/>
              </w:rPr>
              <w:t>clear what students are expected to do.</w:t>
            </w:r>
          </w:p>
        </w:tc>
        <w:tc>
          <w:tcPr>
            <w:tcW w:w="4292" w:type="dxa"/>
            <w:shd w:val="clear" w:color="auto" w:fill="D5DCE4" w:themeFill="text2" w:themeFillTint="33"/>
          </w:tcPr>
          <w:p w14:paraId="64A88EE6" w14:textId="0CCF3DAB" w:rsidR="00002CF1" w:rsidRPr="006226A1" w:rsidRDefault="005122D7" w:rsidP="00AE79B4">
            <w:pPr>
              <w:rPr>
                <w:sz w:val="18"/>
                <w:szCs w:val="18"/>
                <w:highlight w:val="yellow"/>
              </w:rPr>
            </w:pPr>
            <w:r w:rsidRPr="006226A1">
              <w:rPr>
                <w:sz w:val="18"/>
                <w:szCs w:val="18"/>
              </w:rPr>
              <w:t>The</w:t>
            </w:r>
            <w:r w:rsidR="00736FC5" w:rsidRPr="006226A1">
              <w:rPr>
                <w:sz w:val="18"/>
                <w:szCs w:val="18"/>
              </w:rPr>
              <w:t xml:space="preserve"> </w:t>
            </w:r>
            <w:r w:rsidR="00421084" w:rsidRPr="006226A1">
              <w:rPr>
                <w:sz w:val="18"/>
                <w:szCs w:val="18"/>
              </w:rPr>
              <w:t xml:space="preserve">learning </w:t>
            </w:r>
            <w:r w:rsidR="00646349">
              <w:rPr>
                <w:sz w:val="18"/>
                <w:szCs w:val="18"/>
              </w:rPr>
              <w:t>task</w:t>
            </w:r>
            <w:r w:rsidR="00736FC5" w:rsidRPr="006226A1">
              <w:rPr>
                <w:sz w:val="18"/>
                <w:szCs w:val="18"/>
              </w:rPr>
              <w:t xml:space="preserve"> clearly connects to moving students’ understanding of the learning objectives.  </w:t>
            </w:r>
          </w:p>
        </w:tc>
        <w:tc>
          <w:tcPr>
            <w:tcW w:w="4285" w:type="dxa"/>
            <w:shd w:val="clear" w:color="auto" w:fill="D5DCE4" w:themeFill="text2" w:themeFillTint="33"/>
          </w:tcPr>
          <w:p w14:paraId="317EEDD7" w14:textId="2CDAB121" w:rsidR="00002CF1" w:rsidRPr="006226A1" w:rsidRDefault="00147E2D">
            <w:pPr>
              <w:rPr>
                <w:sz w:val="18"/>
                <w:szCs w:val="18"/>
                <w:highlight w:val="yellow"/>
              </w:rPr>
            </w:pPr>
            <w:r w:rsidRPr="006226A1">
              <w:rPr>
                <w:sz w:val="18"/>
                <w:szCs w:val="18"/>
              </w:rPr>
              <w:t xml:space="preserve">Each </w:t>
            </w:r>
            <w:r w:rsidR="00421084" w:rsidRPr="006226A1">
              <w:rPr>
                <w:sz w:val="18"/>
                <w:szCs w:val="18"/>
              </w:rPr>
              <w:t>learning</w:t>
            </w:r>
            <w:r w:rsidR="00646349">
              <w:rPr>
                <w:sz w:val="18"/>
                <w:szCs w:val="18"/>
              </w:rPr>
              <w:t xml:space="preserve"> task</w:t>
            </w:r>
            <w:r w:rsidRPr="006226A1">
              <w:rPr>
                <w:sz w:val="18"/>
                <w:szCs w:val="18"/>
              </w:rPr>
              <w:t xml:space="preserve"> is</w:t>
            </w:r>
            <w:r w:rsidR="005122D7" w:rsidRPr="006226A1">
              <w:rPr>
                <w:sz w:val="18"/>
                <w:szCs w:val="18"/>
              </w:rPr>
              <w:t xml:space="preserve"> both engaging and</w:t>
            </w:r>
            <w:r w:rsidRPr="006226A1">
              <w:rPr>
                <w:sz w:val="18"/>
                <w:szCs w:val="18"/>
              </w:rPr>
              <w:t xml:space="preserve"> rigorous</w:t>
            </w:r>
            <w:r w:rsidR="005122D7" w:rsidRPr="006226A1">
              <w:rPr>
                <w:sz w:val="18"/>
                <w:szCs w:val="18"/>
              </w:rPr>
              <w:t xml:space="preserve"> while</w:t>
            </w:r>
            <w:r w:rsidRPr="006226A1">
              <w:rPr>
                <w:sz w:val="18"/>
                <w:szCs w:val="18"/>
              </w:rPr>
              <w:t xml:space="preserve"> clearly articulat</w:t>
            </w:r>
            <w:r w:rsidR="005122D7" w:rsidRPr="006226A1">
              <w:rPr>
                <w:sz w:val="18"/>
                <w:szCs w:val="18"/>
              </w:rPr>
              <w:t>ing</w:t>
            </w:r>
            <w:r w:rsidRPr="006226A1">
              <w:rPr>
                <w:sz w:val="18"/>
                <w:szCs w:val="18"/>
              </w:rPr>
              <w:t xml:space="preserve"> </w:t>
            </w:r>
            <w:r w:rsidR="003443A8" w:rsidRPr="006226A1">
              <w:rPr>
                <w:sz w:val="18"/>
                <w:szCs w:val="18"/>
              </w:rPr>
              <w:t>high expectations for student</w:t>
            </w:r>
            <w:r w:rsidR="00F4128C" w:rsidRPr="006226A1">
              <w:rPr>
                <w:sz w:val="18"/>
                <w:szCs w:val="18"/>
              </w:rPr>
              <w:t xml:space="preserve"> learning.  The learning </w:t>
            </w:r>
            <w:r w:rsidR="00646349">
              <w:rPr>
                <w:sz w:val="18"/>
                <w:szCs w:val="18"/>
              </w:rPr>
              <w:t>task</w:t>
            </w:r>
            <w:r w:rsidR="003443A8" w:rsidRPr="006226A1">
              <w:rPr>
                <w:sz w:val="18"/>
                <w:szCs w:val="18"/>
              </w:rPr>
              <w:t xml:space="preserve"> highlight</w:t>
            </w:r>
            <w:r w:rsidR="005122D7" w:rsidRPr="006226A1">
              <w:rPr>
                <w:sz w:val="18"/>
                <w:szCs w:val="18"/>
              </w:rPr>
              <w:t>s</w:t>
            </w:r>
            <w:r w:rsidR="003443A8" w:rsidRPr="006226A1">
              <w:rPr>
                <w:sz w:val="18"/>
                <w:szCs w:val="18"/>
              </w:rPr>
              <w:t xml:space="preserve"> </w:t>
            </w:r>
            <w:r w:rsidRPr="006226A1">
              <w:rPr>
                <w:sz w:val="18"/>
                <w:szCs w:val="18"/>
              </w:rPr>
              <w:t>how it pushes and shifts students’ thinking</w:t>
            </w:r>
            <w:r w:rsidR="003443A8" w:rsidRPr="006226A1">
              <w:rPr>
                <w:sz w:val="18"/>
                <w:szCs w:val="18"/>
              </w:rPr>
              <w:t>.</w:t>
            </w:r>
          </w:p>
        </w:tc>
      </w:tr>
      <w:tr w:rsidR="00002CF1" w14:paraId="2CF7A599" w14:textId="77777777" w:rsidTr="006226A1">
        <w:tc>
          <w:tcPr>
            <w:tcW w:w="1615" w:type="dxa"/>
            <w:shd w:val="clear" w:color="auto" w:fill="1F3864" w:themeFill="accent1" w:themeFillShade="80"/>
            <w:vAlign w:val="center"/>
          </w:tcPr>
          <w:p w14:paraId="0C505EC6" w14:textId="16A81187" w:rsidR="00002CF1" w:rsidRPr="00B63435" w:rsidRDefault="00002CF1">
            <w:pPr>
              <w:jc w:val="center"/>
              <w:rPr>
                <w:b/>
                <w:bCs/>
                <w:sz w:val="28"/>
                <w:szCs w:val="28"/>
              </w:rPr>
            </w:pPr>
            <w:r w:rsidRPr="00B63435">
              <w:rPr>
                <w:b/>
                <w:bCs/>
                <w:sz w:val="28"/>
                <w:szCs w:val="28"/>
              </w:rPr>
              <w:t>Assessments</w:t>
            </w:r>
          </w:p>
        </w:tc>
        <w:tc>
          <w:tcPr>
            <w:tcW w:w="4198" w:type="dxa"/>
            <w:shd w:val="clear" w:color="auto" w:fill="EAEEF2"/>
          </w:tcPr>
          <w:p w14:paraId="02509A17" w14:textId="397A9E81" w:rsidR="00002CF1" w:rsidRPr="006226A1" w:rsidRDefault="00736FC5" w:rsidP="001E43C0">
            <w:pPr>
              <w:rPr>
                <w:sz w:val="18"/>
                <w:szCs w:val="18"/>
                <w:highlight w:val="yellow"/>
              </w:rPr>
            </w:pPr>
            <w:r w:rsidRPr="006226A1">
              <w:rPr>
                <w:sz w:val="18"/>
                <w:szCs w:val="18"/>
              </w:rPr>
              <w:t>There are clearly articulated assessments</w:t>
            </w:r>
            <w:r w:rsidR="009A467B" w:rsidRPr="006226A1">
              <w:rPr>
                <w:sz w:val="18"/>
                <w:szCs w:val="18"/>
              </w:rPr>
              <w:t xml:space="preserve"> that communicate</w:t>
            </w:r>
            <w:r w:rsidR="001E43C0" w:rsidRPr="006226A1">
              <w:rPr>
                <w:sz w:val="18"/>
                <w:szCs w:val="18"/>
              </w:rPr>
              <w:t xml:space="preserve"> how </w:t>
            </w:r>
            <w:r w:rsidR="00A73047" w:rsidRPr="006226A1">
              <w:rPr>
                <w:sz w:val="18"/>
                <w:szCs w:val="18"/>
              </w:rPr>
              <w:t>students</w:t>
            </w:r>
            <w:r w:rsidR="001E43C0" w:rsidRPr="006226A1">
              <w:rPr>
                <w:sz w:val="18"/>
                <w:szCs w:val="18"/>
              </w:rPr>
              <w:t xml:space="preserve"> will be evaluated. </w:t>
            </w:r>
            <w:r w:rsidR="00A73047" w:rsidRPr="006226A1">
              <w:rPr>
                <w:sz w:val="18"/>
                <w:szCs w:val="18"/>
              </w:rPr>
              <w:t>In some instances, the assessment does not measure true student learning, but rather emphasizes student behavior (such as effort or task completion).</w:t>
            </w:r>
          </w:p>
        </w:tc>
        <w:tc>
          <w:tcPr>
            <w:tcW w:w="4292" w:type="dxa"/>
            <w:shd w:val="clear" w:color="auto" w:fill="EAEEF2"/>
          </w:tcPr>
          <w:p w14:paraId="693414C2" w14:textId="6F4D2CA1" w:rsidR="00002CF1" w:rsidRPr="006226A1" w:rsidRDefault="001E43C0" w:rsidP="001E43C0">
            <w:pPr>
              <w:rPr>
                <w:sz w:val="18"/>
                <w:szCs w:val="18"/>
                <w:highlight w:val="yellow"/>
              </w:rPr>
            </w:pPr>
            <w:r w:rsidRPr="006226A1">
              <w:rPr>
                <w:sz w:val="18"/>
                <w:szCs w:val="18"/>
              </w:rPr>
              <w:t xml:space="preserve">Evaluation criteria clearly articulates what it would mean to meet or not meet the expectations. </w:t>
            </w:r>
            <w:r w:rsidR="00A73047" w:rsidRPr="006226A1">
              <w:rPr>
                <w:sz w:val="18"/>
                <w:szCs w:val="18"/>
              </w:rPr>
              <w:t>The assessments measure student learning but in some instances do not set high expectations for this learning.</w:t>
            </w:r>
          </w:p>
        </w:tc>
        <w:tc>
          <w:tcPr>
            <w:tcW w:w="4285" w:type="dxa"/>
            <w:shd w:val="clear" w:color="auto" w:fill="EAEEF2"/>
          </w:tcPr>
          <w:p w14:paraId="0E0D3D5C" w14:textId="29389DEA" w:rsidR="00002CF1" w:rsidRPr="006226A1" w:rsidRDefault="009A467B">
            <w:pPr>
              <w:rPr>
                <w:sz w:val="18"/>
                <w:szCs w:val="18"/>
                <w:highlight w:val="yellow"/>
              </w:rPr>
            </w:pPr>
            <w:r w:rsidRPr="006226A1">
              <w:rPr>
                <w:sz w:val="18"/>
                <w:szCs w:val="18"/>
              </w:rPr>
              <w:t xml:space="preserve">The unit includes a variety of formative and summative assessment methods. </w:t>
            </w:r>
            <w:r w:rsidR="00147E2D" w:rsidRPr="006226A1">
              <w:rPr>
                <w:sz w:val="18"/>
                <w:szCs w:val="18"/>
              </w:rPr>
              <w:t>The assessment outcomes are rigorous and set high expectations for students</w:t>
            </w:r>
            <w:r w:rsidR="001E43C0" w:rsidRPr="006226A1">
              <w:rPr>
                <w:sz w:val="18"/>
                <w:szCs w:val="18"/>
              </w:rPr>
              <w:t xml:space="preserve"> </w:t>
            </w:r>
            <w:r w:rsidR="00A73047" w:rsidRPr="006226A1">
              <w:rPr>
                <w:sz w:val="18"/>
                <w:szCs w:val="18"/>
              </w:rPr>
              <w:t xml:space="preserve">with the likelihood </w:t>
            </w:r>
            <w:r w:rsidR="001E43C0" w:rsidRPr="006226A1">
              <w:rPr>
                <w:sz w:val="18"/>
                <w:szCs w:val="18"/>
              </w:rPr>
              <w:t xml:space="preserve">that some students will not meet </w:t>
            </w:r>
            <w:r w:rsidR="00A73047" w:rsidRPr="006226A1">
              <w:rPr>
                <w:sz w:val="18"/>
                <w:szCs w:val="18"/>
              </w:rPr>
              <w:t xml:space="preserve">them </w:t>
            </w:r>
            <w:r w:rsidR="001E43C0" w:rsidRPr="006226A1">
              <w:rPr>
                <w:sz w:val="18"/>
                <w:szCs w:val="18"/>
              </w:rPr>
              <w:t>on the first attempt</w:t>
            </w:r>
            <w:r w:rsidR="00147E2D" w:rsidRPr="006226A1">
              <w:rPr>
                <w:sz w:val="18"/>
                <w:szCs w:val="18"/>
              </w:rPr>
              <w:t xml:space="preserve">.  </w:t>
            </w:r>
          </w:p>
        </w:tc>
      </w:tr>
      <w:tr w:rsidR="00002CF1" w14:paraId="6330674F" w14:textId="77777777" w:rsidTr="006226A1">
        <w:tc>
          <w:tcPr>
            <w:tcW w:w="1615" w:type="dxa"/>
            <w:shd w:val="clear" w:color="auto" w:fill="1F3864" w:themeFill="accent1" w:themeFillShade="80"/>
            <w:vAlign w:val="center"/>
          </w:tcPr>
          <w:p w14:paraId="3398BABF" w14:textId="17118856" w:rsidR="00002CF1" w:rsidRPr="00B63435" w:rsidRDefault="00002CF1">
            <w:pPr>
              <w:jc w:val="center"/>
              <w:rPr>
                <w:b/>
                <w:bCs/>
                <w:sz w:val="28"/>
                <w:szCs w:val="28"/>
              </w:rPr>
            </w:pPr>
            <w:r w:rsidRPr="00B63435">
              <w:rPr>
                <w:b/>
                <w:bCs/>
                <w:sz w:val="28"/>
                <w:szCs w:val="28"/>
              </w:rPr>
              <w:t>Progression</w:t>
            </w:r>
          </w:p>
        </w:tc>
        <w:tc>
          <w:tcPr>
            <w:tcW w:w="4198" w:type="dxa"/>
            <w:shd w:val="clear" w:color="auto" w:fill="D5DCE4" w:themeFill="text2" w:themeFillTint="33"/>
          </w:tcPr>
          <w:p w14:paraId="0540F4E7" w14:textId="546322E4" w:rsidR="00002CF1" w:rsidRPr="006226A1" w:rsidRDefault="00181F8D" w:rsidP="001E43C0">
            <w:pPr>
              <w:rPr>
                <w:sz w:val="18"/>
                <w:szCs w:val="18"/>
                <w:highlight w:val="yellow"/>
              </w:rPr>
            </w:pPr>
            <w:r w:rsidRPr="006226A1">
              <w:rPr>
                <w:sz w:val="18"/>
                <w:szCs w:val="18"/>
              </w:rPr>
              <w:t>The</w:t>
            </w:r>
            <w:r w:rsidR="00736FC5" w:rsidRPr="006226A1">
              <w:rPr>
                <w:sz w:val="18"/>
                <w:szCs w:val="18"/>
              </w:rPr>
              <w:t xml:space="preserve"> unit covers new material. </w:t>
            </w:r>
            <w:r w:rsidR="001E43C0" w:rsidRPr="006226A1">
              <w:rPr>
                <w:sz w:val="18"/>
                <w:szCs w:val="18"/>
              </w:rPr>
              <w:t xml:space="preserve"> </w:t>
            </w:r>
            <w:r w:rsidR="00F833BA" w:rsidRPr="006226A1">
              <w:rPr>
                <w:sz w:val="18"/>
                <w:szCs w:val="18"/>
              </w:rPr>
              <w:t xml:space="preserve">It is not clear how </w:t>
            </w:r>
            <w:r w:rsidR="005C08B5" w:rsidRPr="006226A1">
              <w:rPr>
                <w:sz w:val="18"/>
                <w:szCs w:val="18"/>
              </w:rPr>
              <w:t>many</w:t>
            </w:r>
            <w:r w:rsidR="00F833BA" w:rsidRPr="006226A1">
              <w:rPr>
                <w:sz w:val="18"/>
                <w:szCs w:val="18"/>
              </w:rPr>
              <w:t xml:space="preserve"> component</w:t>
            </w:r>
            <w:r w:rsidR="005C08B5" w:rsidRPr="006226A1">
              <w:rPr>
                <w:sz w:val="18"/>
                <w:szCs w:val="18"/>
              </w:rPr>
              <w:t>s</w:t>
            </w:r>
            <w:r w:rsidR="00F833BA" w:rsidRPr="006226A1">
              <w:rPr>
                <w:sz w:val="18"/>
                <w:szCs w:val="18"/>
              </w:rPr>
              <w:t xml:space="preserve"> of the unit relate to material previously covered or how these components connect to future learning.</w:t>
            </w:r>
          </w:p>
        </w:tc>
        <w:tc>
          <w:tcPr>
            <w:tcW w:w="4292" w:type="dxa"/>
            <w:shd w:val="clear" w:color="auto" w:fill="D5DCE4" w:themeFill="text2" w:themeFillTint="33"/>
          </w:tcPr>
          <w:p w14:paraId="27FFE848" w14:textId="3F4FC38C" w:rsidR="00002CF1" w:rsidRPr="006226A1" w:rsidRDefault="001E43C0">
            <w:pPr>
              <w:rPr>
                <w:sz w:val="18"/>
                <w:szCs w:val="18"/>
                <w:highlight w:val="yellow"/>
              </w:rPr>
            </w:pPr>
            <w:r w:rsidRPr="006226A1">
              <w:rPr>
                <w:sz w:val="18"/>
                <w:szCs w:val="18"/>
              </w:rPr>
              <w:t xml:space="preserve">The </w:t>
            </w:r>
            <w:r w:rsidR="00147E2D" w:rsidRPr="006226A1">
              <w:rPr>
                <w:sz w:val="18"/>
                <w:szCs w:val="18"/>
              </w:rPr>
              <w:t xml:space="preserve">unit </w:t>
            </w:r>
            <w:r w:rsidR="00007C3F" w:rsidRPr="006226A1">
              <w:rPr>
                <w:sz w:val="18"/>
                <w:szCs w:val="18"/>
              </w:rPr>
              <w:t xml:space="preserve">investigates </w:t>
            </w:r>
            <w:r w:rsidR="00F833BA" w:rsidRPr="006226A1">
              <w:rPr>
                <w:sz w:val="18"/>
                <w:szCs w:val="18"/>
              </w:rPr>
              <w:t>new</w:t>
            </w:r>
            <w:r w:rsidR="00BA6041" w:rsidRPr="006226A1">
              <w:rPr>
                <w:sz w:val="18"/>
                <w:szCs w:val="18"/>
              </w:rPr>
              <w:t xml:space="preserve"> and highly relevant</w:t>
            </w:r>
            <w:r w:rsidR="00F833BA" w:rsidRPr="006226A1">
              <w:rPr>
                <w:sz w:val="18"/>
                <w:szCs w:val="18"/>
              </w:rPr>
              <w:t xml:space="preserve"> </w:t>
            </w:r>
            <w:r w:rsidR="00007C3F" w:rsidRPr="006226A1">
              <w:rPr>
                <w:sz w:val="18"/>
                <w:szCs w:val="18"/>
              </w:rPr>
              <w:t>content</w:t>
            </w:r>
            <w:r w:rsidR="00F833BA" w:rsidRPr="006226A1">
              <w:rPr>
                <w:sz w:val="18"/>
                <w:szCs w:val="18"/>
              </w:rPr>
              <w:t>. It is</w:t>
            </w:r>
            <w:r w:rsidR="00BC649D" w:rsidRPr="006226A1">
              <w:rPr>
                <w:sz w:val="18"/>
                <w:szCs w:val="18"/>
              </w:rPr>
              <w:t xml:space="preserve"> mostly</w:t>
            </w:r>
            <w:r w:rsidR="00F833BA" w:rsidRPr="006226A1">
              <w:rPr>
                <w:sz w:val="18"/>
                <w:szCs w:val="18"/>
              </w:rPr>
              <w:t xml:space="preserve"> clear h</w:t>
            </w:r>
            <w:r w:rsidR="00147E2D" w:rsidRPr="006226A1">
              <w:rPr>
                <w:sz w:val="18"/>
                <w:szCs w:val="18"/>
              </w:rPr>
              <w:t xml:space="preserve">ow learning from </w:t>
            </w:r>
            <w:r w:rsidR="00F833BA" w:rsidRPr="006226A1">
              <w:rPr>
                <w:sz w:val="18"/>
                <w:szCs w:val="18"/>
              </w:rPr>
              <w:t>this</w:t>
            </w:r>
            <w:r w:rsidR="00147E2D" w:rsidRPr="006226A1">
              <w:rPr>
                <w:sz w:val="18"/>
                <w:szCs w:val="18"/>
              </w:rPr>
              <w:t xml:space="preserve"> unit builds and expands on past units.</w:t>
            </w:r>
            <w:r w:rsidRPr="006226A1">
              <w:rPr>
                <w:sz w:val="18"/>
                <w:szCs w:val="18"/>
              </w:rPr>
              <w:t xml:space="preserve"> </w:t>
            </w:r>
            <w:r w:rsidR="00F833BA" w:rsidRPr="006226A1">
              <w:rPr>
                <w:sz w:val="18"/>
                <w:szCs w:val="18"/>
              </w:rPr>
              <w:t>The unit makes clear connection</w:t>
            </w:r>
            <w:r w:rsidR="00BC649D" w:rsidRPr="006226A1">
              <w:rPr>
                <w:sz w:val="18"/>
                <w:szCs w:val="18"/>
              </w:rPr>
              <w:t>s</w:t>
            </w:r>
            <w:r w:rsidR="00F833BA" w:rsidRPr="006226A1">
              <w:rPr>
                <w:sz w:val="18"/>
                <w:szCs w:val="18"/>
              </w:rPr>
              <w:t xml:space="preserve"> to future learning.</w:t>
            </w:r>
          </w:p>
        </w:tc>
        <w:tc>
          <w:tcPr>
            <w:tcW w:w="4285" w:type="dxa"/>
            <w:shd w:val="clear" w:color="auto" w:fill="D5DCE4" w:themeFill="text2" w:themeFillTint="33"/>
          </w:tcPr>
          <w:p w14:paraId="1F7EEBFF" w14:textId="3F3509FF" w:rsidR="00002CF1" w:rsidRPr="006226A1" w:rsidRDefault="001E43C0" w:rsidP="001E43C0">
            <w:pPr>
              <w:rPr>
                <w:sz w:val="18"/>
                <w:szCs w:val="18"/>
                <w:highlight w:val="yellow"/>
              </w:rPr>
            </w:pPr>
            <w:r w:rsidRPr="006226A1">
              <w:rPr>
                <w:sz w:val="18"/>
                <w:szCs w:val="18"/>
              </w:rPr>
              <w:t>The over</w:t>
            </w:r>
            <w:r w:rsidR="00BC649D" w:rsidRPr="006226A1">
              <w:rPr>
                <w:sz w:val="18"/>
                <w:szCs w:val="18"/>
              </w:rPr>
              <w:t>arching</w:t>
            </w:r>
            <w:r w:rsidR="00147E2D" w:rsidRPr="006226A1">
              <w:rPr>
                <w:sz w:val="18"/>
                <w:szCs w:val="18"/>
              </w:rPr>
              <w:t xml:space="preserve"> articulates on how students’ learning </w:t>
            </w:r>
            <w:r w:rsidR="00BC649D" w:rsidRPr="006226A1">
              <w:rPr>
                <w:sz w:val="18"/>
                <w:szCs w:val="18"/>
              </w:rPr>
              <w:t>is</w:t>
            </w:r>
            <w:r w:rsidR="00147E2D" w:rsidRPr="006226A1">
              <w:rPr>
                <w:sz w:val="18"/>
                <w:szCs w:val="18"/>
              </w:rPr>
              <w:t xml:space="preserve"> deepened and expanded through </w:t>
            </w:r>
            <w:r w:rsidRPr="006226A1">
              <w:rPr>
                <w:sz w:val="18"/>
                <w:szCs w:val="18"/>
              </w:rPr>
              <w:t>this unit</w:t>
            </w:r>
            <w:r w:rsidR="00BC649D" w:rsidRPr="006226A1">
              <w:rPr>
                <w:sz w:val="18"/>
                <w:szCs w:val="18"/>
              </w:rPr>
              <w:t xml:space="preserve"> are clear</w:t>
            </w:r>
            <w:r w:rsidRPr="006226A1">
              <w:rPr>
                <w:sz w:val="18"/>
                <w:szCs w:val="18"/>
              </w:rPr>
              <w:t xml:space="preserve">. The progression </w:t>
            </w:r>
            <w:r w:rsidR="00BC649D" w:rsidRPr="006226A1">
              <w:rPr>
                <w:sz w:val="18"/>
                <w:szCs w:val="18"/>
              </w:rPr>
              <w:t xml:space="preserve">from previous units and to future units </w:t>
            </w:r>
            <w:r w:rsidRPr="006226A1">
              <w:rPr>
                <w:sz w:val="18"/>
                <w:szCs w:val="18"/>
              </w:rPr>
              <w:t xml:space="preserve">supports full coverage of the standards </w:t>
            </w:r>
            <w:r w:rsidR="00BC649D" w:rsidRPr="006226A1">
              <w:rPr>
                <w:sz w:val="18"/>
                <w:szCs w:val="18"/>
              </w:rPr>
              <w:t>over</w:t>
            </w:r>
            <w:r w:rsidRPr="006226A1">
              <w:rPr>
                <w:sz w:val="18"/>
                <w:szCs w:val="18"/>
              </w:rPr>
              <w:t xml:space="preserve"> the course or year. </w:t>
            </w:r>
          </w:p>
        </w:tc>
      </w:tr>
      <w:tr w:rsidR="00002CF1" w14:paraId="2E724426" w14:textId="77777777" w:rsidTr="006226A1">
        <w:tc>
          <w:tcPr>
            <w:tcW w:w="1615" w:type="dxa"/>
            <w:shd w:val="clear" w:color="auto" w:fill="1F3864" w:themeFill="accent1" w:themeFillShade="80"/>
            <w:vAlign w:val="center"/>
          </w:tcPr>
          <w:p w14:paraId="1BF88770" w14:textId="78EC9BF8" w:rsidR="00421084" w:rsidRDefault="00002CF1">
            <w:pPr>
              <w:jc w:val="center"/>
              <w:rPr>
                <w:b/>
                <w:bCs/>
                <w:sz w:val="28"/>
                <w:szCs w:val="28"/>
              </w:rPr>
            </w:pPr>
            <w:r w:rsidRPr="00B63435">
              <w:rPr>
                <w:b/>
                <w:bCs/>
                <w:sz w:val="28"/>
                <w:szCs w:val="28"/>
              </w:rPr>
              <w:t>Artists</w:t>
            </w:r>
          </w:p>
          <w:p w14:paraId="52F81B16" w14:textId="2585E03F" w:rsidR="00002CF1" w:rsidRPr="00B63435" w:rsidRDefault="00002CF1">
            <w:pPr>
              <w:jc w:val="center"/>
              <w:rPr>
                <w:b/>
                <w:bCs/>
                <w:sz w:val="28"/>
                <w:szCs w:val="28"/>
              </w:rPr>
            </w:pPr>
            <w:r w:rsidRPr="00B63435">
              <w:rPr>
                <w:b/>
                <w:bCs/>
                <w:sz w:val="28"/>
                <w:szCs w:val="28"/>
              </w:rPr>
              <w:t>and Artworks</w:t>
            </w:r>
          </w:p>
        </w:tc>
        <w:tc>
          <w:tcPr>
            <w:tcW w:w="4198" w:type="dxa"/>
            <w:shd w:val="clear" w:color="auto" w:fill="EAEEF2"/>
          </w:tcPr>
          <w:p w14:paraId="13340F95" w14:textId="7DC7A92F" w:rsidR="00002CF1" w:rsidRPr="006226A1" w:rsidRDefault="00181F8D">
            <w:pPr>
              <w:rPr>
                <w:sz w:val="18"/>
                <w:szCs w:val="18"/>
              </w:rPr>
            </w:pPr>
            <w:r w:rsidRPr="006226A1">
              <w:rPr>
                <w:sz w:val="18"/>
                <w:szCs w:val="18"/>
              </w:rPr>
              <w:t>The</w:t>
            </w:r>
            <w:r w:rsidR="00736FC5" w:rsidRPr="006226A1">
              <w:rPr>
                <w:sz w:val="18"/>
                <w:szCs w:val="18"/>
              </w:rPr>
              <w:t xml:space="preserve"> unit identifies artists and artworks that connect to</w:t>
            </w:r>
            <w:r w:rsidR="00B7670F" w:rsidRPr="006226A1">
              <w:rPr>
                <w:sz w:val="18"/>
                <w:szCs w:val="18"/>
              </w:rPr>
              <w:t xml:space="preserve"> the unit theme</w:t>
            </w:r>
            <w:r w:rsidR="00736FC5" w:rsidRPr="006226A1">
              <w:rPr>
                <w:sz w:val="18"/>
                <w:szCs w:val="18"/>
              </w:rPr>
              <w:t>.</w:t>
            </w:r>
            <w:r w:rsidR="00B7670F" w:rsidRPr="006226A1">
              <w:rPr>
                <w:sz w:val="18"/>
                <w:szCs w:val="18"/>
              </w:rPr>
              <w:t xml:space="preserve">  There are missed opportunities for celebrating artists and artworks representative of a variety of cultures</w:t>
            </w:r>
            <w:r w:rsidR="007B1583" w:rsidRPr="006226A1">
              <w:rPr>
                <w:sz w:val="18"/>
                <w:szCs w:val="18"/>
              </w:rPr>
              <w:t>,</w:t>
            </w:r>
            <w:r w:rsidR="00AD6CC7" w:rsidRPr="006226A1">
              <w:rPr>
                <w:sz w:val="18"/>
                <w:szCs w:val="18"/>
              </w:rPr>
              <w:t xml:space="preserve"> or the diversity of the artists is</w:t>
            </w:r>
            <w:r w:rsidR="007B1583" w:rsidRPr="006226A1">
              <w:rPr>
                <w:sz w:val="18"/>
                <w:szCs w:val="18"/>
              </w:rPr>
              <w:t xml:space="preserve"> sometimes</w:t>
            </w:r>
            <w:r w:rsidR="00AD6CC7" w:rsidRPr="006226A1">
              <w:rPr>
                <w:sz w:val="18"/>
                <w:szCs w:val="18"/>
              </w:rPr>
              <w:t xml:space="preserve"> suppressed or appropriated.</w:t>
            </w:r>
          </w:p>
        </w:tc>
        <w:tc>
          <w:tcPr>
            <w:tcW w:w="4292" w:type="dxa"/>
            <w:shd w:val="clear" w:color="auto" w:fill="EAEEF2"/>
          </w:tcPr>
          <w:p w14:paraId="4F4692E1" w14:textId="6FB27B97" w:rsidR="00002CF1" w:rsidRPr="006226A1" w:rsidRDefault="00147E2D">
            <w:pPr>
              <w:rPr>
                <w:sz w:val="18"/>
                <w:szCs w:val="18"/>
              </w:rPr>
            </w:pPr>
            <w:r w:rsidRPr="006226A1">
              <w:rPr>
                <w:sz w:val="18"/>
                <w:szCs w:val="18"/>
              </w:rPr>
              <w:t>There are</w:t>
            </w:r>
            <w:r w:rsidR="00AD6CC7" w:rsidRPr="006226A1">
              <w:rPr>
                <w:sz w:val="18"/>
                <w:szCs w:val="18"/>
              </w:rPr>
              <w:t xml:space="preserve"> some</w:t>
            </w:r>
            <w:r w:rsidRPr="006226A1">
              <w:rPr>
                <w:sz w:val="18"/>
                <w:szCs w:val="18"/>
              </w:rPr>
              <w:t xml:space="preserve"> examples of diverse artists and artworks identified</w:t>
            </w:r>
            <w:r w:rsidR="00AD6CC7" w:rsidRPr="006226A1">
              <w:rPr>
                <w:sz w:val="18"/>
                <w:szCs w:val="18"/>
              </w:rPr>
              <w:t>, but the coverage is sometimes superficial or key information is omitted</w:t>
            </w:r>
            <w:r w:rsidRPr="006226A1">
              <w:rPr>
                <w:sz w:val="18"/>
                <w:szCs w:val="18"/>
              </w:rPr>
              <w:t>.</w:t>
            </w:r>
            <w:r w:rsidR="00B7670F" w:rsidRPr="006226A1">
              <w:rPr>
                <w:sz w:val="18"/>
                <w:szCs w:val="18"/>
              </w:rPr>
              <w:t xml:space="preserve"> The artists and artworks identified connect to the learning objectives and big ideas within the unit.</w:t>
            </w:r>
          </w:p>
        </w:tc>
        <w:tc>
          <w:tcPr>
            <w:tcW w:w="4285" w:type="dxa"/>
            <w:shd w:val="clear" w:color="auto" w:fill="EAEEF2"/>
          </w:tcPr>
          <w:p w14:paraId="617DB414" w14:textId="3001DA98" w:rsidR="00002CF1" w:rsidRPr="006226A1" w:rsidRDefault="00AD6CC7">
            <w:pPr>
              <w:rPr>
                <w:sz w:val="18"/>
                <w:szCs w:val="18"/>
              </w:rPr>
            </w:pPr>
            <w:r w:rsidRPr="006226A1">
              <w:rPr>
                <w:sz w:val="18"/>
                <w:szCs w:val="18"/>
              </w:rPr>
              <w:t>There are examples of diverse artists and artworks being</w:t>
            </w:r>
            <w:r w:rsidR="007B1583" w:rsidRPr="006226A1">
              <w:rPr>
                <w:sz w:val="18"/>
                <w:szCs w:val="18"/>
              </w:rPr>
              <w:t xml:space="preserve"> authentically</w:t>
            </w:r>
            <w:r w:rsidRPr="006226A1">
              <w:rPr>
                <w:sz w:val="18"/>
                <w:szCs w:val="18"/>
              </w:rPr>
              <w:t xml:space="preserve"> celebrated in the unit, including a range of historical and contemporary artists. </w:t>
            </w:r>
            <w:r w:rsidR="00826125" w:rsidRPr="006226A1">
              <w:rPr>
                <w:sz w:val="18"/>
                <w:szCs w:val="18"/>
              </w:rPr>
              <w:t>T</w:t>
            </w:r>
            <w:r w:rsidR="00147E2D" w:rsidRPr="006226A1">
              <w:rPr>
                <w:sz w:val="18"/>
                <w:szCs w:val="18"/>
              </w:rPr>
              <w:t xml:space="preserve">he representation of artists and artworks is closely aligned with the student population. (e.g. in a class with 50% </w:t>
            </w:r>
            <w:r w:rsidR="007311AD" w:rsidRPr="006226A1">
              <w:rPr>
                <w:sz w:val="18"/>
                <w:szCs w:val="18"/>
              </w:rPr>
              <w:t>L</w:t>
            </w:r>
            <w:r w:rsidR="00147E2D" w:rsidRPr="006226A1">
              <w:rPr>
                <w:sz w:val="18"/>
                <w:szCs w:val="18"/>
              </w:rPr>
              <w:t>atinx students there are multiple examples of relevant artists and artworks.)</w:t>
            </w:r>
          </w:p>
        </w:tc>
      </w:tr>
      <w:tr w:rsidR="00002CF1" w14:paraId="292B5619" w14:textId="77777777" w:rsidTr="006226A1">
        <w:tc>
          <w:tcPr>
            <w:tcW w:w="1615" w:type="dxa"/>
            <w:shd w:val="clear" w:color="auto" w:fill="1F3864" w:themeFill="accent1" w:themeFillShade="80"/>
            <w:vAlign w:val="center"/>
          </w:tcPr>
          <w:p w14:paraId="0157186A" w14:textId="2828715B" w:rsidR="00421084" w:rsidRDefault="00002CF1">
            <w:pPr>
              <w:jc w:val="center"/>
              <w:rPr>
                <w:b/>
                <w:bCs/>
                <w:sz w:val="28"/>
                <w:szCs w:val="28"/>
              </w:rPr>
            </w:pPr>
            <w:r w:rsidRPr="00B63435">
              <w:rPr>
                <w:b/>
                <w:bCs/>
                <w:sz w:val="28"/>
                <w:szCs w:val="28"/>
              </w:rPr>
              <w:t>Supports for</w:t>
            </w:r>
          </w:p>
          <w:p w14:paraId="70AD3A52" w14:textId="28709028" w:rsidR="00002CF1" w:rsidRPr="00B63435" w:rsidRDefault="00002CF1">
            <w:pPr>
              <w:jc w:val="center"/>
              <w:rPr>
                <w:b/>
                <w:bCs/>
                <w:sz w:val="28"/>
                <w:szCs w:val="28"/>
              </w:rPr>
            </w:pPr>
            <w:r w:rsidRPr="00B63435">
              <w:rPr>
                <w:b/>
                <w:bCs/>
                <w:sz w:val="28"/>
                <w:szCs w:val="28"/>
              </w:rPr>
              <w:t>All Students</w:t>
            </w:r>
          </w:p>
        </w:tc>
        <w:tc>
          <w:tcPr>
            <w:tcW w:w="4198" w:type="dxa"/>
            <w:shd w:val="clear" w:color="auto" w:fill="D5DCE4" w:themeFill="text2" w:themeFillTint="33"/>
          </w:tcPr>
          <w:p w14:paraId="40A357CC" w14:textId="20B63162" w:rsidR="00002CF1" w:rsidRPr="006226A1" w:rsidRDefault="00736FC5">
            <w:pPr>
              <w:rPr>
                <w:sz w:val="18"/>
                <w:szCs w:val="18"/>
                <w:highlight w:val="yellow"/>
              </w:rPr>
            </w:pPr>
            <w:r w:rsidRPr="006226A1">
              <w:rPr>
                <w:sz w:val="18"/>
                <w:szCs w:val="18"/>
              </w:rPr>
              <w:t>There are examples of relevant ways to ensure all students can access the content and demonstrate learning.</w:t>
            </w:r>
          </w:p>
        </w:tc>
        <w:tc>
          <w:tcPr>
            <w:tcW w:w="4292" w:type="dxa"/>
            <w:shd w:val="clear" w:color="auto" w:fill="D5DCE4" w:themeFill="text2" w:themeFillTint="33"/>
          </w:tcPr>
          <w:p w14:paraId="556BF843" w14:textId="05943778" w:rsidR="00002CF1" w:rsidRPr="006226A1" w:rsidRDefault="00826125" w:rsidP="001E43C0">
            <w:pPr>
              <w:rPr>
                <w:sz w:val="18"/>
                <w:szCs w:val="18"/>
              </w:rPr>
            </w:pPr>
            <w:r w:rsidRPr="006226A1">
              <w:rPr>
                <w:sz w:val="18"/>
                <w:szCs w:val="18"/>
              </w:rPr>
              <w:t>The</w:t>
            </w:r>
            <w:r w:rsidR="00147E2D" w:rsidRPr="006226A1">
              <w:rPr>
                <w:sz w:val="18"/>
                <w:szCs w:val="18"/>
              </w:rPr>
              <w:t xml:space="preserve"> unit </w:t>
            </w:r>
            <w:r w:rsidR="001E43C0" w:rsidRPr="006226A1">
              <w:rPr>
                <w:sz w:val="18"/>
                <w:szCs w:val="18"/>
              </w:rPr>
              <w:t>describes how the educator uses assessment results to modify instruction</w:t>
            </w:r>
            <w:r w:rsidR="00147E2D" w:rsidRPr="006226A1">
              <w:rPr>
                <w:sz w:val="18"/>
                <w:szCs w:val="18"/>
              </w:rPr>
              <w:t>.</w:t>
            </w:r>
            <w:r w:rsidR="00454DF1" w:rsidRPr="006226A1">
              <w:rPr>
                <w:sz w:val="18"/>
                <w:szCs w:val="18"/>
              </w:rPr>
              <w:t xml:space="preserve"> Most of the unit provides supports for different learners.</w:t>
            </w:r>
          </w:p>
        </w:tc>
        <w:tc>
          <w:tcPr>
            <w:tcW w:w="4285" w:type="dxa"/>
            <w:shd w:val="clear" w:color="auto" w:fill="D5DCE4" w:themeFill="text2" w:themeFillTint="33"/>
          </w:tcPr>
          <w:p w14:paraId="2A20034C" w14:textId="64C65D4C" w:rsidR="00002CF1" w:rsidRPr="006226A1" w:rsidRDefault="004B476A">
            <w:pPr>
              <w:rPr>
                <w:sz w:val="18"/>
                <w:szCs w:val="18"/>
                <w:highlight w:val="yellow"/>
              </w:rPr>
            </w:pPr>
            <w:r w:rsidRPr="006226A1">
              <w:rPr>
                <w:sz w:val="18"/>
                <w:szCs w:val="18"/>
              </w:rPr>
              <w:t xml:space="preserve">There </w:t>
            </w:r>
            <w:r w:rsidR="004C24F5" w:rsidRPr="006226A1">
              <w:rPr>
                <w:sz w:val="18"/>
                <w:szCs w:val="18"/>
              </w:rPr>
              <w:t>are</w:t>
            </w:r>
            <w:r w:rsidRPr="006226A1">
              <w:rPr>
                <w:sz w:val="18"/>
                <w:szCs w:val="18"/>
              </w:rPr>
              <w:t xml:space="preserve"> </w:t>
            </w:r>
            <w:r w:rsidR="00454DF1" w:rsidRPr="006226A1">
              <w:rPr>
                <w:sz w:val="18"/>
                <w:szCs w:val="18"/>
              </w:rPr>
              <w:t xml:space="preserve">numerous </w:t>
            </w:r>
            <w:r w:rsidRPr="006226A1">
              <w:rPr>
                <w:sz w:val="18"/>
                <w:szCs w:val="18"/>
              </w:rPr>
              <w:t xml:space="preserve">examples of ways to differentiate instruction and </w:t>
            </w:r>
            <w:r w:rsidR="00801993" w:rsidRPr="006226A1">
              <w:rPr>
                <w:sz w:val="18"/>
                <w:szCs w:val="18"/>
              </w:rPr>
              <w:t>learning events</w:t>
            </w:r>
            <w:r w:rsidRPr="006226A1">
              <w:rPr>
                <w:sz w:val="18"/>
                <w:szCs w:val="18"/>
              </w:rPr>
              <w:t xml:space="preserve"> to support</w:t>
            </w:r>
            <w:r w:rsidR="00454DF1" w:rsidRPr="006226A1">
              <w:rPr>
                <w:sz w:val="18"/>
                <w:szCs w:val="18"/>
              </w:rPr>
              <w:t xml:space="preserve"> all</w:t>
            </w:r>
            <w:r w:rsidRPr="006226A1">
              <w:rPr>
                <w:sz w:val="18"/>
                <w:szCs w:val="18"/>
              </w:rPr>
              <w:t xml:space="preserve"> learners</w:t>
            </w:r>
            <w:r w:rsidR="00454DF1" w:rsidRPr="006226A1">
              <w:rPr>
                <w:sz w:val="18"/>
                <w:szCs w:val="18"/>
              </w:rPr>
              <w:t xml:space="preserve"> throughout the unit.  The supports for different learners are based on assessment results and the principles of Universal Design for Learning (UDL).</w:t>
            </w:r>
          </w:p>
        </w:tc>
      </w:tr>
    </w:tbl>
    <w:p w14:paraId="495425A0" w14:textId="30A0D844" w:rsidR="00002CF1" w:rsidRDefault="00002CF1"/>
    <w:sectPr w:rsidR="00002CF1" w:rsidSect="00002CF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D0F"/>
    <w:rsid w:val="00002CF1"/>
    <w:rsid w:val="00007C3F"/>
    <w:rsid w:val="00136D0F"/>
    <w:rsid w:val="00147E2D"/>
    <w:rsid w:val="00181F8D"/>
    <w:rsid w:val="001E43C0"/>
    <w:rsid w:val="002368AD"/>
    <w:rsid w:val="00236C04"/>
    <w:rsid w:val="002B3F5C"/>
    <w:rsid w:val="002D1313"/>
    <w:rsid w:val="002D5276"/>
    <w:rsid w:val="002E2472"/>
    <w:rsid w:val="003443A8"/>
    <w:rsid w:val="00403427"/>
    <w:rsid w:val="00421084"/>
    <w:rsid w:val="00454DF1"/>
    <w:rsid w:val="004B476A"/>
    <w:rsid w:val="004C24F5"/>
    <w:rsid w:val="005015D1"/>
    <w:rsid w:val="005122D7"/>
    <w:rsid w:val="005C08B5"/>
    <w:rsid w:val="006226A1"/>
    <w:rsid w:val="00631CC4"/>
    <w:rsid w:val="00646349"/>
    <w:rsid w:val="00723D2C"/>
    <w:rsid w:val="007311AD"/>
    <w:rsid w:val="00736FC5"/>
    <w:rsid w:val="007B1583"/>
    <w:rsid w:val="007D5C43"/>
    <w:rsid w:val="00801993"/>
    <w:rsid w:val="00826125"/>
    <w:rsid w:val="0090216A"/>
    <w:rsid w:val="009456D7"/>
    <w:rsid w:val="009A467B"/>
    <w:rsid w:val="00A00A23"/>
    <w:rsid w:val="00A73047"/>
    <w:rsid w:val="00AA4510"/>
    <w:rsid w:val="00AD6CC7"/>
    <w:rsid w:val="00AE79B4"/>
    <w:rsid w:val="00B63435"/>
    <w:rsid w:val="00B7670F"/>
    <w:rsid w:val="00BA6041"/>
    <w:rsid w:val="00BC649D"/>
    <w:rsid w:val="00BD29F5"/>
    <w:rsid w:val="00C80B20"/>
    <w:rsid w:val="00D07AFA"/>
    <w:rsid w:val="00DC48F8"/>
    <w:rsid w:val="00ED052B"/>
    <w:rsid w:val="00F4128C"/>
    <w:rsid w:val="00F833BA"/>
    <w:rsid w:val="00F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6E79"/>
  <w15:chartTrackingRefBased/>
  <w15:docId w15:val="{58A1E804-D172-46C3-83E6-39E13A82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7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9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7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9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9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9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DESE-231-74404</_dlc_DocId>
    <_dlc_DocIdUrl xmlns="733efe1c-5bbe-4968-87dc-d400e65c879f">
      <Url>https://sharepoint.doemass.org/ese/webteam/cps/_layouts/DocIdRedir.aspx?ID=DESE-231-74404</Url>
      <Description>DESE-231-74404</Description>
    </_dlc_DocIdUrl>
  </documentManagement>
</p:properties>
</file>

<file path=customXml/itemProps1.xml><?xml version="1.0" encoding="utf-8"?>
<ds:datastoreItem xmlns:ds="http://schemas.openxmlformats.org/officeDocument/2006/customXml" ds:itemID="{A0AF2444-8F0C-4E0D-88A4-CE73846D894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05E251-573E-4E1F-B8D0-B1CAC39BD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0FAB04-A581-4A26-B12E-33EAF7D39E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7FCE9A-FD99-4378-93B6-D0F85FDB1A7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Arts Unit Scoring Rubric</vt:lpstr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Arts Unit Scoring Rubric</dc:title>
  <dc:subject/>
  <dc:creator>DESE</dc:creator>
  <cp:keywords/>
  <dc:description/>
  <cp:lastModifiedBy>Zou, Dong (EOE)</cp:lastModifiedBy>
  <cp:revision>6</cp:revision>
  <dcterms:created xsi:type="dcterms:W3CDTF">2021-10-07T18:16:00Z</dcterms:created>
  <dcterms:modified xsi:type="dcterms:W3CDTF">2021-10-13T19:50:00Z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13 2021</vt:lpwstr>
  </property>
</Properties>
</file>